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B61C" w14:textId="77777777" w:rsidR="00771328" w:rsidRDefault="00771328" w:rsidP="00771328">
      <w:pPr>
        <w:pStyle w:val="H2"/>
      </w:pPr>
      <w:bookmarkStart w:id="0" w:name="_Toc163565258"/>
      <w:r>
        <w:t>Identifying performance gaps</w:t>
      </w:r>
      <w:bookmarkEnd w:id="0"/>
    </w:p>
    <w:p w14:paraId="1D100AEB" w14:textId="77777777" w:rsidR="00771328" w:rsidRDefault="00771328" w:rsidP="00771328">
      <w:pPr>
        <w:pStyle w:val="Paragraph"/>
      </w:pPr>
      <w:r>
        <w:t>To identify performance gaps in the GMCS, we computed the deciles of the measure scores using the EHR data.</w:t>
      </w:r>
    </w:p>
    <w:p w14:paraId="0B7F9C6F" w14:textId="77777777" w:rsidR="00771328" w:rsidRDefault="00771328" w:rsidP="00771328">
      <w:pPr>
        <w:pStyle w:val="Paragraph"/>
        <w:jc w:val="both"/>
      </w:pPr>
      <w:r>
        <w:t xml:space="preserve">Table VI.1 presents summary statistics (range, mean, minimum, maximum and decile distribution) of the GMCS measure scores across </w:t>
      </w:r>
      <w:proofErr w:type="gramStart"/>
      <w:r>
        <w:t>the 28</w:t>
      </w:r>
      <w:proofErr w:type="gramEnd"/>
      <w:r>
        <w:t xml:space="preserve"> facilities, with Figure VI.1 illustrating the distribution of the scores. The average score was </w:t>
      </w:r>
      <w:proofErr w:type="gramStart"/>
      <w:r>
        <w:t>a 90.3</w:t>
      </w:r>
      <w:proofErr w:type="gramEnd"/>
      <w:r>
        <w:t>%, with the lowest facility scoring at 83.7% and the highest facility at 98.2%. Despite the distribution of the GMCS measure scores being skewed towards high performance in our sample, there remains a substantial gap between the facilities in the best- (98%) and the worst-performing deciles (84%), indicating that many facilities have room for improvement.</w:t>
      </w:r>
    </w:p>
    <w:p w14:paraId="39A1179B" w14:textId="77777777" w:rsidR="00771328" w:rsidRDefault="00771328" w:rsidP="00771328">
      <w:pPr>
        <w:pStyle w:val="TableTitle"/>
      </w:pPr>
      <w:bookmarkStart w:id="1" w:name="_Toc163565280"/>
      <w:r>
        <w:rPr>
          <w:b/>
          <w:bCs/>
        </w:rPr>
        <w:t>Table VI.1.</w:t>
      </w:r>
      <w:r>
        <w:t xml:space="preserve"> Distribution of the GMCS measure scores among 28 hospitals</w:t>
      </w:r>
      <w:bookmarkEnd w:id="1"/>
    </w:p>
    <w:tbl>
      <w:tblPr>
        <w:tblStyle w:val="BaseTable"/>
        <w:tblW w:w="9450" w:type="dxa"/>
        <w:tblInd w:w="0" w:type="dxa"/>
        <w:tblLook w:val="04A0" w:firstRow="1" w:lastRow="0" w:firstColumn="1" w:lastColumn="0" w:noHBand="0" w:noVBand="1"/>
      </w:tblPr>
      <w:tblGrid>
        <w:gridCol w:w="2520"/>
        <w:gridCol w:w="1609"/>
        <w:gridCol w:w="2265"/>
        <w:gridCol w:w="3056"/>
      </w:tblGrid>
      <w:tr w:rsidR="00771328" w14:paraId="07513991" w14:textId="77777777" w:rsidTr="00771328">
        <w:trPr>
          <w:cnfStyle w:val="100000000000" w:firstRow="1" w:lastRow="0" w:firstColumn="0" w:lastColumn="0" w:oddVBand="0" w:evenVBand="0" w:oddHBand="0" w:evenHBand="0" w:firstRowFirstColumn="0" w:firstRowLastColumn="0" w:lastRowFirstColumn="0" w:lastRowLastColumn="0"/>
          <w:trHeight w:val="120"/>
          <w:tblHeader/>
        </w:trPr>
        <w:tc>
          <w:tcPr>
            <w:tcW w:w="2520" w:type="dxa"/>
            <w:hideMark/>
          </w:tcPr>
          <w:p w14:paraId="74136182" w14:textId="77777777" w:rsidR="00771328" w:rsidRDefault="00771328">
            <w:pPr>
              <w:pStyle w:val="TableHeaderLeft"/>
            </w:pPr>
            <w:r>
              <w:t> </w:t>
            </w:r>
          </w:p>
        </w:tc>
        <w:tc>
          <w:tcPr>
            <w:tcW w:w="1609" w:type="dxa"/>
            <w:hideMark/>
          </w:tcPr>
          <w:p w14:paraId="2690AE04" w14:textId="77777777" w:rsidR="00771328" w:rsidRDefault="00771328">
            <w:pPr>
              <w:pStyle w:val="TableHeaderCenter"/>
            </w:pPr>
            <w:r>
              <w:t>Mean Score</w:t>
            </w:r>
          </w:p>
        </w:tc>
        <w:tc>
          <w:tcPr>
            <w:tcW w:w="2265" w:type="dxa"/>
            <w:hideMark/>
          </w:tcPr>
          <w:p w14:paraId="1770979D" w14:textId="77777777" w:rsidR="00771328" w:rsidRDefault="00771328">
            <w:pPr>
              <w:pStyle w:val="TableHeaderCenter"/>
            </w:pPr>
            <w:r>
              <w:t>Number of facilities</w:t>
            </w:r>
          </w:p>
        </w:tc>
        <w:tc>
          <w:tcPr>
            <w:tcW w:w="3056" w:type="dxa"/>
            <w:hideMark/>
          </w:tcPr>
          <w:p w14:paraId="55751270" w14:textId="77777777" w:rsidR="00771328" w:rsidRDefault="00771328">
            <w:pPr>
              <w:pStyle w:val="TableHeaderCenter"/>
            </w:pPr>
            <w:r>
              <w:t>Number of encounters</w:t>
            </w:r>
          </w:p>
        </w:tc>
      </w:tr>
      <w:tr w:rsidR="00771328" w14:paraId="0078CBB6"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521A3236" w14:textId="77777777" w:rsidR="00771328" w:rsidRDefault="00771328">
            <w:pPr>
              <w:pStyle w:val="TableTextLeft"/>
            </w:pPr>
            <w:r>
              <w:t xml:space="preserve">Overall </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20526D8" w14:textId="77777777" w:rsidR="00771328" w:rsidRDefault="00771328">
            <w:pPr>
              <w:pStyle w:val="TableTextLeft"/>
            </w:pPr>
            <w:r>
              <w:t>90.3</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AB01585" w14:textId="77777777" w:rsidR="00771328" w:rsidRDefault="00771328">
            <w:pPr>
              <w:pStyle w:val="TableTextLeft"/>
            </w:pPr>
            <w:r>
              <w:t>28</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40365C1E" w14:textId="77777777" w:rsidR="00771328" w:rsidRDefault="00771328">
            <w:pPr>
              <w:pStyle w:val="TableTextLeft"/>
            </w:pPr>
            <w:r>
              <w:t>145,846</w:t>
            </w:r>
          </w:p>
        </w:tc>
      </w:tr>
      <w:tr w:rsidR="00771328" w14:paraId="1F7B206E"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352BAC4E" w14:textId="77777777" w:rsidR="00771328" w:rsidRDefault="00771328">
            <w:pPr>
              <w:pStyle w:val="TableTextLeft"/>
            </w:pPr>
            <w:r>
              <w:t>Minimum</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77E0619" w14:textId="77777777" w:rsidR="00771328" w:rsidRDefault="00771328">
            <w:pPr>
              <w:pStyle w:val="TableTextLeft"/>
            </w:pPr>
            <w:r>
              <w:t>83.7</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8BCE9A6" w14:textId="77777777" w:rsidR="00771328" w:rsidRDefault="00771328">
            <w:pPr>
              <w:pStyle w:val="TableTextLeft"/>
            </w:pPr>
            <w:r>
              <w:t>1</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325C7181" w14:textId="77777777" w:rsidR="00771328" w:rsidRDefault="00771328">
            <w:pPr>
              <w:pStyle w:val="TableTextLeft"/>
            </w:pPr>
            <w:r>
              <w:t>310</w:t>
            </w:r>
          </w:p>
        </w:tc>
      </w:tr>
      <w:tr w:rsidR="00771328" w14:paraId="593B48B3"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5197E923" w14:textId="77777777" w:rsidR="00771328" w:rsidRDefault="00771328">
            <w:pPr>
              <w:pStyle w:val="TableTextLeft"/>
            </w:pPr>
            <w:r>
              <w:t>Decile 1</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BD7C100" w14:textId="77777777" w:rsidR="00771328" w:rsidRDefault="00771328">
            <w:pPr>
              <w:pStyle w:val="TableTextLeft"/>
            </w:pPr>
            <w:r>
              <w:t>84.0</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F13FC4F"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2CC33E57" w14:textId="77777777" w:rsidR="00771328" w:rsidRDefault="00771328">
            <w:pPr>
              <w:pStyle w:val="TableTextLeft"/>
            </w:pPr>
            <w:r>
              <w:t>4,945</w:t>
            </w:r>
          </w:p>
        </w:tc>
      </w:tr>
      <w:tr w:rsidR="00771328" w14:paraId="21B8156E"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5260E49A" w14:textId="77777777" w:rsidR="00771328" w:rsidRDefault="00771328">
            <w:pPr>
              <w:pStyle w:val="TableTextLeft"/>
            </w:pPr>
            <w:r>
              <w:t>Decile 2</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A2EBF29" w14:textId="77777777" w:rsidR="00771328" w:rsidRDefault="00771328">
            <w:pPr>
              <w:pStyle w:val="TableTextLeft"/>
            </w:pPr>
            <w:r>
              <w:t>86.1</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E687238"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27F29E85" w14:textId="77777777" w:rsidR="00771328" w:rsidRDefault="00771328">
            <w:pPr>
              <w:pStyle w:val="TableTextLeft"/>
            </w:pPr>
            <w:r>
              <w:t>8,644</w:t>
            </w:r>
          </w:p>
        </w:tc>
      </w:tr>
      <w:tr w:rsidR="00771328" w14:paraId="0A21D0EA"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2E1AF0E2" w14:textId="77777777" w:rsidR="00771328" w:rsidRDefault="00771328">
            <w:pPr>
              <w:pStyle w:val="TableTextLeft"/>
            </w:pPr>
            <w:r>
              <w:t>Decile 3</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A97D25C" w14:textId="77777777" w:rsidR="00771328" w:rsidRDefault="00771328">
            <w:pPr>
              <w:pStyle w:val="TableTextLeft"/>
            </w:pPr>
            <w:r>
              <w:t>87.9</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D6DFF79"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4FEE7596" w14:textId="77777777" w:rsidR="00771328" w:rsidRDefault="00771328">
            <w:pPr>
              <w:pStyle w:val="TableTextLeft"/>
            </w:pPr>
            <w:r>
              <w:t>10,299</w:t>
            </w:r>
          </w:p>
        </w:tc>
      </w:tr>
      <w:tr w:rsidR="00771328" w14:paraId="7C8D7536"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4E58572E" w14:textId="77777777" w:rsidR="00771328" w:rsidRDefault="00771328">
            <w:pPr>
              <w:pStyle w:val="TableTextLeft"/>
            </w:pPr>
            <w:r>
              <w:t>Decile 4</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E156610" w14:textId="77777777" w:rsidR="00771328" w:rsidRDefault="00771328">
            <w:pPr>
              <w:pStyle w:val="TableTextLeft"/>
            </w:pPr>
            <w:r>
              <w:t>88.8</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5F9524D" w14:textId="77777777" w:rsidR="00771328" w:rsidRDefault="00771328">
            <w:pPr>
              <w:pStyle w:val="TableTextLeft"/>
            </w:pPr>
            <w:r>
              <w:t>2</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48D70952" w14:textId="77777777" w:rsidR="00771328" w:rsidRDefault="00771328">
            <w:pPr>
              <w:pStyle w:val="TableTextLeft"/>
            </w:pPr>
            <w:r>
              <w:t>5,724</w:t>
            </w:r>
          </w:p>
        </w:tc>
      </w:tr>
      <w:tr w:rsidR="00771328" w14:paraId="0D3E96BF"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59D6A46F" w14:textId="77777777" w:rsidR="00771328" w:rsidRDefault="00771328">
            <w:pPr>
              <w:pStyle w:val="TableTextLeft"/>
            </w:pPr>
            <w:r>
              <w:t>Decile 5</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A6F0E11" w14:textId="77777777" w:rsidR="00771328" w:rsidRDefault="00771328">
            <w:pPr>
              <w:pStyle w:val="TableTextLeft"/>
            </w:pPr>
            <w:r>
              <w:t>89.5</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17B708D"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6799AAE9" w14:textId="77777777" w:rsidR="00771328" w:rsidRDefault="00771328">
            <w:pPr>
              <w:pStyle w:val="TableTextLeft"/>
            </w:pPr>
            <w:r>
              <w:t>11,824</w:t>
            </w:r>
          </w:p>
        </w:tc>
      </w:tr>
      <w:tr w:rsidR="00771328" w14:paraId="4DF83C80"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3529D8A8" w14:textId="77777777" w:rsidR="00771328" w:rsidRDefault="00771328">
            <w:pPr>
              <w:pStyle w:val="TableTextLeft"/>
            </w:pPr>
            <w:r>
              <w:t>Decile 6</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1697282" w14:textId="77777777" w:rsidR="00771328" w:rsidRDefault="00771328">
            <w:pPr>
              <w:pStyle w:val="TableTextLeft"/>
            </w:pPr>
            <w:r>
              <w:t>90.5</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55AB805"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64528D01" w14:textId="77777777" w:rsidR="00771328" w:rsidRDefault="00771328">
            <w:pPr>
              <w:pStyle w:val="TableTextLeft"/>
            </w:pPr>
            <w:r>
              <w:t>33,921</w:t>
            </w:r>
          </w:p>
        </w:tc>
      </w:tr>
      <w:tr w:rsidR="00771328" w14:paraId="5D169A1A"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4735CBDF" w14:textId="77777777" w:rsidR="00771328" w:rsidRDefault="00771328">
            <w:pPr>
              <w:pStyle w:val="TableTextLeft"/>
            </w:pPr>
            <w:r>
              <w:t>Decile 7</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5DB0DE3" w14:textId="77777777" w:rsidR="00771328" w:rsidRDefault="00771328">
            <w:pPr>
              <w:pStyle w:val="TableTextLeft"/>
            </w:pPr>
            <w:r>
              <w:t>91.8</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FB0C289" w14:textId="77777777" w:rsidR="00771328" w:rsidRDefault="00771328">
            <w:pPr>
              <w:pStyle w:val="TableTextLeft"/>
            </w:pPr>
            <w:r>
              <w:t>2</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6B23F262" w14:textId="77777777" w:rsidR="00771328" w:rsidRDefault="00771328">
            <w:pPr>
              <w:pStyle w:val="TableTextLeft"/>
            </w:pPr>
            <w:r>
              <w:t>19,748</w:t>
            </w:r>
          </w:p>
        </w:tc>
      </w:tr>
      <w:tr w:rsidR="00771328" w14:paraId="247983B6"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4722C511" w14:textId="77777777" w:rsidR="00771328" w:rsidRDefault="00771328">
            <w:pPr>
              <w:pStyle w:val="TableTextLeft"/>
            </w:pPr>
            <w:r>
              <w:t>Decile 8</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BEEED0D" w14:textId="77777777" w:rsidR="00771328" w:rsidRDefault="00771328">
            <w:pPr>
              <w:pStyle w:val="TableTextLeft"/>
            </w:pPr>
            <w:r>
              <w:t>92.6</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808D753"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46396F8E" w14:textId="77777777" w:rsidR="00771328" w:rsidRDefault="00771328">
            <w:pPr>
              <w:pStyle w:val="TableTextLeft"/>
            </w:pPr>
            <w:r>
              <w:t>13,118</w:t>
            </w:r>
          </w:p>
        </w:tc>
      </w:tr>
      <w:tr w:rsidR="00771328" w14:paraId="53E031D5"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64BEB0E3" w14:textId="77777777" w:rsidR="00771328" w:rsidRDefault="00771328">
            <w:pPr>
              <w:pStyle w:val="TableTextLeft"/>
            </w:pPr>
            <w:r>
              <w:t>Decile 9</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294D128" w14:textId="77777777" w:rsidR="00771328" w:rsidRDefault="00771328">
            <w:pPr>
              <w:pStyle w:val="TableTextLeft"/>
            </w:pPr>
            <w:r>
              <w:t>94.2</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2289318"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099FD5F8" w14:textId="77777777" w:rsidR="00771328" w:rsidRDefault="00771328">
            <w:pPr>
              <w:pStyle w:val="TableTextLeft"/>
            </w:pPr>
            <w:r>
              <w:t>9,877</w:t>
            </w:r>
          </w:p>
        </w:tc>
      </w:tr>
      <w:tr w:rsidR="00771328" w14:paraId="373CAC13" w14:textId="77777777" w:rsidTr="00771328">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5AE48EB2" w14:textId="77777777" w:rsidR="00771328" w:rsidRDefault="00771328">
            <w:pPr>
              <w:pStyle w:val="TableTextLeft"/>
            </w:pPr>
            <w:r>
              <w:t>Decile 10</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D432619" w14:textId="77777777" w:rsidR="00771328" w:rsidRDefault="00771328">
            <w:pPr>
              <w:pStyle w:val="TableTextLeft"/>
            </w:pPr>
            <w:r>
              <w:t>98.0</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41941FB" w14:textId="77777777" w:rsidR="00771328" w:rsidRDefault="00771328">
            <w:pPr>
              <w:pStyle w:val="TableTextLeft"/>
            </w:pPr>
            <w:r>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38051D2A" w14:textId="77777777" w:rsidR="00771328" w:rsidRDefault="00771328">
            <w:pPr>
              <w:pStyle w:val="TableTextLeft"/>
            </w:pPr>
            <w:r>
              <w:t>27,746</w:t>
            </w:r>
          </w:p>
        </w:tc>
      </w:tr>
      <w:tr w:rsidR="00771328" w14:paraId="1B986FAE" w14:textId="77777777" w:rsidTr="00771328">
        <w:trPr>
          <w:trHeight w:val="120"/>
        </w:trPr>
        <w:tc>
          <w:tcPr>
            <w:tcW w:w="2520" w:type="dxa"/>
            <w:tcBorders>
              <w:top w:val="single" w:sz="4" w:space="0" w:color="196B24" w:themeColor="accent3"/>
              <w:left w:val="nil"/>
              <w:bottom w:val="single" w:sz="4" w:space="0" w:color="0E2841" w:themeColor="text2"/>
              <w:right w:val="single" w:sz="4" w:space="0" w:color="196B24" w:themeColor="accent3"/>
            </w:tcBorders>
            <w:hideMark/>
          </w:tcPr>
          <w:p w14:paraId="2DA22A3F" w14:textId="77777777" w:rsidR="00771328" w:rsidRDefault="00771328">
            <w:pPr>
              <w:pStyle w:val="TableTextLeft"/>
            </w:pPr>
            <w:r>
              <w:t>Maximum</w:t>
            </w:r>
          </w:p>
        </w:tc>
        <w:tc>
          <w:tcPr>
            <w:tcW w:w="1609"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413B8875" w14:textId="77777777" w:rsidR="00771328" w:rsidRDefault="00771328">
            <w:pPr>
              <w:pStyle w:val="TableTextLeft"/>
            </w:pPr>
            <w:r>
              <w:t>98.2</w:t>
            </w:r>
          </w:p>
        </w:tc>
        <w:tc>
          <w:tcPr>
            <w:tcW w:w="2265"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23EEB49E" w14:textId="77777777" w:rsidR="00771328" w:rsidRDefault="00771328">
            <w:pPr>
              <w:pStyle w:val="TableTextLeft"/>
            </w:pPr>
            <w:r>
              <w:t>1</w:t>
            </w:r>
          </w:p>
        </w:tc>
        <w:tc>
          <w:tcPr>
            <w:tcW w:w="3056" w:type="dxa"/>
            <w:tcBorders>
              <w:top w:val="single" w:sz="4" w:space="0" w:color="196B24" w:themeColor="accent3"/>
              <w:left w:val="single" w:sz="4" w:space="0" w:color="196B24" w:themeColor="accent3"/>
              <w:bottom w:val="single" w:sz="4" w:space="0" w:color="0E2841" w:themeColor="text2"/>
              <w:right w:val="nil"/>
            </w:tcBorders>
            <w:hideMark/>
          </w:tcPr>
          <w:p w14:paraId="1793C926" w14:textId="77777777" w:rsidR="00771328" w:rsidRDefault="00771328">
            <w:pPr>
              <w:pStyle w:val="TableTextLeft"/>
            </w:pPr>
            <w:r>
              <w:t>6,304</w:t>
            </w:r>
          </w:p>
        </w:tc>
      </w:tr>
    </w:tbl>
    <w:p w14:paraId="42011484" w14:textId="77777777" w:rsidR="00771328" w:rsidRDefault="00771328" w:rsidP="00771328">
      <w:pPr>
        <w:pStyle w:val="ExhibitSource"/>
        <w:tabs>
          <w:tab w:val="left" w:pos="540"/>
        </w:tabs>
        <w:ind w:left="540" w:hanging="540"/>
      </w:pPr>
      <w:r>
        <w:t>Source: Mathematica analysis of the test-site data provided by Avalere Health and the Academy of Nutrition and Dietetics (N=28 facilities)</w:t>
      </w:r>
    </w:p>
    <w:p w14:paraId="367A486A" w14:textId="77777777" w:rsidR="00771328" w:rsidRDefault="00771328" w:rsidP="00771328">
      <w:pPr>
        <w:pStyle w:val="FigureTitle"/>
        <w:rPr>
          <w:b/>
          <w:bCs/>
        </w:rPr>
      </w:pPr>
      <w:bookmarkStart w:id="2" w:name="_Toc163565293"/>
    </w:p>
    <w:p w14:paraId="59FE1D9B" w14:textId="558A520B" w:rsidR="00771328" w:rsidRDefault="00771328" w:rsidP="00771328">
      <w:pPr>
        <w:pStyle w:val="FigureTitle"/>
      </w:pPr>
      <w:r>
        <w:rPr>
          <w:b/>
          <w:bCs/>
        </w:rPr>
        <w:t>Figure VI.1.</w:t>
      </w:r>
      <w:r>
        <w:t xml:space="preserve"> Histogram of facilities’ GMCS measure scores</w:t>
      </w:r>
      <w:bookmarkEnd w:id="2"/>
    </w:p>
    <w:p w14:paraId="04C29E0D" w14:textId="0A59CABE" w:rsidR="00771328" w:rsidRDefault="00771328" w:rsidP="0077132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7D6162" wp14:editId="2E2F58D8">
            <wp:extent cx="3317359" cy="2292402"/>
            <wp:effectExtent l="0" t="0" r="0" b="0"/>
            <wp:docPr id="1879730139" name="Picture 1" descr="A graph of distribution of gm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30139" name="Picture 1" descr="A graph of distribution of gmc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0023" cy="2294243"/>
                    </a:xfrm>
                    <a:prstGeom prst="rect">
                      <a:avLst/>
                    </a:prstGeom>
                    <a:noFill/>
                    <a:ln>
                      <a:noFill/>
                    </a:ln>
                  </pic:spPr>
                </pic:pic>
              </a:graphicData>
            </a:graphic>
          </wp:inline>
        </w:drawing>
      </w:r>
    </w:p>
    <w:p w14:paraId="39360AED" w14:textId="77777777" w:rsidR="00771328" w:rsidRDefault="00771328" w:rsidP="00771328">
      <w:pPr>
        <w:pStyle w:val="ExhibitSource"/>
        <w:tabs>
          <w:tab w:val="left" w:pos="540"/>
        </w:tabs>
        <w:ind w:left="540" w:hanging="540"/>
      </w:pPr>
      <w:r>
        <w:lastRenderedPageBreak/>
        <w:t>Source: Mathematica analysis of the test-site data provided by Avalere Health and the Academy of Nutrition and Dietetics (N=28 facilities)</w:t>
      </w:r>
    </w:p>
    <w:p w14:paraId="694DF465" w14:textId="77777777" w:rsidR="00771328" w:rsidRDefault="00771328" w:rsidP="00771328">
      <w:pPr>
        <w:pStyle w:val="ExhibitSource"/>
        <w:tabs>
          <w:tab w:val="left" w:pos="540"/>
        </w:tabs>
        <w:ind w:left="540" w:hanging="540"/>
      </w:pPr>
    </w:p>
    <w:p w14:paraId="6EA5BFC6" w14:textId="77777777" w:rsidR="00771328" w:rsidRDefault="00771328" w:rsidP="00771328">
      <w:pPr>
        <w:pStyle w:val="Paragraph"/>
      </w:pPr>
      <w:r>
        <w:t>We anticipate that the measure scores in our sample are skewed towards high performance as the facilities whose data was used for testing had been participating in the Malnutrition Quality-Improvement Initiative (MQii) initiative, which resulted in the improved malnutrition care workflow and the hospital's malnutrition diagnosis rate.</w:t>
      </w:r>
    </w:p>
    <w:p w14:paraId="67BAFD26" w14:textId="77777777" w:rsidR="00771328" w:rsidRDefault="00771328" w:rsidP="00771328">
      <w:pPr>
        <w:pStyle w:val="Paragraph"/>
        <w:rPr>
          <w:rFonts w:ascii="Segoe UI" w:hAnsi="Segoe UI" w:cs="Segoe UI"/>
          <w:color w:val="0D0D0D" w:themeColor="text1" w:themeTint="F2"/>
        </w:rPr>
      </w:pPr>
      <w:r>
        <w:t xml:space="preserve">We expect that the distribution of measure scores in the universe of eligible facilities that are yet to integrate quality improvement into nutrition care will be skewed towards low to moderate performance. For example, </w:t>
      </w:r>
      <w:r>
        <w:rPr>
          <w:rFonts w:ascii="Segoe UI" w:hAnsi="Segoe UI" w:cs="Segoe UI"/>
          <w:color w:val="0D0D0D"/>
          <w:shd w:val="clear" w:color="auto" w:fill="FFFFFF"/>
        </w:rPr>
        <w:t>in 2016, the University of Iowa hospital and clinics initiated a pilot program aimed at enhancing the workflow for malnutrition care and streamlining the process of evaluating inpatients, emphasizing improved communication and precise malnutrition assessment within their EHR. Prior to implementing the pilot, the institution estimated that malnutrition was diagnosed in less than 10% of inpatients. During the 4-month pilot period, malnutrition was identified in 42% of patients within these units, indicating a significant improvement compared to the previous diagnosis rate (Bechtold et al., 2023).</w:t>
      </w:r>
    </w:p>
    <w:p w14:paraId="0B8E7C24" w14:textId="77777777" w:rsidR="00771328" w:rsidRDefault="00771328" w:rsidP="00771328">
      <w:pPr>
        <w:pStyle w:val="H2"/>
        <w:numPr>
          <w:ilvl w:val="0"/>
          <w:numId w:val="1"/>
        </w:numPr>
      </w:pPr>
      <w:bookmarkStart w:id="3" w:name="_Toc163565259"/>
      <w:r>
        <w:t>Topped out analysis</w:t>
      </w:r>
      <w:bookmarkEnd w:id="3"/>
    </w:p>
    <w:p w14:paraId="743D22AE" w14:textId="77777777" w:rsidR="00771328" w:rsidRDefault="00771328" w:rsidP="00771328">
      <w:pPr>
        <w:pStyle w:val="Paragraph"/>
      </w:pPr>
      <w:r>
        <w:t>Given the generally high scores on the GMCS observed in our sample, we assessed whether the GMCS would be considered “topped out”. According to the Centers for Medicare &amp; Medicaid Services (CMS), a measure is considered topped out when it has reached a plateau in performance, where further improvements are unlikely or minimal. In other words, it means that most providers have achieved high levels of performance, leaving little room for further improvement or differentiation between providers based on those measures.</w:t>
      </w:r>
    </w:p>
    <w:p w14:paraId="04E4BF2E" w14:textId="77777777" w:rsidR="00771328" w:rsidRDefault="00771328" w:rsidP="00771328">
      <w:pPr>
        <w:pStyle w:val="Paragraph"/>
      </w:pPr>
      <w:r>
        <w:t xml:space="preserve">While the topped-out analysis is not required for the MUC submission, this information can help the measure steward respond to possible questions about the distribution of the measure scores in the sample used for testing.  </w:t>
      </w:r>
    </w:p>
    <w:p w14:paraId="5686ED2D" w14:textId="77777777" w:rsidR="00771328" w:rsidRDefault="00771328" w:rsidP="00771328">
      <w:pPr>
        <w:pStyle w:val="H3"/>
        <w:numPr>
          <w:ilvl w:val="0"/>
          <w:numId w:val="2"/>
        </w:numPr>
      </w:pPr>
      <w:r>
        <w:t>Methods</w:t>
      </w:r>
    </w:p>
    <w:p w14:paraId="1145AA4C" w14:textId="77777777" w:rsidR="00771328" w:rsidRDefault="00771328" w:rsidP="00771328">
      <w:pPr>
        <w:pStyle w:val="Paragraph"/>
      </w:pPr>
      <w:r>
        <w:t xml:space="preserve">Intermediate outcome measures, such as the GMCS, are considered topped out if two criteria are met (CMS, 2014). </w:t>
      </w:r>
    </w:p>
    <w:p w14:paraId="38A2DC02" w14:textId="1D3DE89F" w:rsidR="00771328" w:rsidRDefault="00771328" w:rsidP="00771328">
      <w:pPr>
        <w:pStyle w:val="Paragraph"/>
      </w:pPr>
      <w:r>
        <w:t>First, the truncated coefficient of variation (TCV)—a measure of relative variability of the scores in the sample—must be less than or equal to 0.1 or 10%. The TCV is calculated as the standard deviation divided by the mean of a truncated distribution of the measure scores, where facilities scoring in the top and bottom 5th percentiles of the measure have been removed from the data. A small TCV suggests that the distribution of individual measure scores is clustered tightly around the mean value, suggesting that it is not useful to draw distinctions between measure scores.</w:t>
      </w:r>
    </w:p>
    <w:p w14:paraId="5ADF0D9E" w14:textId="312B89CB" w:rsidR="00771328" w:rsidRDefault="00771328" w:rsidP="00771328">
      <w:pPr>
        <w:pStyle w:val="Paragraph"/>
      </w:pPr>
      <w:r>
        <w:t>Second, the 75th and 90th percentiles of the measure must be statistically indistinguishable from one another. More specifically, the difference between the 75th and 90th percentiles must be less than or equal to twice the standard error (SE) of the 90th percentile. The SE of the 90th percentile can be computed using two approaches, as described below.</w:t>
      </w:r>
    </w:p>
    <w:p w14:paraId="3A1A5EE2" w14:textId="77777777" w:rsidR="00771328" w:rsidRDefault="00771328" w:rsidP="00771328">
      <w:pPr>
        <w:pStyle w:val="Paragraph"/>
      </w:pPr>
      <w:r>
        <w:t>Criterion 1:</w:t>
      </w:r>
    </w:p>
    <w:p w14:paraId="20B6E0F1" w14:textId="0D877491" w:rsidR="00771328" w:rsidRDefault="00771328" w:rsidP="00771328">
      <w:pPr>
        <w:pStyle w:val="Paragraph"/>
        <w:numPr>
          <w:ilvl w:val="0"/>
          <w:numId w:val="3"/>
        </w:numPr>
        <w:spacing w:after="0"/>
      </w:pPr>
      <w:r>
        <w:t xml:space="preserve">Remove the facilities with GMCS measure scores in the lower and upper 5th percentiles of the overall </w:t>
      </w:r>
      <w:r>
        <w:lastRenderedPageBreak/>
        <w:t xml:space="preserve">distribution of the measure scores. The purpose of this step is to remove the outliers that might disproportionately </w:t>
      </w:r>
      <w:proofErr w:type="gramStart"/>
      <w:r>
        <w:t>affecting</w:t>
      </w:r>
      <w:proofErr w:type="gramEnd"/>
      <w:r>
        <w:t xml:space="preserve"> the distribution of the measure scores.  </w:t>
      </w:r>
    </w:p>
    <w:p w14:paraId="22E0330D" w14:textId="77777777" w:rsidR="00771328" w:rsidRDefault="00771328" w:rsidP="00771328">
      <w:pPr>
        <w:pStyle w:val="Paragraph"/>
        <w:numPr>
          <w:ilvl w:val="0"/>
          <w:numId w:val="3"/>
        </w:numPr>
        <w:spacing w:after="0"/>
      </w:pPr>
      <w:r>
        <w:t>Compute the mean and standard deviation in the truncated sample.</w:t>
      </w:r>
    </w:p>
    <w:p w14:paraId="0E1347BA" w14:textId="77777777" w:rsidR="00771328" w:rsidRDefault="00771328" w:rsidP="00771328">
      <w:pPr>
        <w:pStyle w:val="Paragraph"/>
        <w:numPr>
          <w:ilvl w:val="0"/>
          <w:numId w:val="3"/>
        </w:numPr>
        <w:spacing w:after="0"/>
      </w:pPr>
      <w:r>
        <w:t xml:space="preserve">Compute the truncated coefficient of variation by dividing the standard deviation by the mean obtained in step c). </w:t>
      </w:r>
    </w:p>
    <w:p w14:paraId="14B3616C" w14:textId="77777777" w:rsidR="00771328" w:rsidRDefault="00771328" w:rsidP="00771328">
      <w:pPr>
        <w:pStyle w:val="Paragraph"/>
        <w:spacing w:after="0"/>
        <w:ind w:left="720"/>
      </w:pPr>
    </w:p>
    <w:p w14:paraId="0A6DFE15" w14:textId="5E8EB5D7" w:rsidR="00771328" w:rsidRDefault="00771328" w:rsidP="00771328">
      <w:pPr>
        <w:pStyle w:val="Paragraph"/>
      </w:pPr>
      <w:r>
        <w:t>Criterion 2:</w:t>
      </w:r>
    </w:p>
    <w:p w14:paraId="38B92EB1" w14:textId="77777777" w:rsidR="00771328" w:rsidRDefault="00771328" w:rsidP="00771328">
      <w:pPr>
        <w:pStyle w:val="Paragraph"/>
        <w:numPr>
          <w:ilvl w:val="0"/>
          <w:numId w:val="5"/>
        </w:numPr>
        <w:spacing w:after="0"/>
      </w:pPr>
      <w:r>
        <w:t>Create a bootstrap sample of the encounter-level data by randomly sampling encounters with replacement within each facility, keeping the original sample size within each facility.</w:t>
      </w:r>
    </w:p>
    <w:p w14:paraId="33410595" w14:textId="77777777" w:rsidR="00771328" w:rsidRDefault="00771328" w:rsidP="00771328">
      <w:pPr>
        <w:pStyle w:val="Paragraph"/>
        <w:numPr>
          <w:ilvl w:val="0"/>
          <w:numId w:val="5"/>
        </w:numPr>
        <w:spacing w:after="0"/>
      </w:pPr>
      <w:r>
        <w:t>Using the bootstrap sample from step a), calculate the GMCS measure score for each facility and record the 90th percentile of the measure scores within this sample.</w:t>
      </w:r>
    </w:p>
    <w:p w14:paraId="607FF154" w14:textId="77777777" w:rsidR="00771328" w:rsidRDefault="00771328" w:rsidP="00771328">
      <w:pPr>
        <w:pStyle w:val="Paragraph"/>
        <w:numPr>
          <w:ilvl w:val="0"/>
          <w:numId w:val="5"/>
        </w:numPr>
        <w:spacing w:after="0"/>
      </w:pPr>
      <w:r>
        <w:t>Repeat steps a) and b) 1000 times, resulting in 1000 values of the 90th percentile of the GMCS measure scores.</w:t>
      </w:r>
    </w:p>
    <w:p w14:paraId="275A194E" w14:textId="77777777" w:rsidR="00771328" w:rsidRDefault="00771328" w:rsidP="00771328">
      <w:pPr>
        <w:pStyle w:val="Paragraph"/>
        <w:numPr>
          <w:ilvl w:val="0"/>
          <w:numId w:val="5"/>
        </w:numPr>
        <w:spacing w:after="0"/>
      </w:pPr>
      <w:r>
        <w:t xml:space="preserve">Calculate the standard deviation of the 1000 values from step c). </w:t>
      </w:r>
    </w:p>
    <w:p w14:paraId="46898D7E" w14:textId="77777777" w:rsidR="00771328" w:rsidRDefault="00771328" w:rsidP="00771328">
      <w:pPr>
        <w:pStyle w:val="Paragraph"/>
        <w:ind w:left="720"/>
      </w:pPr>
    </w:p>
    <w:p w14:paraId="2605F18B" w14:textId="77777777" w:rsidR="00771328" w:rsidRDefault="00771328" w:rsidP="00771328">
      <w:pPr>
        <w:pStyle w:val="H3"/>
        <w:numPr>
          <w:ilvl w:val="0"/>
          <w:numId w:val="2"/>
        </w:numPr>
      </w:pPr>
      <w:r>
        <w:t>Results</w:t>
      </w:r>
    </w:p>
    <w:p w14:paraId="7EF58F9F" w14:textId="23E2F32A" w:rsidR="00771328" w:rsidRDefault="00771328" w:rsidP="00771328">
      <w:pPr>
        <w:pStyle w:val="Paragraph"/>
      </w:pPr>
      <w:r>
        <w:t xml:space="preserve">Table VI.3 presents the results of the topped-out analysis. It is important to stress that despite the generally narrow performance gap in the overall sample, the GMCS measure may have wider performance gaps within subsets of populations. Furthermore, it is important to keep in mind that </w:t>
      </w:r>
      <w:r>
        <w:rPr>
          <w:rFonts w:ascii="Segoe UI" w:hAnsi="Segoe UI" w:cs="Segoe UI"/>
          <w:color w:val="0D0D0D"/>
          <w:shd w:val="clear" w:color="auto" w:fill="FFFFFF"/>
        </w:rPr>
        <w:t>GMCS measure consists of four distinct components. While Measure Observation (MO) 1 may indeed be topped out, affecting the overall measure status, the remaining components—MO2, MO3, and MO4—display notable variations, suggesting substantial potential for enhancement.</w:t>
      </w:r>
    </w:p>
    <w:p w14:paraId="73EE649B" w14:textId="04FAA27E" w:rsidR="00771328" w:rsidRDefault="00771328" w:rsidP="00771328">
      <w:pPr>
        <w:pStyle w:val="TableTitle"/>
      </w:pPr>
      <w:bookmarkStart w:id="4" w:name="_Toc163565282"/>
      <w:r>
        <w:rPr>
          <w:b/>
          <w:bCs/>
        </w:rPr>
        <w:t>Table VI.3.</w:t>
      </w:r>
      <w:r>
        <w:t xml:space="preserve"> Results of topped-out analysis of the GMCS </w:t>
      </w:r>
      <w:bookmarkEnd w:id="4"/>
    </w:p>
    <w:tbl>
      <w:tblPr>
        <w:tblStyle w:val="BaseTable"/>
        <w:tblW w:w="9490" w:type="dxa"/>
        <w:tblInd w:w="0" w:type="dxa"/>
        <w:tblLook w:val="04A0" w:firstRow="1" w:lastRow="0" w:firstColumn="1" w:lastColumn="0" w:noHBand="0" w:noVBand="1"/>
      </w:tblPr>
      <w:tblGrid>
        <w:gridCol w:w="841"/>
        <w:gridCol w:w="484"/>
        <w:gridCol w:w="554"/>
        <w:gridCol w:w="1489"/>
        <w:gridCol w:w="501"/>
        <w:gridCol w:w="798"/>
        <w:gridCol w:w="885"/>
        <w:gridCol w:w="1423"/>
        <w:gridCol w:w="1058"/>
        <w:gridCol w:w="1457"/>
      </w:tblGrid>
      <w:tr w:rsidR="00771328" w14:paraId="79127230" w14:textId="77777777" w:rsidTr="00771328">
        <w:trPr>
          <w:cnfStyle w:val="100000000000" w:firstRow="1" w:lastRow="0" w:firstColumn="0" w:lastColumn="0" w:oddVBand="0" w:evenVBand="0" w:oddHBand="0" w:evenHBand="0" w:firstRowFirstColumn="0" w:firstRowLastColumn="0" w:lastRowFirstColumn="0" w:lastRowLastColumn="0"/>
          <w:trHeight w:val="117"/>
          <w:tblHeader/>
        </w:trPr>
        <w:tc>
          <w:tcPr>
            <w:tcW w:w="841" w:type="dxa"/>
            <w:vMerge w:val="restart"/>
            <w:tcBorders>
              <w:bottom w:val="single" w:sz="4" w:space="0" w:color="0E2841" w:themeColor="text2"/>
            </w:tcBorders>
            <w:hideMark/>
          </w:tcPr>
          <w:p w14:paraId="1B9690B0" w14:textId="77777777" w:rsidR="00771328" w:rsidRDefault="00771328">
            <w:pPr>
              <w:pStyle w:val="TableHeaderLeft"/>
            </w:pPr>
            <w:r>
              <w:t>Measure</w:t>
            </w:r>
          </w:p>
        </w:tc>
        <w:tc>
          <w:tcPr>
            <w:tcW w:w="2527" w:type="dxa"/>
            <w:gridSpan w:val="3"/>
            <w:tcBorders>
              <w:bottom w:val="single" w:sz="4" w:space="0" w:color="FFFFFF"/>
            </w:tcBorders>
            <w:hideMark/>
          </w:tcPr>
          <w:p w14:paraId="7A396582" w14:textId="77777777" w:rsidR="00771328" w:rsidRDefault="00771328">
            <w:pPr>
              <w:pStyle w:val="TableHeaderCenter"/>
            </w:pPr>
            <w:r>
              <w:t>Criterion 1</w:t>
            </w:r>
          </w:p>
        </w:tc>
        <w:tc>
          <w:tcPr>
            <w:tcW w:w="6122" w:type="dxa"/>
            <w:gridSpan w:val="6"/>
            <w:tcBorders>
              <w:bottom w:val="single" w:sz="4" w:space="0" w:color="FFFFFF"/>
            </w:tcBorders>
            <w:hideMark/>
          </w:tcPr>
          <w:p w14:paraId="06F82790" w14:textId="77777777" w:rsidR="00771328" w:rsidRDefault="00771328">
            <w:pPr>
              <w:pStyle w:val="TableHeaderCenter"/>
            </w:pPr>
            <w:r>
              <w:t>Criterion 2</w:t>
            </w:r>
          </w:p>
        </w:tc>
      </w:tr>
      <w:tr w:rsidR="00771328" w14:paraId="520340D9" w14:textId="77777777" w:rsidTr="00771328">
        <w:trPr>
          <w:cnfStyle w:val="100000000000" w:firstRow="1" w:lastRow="0" w:firstColumn="0" w:lastColumn="0" w:oddVBand="0" w:evenVBand="0" w:oddHBand="0" w:evenHBand="0" w:firstRowFirstColumn="0" w:firstRowLastColumn="0" w:lastRowFirstColumn="0" w:lastRowLastColumn="0"/>
          <w:trHeight w:val="117"/>
          <w:tblHeader/>
        </w:trPr>
        <w:tc>
          <w:tcPr>
            <w:tcW w:w="0" w:type="auto"/>
            <w:vMerge/>
            <w:vAlign w:val="center"/>
            <w:hideMark/>
          </w:tcPr>
          <w:p w14:paraId="53B38217" w14:textId="77777777" w:rsidR="00771328" w:rsidRDefault="00771328">
            <w:pPr>
              <w:spacing w:before="0" w:after="0" w:line="240" w:lineRule="auto"/>
              <w:rPr>
                <w:sz w:val="18"/>
              </w:rPr>
            </w:pPr>
          </w:p>
        </w:tc>
        <w:tc>
          <w:tcPr>
            <w:tcW w:w="484" w:type="dxa"/>
            <w:tcBorders>
              <w:top w:val="single" w:sz="4" w:space="0" w:color="FFFFFF"/>
            </w:tcBorders>
            <w:hideMark/>
          </w:tcPr>
          <w:p w14:paraId="28928080" w14:textId="77777777" w:rsidR="00771328" w:rsidRDefault="00771328">
            <w:pPr>
              <w:pStyle w:val="TableHeaderCenter"/>
            </w:pPr>
            <w:r>
              <w:t xml:space="preserve">N </w:t>
            </w:r>
          </w:p>
        </w:tc>
        <w:tc>
          <w:tcPr>
            <w:tcW w:w="554" w:type="dxa"/>
            <w:tcBorders>
              <w:top w:val="single" w:sz="4" w:space="0" w:color="FFFFFF"/>
            </w:tcBorders>
            <w:hideMark/>
          </w:tcPr>
          <w:p w14:paraId="175887AB" w14:textId="77777777" w:rsidR="00771328" w:rsidRDefault="00771328">
            <w:pPr>
              <w:pStyle w:val="TableHeaderCenter"/>
            </w:pPr>
            <w:r>
              <w:t>TCV</w:t>
            </w:r>
          </w:p>
        </w:tc>
        <w:tc>
          <w:tcPr>
            <w:tcW w:w="1489" w:type="dxa"/>
            <w:tcBorders>
              <w:top w:val="single" w:sz="4" w:space="0" w:color="FFFFFF"/>
            </w:tcBorders>
            <w:hideMark/>
          </w:tcPr>
          <w:p w14:paraId="3A596471" w14:textId="77777777" w:rsidR="00771328" w:rsidRDefault="00771328">
            <w:pPr>
              <w:pStyle w:val="TableHeaderCenter"/>
            </w:pPr>
            <w:r>
              <w:t xml:space="preserve">Topped out based on Criterion 1? </w:t>
            </w:r>
          </w:p>
        </w:tc>
        <w:tc>
          <w:tcPr>
            <w:tcW w:w="501" w:type="dxa"/>
            <w:tcBorders>
              <w:top w:val="single" w:sz="4" w:space="0" w:color="FFFFFF"/>
            </w:tcBorders>
            <w:hideMark/>
          </w:tcPr>
          <w:p w14:paraId="126F1B2B" w14:textId="77777777" w:rsidR="00771328" w:rsidRDefault="00771328">
            <w:pPr>
              <w:pStyle w:val="TableHeaderCenter"/>
            </w:pPr>
            <w:r>
              <w:t>N</w:t>
            </w:r>
          </w:p>
        </w:tc>
        <w:tc>
          <w:tcPr>
            <w:tcW w:w="798" w:type="dxa"/>
            <w:tcBorders>
              <w:top w:val="single" w:sz="4" w:space="0" w:color="FFFFFF"/>
            </w:tcBorders>
            <w:hideMark/>
          </w:tcPr>
          <w:p w14:paraId="4B720B79" w14:textId="77777777" w:rsidR="00771328" w:rsidRDefault="00771328">
            <w:pPr>
              <w:pStyle w:val="TableHeaderCenter"/>
            </w:pPr>
            <w:r>
              <w:t xml:space="preserve">75th </w:t>
            </w:r>
            <w:proofErr w:type="spellStart"/>
            <w:r>
              <w:t>pctl</w:t>
            </w:r>
            <w:proofErr w:type="spellEnd"/>
            <w:r>
              <w:t>.</w:t>
            </w:r>
          </w:p>
        </w:tc>
        <w:tc>
          <w:tcPr>
            <w:tcW w:w="885" w:type="dxa"/>
            <w:tcBorders>
              <w:top w:val="single" w:sz="4" w:space="0" w:color="FFFFFF"/>
            </w:tcBorders>
            <w:hideMark/>
          </w:tcPr>
          <w:p w14:paraId="712F0C67" w14:textId="77777777" w:rsidR="00771328" w:rsidRDefault="00771328">
            <w:pPr>
              <w:pStyle w:val="TableHeaderCenter"/>
            </w:pPr>
            <w:r>
              <w:t xml:space="preserve">90th </w:t>
            </w:r>
            <w:proofErr w:type="spellStart"/>
            <w:r>
              <w:t>pctl</w:t>
            </w:r>
            <w:proofErr w:type="spellEnd"/>
            <w:r>
              <w:t>.</w:t>
            </w:r>
          </w:p>
        </w:tc>
        <w:tc>
          <w:tcPr>
            <w:tcW w:w="1423" w:type="dxa"/>
            <w:tcBorders>
              <w:top w:val="single" w:sz="4" w:space="0" w:color="FFFFFF"/>
            </w:tcBorders>
            <w:hideMark/>
          </w:tcPr>
          <w:p w14:paraId="34FBB764" w14:textId="77777777" w:rsidR="00771328" w:rsidRDefault="00771328">
            <w:pPr>
              <w:pStyle w:val="TableHeaderCenter"/>
            </w:pPr>
            <w:r>
              <w:t xml:space="preserve">Difference between 90th and 75th </w:t>
            </w:r>
            <w:proofErr w:type="spellStart"/>
            <w:r>
              <w:t>pctl</w:t>
            </w:r>
            <w:proofErr w:type="spellEnd"/>
            <w:r>
              <w:t>.</w:t>
            </w:r>
          </w:p>
        </w:tc>
        <w:tc>
          <w:tcPr>
            <w:tcW w:w="1058" w:type="dxa"/>
            <w:tcBorders>
              <w:top w:val="single" w:sz="4" w:space="0" w:color="FFFFFF"/>
            </w:tcBorders>
            <w:hideMark/>
          </w:tcPr>
          <w:p w14:paraId="37B7476D" w14:textId="77777777" w:rsidR="00771328" w:rsidRDefault="00771328">
            <w:pPr>
              <w:pStyle w:val="TableHeaderCenter"/>
            </w:pPr>
            <w:r>
              <w:t xml:space="preserve">2 X SE for 90th </w:t>
            </w:r>
            <w:proofErr w:type="spellStart"/>
            <w:r>
              <w:t>pctl</w:t>
            </w:r>
            <w:proofErr w:type="spellEnd"/>
            <w:r>
              <w:t>.</w:t>
            </w:r>
          </w:p>
        </w:tc>
        <w:tc>
          <w:tcPr>
            <w:tcW w:w="1457" w:type="dxa"/>
            <w:tcBorders>
              <w:top w:val="single" w:sz="4" w:space="0" w:color="FFFFFF"/>
            </w:tcBorders>
            <w:hideMark/>
          </w:tcPr>
          <w:p w14:paraId="0D3C011C" w14:textId="77777777" w:rsidR="00771328" w:rsidRDefault="00771328">
            <w:pPr>
              <w:pStyle w:val="TableHeaderCenter"/>
            </w:pPr>
            <w:r>
              <w:t>Topped out based on Criterion 2?</w:t>
            </w:r>
          </w:p>
        </w:tc>
      </w:tr>
      <w:tr w:rsidR="00771328" w14:paraId="2974B76F" w14:textId="77777777" w:rsidTr="00771328">
        <w:trPr>
          <w:trHeight w:val="117"/>
        </w:trPr>
        <w:tc>
          <w:tcPr>
            <w:tcW w:w="841" w:type="dxa"/>
            <w:tcBorders>
              <w:top w:val="single" w:sz="4" w:space="0" w:color="196B24" w:themeColor="accent3"/>
              <w:left w:val="nil"/>
              <w:bottom w:val="single" w:sz="4" w:space="0" w:color="0E2841" w:themeColor="text2"/>
              <w:right w:val="single" w:sz="4" w:space="0" w:color="196B24" w:themeColor="accent3"/>
            </w:tcBorders>
            <w:hideMark/>
          </w:tcPr>
          <w:p w14:paraId="61DBAF14" w14:textId="77777777" w:rsidR="00771328" w:rsidRDefault="00771328">
            <w:pPr>
              <w:pStyle w:val="TableTextLeft"/>
            </w:pPr>
            <w:r>
              <w:t>GMCS</w:t>
            </w:r>
          </w:p>
        </w:tc>
        <w:tc>
          <w:tcPr>
            <w:tcW w:w="484"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43D881D5" w14:textId="77777777" w:rsidR="00771328" w:rsidRDefault="00771328">
            <w:pPr>
              <w:pStyle w:val="TableTextLeft"/>
            </w:pPr>
            <w:r>
              <w:t>24*</w:t>
            </w:r>
          </w:p>
        </w:tc>
        <w:tc>
          <w:tcPr>
            <w:tcW w:w="554"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63F9B3F9" w14:textId="77777777" w:rsidR="00771328" w:rsidRDefault="00771328">
            <w:pPr>
              <w:pStyle w:val="TableTextLeft"/>
            </w:pPr>
            <w:r>
              <w:t>0.04</w:t>
            </w:r>
          </w:p>
        </w:tc>
        <w:tc>
          <w:tcPr>
            <w:tcW w:w="1489"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7D7A515D" w14:textId="77777777" w:rsidR="00771328" w:rsidRDefault="00771328">
            <w:pPr>
              <w:pStyle w:val="TableTextLeft"/>
            </w:pPr>
            <w:r>
              <w:t>Yes (TCV ≤ 0.1)</w:t>
            </w:r>
          </w:p>
        </w:tc>
        <w:tc>
          <w:tcPr>
            <w:tcW w:w="501"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58904AEE" w14:textId="77777777" w:rsidR="00771328" w:rsidRDefault="00771328">
            <w:pPr>
              <w:pStyle w:val="TableTextLeft"/>
            </w:pPr>
            <w:r>
              <w:t>28</w:t>
            </w:r>
          </w:p>
        </w:tc>
        <w:tc>
          <w:tcPr>
            <w:tcW w:w="798"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329766E7" w14:textId="77777777" w:rsidR="00771328" w:rsidRDefault="00771328">
            <w:pPr>
              <w:pStyle w:val="TableTextLeft"/>
            </w:pPr>
            <w:r>
              <w:t>92.6</w:t>
            </w:r>
          </w:p>
        </w:tc>
        <w:tc>
          <w:tcPr>
            <w:tcW w:w="885"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7553689B" w14:textId="77777777" w:rsidR="00771328" w:rsidRDefault="00771328">
            <w:pPr>
              <w:pStyle w:val="TableTextLeft"/>
            </w:pPr>
            <w:r>
              <w:t>96.0</w:t>
            </w:r>
          </w:p>
        </w:tc>
        <w:tc>
          <w:tcPr>
            <w:tcW w:w="1423"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1BE10775" w14:textId="77777777" w:rsidR="00771328" w:rsidRDefault="00771328">
            <w:pPr>
              <w:pStyle w:val="TableTextLeft"/>
            </w:pPr>
            <w:r>
              <w:t>3.4</w:t>
            </w:r>
          </w:p>
        </w:tc>
        <w:tc>
          <w:tcPr>
            <w:tcW w:w="1058"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22E7E4CE" w14:textId="77777777" w:rsidR="00771328" w:rsidRDefault="00771328">
            <w:pPr>
              <w:pStyle w:val="TableTextLeft"/>
            </w:pPr>
            <w:r>
              <w:t>0.4</w:t>
            </w:r>
          </w:p>
        </w:tc>
        <w:tc>
          <w:tcPr>
            <w:tcW w:w="1457" w:type="dxa"/>
            <w:tcBorders>
              <w:top w:val="single" w:sz="4" w:space="0" w:color="196B24" w:themeColor="accent3"/>
              <w:left w:val="single" w:sz="4" w:space="0" w:color="196B24" w:themeColor="accent3"/>
              <w:bottom w:val="single" w:sz="4" w:space="0" w:color="0E2841" w:themeColor="text2"/>
              <w:right w:val="nil"/>
            </w:tcBorders>
            <w:hideMark/>
          </w:tcPr>
          <w:p w14:paraId="35416962" w14:textId="77777777" w:rsidR="00771328" w:rsidRDefault="00771328">
            <w:pPr>
              <w:pStyle w:val="TableTextLeft"/>
            </w:pPr>
            <w:r>
              <w:t>No (3.4 &gt; 0.4)</w:t>
            </w:r>
          </w:p>
        </w:tc>
      </w:tr>
    </w:tbl>
    <w:p w14:paraId="7DADE733" w14:textId="77777777" w:rsidR="00771328" w:rsidRDefault="00771328" w:rsidP="00771328">
      <w:pPr>
        <w:pStyle w:val="ExhibitSource"/>
        <w:tabs>
          <w:tab w:val="left" w:pos="540"/>
        </w:tabs>
      </w:pPr>
      <w:r>
        <w:t>Source: Mathematica analysis of the test-site data provided by Avalere Health and the Academy of Nutrition and Dietetics (N=28 facilities)</w:t>
      </w:r>
    </w:p>
    <w:p w14:paraId="138B937B" w14:textId="77777777" w:rsidR="00771328" w:rsidRDefault="00771328" w:rsidP="00771328">
      <w:pPr>
        <w:pStyle w:val="ExhibitSource"/>
        <w:tabs>
          <w:tab w:val="left" w:pos="540"/>
        </w:tabs>
        <w:ind w:left="540" w:hanging="540"/>
      </w:pPr>
      <w:r>
        <w:t>*Note: Under the TCV approach, facilities with GMCS scores &lt;=5th percentile and &gt;=95th percentile are excluded from calculations (N=4)</w:t>
      </w:r>
    </w:p>
    <w:p w14:paraId="6CA58436" w14:textId="77777777" w:rsidR="00771328" w:rsidRDefault="00771328" w:rsidP="00771328">
      <w:pPr>
        <w:pStyle w:val="H2"/>
        <w:numPr>
          <w:ilvl w:val="0"/>
          <w:numId w:val="4"/>
        </w:numPr>
      </w:pPr>
      <w:bookmarkStart w:id="5" w:name="_Toc163565260"/>
      <w:r>
        <w:t>Performance categorization</w:t>
      </w:r>
      <w:bookmarkEnd w:id="5"/>
    </w:p>
    <w:p w14:paraId="24CE041B" w14:textId="77777777" w:rsidR="00771328" w:rsidRDefault="00771328" w:rsidP="00771328">
      <w:pPr>
        <w:pStyle w:val="Paragraph"/>
      </w:pPr>
      <w:r>
        <w:t>To further demonstrate performance gaps in the GMCS, we categorized each facility according to whether their performance on the GMCS is better, worse, or no different from average performance.</w:t>
      </w:r>
    </w:p>
    <w:p w14:paraId="0E803649" w14:textId="77777777" w:rsidR="00771328" w:rsidRDefault="00771328" w:rsidP="00771328">
      <w:pPr>
        <w:pStyle w:val="H3"/>
        <w:numPr>
          <w:ilvl w:val="0"/>
          <w:numId w:val="6"/>
        </w:numPr>
      </w:pPr>
      <w:r>
        <w:t>Methods</w:t>
      </w:r>
    </w:p>
    <w:p w14:paraId="67AF4404" w14:textId="77777777" w:rsidR="00771328" w:rsidRDefault="00771328" w:rsidP="00771328">
      <w:pPr>
        <w:autoSpaceDE w:val="0"/>
        <w:autoSpaceDN w:val="0"/>
        <w:adjustRightInd w:val="0"/>
        <w:spacing w:after="0" w:line="240" w:lineRule="auto"/>
      </w:pPr>
      <w:r>
        <w:t xml:space="preserve">First, we computed a 95% confidence interval (C.I.) around each facility’s GMCS measure score as: </w:t>
      </w:r>
    </w:p>
    <w:p w14:paraId="49D141D1" w14:textId="77777777" w:rsidR="00771328" w:rsidRDefault="00771328" w:rsidP="00771328">
      <w:pPr>
        <w:autoSpaceDE w:val="0"/>
        <w:autoSpaceDN w:val="0"/>
        <w:adjustRightInd w:val="0"/>
        <w:spacing w:after="0" w:line="240" w:lineRule="auto"/>
        <w:rPr>
          <w:rFonts w:ascii="Times New Roman" w:hAnsi="Times New Roman" w:cs="Times New Roman"/>
          <w:color w:val="000000"/>
          <w:sz w:val="22"/>
        </w:rPr>
      </w:pPr>
    </w:p>
    <w:p w14:paraId="7BD6CC22" w14:textId="77777777" w:rsidR="00771328" w:rsidRDefault="00771328" w:rsidP="00771328">
      <w:pPr>
        <w:autoSpaceDE w:val="0"/>
        <w:autoSpaceDN w:val="0"/>
        <w:adjustRightInd w:val="0"/>
        <w:spacing w:after="0" w:line="240" w:lineRule="auto"/>
        <w:jc w:val="center"/>
        <w:rPr>
          <w:rFonts w:ascii="Times New Roman" w:hAnsi="Times New Roman" w:cs="Times New Roman"/>
          <w:color w:val="000000"/>
          <w:sz w:val="22"/>
        </w:rPr>
      </w:pPr>
      <w:r>
        <w:t>95% C.I. for a facility GMCS score</w:t>
      </w:r>
      <w:r>
        <w:rPr>
          <w:rFonts w:ascii="Times New Roman" w:hAnsi="Times New Roman" w:cs="Times New Roman"/>
          <w:i/>
          <w:iCs/>
          <w:color w:val="000000"/>
          <w:sz w:val="22"/>
        </w:rPr>
        <w:t xml:space="preserve"> =</w:t>
      </w:r>
      <m:oMath>
        <m:r>
          <w:rPr>
            <w:rFonts w:ascii="Cambria Math" w:hAnsi="Cambria Math" w:cs="Times New Roman"/>
            <w:color w:val="000000"/>
            <w:sz w:val="22"/>
          </w:rPr>
          <m:t xml:space="preserve"> p±1.96</m:t>
        </m:r>
        <m:rad>
          <m:radPr>
            <m:degHide m:val="1"/>
            <m:ctrlPr>
              <w:rPr>
                <w:rFonts w:ascii="Cambria Math" w:hAnsi="Cambria Math" w:cs="Times New Roman"/>
                <w:i/>
                <w:iCs/>
                <w:color w:val="000000"/>
                <w:sz w:val="22"/>
              </w:rPr>
            </m:ctrlPr>
          </m:radPr>
          <m:deg/>
          <m:e>
            <m:f>
              <m:fPr>
                <m:ctrlPr>
                  <w:rPr>
                    <w:rFonts w:ascii="Cambria Math" w:hAnsi="Cambria Math" w:cs="Times New Roman"/>
                    <w:i/>
                    <w:iCs/>
                    <w:color w:val="000000"/>
                    <w:sz w:val="22"/>
                  </w:rPr>
                </m:ctrlPr>
              </m:fPr>
              <m:num>
                <m:sSup>
                  <m:sSupPr>
                    <m:ctrlPr>
                      <w:rPr>
                        <w:rFonts w:ascii="Cambria Math" w:hAnsi="Cambria Math" w:cs="Times New Roman"/>
                        <w:i/>
                        <w:iCs/>
                        <w:color w:val="000000"/>
                        <w:sz w:val="22"/>
                      </w:rPr>
                    </m:ctrlPr>
                  </m:sSupPr>
                  <m:e>
                    <m:r>
                      <w:rPr>
                        <w:rFonts w:ascii="Cambria Math" w:hAnsi="Cambria Math" w:cs="Times New Roman"/>
                        <w:color w:val="000000"/>
                        <w:sz w:val="22"/>
                      </w:rPr>
                      <m:t>σ</m:t>
                    </m:r>
                  </m:e>
                  <m:sup>
                    <m:r>
                      <w:rPr>
                        <w:rFonts w:ascii="Cambria Math" w:hAnsi="Cambria Math" w:cs="Times New Roman"/>
                        <w:color w:val="000000"/>
                        <w:sz w:val="22"/>
                      </w:rPr>
                      <m:t>2</m:t>
                    </m:r>
                  </m:sup>
                </m:sSup>
              </m:num>
              <m:den>
                <m:r>
                  <w:rPr>
                    <w:rFonts w:ascii="Cambria Math" w:hAnsi="Cambria Math" w:cs="Times New Roman"/>
                    <w:color w:val="000000"/>
                    <w:sz w:val="22"/>
                  </w:rPr>
                  <m:t>n-1</m:t>
                </m:r>
              </m:den>
            </m:f>
          </m:e>
        </m:rad>
      </m:oMath>
    </w:p>
    <w:p w14:paraId="7A62330D" w14:textId="77777777" w:rsidR="00771328" w:rsidRDefault="00771328" w:rsidP="00771328">
      <w:pPr>
        <w:autoSpaceDE w:val="0"/>
        <w:autoSpaceDN w:val="0"/>
        <w:adjustRightInd w:val="0"/>
        <w:spacing w:after="0" w:line="240" w:lineRule="auto"/>
        <w:rPr>
          <w:rFonts w:ascii="Times New Roman" w:hAnsi="Times New Roman" w:cs="Times New Roman"/>
          <w:color w:val="000000"/>
          <w:sz w:val="22"/>
        </w:rPr>
      </w:pPr>
    </w:p>
    <w:p w14:paraId="244D7FEC" w14:textId="77777777" w:rsidR="00771328" w:rsidRDefault="00771328" w:rsidP="00771328">
      <w:pPr>
        <w:autoSpaceDE w:val="0"/>
        <w:autoSpaceDN w:val="0"/>
        <w:adjustRightInd w:val="0"/>
        <w:spacing w:after="0" w:line="240" w:lineRule="auto"/>
      </w:pPr>
      <w:r>
        <w:t xml:space="preserve">where </w:t>
      </w:r>
      <w:r>
        <w:rPr>
          <w:i/>
        </w:rPr>
        <w:t>p</w:t>
      </w:r>
      <w:r>
        <w:t xml:space="preserve"> is a GMCS score, </w:t>
      </w:r>
      <w:r>
        <w:rPr>
          <w:i/>
        </w:rPr>
        <w:t>σ</w:t>
      </w:r>
      <w:r>
        <w:t xml:space="preserve"> is the standard deviation of Measure Observation 6 scores for a given facility, and </w:t>
      </w:r>
      <w:r>
        <w:rPr>
          <w:i/>
        </w:rPr>
        <w:t>n</w:t>
      </w:r>
      <w:r>
        <w:t xml:space="preserve"> is the number of encounters in that facility. </w:t>
      </w:r>
    </w:p>
    <w:p w14:paraId="4C31407F" w14:textId="77777777" w:rsidR="00771328" w:rsidRDefault="00771328" w:rsidP="00771328">
      <w:pPr>
        <w:autoSpaceDE w:val="0"/>
        <w:autoSpaceDN w:val="0"/>
        <w:adjustRightInd w:val="0"/>
        <w:spacing w:after="0" w:line="240" w:lineRule="auto"/>
      </w:pPr>
    </w:p>
    <w:p w14:paraId="18843815" w14:textId="77777777" w:rsidR="00771328" w:rsidRDefault="00771328" w:rsidP="00771328">
      <w:pPr>
        <w:pStyle w:val="Paragraph"/>
      </w:pPr>
      <w:r>
        <w:t xml:space="preserve">Next, we determined whether the 95% C.I. for each facility’s GMCS score included the mean GMCS score in our sample (90.3%; the score corresponding to the performance of an average facility) and assigned each facility to one of three performance categories: facilities that perform better (C.I. lies above the mean), worse (C.I. lies below the mean), or no different from an average facility (C.I. contains the mean) in our sample. </w:t>
      </w:r>
    </w:p>
    <w:p w14:paraId="23683F58" w14:textId="77777777" w:rsidR="00771328" w:rsidRDefault="00771328" w:rsidP="00771328">
      <w:pPr>
        <w:pStyle w:val="H3"/>
        <w:numPr>
          <w:ilvl w:val="0"/>
          <w:numId w:val="6"/>
        </w:numPr>
      </w:pPr>
      <w:r>
        <w:t>Results</w:t>
      </w:r>
    </w:p>
    <w:p w14:paraId="7152D1E8" w14:textId="77777777" w:rsidR="00771328" w:rsidRDefault="00771328" w:rsidP="00771328">
      <w:pPr>
        <w:pStyle w:val="Paragraph"/>
      </w:pPr>
      <w:r>
        <w:t xml:space="preserve">Table VI.4 shows the performance categories for facilities based on the GMCS measure. A total of 12 facilities (42.9%) performed “Better than average,” 6 facilities (21.4%) performed “No different than average,” and the remaining 10 facilities (35.7%) performed “Worse than average.” These findings suggest that despite a relatively narrow performance gap, there is room for quality improvement even among our sample of high-performing hospitals, as 16 (57.1%) of facilities performed either worse than or not significantly different from the average facility in the data. </w:t>
      </w:r>
    </w:p>
    <w:p w14:paraId="114BA14D" w14:textId="77777777" w:rsidR="00771328" w:rsidRDefault="00771328" w:rsidP="00771328">
      <w:pPr>
        <w:pStyle w:val="TableTitle"/>
      </w:pPr>
      <w:bookmarkStart w:id="6" w:name="_Toc163565283"/>
      <w:r>
        <w:rPr>
          <w:b/>
          <w:bCs/>
        </w:rPr>
        <w:t>Table VI.4.</w:t>
      </w:r>
      <w:r>
        <w:t xml:space="preserve"> Breakdown of facility performance categories</w:t>
      </w:r>
      <w:bookmarkEnd w:id="6"/>
    </w:p>
    <w:tbl>
      <w:tblPr>
        <w:tblStyle w:val="BaseTable"/>
        <w:tblW w:w="0" w:type="auto"/>
        <w:tblInd w:w="0" w:type="dxa"/>
        <w:tblLook w:val="04A0" w:firstRow="1" w:lastRow="0" w:firstColumn="1" w:lastColumn="0" w:noHBand="0" w:noVBand="1"/>
      </w:tblPr>
      <w:tblGrid>
        <w:gridCol w:w="4758"/>
        <w:gridCol w:w="2439"/>
        <w:gridCol w:w="2163"/>
      </w:tblGrid>
      <w:tr w:rsidR="00771328" w14:paraId="2C9FB16F" w14:textId="77777777" w:rsidTr="00771328">
        <w:trPr>
          <w:cnfStyle w:val="100000000000" w:firstRow="1" w:lastRow="0" w:firstColumn="0" w:lastColumn="0" w:oddVBand="0" w:evenVBand="0" w:oddHBand="0" w:evenHBand="0" w:firstRowFirstColumn="0" w:firstRowLastColumn="0" w:lastRowFirstColumn="0" w:lastRowLastColumn="0"/>
          <w:trHeight w:val="120"/>
          <w:tblHeader/>
        </w:trPr>
        <w:tc>
          <w:tcPr>
            <w:tcW w:w="4758" w:type="dxa"/>
            <w:hideMark/>
          </w:tcPr>
          <w:p w14:paraId="1D77CFBB" w14:textId="77777777" w:rsidR="00771328" w:rsidRDefault="00771328">
            <w:pPr>
              <w:pStyle w:val="TableHeaderLeft"/>
            </w:pPr>
            <w:r>
              <w:t>Performance group</w:t>
            </w:r>
          </w:p>
        </w:tc>
        <w:tc>
          <w:tcPr>
            <w:tcW w:w="2439" w:type="dxa"/>
            <w:hideMark/>
          </w:tcPr>
          <w:p w14:paraId="1868FAB9" w14:textId="77777777" w:rsidR="00771328" w:rsidRDefault="00771328">
            <w:pPr>
              <w:pStyle w:val="TableHeaderCenter"/>
            </w:pPr>
            <w:r>
              <w:t>Number of facilities</w:t>
            </w:r>
          </w:p>
        </w:tc>
        <w:tc>
          <w:tcPr>
            <w:tcW w:w="2163" w:type="dxa"/>
            <w:hideMark/>
          </w:tcPr>
          <w:p w14:paraId="0E67511E" w14:textId="77777777" w:rsidR="00771328" w:rsidRDefault="00771328">
            <w:pPr>
              <w:pStyle w:val="TableHeaderCenter"/>
            </w:pPr>
            <w:r>
              <w:t>Percent of facilities</w:t>
            </w:r>
          </w:p>
        </w:tc>
      </w:tr>
      <w:tr w:rsidR="00771328" w14:paraId="212FCC01" w14:textId="77777777" w:rsidTr="00771328">
        <w:trPr>
          <w:trHeight w:val="120"/>
        </w:trPr>
        <w:tc>
          <w:tcPr>
            <w:tcW w:w="4758" w:type="dxa"/>
            <w:tcBorders>
              <w:top w:val="single" w:sz="4" w:space="0" w:color="196B24" w:themeColor="accent3"/>
              <w:left w:val="nil"/>
              <w:bottom w:val="single" w:sz="4" w:space="0" w:color="196B24" w:themeColor="accent3"/>
              <w:right w:val="single" w:sz="4" w:space="0" w:color="196B24" w:themeColor="accent3"/>
            </w:tcBorders>
            <w:hideMark/>
          </w:tcPr>
          <w:p w14:paraId="0566B862" w14:textId="77777777" w:rsidR="00771328" w:rsidRDefault="00771328">
            <w:pPr>
              <w:pStyle w:val="TableTextLeft"/>
            </w:pPr>
            <w:r>
              <w:t>Better than average</w:t>
            </w:r>
          </w:p>
        </w:tc>
        <w:tc>
          <w:tcPr>
            <w:tcW w:w="24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0BC3EE6" w14:textId="77777777" w:rsidR="00771328" w:rsidRDefault="00771328">
            <w:pPr>
              <w:pStyle w:val="TableTextLeft"/>
            </w:pPr>
            <w:r>
              <w:t>12</w:t>
            </w:r>
          </w:p>
        </w:tc>
        <w:tc>
          <w:tcPr>
            <w:tcW w:w="2163" w:type="dxa"/>
            <w:tcBorders>
              <w:top w:val="single" w:sz="4" w:space="0" w:color="196B24" w:themeColor="accent3"/>
              <w:left w:val="single" w:sz="4" w:space="0" w:color="196B24" w:themeColor="accent3"/>
              <w:bottom w:val="single" w:sz="4" w:space="0" w:color="196B24" w:themeColor="accent3"/>
              <w:right w:val="nil"/>
            </w:tcBorders>
            <w:hideMark/>
          </w:tcPr>
          <w:p w14:paraId="60C5D957" w14:textId="77777777" w:rsidR="00771328" w:rsidRDefault="00771328">
            <w:pPr>
              <w:pStyle w:val="TableTextLeft"/>
            </w:pPr>
            <w:r>
              <w:t>42.9</w:t>
            </w:r>
          </w:p>
        </w:tc>
      </w:tr>
      <w:tr w:rsidR="00771328" w14:paraId="24BB5514" w14:textId="77777777" w:rsidTr="00771328">
        <w:trPr>
          <w:trHeight w:val="120"/>
        </w:trPr>
        <w:tc>
          <w:tcPr>
            <w:tcW w:w="4758" w:type="dxa"/>
            <w:tcBorders>
              <w:top w:val="single" w:sz="4" w:space="0" w:color="196B24" w:themeColor="accent3"/>
              <w:left w:val="nil"/>
              <w:bottom w:val="single" w:sz="4" w:space="0" w:color="196B24" w:themeColor="accent3"/>
              <w:right w:val="single" w:sz="4" w:space="0" w:color="196B24" w:themeColor="accent3"/>
            </w:tcBorders>
            <w:hideMark/>
          </w:tcPr>
          <w:p w14:paraId="41B1FD55" w14:textId="77777777" w:rsidR="00771328" w:rsidRDefault="00771328">
            <w:pPr>
              <w:pStyle w:val="TableTextLeft"/>
            </w:pPr>
            <w:r>
              <w:t>Not significantly different from the average</w:t>
            </w:r>
          </w:p>
        </w:tc>
        <w:tc>
          <w:tcPr>
            <w:tcW w:w="24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4507DD8" w14:textId="77777777" w:rsidR="00771328" w:rsidRDefault="00771328">
            <w:pPr>
              <w:pStyle w:val="TableTextLeft"/>
            </w:pPr>
            <w:r>
              <w:t>6</w:t>
            </w:r>
          </w:p>
        </w:tc>
        <w:tc>
          <w:tcPr>
            <w:tcW w:w="2163" w:type="dxa"/>
            <w:tcBorders>
              <w:top w:val="single" w:sz="4" w:space="0" w:color="196B24" w:themeColor="accent3"/>
              <w:left w:val="single" w:sz="4" w:space="0" w:color="196B24" w:themeColor="accent3"/>
              <w:bottom w:val="single" w:sz="4" w:space="0" w:color="196B24" w:themeColor="accent3"/>
              <w:right w:val="nil"/>
            </w:tcBorders>
            <w:hideMark/>
          </w:tcPr>
          <w:p w14:paraId="7EF8AABF" w14:textId="77777777" w:rsidR="00771328" w:rsidRDefault="00771328">
            <w:pPr>
              <w:pStyle w:val="TableTextLeft"/>
            </w:pPr>
            <w:r>
              <w:t>21.4</w:t>
            </w:r>
          </w:p>
        </w:tc>
      </w:tr>
      <w:tr w:rsidR="00771328" w14:paraId="55063D5A" w14:textId="77777777" w:rsidTr="00771328">
        <w:trPr>
          <w:trHeight w:val="120"/>
        </w:trPr>
        <w:tc>
          <w:tcPr>
            <w:tcW w:w="4758" w:type="dxa"/>
            <w:tcBorders>
              <w:top w:val="single" w:sz="4" w:space="0" w:color="196B24" w:themeColor="accent3"/>
              <w:left w:val="nil"/>
              <w:bottom w:val="single" w:sz="4" w:space="0" w:color="196B24" w:themeColor="accent3"/>
              <w:right w:val="single" w:sz="4" w:space="0" w:color="196B24" w:themeColor="accent3"/>
            </w:tcBorders>
            <w:hideMark/>
          </w:tcPr>
          <w:p w14:paraId="41BBA520" w14:textId="77777777" w:rsidR="00771328" w:rsidRDefault="00771328">
            <w:pPr>
              <w:pStyle w:val="TableTextLeft"/>
            </w:pPr>
            <w:r>
              <w:t>Worse than average</w:t>
            </w:r>
          </w:p>
        </w:tc>
        <w:tc>
          <w:tcPr>
            <w:tcW w:w="24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6BA93B1" w14:textId="77777777" w:rsidR="00771328" w:rsidRDefault="00771328">
            <w:pPr>
              <w:pStyle w:val="TableTextLeft"/>
            </w:pPr>
            <w:r>
              <w:t>10</w:t>
            </w:r>
          </w:p>
        </w:tc>
        <w:tc>
          <w:tcPr>
            <w:tcW w:w="2163" w:type="dxa"/>
            <w:tcBorders>
              <w:top w:val="single" w:sz="4" w:space="0" w:color="196B24" w:themeColor="accent3"/>
              <w:left w:val="single" w:sz="4" w:space="0" w:color="196B24" w:themeColor="accent3"/>
              <w:bottom w:val="single" w:sz="4" w:space="0" w:color="196B24" w:themeColor="accent3"/>
              <w:right w:val="nil"/>
            </w:tcBorders>
            <w:hideMark/>
          </w:tcPr>
          <w:p w14:paraId="4EC0C9B0" w14:textId="77777777" w:rsidR="00771328" w:rsidRDefault="00771328">
            <w:pPr>
              <w:pStyle w:val="TableTextLeft"/>
            </w:pPr>
            <w:r>
              <w:t>35.7</w:t>
            </w:r>
          </w:p>
        </w:tc>
      </w:tr>
      <w:tr w:rsidR="00771328" w14:paraId="742563E4" w14:textId="77777777" w:rsidTr="00771328">
        <w:trPr>
          <w:trHeight w:val="120"/>
        </w:trPr>
        <w:tc>
          <w:tcPr>
            <w:tcW w:w="4758" w:type="dxa"/>
            <w:tcBorders>
              <w:top w:val="single" w:sz="4" w:space="0" w:color="196B24" w:themeColor="accent3"/>
              <w:left w:val="nil"/>
              <w:bottom w:val="single" w:sz="4" w:space="0" w:color="0E2841" w:themeColor="text2"/>
              <w:right w:val="single" w:sz="4" w:space="0" w:color="196B24" w:themeColor="accent3"/>
            </w:tcBorders>
            <w:hideMark/>
          </w:tcPr>
          <w:p w14:paraId="6B6C8C6B" w14:textId="77777777" w:rsidR="00771328" w:rsidRDefault="00771328">
            <w:pPr>
              <w:pStyle w:val="TableTextLeft"/>
            </w:pPr>
            <w:r>
              <w:t>Total</w:t>
            </w:r>
          </w:p>
        </w:tc>
        <w:tc>
          <w:tcPr>
            <w:tcW w:w="2439"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3E53E633" w14:textId="77777777" w:rsidR="00771328" w:rsidRDefault="00771328">
            <w:pPr>
              <w:pStyle w:val="TableTextLeft"/>
            </w:pPr>
            <w:r>
              <w:t>28</w:t>
            </w:r>
          </w:p>
        </w:tc>
        <w:tc>
          <w:tcPr>
            <w:tcW w:w="2163" w:type="dxa"/>
            <w:tcBorders>
              <w:top w:val="single" w:sz="4" w:space="0" w:color="196B24" w:themeColor="accent3"/>
              <w:left w:val="single" w:sz="4" w:space="0" w:color="196B24" w:themeColor="accent3"/>
              <w:bottom w:val="single" w:sz="4" w:space="0" w:color="0E2841" w:themeColor="text2"/>
              <w:right w:val="nil"/>
            </w:tcBorders>
            <w:hideMark/>
          </w:tcPr>
          <w:p w14:paraId="33B2F9C9" w14:textId="77777777" w:rsidR="00771328" w:rsidRDefault="00771328">
            <w:pPr>
              <w:pStyle w:val="TableTextLeft"/>
            </w:pPr>
            <w:r>
              <w:t>100</w:t>
            </w:r>
          </w:p>
        </w:tc>
      </w:tr>
    </w:tbl>
    <w:p w14:paraId="597613CB" w14:textId="294BA1C9" w:rsidR="00771328" w:rsidRDefault="00771328" w:rsidP="00771328">
      <w:pPr>
        <w:pStyle w:val="ExhibitSource"/>
        <w:tabs>
          <w:tab w:val="left" w:pos="540"/>
        </w:tabs>
        <w:ind w:left="540" w:hanging="540"/>
      </w:pPr>
      <w:r>
        <w:t>Source: Mathematica analysis of the test-site data provided by Avalere Health and the Academy of Nutrition and Dietetics (N=28 facilities)</w:t>
      </w:r>
    </w:p>
    <w:p w14:paraId="2D40A4E1" w14:textId="77777777" w:rsidR="00364A0B" w:rsidRDefault="00364A0B"/>
    <w:p w14:paraId="532100A0" w14:textId="35040AB9" w:rsidR="00937091" w:rsidRDefault="00937091">
      <w:r>
        <w:t>References</w:t>
      </w:r>
    </w:p>
    <w:p w14:paraId="0EC48F33" w14:textId="1E6ECC66" w:rsidR="00937091" w:rsidRDefault="00937091">
      <w:r>
        <w:rPr>
          <w:rFonts w:ascii="Arial" w:hAnsi="Arial" w:cs="Arial"/>
          <w:color w:val="222222"/>
          <w:szCs w:val="20"/>
          <w:shd w:val="clear" w:color="auto" w:fill="FFFFFF"/>
        </w:rPr>
        <w:t xml:space="preserve">Bechtold, Matthew L., et al. "Impact of </w:t>
      </w:r>
      <w:proofErr w:type="gramStart"/>
      <w:r>
        <w:rPr>
          <w:rFonts w:ascii="Arial" w:hAnsi="Arial" w:cs="Arial"/>
          <w:color w:val="222222"/>
          <w:szCs w:val="20"/>
          <w:shd w:val="clear" w:color="auto" w:fill="FFFFFF"/>
        </w:rPr>
        <w:t>a nutrition</w:t>
      </w:r>
      <w:proofErr w:type="gramEnd"/>
      <w:r>
        <w:rPr>
          <w:rFonts w:ascii="Arial" w:hAnsi="Arial" w:cs="Arial"/>
          <w:color w:val="222222"/>
          <w:szCs w:val="20"/>
          <w:shd w:val="clear" w:color="auto" w:fill="FFFFFF"/>
        </w:rPr>
        <w:t xml:space="preserve"> support therapy on hospital</w:t>
      </w:r>
      <w:r>
        <w:rPr>
          <w:rFonts w:ascii="Cambria Math" w:hAnsi="Cambria Math" w:cs="Cambria Math"/>
          <w:color w:val="222222"/>
          <w:szCs w:val="20"/>
          <w:shd w:val="clear" w:color="auto" w:fill="FFFFFF"/>
        </w:rPr>
        <w:t>‐</w:t>
      </w:r>
      <w:r>
        <w:rPr>
          <w:rFonts w:ascii="Arial" w:hAnsi="Arial" w:cs="Arial"/>
          <w:color w:val="222222"/>
          <w:szCs w:val="20"/>
          <w:shd w:val="clear" w:color="auto" w:fill="FFFFFF"/>
        </w:rPr>
        <w:t>acquired infections: a value analysis." </w:t>
      </w:r>
      <w:r>
        <w:rPr>
          <w:rFonts w:ascii="Arial" w:hAnsi="Arial" w:cs="Arial"/>
          <w:i/>
          <w:iCs/>
          <w:color w:val="222222"/>
          <w:szCs w:val="20"/>
          <w:shd w:val="clear" w:color="auto" w:fill="FFFFFF"/>
        </w:rPr>
        <w:t>Nutrition in Clinical Practice</w:t>
      </w:r>
      <w:r>
        <w:rPr>
          <w:rFonts w:ascii="Arial" w:hAnsi="Arial" w:cs="Arial"/>
          <w:color w:val="222222"/>
          <w:szCs w:val="20"/>
          <w:shd w:val="clear" w:color="auto" w:fill="FFFFFF"/>
        </w:rPr>
        <w:t> 36.5 (2021): 1034-1040.</w:t>
      </w:r>
    </w:p>
    <w:sectPr w:rsidR="0093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8D5"/>
    <w:multiLevelType w:val="hybridMultilevel"/>
    <w:tmpl w:val="CEE249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2AB60FD"/>
    <w:multiLevelType w:val="hybridMultilevel"/>
    <w:tmpl w:val="1BC6C7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981E46"/>
    <w:multiLevelType w:val="hybridMultilevel"/>
    <w:tmpl w:val="306ADE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027E61"/>
    <w:multiLevelType w:val="hybridMultilevel"/>
    <w:tmpl w:val="A3B0415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39B5C11"/>
    <w:multiLevelType w:val="hybridMultilevel"/>
    <w:tmpl w:val="F244E50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C4E7E2D"/>
    <w:multiLevelType w:val="hybridMultilevel"/>
    <w:tmpl w:val="6172BB0A"/>
    <w:lvl w:ilvl="0" w:tplc="BE6842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922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7827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399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51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027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399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28"/>
    <w:rsid w:val="001C63CD"/>
    <w:rsid w:val="00364A0B"/>
    <w:rsid w:val="00771328"/>
    <w:rsid w:val="00937091"/>
    <w:rsid w:val="00B70343"/>
    <w:rsid w:val="00BC20F5"/>
    <w:rsid w:val="00C9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213B"/>
  <w15:chartTrackingRefBased/>
  <w15:docId w15:val="{B53FAE95-27FE-43FE-9AD7-C7D162AB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28"/>
    <w:pPr>
      <w:spacing w:after="180" w:line="300" w:lineRule="atLeast"/>
    </w:pPr>
    <w:rPr>
      <w:kern w:val="0"/>
      <w:sz w:val="20"/>
      <w14:ligatures w14:val="none"/>
    </w:rPr>
  </w:style>
  <w:style w:type="paragraph" w:styleId="Heading1">
    <w:name w:val="heading 1"/>
    <w:basedOn w:val="Normal"/>
    <w:next w:val="Normal"/>
    <w:link w:val="Heading1Char"/>
    <w:uiPriority w:val="9"/>
    <w:qFormat/>
    <w:rsid w:val="00771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328"/>
    <w:rPr>
      <w:rFonts w:eastAsiaTheme="majorEastAsia" w:cstheme="majorBidi"/>
      <w:color w:val="272727" w:themeColor="text1" w:themeTint="D8"/>
    </w:rPr>
  </w:style>
  <w:style w:type="paragraph" w:styleId="Title">
    <w:name w:val="Title"/>
    <w:basedOn w:val="Normal"/>
    <w:next w:val="Normal"/>
    <w:link w:val="TitleChar"/>
    <w:uiPriority w:val="10"/>
    <w:qFormat/>
    <w:rsid w:val="00771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328"/>
    <w:pPr>
      <w:spacing w:before="160"/>
      <w:jc w:val="center"/>
    </w:pPr>
    <w:rPr>
      <w:i/>
      <w:iCs/>
      <w:color w:val="404040" w:themeColor="text1" w:themeTint="BF"/>
    </w:rPr>
  </w:style>
  <w:style w:type="character" w:customStyle="1" w:styleId="QuoteChar">
    <w:name w:val="Quote Char"/>
    <w:basedOn w:val="DefaultParagraphFont"/>
    <w:link w:val="Quote"/>
    <w:uiPriority w:val="29"/>
    <w:rsid w:val="00771328"/>
    <w:rPr>
      <w:i/>
      <w:iCs/>
      <w:color w:val="404040" w:themeColor="text1" w:themeTint="BF"/>
    </w:rPr>
  </w:style>
  <w:style w:type="paragraph" w:styleId="ListParagraph">
    <w:name w:val="List Paragraph"/>
    <w:basedOn w:val="Normal"/>
    <w:uiPriority w:val="34"/>
    <w:qFormat/>
    <w:rsid w:val="00771328"/>
    <w:pPr>
      <w:ind w:left="720"/>
      <w:contextualSpacing/>
    </w:pPr>
  </w:style>
  <w:style w:type="character" w:styleId="IntenseEmphasis">
    <w:name w:val="Intense Emphasis"/>
    <w:basedOn w:val="DefaultParagraphFont"/>
    <w:uiPriority w:val="21"/>
    <w:qFormat/>
    <w:rsid w:val="00771328"/>
    <w:rPr>
      <w:i/>
      <w:iCs/>
      <w:color w:val="0F4761" w:themeColor="accent1" w:themeShade="BF"/>
    </w:rPr>
  </w:style>
  <w:style w:type="paragraph" w:styleId="IntenseQuote">
    <w:name w:val="Intense Quote"/>
    <w:basedOn w:val="Normal"/>
    <w:next w:val="Normal"/>
    <w:link w:val="IntenseQuoteChar"/>
    <w:uiPriority w:val="30"/>
    <w:qFormat/>
    <w:rsid w:val="00771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328"/>
    <w:rPr>
      <w:i/>
      <w:iCs/>
      <w:color w:val="0F4761" w:themeColor="accent1" w:themeShade="BF"/>
    </w:rPr>
  </w:style>
  <w:style w:type="character" w:styleId="IntenseReference">
    <w:name w:val="Intense Reference"/>
    <w:basedOn w:val="DefaultParagraphFont"/>
    <w:uiPriority w:val="32"/>
    <w:qFormat/>
    <w:rsid w:val="00771328"/>
    <w:rPr>
      <w:b/>
      <w:bCs/>
      <w:smallCaps/>
      <w:color w:val="0F4761" w:themeColor="accent1" w:themeShade="BF"/>
      <w:spacing w:val="5"/>
    </w:rPr>
  </w:style>
  <w:style w:type="paragraph" w:customStyle="1" w:styleId="TableTextLeft">
    <w:name w:val="Table Text Left"/>
    <w:semiHidden/>
    <w:rsid w:val="00771328"/>
    <w:pPr>
      <w:spacing w:before="40" w:after="20" w:line="240" w:lineRule="atLeast"/>
    </w:pPr>
    <w:rPr>
      <w:rFonts w:asciiTheme="majorHAnsi" w:hAnsiTheme="majorHAnsi"/>
      <w:color w:val="000000" w:themeColor="text1"/>
      <w:kern w:val="0"/>
      <w:sz w:val="18"/>
      <w14:ligatures w14:val="none"/>
    </w:rPr>
  </w:style>
  <w:style w:type="character" w:customStyle="1" w:styleId="ParagraphChar">
    <w:name w:val="Paragraph Char"/>
    <w:basedOn w:val="DefaultParagraphFont"/>
    <w:link w:val="Paragraph"/>
    <w:locked/>
    <w:rsid w:val="00771328"/>
    <w:rPr>
      <w:sz w:val="20"/>
    </w:rPr>
  </w:style>
  <w:style w:type="paragraph" w:customStyle="1" w:styleId="Paragraph">
    <w:name w:val="Paragraph"/>
    <w:basedOn w:val="Normal"/>
    <w:link w:val="ParagraphChar"/>
    <w:qFormat/>
    <w:rsid w:val="00771328"/>
    <w:pPr>
      <w:widowControl w:val="0"/>
    </w:pPr>
    <w:rPr>
      <w:kern w:val="2"/>
      <w14:ligatures w14:val="standardContextual"/>
    </w:rPr>
  </w:style>
  <w:style w:type="paragraph" w:customStyle="1" w:styleId="ExhibitSource">
    <w:name w:val="Exhibit Source"/>
    <w:basedOn w:val="TableTextLeft"/>
    <w:semiHidden/>
    <w:rsid w:val="00771328"/>
    <w:pPr>
      <w:tabs>
        <w:tab w:val="left" w:pos="648"/>
      </w:tabs>
      <w:spacing w:after="40" w:line="200" w:lineRule="atLeast"/>
      <w:ind w:left="648" w:hanging="648"/>
    </w:pPr>
    <w:rPr>
      <w:sz w:val="16"/>
    </w:rPr>
  </w:style>
  <w:style w:type="paragraph" w:customStyle="1" w:styleId="FigureTitle">
    <w:name w:val="Figure Title"/>
    <w:basedOn w:val="Normal"/>
    <w:next w:val="ExhibitSource"/>
    <w:qFormat/>
    <w:rsid w:val="00771328"/>
    <w:pPr>
      <w:keepNext/>
      <w:keepLines/>
      <w:spacing w:after="80" w:line="240" w:lineRule="atLeast"/>
    </w:pPr>
    <w:rPr>
      <w:rFonts w:asciiTheme="majorHAnsi" w:hAnsiTheme="majorHAnsi"/>
      <w:color w:val="156082" w:themeColor="accent1"/>
      <w:sz w:val="22"/>
    </w:rPr>
  </w:style>
  <w:style w:type="paragraph" w:customStyle="1" w:styleId="H2">
    <w:name w:val="H2"/>
    <w:basedOn w:val="Normal"/>
    <w:next w:val="Paragraph"/>
    <w:qFormat/>
    <w:rsid w:val="00771328"/>
    <w:pPr>
      <w:keepNext/>
      <w:keepLines/>
      <w:spacing w:before="180" w:after="60" w:line="320" w:lineRule="atLeast"/>
      <w:ind w:left="432" w:hanging="432"/>
      <w:outlineLvl w:val="2"/>
    </w:pPr>
    <w:rPr>
      <w:rFonts w:asciiTheme="majorHAnsi" w:eastAsiaTheme="majorEastAsia" w:hAnsiTheme="majorHAnsi" w:cstheme="majorBidi"/>
      <w:b/>
      <w:color w:val="156082" w:themeColor="accent1"/>
      <w:sz w:val="24"/>
      <w:szCs w:val="32"/>
    </w:rPr>
  </w:style>
  <w:style w:type="paragraph" w:customStyle="1" w:styleId="H3">
    <w:name w:val="H3"/>
    <w:basedOn w:val="Normal"/>
    <w:next w:val="Paragraph"/>
    <w:qFormat/>
    <w:rsid w:val="00771328"/>
    <w:pPr>
      <w:keepNext/>
      <w:keepLines/>
      <w:spacing w:before="180" w:after="60" w:line="260" w:lineRule="atLeast"/>
      <w:ind w:left="432" w:hanging="432"/>
      <w:outlineLvl w:val="3"/>
    </w:pPr>
    <w:rPr>
      <w:rFonts w:eastAsiaTheme="majorEastAsia" w:cstheme="majorBidi"/>
      <w:b/>
      <w:color w:val="000000" w:themeColor="text1"/>
      <w:szCs w:val="32"/>
    </w:rPr>
  </w:style>
  <w:style w:type="paragraph" w:customStyle="1" w:styleId="TableHeaderCenter">
    <w:name w:val="Table Header Center"/>
    <w:basedOn w:val="TableTextLeft"/>
    <w:semiHidden/>
    <w:rsid w:val="00771328"/>
    <w:pPr>
      <w:keepNext/>
      <w:jc w:val="center"/>
    </w:pPr>
    <w:rPr>
      <w:color w:val="FFFFFF" w:themeColor="background1"/>
    </w:rPr>
  </w:style>
  <w:style w:type="paragraph" w:customStyle="1" w:styleId="TableHeaderLeft">
    <w:name w:val="Table Header Left"/>
    <w:basedOn w:val="TableTextLeft"/>
    <w:semiHidden/>
    <w:rsid w:val="00771328"/>
    <w:pPr>
      <w:keepNext/>
    </w:pPr>
    <w:rPr>
      <w:color w:val="FFFFFF" w:themeColor="background1"/>
    </w:rPr>
  </w:style>
  <w:style w:type="paragraph" w:customStyle="1" w:styleId="TableTitle">
    <w:name w:val="Table Title"/>
    <w:basedOn w:val="Normal"/>
    <w:qFormat/>
    <w:rsid w:val="00771328"/>
    <w:pPr>
      <w:keepNext/>
      <w:keepLines/>
      <w:spacing w:before="180" w:after="80" w:line="240" w:lineRule="atLeast"/>
    </w:pPr>
    <w:rPr>
      <w:rFonts w:asciiTheme="majorHAnsi" w:hAnsiTheme="majorHAnsi"/>
      <w:color w:val="156082" w:themeColor="accent1"/>
      <w:sz w:val="22"/>
    </w:rPr>
  </w:style>
  <w:style w:type="table" w:customStyle="1" w:styleId="BaseTable">
    <w:name w:val="Base Table"/>
    <w:basedOn w:val="TableNormal"/>
    <w:rsid w:val="00771328"/>
    <w:pPr>
      <w:spacing w:before="40" w:after="20" w:line="240" w:lineRule="auto"/>
    </w:pPr>
    <w:rPr>
      <w:rFonts w:asciiTheme="majorHAnsi" w:hAnsiTheme="majorHAnsi"/>
      <w:kern w:val="0"/>
      <w:sz w:val="18"/>
      <w14:ligatures w14:val="none"/>
    </w:rPr>
    <w:tblPr>
      <w:tblInd w:w="0" w:type="nil"/>
      <w:tblBorders>
        <w:bottom w:val="single" w:sz="4" w:space="0" w:color="0E2841" w:themeColor="text2"/>
        <w:insideH w:val="single" w:sz="4" w:space="0" w:color="196B24" w:themeColor="accent3"/>
        <w:insideV w:val="single" w:sz="4" w:space="0" w:color="196B24"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E2841" w:themeColor="text2"/>
          <w:right w:val="nil"/>
          <w:insideH w:val="nil"/>
          <w:insideV w:val="single" w:sz="4" w:space="0" w:color="FFFFFF" w:themeColor="background1"/>
          <w:tl2br w:val="nil"/>
          <w:tr2bl w:val="nil"/>
        </w:tcBorders>
        <w:shd w:val="clear" w:color="auto" w:fill="0E2841"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dc9a90-ce33-4621-b585-823809e223e1">
      <Terms xmlns="http://schemas.microsoft.com/office/infopath/2007/PartnerControls"/>
    </lcf76f155ced4ddcb4097134ff3c332f>
    <TaxCatchAll xmlns="d4794453-8fde-48a7-b2a2-9e30ee2e8c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A3FCDEFE1E845988F8F8D411E2B66" ma:contentTypeVersion="12" ma:contentTypeDescription="Create a new document." ma:contentTypeScope="" ma:versionID="ea8a1cd0812ad7b29303de99391ee50b">
  <xsd:schema xmlns:xsd="http://www.w3.org/2001/XMLSchema" xmlns:xs="http://www.w3.org/2001/XMLSchema" xmlns:p="http://schemas.microsoft.com/office/2006/metadata/properties" xmlns:ns2="cddc9a90-ce33-4621-b585-823809e223e1" xmlns:ns3="d4794453-8fde-48a7-b2a2-9e30ee2e8c37" targetNamespace="http://schemas.microsoft.com/office/2006/metadata/properties" ma:root="true" ma:fieldsID="9e9ec62eb61056780545bb7d59656e4f" ns2:_="" ns3:_="">
    <xsd:import namespace="cddc9a90-ce33-4621-b585-823809e223e1"/>
    <xsd:import namespace="d4794453-8fde-48a7-b2a2-9e30ee2e8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c9a90-ce33-4621-b585-823809e22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94453-8fde-48a7-b2a2-9e30ee2e8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6ef637-5003-435c-a6c1-01cf6ea544d5}" ma:internalName="TaxCatchAll" ma:showField="CatchAllData" ma:web="d4794453-8fde-48a7-b2a2-9e30ee2e8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CB125-EE68-4BDA-AD01-3AA2554809AB}">
  <ds:schemaRefs>
    <ds:schemaRef ds:uri="http://purl.org/dc/elements/1.1/"/>
    <ds:schemaRef ds:uri="http://purl.org/dc/dcmitype/"/>
    <ds:schemaRef ds:uri="http://www.w3.org/XML/1998/namespace"/>
    <ds:schemaRef ds:uri="http://schemas.microsoft.com/office/2006/metadata/properties"/>
    <ds:schemaRef ds:uri="cddc9a90-ce33-4621-b585-823809e223e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4794453-8fde-48a7-b2a2-9e30ee2e8c37"/>
  </ds:schemaRefs>
</ds:datastoreItem>
</file>

<file path=customXml/itemProps2.xml><?xml version="1.0" encoding="utf-8"?>
<ds:datastoreItem xmlns:ds="http://schemas.openxmlformats.org/officeDocument/2006/customXml" ds:itemID="{39712287-3977-4636-A772-202A527CA78E}">
  <ds:schemaRefs>
    <ds:schemaRef ds:uri="http://schemas.microsoft.com/sharepoint/v3/contenttype/forms"/>
  </ds:schemaRefs>
</ds:datastoreItem>
</file>

<file path=customXml/itemProps3.xml><?xml version="1.0" encoding="utf-8"?>
<ds:datastoreItem xmlns:ds="http://schemas.openxmlformats.org/officeDocument/2006/customXml" ds:itemID="{98511F20-EE8B-4F32-ABA9-8DC97C54D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c9a90-ce33-4621-b585-823809e223e1"/>
    <ds:schemaRef ds:uri="d4794453-8fde-48a7-b2a2-9e30ee2e8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 Coltman</dc:creator>
  <cp:keywords/>
  <dc:description/>
  <cp:lastModifiedBy>Anne E. Coltman</cp:lastModifiedBy>
  <cp:revision>2</cp:revision>
  <dcterms:created xsi:type="dcterms:W3CDTF">2024-04-15T16:29:00Z</dcterms:created>
  <dcterms:modified xsi:type="dcterms:W3CDTF">2024-05-03T14:38:00Z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0x010100685A3FCDEFE1E845988F8F8D411E2B66</vt:lpwstr>
  </property>
  <property fmtid="{D5CDD505-2E9C-101B-9397-08002B2CF9AE}" pid="3" name="MediaServiceImageTags">
    <vt:lpwstr/>
  </property>
</Properties>
</file>