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B1B67" w14:textId="77777777" w:rsidR="000437E0" w:rsidRDefault="000437E0" w:rsidP="000437E0">
      <w:pPr>
        <w:pStyle w:val="H1"/>
        <w:numPr>
          <w:ilvl w:val="0"/>
          <w:numId w:val="1"/>
        </w:numPr>
      </w:pPr>
      <w:bookmarkStart w:id="0" w:name="_Toc163565263"/>
      <w:r>
        <w:t>Reliability</w:t>
      </w:r>
      <w:bookmarkEnd w:id="0"/>
    </w:p>
    <w:p w14:paraId="1BB710EB" w14:textId="77777777" w:rsidR="000437E0" w:rsidRDefault="000437E0" w:rsidP="000437E0">
      <w:pPr>
        <w:pStyle w:val="Paragraph"/>
      </w:pPr>
      <w:r>
        <w:t xml:space="preserve">Reliability testing was conducted at the </w:t>
      </w:r>
      <w:r>
        <w:rPr>
          <w:b/>
          <w:bCs/>
        </w:rPr>
        <w:t>accountable entity level</w:t>
      </w:r>
      <w:r>
        <w:t xml:space="preserve"> using signal-to-noise and test-retest reliability methods.</w:t>
      </w:r>
    </w:p>
    <w:p w14:paraId="5910BA52" w14:textId="77777777" w:rsidR="000437E0" w:rsidRDefault="000437E0" w:rsidP="000437E0">
      <w:pPr>
        <w:pStyle w:val="H2"/>
        <w:numPr>
          <w:ilvl w:val="0"/>
          <w:numId w:val="2"/>
        </w:numPr>
      </w:pPr>
      <w:bookmarkStart w:id="1" w:name="_Toc163565264"/>
      <w:r>
        <w:t>Methods</w:t>
      </w:r>
      <w:bookmarkEnd w:id="1"/>
    </w:p>
    <w:p w14:paraId="71C8C968" w14:textId="77777777" w:rsidR="000437E0" w:rsidRDefault="000437E0" w:rsidP="000437E0">
      <w:pPr>
        <w:pStyle w:val="H3"/>
        <w:numPr>
          <w:ilvl w:val="0"/>
          <w:numId w:val="3"/>
        </w:numPr>
      </w:pPr>
      <w:r>
        <w:t>Signal-to-noise reliability</w:t>
      </w:r>
    </w:p>
    <w:p w14:paraId="3EE39105" w14:textId="77777777" w:rsidR="000437E0" w:rsidRDefault="000437E0" w:rsidP="000437E0">
      <w:pPr>
        <w:pStyle w:val="Paragraph"/>
      </w:pPr>
      <w:r>
        <w:t>Using signal-to-noise reliability, we tested the extent to which a facility’s quality of malnutrition care can be distinguished from that of other facilities using the GMCS. In other words, signal-to-noise reliability tests the precision of measure scores. To compute signal-to-noise reliability, we estimated the proportion of observed variability in the GMCS that is due to differences between facilities in the completeness of malnutrition care (signal variance), as opposed to variability due to differences in care within facilities (noise variance).</w:t>
      </w:r>
    </w:p>
    <w:p w14:paraId="3B3F3892" w14:textId="77777777" w:rsidR="000437E0" w:rsidRDefault="000437E0" w:rsidP="000437E0">
      <w:pPr>
        <w:pStyle w:val="Paragraph"/>
      </w:pPr>
      <w:r>
        <w:t xml:space="preserve">For each facility, we computed the facility-specific noise variance as the sample variance of the patient scores on Measure Observation 6 divided by the number of encounters in the facility minus 1. For the signal variance, we used the iterative empirical Bayes method (Morris, 1983) to estimate a single value for all facilities. We then calculated a reliability coefficient for each facility as the ratio of signal variance to the sum of the signal variance and noise variance for that facility. A reliability of 1 indicates perfect reliability, where all variation in the GMCS measure scores reflects between-facility differences rather than within-facility differences. </w:t>
      </w:r>
    </w:p>
    <w:p w14:paraId="036A0505" w14:textId="77777777" w:rsidR="000437E0" w:rsidRDefault="000437E0" w:rsidP="000437E0">
      <w:pPr>
        <w:pStyle w:val="H3"/>
        <w:numPr>
          <w:ilvl w:val="0"/>
          <w:numId w:val="3"/>
        </w:numPr>
      </w:pPr>
      <w:r>
        <w:t>Test-retest reliability</w:t>
      </w:r>
    </w:p>
    <w:p w14:paraId="154F4B57" w14:textId="77777777" w:rsidR="000437E0" w:rsidRDefault="000437E0" w:rsidP="000437E0">
      <w:pPr>
        <w:pStyle w:val="Paragraph"/>
      </w:pPr>
      <w:r>
        <w:t>Using test-retest reliability, we assessed the stability of the GMCS across random samples of encounters. In other words, we tested the extent to which the GMCS measure scores are affected by sampling variability in the encounters used to compute the scores.</w:t>
      </w:r>
    </w:p>
    <w:p w14:paraId="1E09F6C4" w14:textId="77777777" w:rsidR="000437E0" w:rsidRDefault="000437E0" w:rsidP="000437E0">
      <w:pPr>
        <w:pStyle w:val="Paragraph"/>
      </w:pPr>
      <w:r>
        <w:t xml:space="preserve">To do so, we drew 1,000 bootstrap samples (i.e., sampling with replacement) of encounters stratified by facility, where we kept the original number of encounters within each facility. </w:t>
      </w:r>
      <w:r>
        <w:rPr>
          <w:rFonts w:eastAsia="MS Gothic"/>
        </w:rPr>
        <w:t>The randomly sampled sets of encounters from a given facility are assumed to reflect an independent set of re-measurement of the GMCS scores for each facility. Adequate reliability is assumed if the GMCS measure scores calculated from the random datasets for the same IPF are similar.</w:t>
      </w:r>
    </w:p>
    <w:p w14:paraId="7F4C6C7B" w14:textId="77777777" w:rsidR="000437E0" w:rsidRPr="000437E0" w:rsidRDefault="000437E0" w:rsidP="000437E0">
      <w:pPr>
        <w:pStyle w:val="Paragraph"/>
      </w:pPr>
      <w:r w:rsidRPr="000437E0">
        <w:t xml:space="preserve">Within each bootstrap sample, we computed the GMCS measure score for each facility and grouped the 1,000 samples into 500 pairs. We then calculated Spearman’s correlation (rho) and the intraclass correlation coefficient (ICC) between those measure scores in each pair of samples to assess how stable the facilities’ measure scores remains as they get computed on a different, randomly sampled set of encounters. Spearman’s correlation quantifies the strength of the rank-order association between the measure scores in each pair, where a value of 1 indicates perfect positive association. The ICC quantifies the strength of absolute agreement between the facility scores in each pair, where a value of 1 indicates perfect reliability. Following the calculations, we examined the distribution of the resulting 500 Spearman’s correlations and ICCs. </w:t>
      </w:r>
      <w:r w:rsidRPr="000437E0">
        <w:rPr>
          <w:rFonts w:eastAsia="MS Gothic"/>
        </w:rPr>
        <w:t xml:space="preserve">Adequate reliability is assumed if the GMCS measure rates calculated from the random datasets for the same facility are similar. </w:t>
      </w:r>
      <w:r w:rsidRPr="000437E0">
        <w:t>Note that unlike signal-to-noise, test-retest reliability does not provide a separate reliability coefficient per facility.</w:t>
      </w:r>
    </w:p>
    <w:p w14:paraId="31EA9C20" w14:textId="77777777" w:rsidR="000437E0" w:rsidRPr="000437E0" w:rsidRDefault="000437E0" w:rsidP="000437E0">
      <w:pPr>
        <w:pStyle w:val="H2"/>
        <w:numPr>
          <w:ilvl w:val="0"/>
          <w:numId w:val="2"/>
        </w:numPr>
      </w:pPr>
      <w:bookmarkStart w:id="2" w:name="_Toc163565265"/>
      <w:r w:rsidRPr="000437E0">
        <w:lastRenderedPageBreak/>
        <w:t>Results</w:t>
      </w:r>
      <w:bookmarkEnd w:id="2"/>
    </w:p>
    <w:p w14:paraId="107451C4" w14:textId="77777777" w:rsidR="000437E0" w:rsidRPr="000437E0" w:rsidRDefault="000437E0" w:rsidP="000437E0">
      <w:pPr>
        <w:pStyle w:val="H3"/>
        <w:numPr>
          <w:ilvl w:val="0"/>
          <w:numId w:val="4"/>
        </w:numPr>
      </w:pPr>
      <w:r w:rsidRPr="000437E0">
        <w:t>Signal-to-noise reliability</w:t>
      </w:r>
    </w:p>
    <w:p w14:paraId="59719362" w14:textId="77777777" w:rsidR="000437E0" w:rsidRPr="000437E0" w:rsidRDefault="000437E0" w:rsidP="000437E0">
      <w:pPr>
        <w:pStyle w:val="Paragraph"/>
      </w:pPr>
      <w:r w:rsidRPr="000437E0">
        <w:t>Table IX.1 presents the summary statistics of the signal-to-noise reliability coefficients estimated for each facility. The summary statistics reveal high reliability across the board with coefficients averaging at 0.96 and ranging from 0.69 to 1.00. The median signal-to-noise reliability for the GMCS measure is sufficiently high (above the CBE threshold of 0.6) for all facilities (0.99).</w:t>
      </w:r>
      <w:r w:rsidRPr="000437E0">
        <w:rPr>
          <w:rFonts w:ascii="Helvetica" w:hAnsi="Helvetica"/>
          <w:color w:val="1B1B1B"/>
          <w:sz w:val="25"/>
          <w:szCs w:val="25"/>
          <w:shd w:val="clear" w:color="auto" w:fill="FFFFFF"/>
        </w:rPr>
        <w:t> </w:t>
      </w:r>
      <w:r w:rsidRPr="000437E0">
        <w:t xml:space="preserve">Using the CBE threshold of 0.60, all facilities in our sample would be considered to have </w:t>
      </w:r>
      <w:proofErr w:type="gramStart"/>
      <w:r w:rsidRPr="000437E0">
        <w:t>a sufficiently</w:t>
      </w:r>
      <w:proofErr w:type="gramEnd"/>
      <w:r w:rsidRPr="000437E0">
        <w:t xml:space="preserve"> high reliability.</w:t>
      </w:r>
    </w:p>
    <w:p w14:paraId="753005DE" w14:textId="77777777" w:rsidR="000437E0" w:rsidRPr="000437E0" w:rsidRDefault="000437E0" w:rsidP="000437E0">
      <w:pPr>
        <w:pStyle w:val="TableTitle"/>
      </w:pPr>
      <w:bookmarkStart w:id="3" w:name="_Toc163565286"/>
      <w:r w:rsidRPr="000437E0">
        <w:rPr>
          <w:b/>
          <w:bCs/>
        </w:rPr>
        <w:t>Table IX.1.</w:t>
      </w:r>
      <w:r w:rsidRPr="000437E0">
        <w:t xml:space="preserve"> Distribution of signal-to-noise reliability scores of the GMCS measure across all facilities</w:t>
      </w:r>
      <w:bookmarkEnd w:id="3"/>
    </w:p>
    <w:tbl>
      <w:tblPr>
        <w:tblStyle w:val="BaseTable"/>
        <w:tblW w:w="9540" w:type="dxa"/>
        <w:tblInd w:w="0" w:type="dxa"/>
        <w:tblLook w:val="04A0" w:firstRow="1" w:lastRow="0" w:firstColumn="1" w:lastColumn="0" w:noHBand="0" w:noVBand="1"/>
      </w:tblPr>
      <w:tblGrid>
        <w:gridCol w:w="840"/>
        <w:gridCol w:w="1500"/>
        <w:gridCol w:w="990"/>
        <w:gridCol w:w="810"/>
        <w:gridCol w:w="900"/>
        <w:gridCol w:w="1080"/>
        <w:gridCol w:w="1080"/>
        <w:gridCol w:w="1260"/>
        <w:gridCol w:w="1080"/>
      </w:tblGrid>
      <w:tr w:rsidR="000437E0" w:rsidRPr="000437E0" w14:paraId="44007BD0" w14:textId="77777777" w:rsidTr="000437E0">
        <w:trPr>
          <w:cnfStyle w:val="100000000000" w:firstRow="1" w:lastRow="0" w:firstColumn="0" w:lastColumn="0" w:oddVBand="0" w:evenVBand="0" w:oddHBand="0" w:evenHBand="0" w:firstRowFirstColumn="0" w:firstRowLastColumn="0" w:lastRowFirstColumn="0" w:lastRowLastColumn="0"/>
          <w:trHeight w:val="120"/>
          <w:tblHeader/>
        </w:trPr>
        <w:tc>
          <w:tcPr>
            <w:tcW w:w="840" w:type="dxa"/>
            <w:hideMark/>
          </w:tcPr>
          <w:p w14:paraId="4E5E0BBC" w14:textId="77777777" w:rsidR="000437E0" w:rsidRPr="000437E0" w:rsidRDefault="000437E0">
            <w:pPr>
              <w:pStyle w:val="TableHeaderLeft"/>
            </w:pPr>
            <w:r w:rsidRPr="000437E0">
              <w:t>Measure</w:t>
            </w:r>
          </w:p>
        </w:tc>
        <w:tc>
          <w:tcPr>
            <w:tcW w:w="1500" w:type="dxa"/>
            <w:hideMark/>
          </w:tcPr>
          <w:p w14:paraId="08F50F54" w14:textId="77777777" w:rsidR="000437E0" w:rsidRPr="000437E0" w:rsidRDefault="000437E0">
            <w:pPr>
              <w:pStyle w:val="TableHeaderCenter"/>
            </w:pPr>
            <w:r w:rsidRPr="000437E0">
              <w:t>N (# facilities)</w:t>
            </w:r>
          </w:p>
        </w:tc>
        <w:tc>
          <w:tcPr>
            <w:tcW w:w="990" w:type="dxa"/>
            <w:hideMark/>
          </w:tcPr>
          <w:p w14:paraId="3C59CFCD" w14:textId="77777777" w:rsidR="000437E0" w:rsidRPr="000437E0" w:rsidRDefault="000437E0">
            <w:pPr>
              <w:pStyle w:val="TableHeaderCenter"/>
            </w:pPr>
            <w:r w:rsidRPr="000437E0">
              <w:t>Mean</w:t>
            </w:r>
          </w:p>
        </w:tc>
        <w:tc>
          <w:tcPr>
            <w:tcW w:w="810" w:type="dxa"/>
            <w:hideMark/>
          </w:tcPr>
          <w:p w14:paraId="5C85AD7C" w14:textId="77777777" w:rsidR="000437E0" w:rsidRPr="000437E0" w:rsidRDefault="000437E0">
            <w:pPr>
              <w:pStyle w:val="TableHeaderCenter"/>
            </w:pPr>
            <w:r w:rsidRPr="000437E0">
              <w:t>SD</w:t>
            </w:r>
          </w:p>
        </w:tc>
        <w:tc>
          <w:tcPr>
            <w:tcW w:w="900" w:type="dxa"/>
            <w:hideMark/>
          </w:tcPr>
          <w:p w14:paraId="0F5D48DD" w14:textId="77777777" w:rsidR="000437E0" w:rsidRPr="000437E0" w:rsidRDefault="000437E0">
            <w:pPr>
              <w:pStyle w:val="TableHeaderCenter"/>
            </w:pPr>
            <w:r w:rsidRPr="000437E0">
              <w:t>Min</w:t>
            </w:r>
          </w:p>
        </w:tc>
        <w:tc>
          <w:tcPr>
            <w:tcW w:w="1080" w:type="dxa"/>
            <w:hideMark/>
          </w:tcPr>
          <w:p w14:paraId="08C0FF76" w14:textId="77777777" w:rsidR="000437E0" w:rsidRPr="000437E0" w:rsidRDefault="000437E0">
            <w:pPr>
              <w:pStyle w:val="TableHeaderCenter"/>
            </w:pPr>
            <w:r w:rsidRPr="000437E0">
              <w:t xml:space="preserve">25th </w:t>
            </w:r>
            <w:proofErr w:type="spellStart"/>
            <w:r w:rsidRPr="000437E0">
              <w:t>pctl</w:t>
            </w:r>
            <w:proofErr w:type="spellEnd"/>
            <w:r w:rsidRPr="000437E0">
              <w:t>.</w:t>
            </w:r>
          </w:p>
        </w:tc>
        <w:tc>
          <w:tcPr>
            <w:tcW w:w="1080" w:type="dxa"/>
            <w:hideMark/>
          </w:tcPr>
          <w:p w14:paraId="6F14F5AE" w14:textId="77777777" w:rsidR="000437E0" w:rsidRPr="000437E0" w:rsidRDefault="000437E0">
            <w:pPr>
              <w:pStyle w:val="TableHeaderCenter"/>
            </w:pPr>
            <w:r w:rsidRPr="000437E0">
              <w:t>Median</w:t>
            </w:r>
          </w:p>
        </w:tc>
        <w:tc>
          <w:tcPr>
            <w:tcW w:w="1260" w:type="dxa"/>
            <w:hideMark/>
          </w:tcPr>
          <w:p w14:paraId="12220DAC" w14:textId="77777777" w:rsidR="000437E0" w:rsidRPr="000437E0" w:rsidRDefault="000437E0">
            <w:pPr>
              <w:pStyle w:val="TableHeaderCenter"/>
            </w:pPr>
            <w:r w:rsidRPr="000437E0">
              <w:t xml:space="preserve">75th </w:t>
            </w:r>
            <w:proofErr w:type="spellStart"/>
            <w:r w:rsidRPr="000437E0">
              <w:t>pctl</w:t>
            </w:r>
            <w:proofErr w:type="spellEnd"/>
            <w:r w:rsidRPr="000437E0">
              <w:t>.</w:t>
            </w:r>
          </w:p>
        </w:tc>
        <w:tc>
          <w:tcPr>
            <w:tcW w:w="1080" w:type="dxa"/>
            <w:hideMark/>
          </w:tcPr>
          <w:p w14:paraId="3F7343E5" w14:textId="77777777" w:rsidR="000437E0" w:rsidRPr="000437E0" w:rsidRDefault="000437E0">
            <w:pPr>
              <w:pStyle w:val="TableHeaderCenter"/>
            </w:pPr>
            <w:r w:rsidRPr="000437E0">
              <w:t>Max</w:t>
            </w:r>
          </w:p>
        </w:tc>
      </w:tr>
      <w:tr w:rsidR="000437E0" w:rsidRPr="000437E0" w14:paraId="73605C9B" w14:textId="77777777" w:rsidTr="000437E0">
        <w:trPr>
          <w:trHeight w:val="120"/>
        </w:trPr>
        <w:tc>
          <w:tcPr>
            <w:tcW w:w="840" w:type="dxa"/>
            <w:tcBorders>
              <w:top w:val="single" w:sz="4" w:space="0" w:color="196B24" w:themeColor="accent3"/>
              <w:left w:val="nil"/>
              <w:bottom w:val="single" w:sz="4" w:space="0" w:color="0E2841" w:themeColor="text2"/>
              <w:right w:val="single" w:sz="4" w:space="0" w:color="196B24" w:themeColor="accent3"/>
            </w:tcBorders>
            <w:hideMark/>
          </w:tcPr>
          <w:p w14:paraId="619AA94F" w14:textId="77777777" w:rsidR="000437E0" w:rsidRPr="000437E0" w:rsidRDefault="000437E0">
            <w:pPr>
              <w:pStyle w:val="TableTextLeft"/>
            </w:pPr>
            <w:r w:rsidRPr="000437E0">
              <w:t>GMCS</w:t>
            </w:r>
          </w:p>
        </w:tc>
        <w:tc>
          <w:tcPr>
            <w:tcW w:w="1500" w:type="dxa"/>
            <w:tcBorders>
              <w:top w:val="single" w:sz="4" w:space="0" w:color="196B24" w:themeColor="accent3"/>
              <w:left w:val="single" w:sz="4" w:space="0" w:color="196B24" w:themeColor="accent3"/>
              <w:bottom w:val="single" w:sz="4" w:space="0" w:color="0E2841" w:themeColor="text2"/>
              <w:right w:val="single" w:sz="4" w:space="0" w:color="196B24" w:themeColor="accent3"/>
            </w:tcBorders>
            <w:hideMark/>
          </w:tcPr>
          <w:p w14:paraId="055E383C" w14:textId="77777777" w:rsidR="000437E0" w:rsidRPr="000437E0" w:rsidRDefault="000437E0">
            <w:pPr>
              <w:pStyle w:val="TableTextLeft"/>
            </w:pPr>
            <w:r w:rsidRPr="000437E0">
              <w:t>28</w:t>
            </w:r>
          </w:p>
        </w:tc>
        <w:tc>
          <w:tcPr>
            <w:tcW w:w="990" w:type="dxa"/>
            <w:tcBorders>
              <w:top w:val="single" w:sz="4" w:space="0" w:color="196B24" w:themeColor="accent3"/>
              <w:left w:val="single" w:sz="4" w:space="0" w:color="196B24" w:themeColor="accent3"/>
              <w:bottom w:val="single" w:sz="4" w:space="0" w:color="0E2841" w:themeColor="text2"/>
              <w:right w:val="single" w:sz="4" w:space="0" w:color="196B24" w:themeColor="accent3"/>
            </w:tcBorders>
            <w:hideMark/>
          </w:tcPr>
          <w:p w14:paraId="0AA004EE" w14:textId="77777777" w:rsidR="000437E0" w:rsidRPr="000437E0" w:rsidRDefault="000437E0">
            <w:pPr>
              <w:pStyle w:val="TableTextLeft"/>
            </w:pPr>
            <w:r w:rsidRPr="000437E0">
              <w:t>0.96</w:t>
            </w:r>
          </w:p>
        </w:tc>
        <w:tc>
          <w:tcPr>
            <w:tcW w:w="810" w:type="dxa"/>
            <w:tcBorders>
              <w:top w:val="single" w:sz="4" w:space="0" w:color="196B24" w:themeColor="accent3"/>
              <w:left w:val="single" w:sz="4" w:space="0" w:color="196B24" w:themeColor="accent3"/>
              <w:bottom w:val="single" w:sz="4" w:space="0" w:color="0E2841" w:themeColor="text2"/>
              <w:right w:val="single" w:sz="4" w:space="0" w:color="196B24" w:themeColor="accent3"/>
            </w:tcBorders>
            <w:hideMark/>
          </w:tcPr>
          <w:p w14:paraId="37E9DB9A" w14:textId="77777777" w:rsidR="000437E0" w:rsidRPr="000437E0" w:rsidRDefault="000437E0">
            <w:pPr>
              <w:pStyle w:val="TableTextLeft"/>
            </w:pPr>
            <w:r w:rsidRPr="000437E0">
              <w:t>0.07</w:t>
            </w:r>
          </w:p>
        </w:tc>
        <w:tc>
          <w:tcPr>
            <w:tcW w:w="900" w:type="dxa"/>
            <w:tcBorders>
              <w:top w:val="single" w:sz="4" w:space="0" w:color="196B24" w:themeColor="accent3"/>
              <w:left w:val="single" w:sz="4" w:space="0" w:color="196B24" w:themeColor="accent3"/>
              <w:bottom w:val="single" w:sz="4" w:space="0" w:color="0E2841" w:themeColor="text2"/>
              <w:right w:val="single" w:sz="4" w:space="0" w:color="196B24" w:themeColor="accent3"/>
            </w:tcBorders>
            <w:hideMark/>
          </w:tcPr>
          <w:p w14:paraId="219A852E" w14:textId="77777777" w:rsidR="000437E0" w:rsidRPr="000437E0" w:rsidRDefault="000437E0">
            <w:pPr>
              <w:pStyle w:val="TableTextLeft"/>
            </w:pPr>
            <w:r w:rsidRPr="000437E0">
              <w:t>0.69</w:t>
            </w:r>
          </w:p>
        </w:tc>
        <w:tc>
          <w:tcPr>
            <w:tcW w:w="1080" w:type="dxa"/>
            <w:tcBorders>
              <w:top w:val="single" w:sz="4" w:space="0" w:color="196B24" w:themeColor="accent3"/>
              <w:left w:val="single" w:sz="4" w:space="0" w:color="196B24" w:themeColor="accent3"/>
              <w:bottom w:val="single" w:sz="4" w:space="0" w:color="0E2841" w:themeColor="text2"/>
              <w:right w:val="single" w:sz="4" w:space="0" w:color="196B24" w:themeColor="accent3"/>
            </w:tcBorders>
            <w:hideMark/>
          </w:tcPr>
          <w:p w14:paraId="3FF3EE35" w14:textId="77777777" w:rsidR="000437E0" w:rsidRPr="000437E0" w:rsidRDefault="000437E0">
            <w:pPr>
              <w:pStyle w:val="TableTextLeft"/>
            </w:pPr>
            <w:r w:rsidRPr="000437E0">
              <w:t>0.97</w:t>
            </w:r>
          </w:p>
        </w:tc>
        <w:tc>
          <w:tcPr>
            <w:tcW w:w="1080" w:type="dxa"/>
            <w:tcBorders>
              <w:top w:val="single" w:sz="4" w:space="0" w:color="196B24" w:themeColor="accent3"/>
              <w:left w:val="single" w:sz="4" w:space="0" w:color="196B24" w:themeColor="accent3"/>
              <w:bottom w:val="single" w:sz="4" w:space="0" w:color="0E2841" w:themeColor="text2"/>
              <w:right w:val="single" w:sz="4" w:space="0" w:color="196B24" w:themeColor="accent3"/>
            </w:tcBorders>
            <w:hideMark/>
          </w:tcPr>
          <w:p w14:paraId="0C063F73" w14:textId="77777777" w:rsidR="000437E0" w:rsidRPr="000437E0" w:rsidRDefault="000437E0">
            <w:pPr>
              <w:pStyle w:val="TableTextLeft"/>
            </w:pPr>
            <w:r w:rsidRPr="000437E0">
              <w:t>0.99</w:t>
            </w:r>
          </w:p>
        </w:tc>
        <w:tc>
          <w:tcPr>
            <w:tcW w:w="1260" w:type="dxa"/>
            <w:tcBorders>
              <w:top w:val="single" w:sz="4" w:space="0" w:color="196B24" w:themeColor="accent3"/>
              <w:left w:val="single" w:sz="4" w:space="0" w:color="196B24" w:themeColor="accent3"/>
              <w:bottom w:val="single" w:sz="4" w:space="0" w:color="0E2841" w:themeColor="text2"/>
              <w:right w:val="single" w:sz="4" w:space="0" w:color="196B24" w:themeColor="accent3"/>
            </w:tcBorders>
            <w:hideMark/>
          </w:tcPr>
          <w:p w14:paraId="66BCCA3C" w14:textId="77777777" w:rsidR="000437E0" w:rsidRPr="000437E0" w:rsidRDefault="000437E0">
            <w:pPr>
              <w:pStyle w:val="TableTextLeft"/>
            </w:pPr>
            <w:r w:rsidRPr="000437E0">
              <w:t>0.99</w:t>
            </w:r>
          </w:p>
        </w:tc>
        <w:tc>
          <w:tcPr>
            <w:tcW w:w="1080" w:type="dxa"/>
            <w:tcBorders>
              <w:top w:val="single" w:sz="4" w:space="0" w:color="196B24" w:themeColor="accent3"/>
              <w:left w:val="single" w:sz="4" w:space="0" w:color="196B24" w:themeColor="accent3"/>
              <w:bottom w:val="single" w:sz="4" w:space="0" w:color="0E2841" w:themeColor="text2"/>
              <w:right w:val="nil"/>
            </w:tcBorders>
            <w:hideMark/>
          </w:tcPr>
          <w:p w14:paraId="73A7471F" w14:textId="77777777" w:rsidR="000437E0" w:rsidRPr="000437E0" w:rsidRDefault="000437E0">
            <w:pPr>
              <w:pStyle w:val="TableTextLeft"/>
            </w:pPr>
            <w:r w:rsidRPr="000437E0">
              <w:t>1.00</w:t>
            </w:r>
          </w:p>
        </w:tc>
      </w:tr>
    </w:tbl>
    <w:p w14:paraId="52CD9953" w14:textId="77777777" w:rsidR="000437E0" w:rsidRPr="000437E0" w:rsidRDefault="000437E0" w:rsidP="000437E0">
      <w:pPr>
        <w:pStyle w:val="ExhibitSource"/>
        <w:tabs>
          <w:tab w:val="left" w:pos="540"/>
        </w:tabs>
        <w:ind w:left="540" w:hanging="540"/>
      </w:pPr>
      <w:r w:rsidRPr="000437E0">
        <w:t>Source: Mathematica analysis of the test-site data provided by Avalere Health and the Academy of Nutrition and Dietetics (N=28 facilities)</w:t>
      </w:r>
    </w:p>
    <w:p w14:paraId="347FD819" w14:textId="77777777" w:rsidR="000437E0" w:rsidRPr="000437E0" w:rsidRDefault="000437E0" w:rsidP="000437E0">
      <w:pPr>
        <w:pStyle w:val="TableTitle"/>
      </w:pPr>
      <w:bookmarkStart w:id="4" w:name="_Toc163565287"/>
      <w:r w:rsidRPr="000437E0">
        <w:rPr>
          <w:b/>
          <w:bCs/>
        </w:rPr>
        <w:t>Table IX.2.</w:t>
      </w:r>
      <w:r w:rsidRPr="000437E0">
        <w:t xml:space="preserve"> Deciles of signal-to-noise reliability scores of the GMCS measure across all facilities</w:t>
      </w:r>
      <w:bookmarkEnd w:id="4"/>
    </w:p>
    <w:tbl>
      <w:tblPr>
        <w:tblStyle w:val="BaseTable"/>
        <w:tblW w:w="9450" w:type="dxa"/>
        <w:tblInd w:w="0" w:type="dxa"/>
        <w:tblLook w:val="04A0" w:firstRow="1" w:lastRow="0" w:firstColumn="1" w:lastColumn="0" w:noHBand="0" w:noVBand="1"/>
      </w:tblPr>
      <w:tblGrid>
        <w:gridCol w:w="2520"/>
        <w:gridCol w:w="1609"/>
        <w:gridCol w:w="2265"/>
        <w:gridCol w:w="3056"/>
      </w:tblGrid>
      <w:tr w:rsidR="000437E0" w:rsidRPr="000437E0" w14:paraId="6963E2C2" w14:textId="77777777" w:rsidTr="000437E0">
        <w:trPr>
          <w:cnfStyle w:val="100000000000" w:firstRow="1" w:lastRow="0" w:firstColumn="0" w:lastColumn="0" w:oddVBand="0" w:evenVBand="0" w:oddHBand="0" w:evenHBand="0" w:firstRowFirstColumn="0" w:firstRowLastColumn="0" w:lastRowFirstColumn="0" w:lastRowLastColumn="0"/>
          <w:trHeight w:val="120"/>
          <w:tblHeader/>
        </w:trPr>
        <w:tc>
          <w:tcPr>
            <w:tcW w:w="2520" w:type="dxa"/>
            <w:hideMark/>
          </w:tcPr>
          <w:p w14:paraId="279213D8" w14:textId="77777777" w:rsidR="000437E0" w:rsidRPr="000437E0" w:rsidRDefault="000437E0">
            <w:pPr>
              <w:pStyle w:val="TableHeaderLeft"/>
            </w:pPr>
            <w:r w:rsidRPr="000437E0">
              <w:t> </w:t>
            </w:r>
          </w:p>
        </w:tc>
        <w:tc>
          <w:tcPr>
            <w:tcW w:w="1609" w:type="dxa"/>
            <w:hideMark/>
          </w:tcPr>
          <w:p w14:paraId="2A101A5D" w14:textId="77777777" w:rsidR="000437E0" w:rsidRPr="000437E0" w:rsidRDefault="000437E0">
            <w:pPr>
              <w:pStyle w:val="TableHeaderCenter"/>
            </w:pPr>
            <w:r w:rsidRPr="000437E0">
              <w:t>Reliability</w:t>
            </w:r>
          </w:p>
        </w:tc>
        <w:tc>
          <w:tcPr>
            <w:tcW w:w="2265" w:type="dxa"/>
            <w:hideMark/>
          </w:tcPr>
          <w:p w14:paraId="46D033E8" w14:textId="77777777" w:rsidR="000437E0" w:rsidRPr="000437E0" w:rsidRDefault="000437E0">
            <w:pPr>
              <w:pStyle w:val="TableHeaderCenter"/>
            </w:pPr>
            <w:r w:rsidRPr="000437E0">
              <w:t>Number of facilities</w:t>
            </w:r>
          </w:p>
        </w:tc>
        <w:tc>
          <w:tcPr>
            <w:tcW w:w="3056" w:type="dxa"/>
            <w:hideMark/>
          </w:tcPr>
          <w:p w14:paraId="3C64281E" w14:textId="77777777" w:rsidR="000437E0" w:rsidRPr="000437E0" w:rsidRDefault="000437E0">
            <w:pPr>
              <w:pStyle w:val="TableHeaderCenter"/>
            </w:pPr>
            <w:r w:rsidRPr="000437E0">
              <w:t>Number of encounters</w:t>
            </w:r>
          </w:p>
        </w:tc>
      </w:tr>
      <w:tr w:rsidR="000437E0" w:rsidRPr="000437E0" w14:paraId="281CDE74" w14:textId="77777777" w:rsidTr="000437E0">
        <w:trPr>
          <w:trHeight w:val="120"/>
        </w:trPr>
        <w:tc>
          <w:tcPr>
            <w:tcW w:w="2520" w:type="dxa"/>
            <w:tcBorders>
              <w:top w:val="single" w:sz="4" w:space="0" w:color="196B24" w:themeColor="accent3"/>
              <w:left w:val="nil"/>
              <w:bottom w:val="single" w:sz="4" w:space="0" w:color="196B24" w:themeColor="accent3"/>
              <w:right w:val="single" w:sz="4" w:space="0" w:color="196B24" w:themeColor="accent3"/>
            </w:tcBorders>
            <w:hideMark/>
          </w:tcPr>
          <w:p w14:paraId="37FF20D7" w14:textId="77777777" w:rsidR="000437E0" w:rsidRPr="000437E0" w:rsidRDefault="000437E0">
            <w:pPr>
              <w:pStyle w:val="TableTextLeft"/>
            </w:pPr>
            <w:r w:rsidRPr="000437E0">
              <w:t xml:space="preserve">Overall </w:t>
            </w:r>
          </w:p>
        </w:tc>
        <w:tc>
          <w:tcPr>
            <w:tcW w:w="1609"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hideMark/>
          </w:tcPr>
          <w:p w14:paraId="519BB551" w14:textId="77777777" w:rsidR="000437E0" w:rsidRPr="000437E0" w:rsidRDefault="000437E0">
            <w:pPr>
              <w:pStyle w:val="TableTextLeft"/>
            </w:pPr>
            <w:r w:rsidRPr="000437E0">
              <w:t>--</w:t>
            </w:r>
          </w:p>
        </w:tc>
        <w:tc>
          <w:tcPr>
            <w:tcW w:w="2265"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hideMark/>
          </w:tcPr>
          <w:p w14:paraId="5D87BCC4" w14:textId="77777777" w:rsidR="000437E0" w:rsidRPr="000437E0" w:rsidRDefault="000437E0">
            <w:pPr>
              <w:pStyle w:val="TableTextLeft"/>
            </w:pPr>
            <w:r w:rsidRPr="000437E0">
              <w:t>28</w:t>
            </w:r>
          </w:p>
        </w:tc>
        <w:tc>
          <w:tcPr>
            <w:tcW w:w="3056" w:type="dxa"/>
            <w:tcBorders>
              <w:top w:val="single" w:sz="4" w:space="0" w:color="196B24" w:themeColor="accent3"/>
              <w:left w:val="single" w:sz="4" w:space="0" w:color="196B24" w:themeColor="accent3"/>
              <w:bottom w:val="single" w:sz="4" w:space="0" w:color="196B24" w:themeColor="accent3"/>
              <w:right w:val="nil"/>
            </w:tcBorders>
            <w:hideMark/>
          </w:tcPr>
          <w:p w14:paraId="3B618AF6" w14:textId="77777777" w:rsidR="000437E0" w:rsidRPr="000437E0" w:rsidRDefault="000437E0">
            <w:pPr>
              <w:pStyle w:val="TableTextLeft"/>
            </w:pPr>
            <w:r w:rsidRPr="000437E0">
              <w:t>145,846</w:t>
            </w:r>
          </w:p>
        </w:tc>
      </w:tr>
      <w:tr w:rsidR="000437E0" w:rsidRPr="000437E0" w14:paraId="00D6AC6B" w14:textId="77777777" w:rsidTr="000437E0">
        <w:trPr>
          <w:trHeight w:val="120"/>
        </w:trPr>
        <w:tc>
          <w:tcPr>
            <w:tcW w:w="2520" w:type="dxa"/>
            <w:tcBorders>
              <w:top w:val="single" w:sz="4" w:space="0" w:color="196B24" w:themeColor="accent3"/>
              <w:left w:val="nil"/>
              <w:bottom w:val="single" w:sz="4" w:space="0" w:color="196B24" w:themeColor="accent3"/>
              <w:right w:val="single" w:sz="4" w:space="0" w:color="196B24" w:themeColor="accent3"/>
            </w:tcBorders>
            <w:hideMark/>
          </w:tcPr>
          <w:p w14:paraId="768ECEDF" w14:textId="77777777" w:rsidR="000437E0" w:rsidRPr="000437E0" w:rsidRDefault="000437E0">
            <w:pPr>
              <w:pStyle w:val="TableTextLeft"/>
            </w:pPr>
            <w:r w:rsidRPr="000437E0">
              <w:t>Minimum</w:t>
            </w:r>
          </w:p>
        </w:tc>
        <w:tc>
          <w:tcPr>
            <w:tcW w:w="1609"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hideMark/>
          </w:tcPr>
          <w:p w14:paraId="5FA32CD5" w14:textId="77777777" w:rsidR="000437E0" w:rsidRPr="000437E0" w:rsidRDefault="000437E0">
            <w:pPr>
              <w:pStyle w:val="TableTextLeft"/>
            </w:pPr>
            <w:r w:rsidRPr="000437E0">
              <w:t>0.69</w:t>
            </w:r>
          </w:p>
        </w:tc>
        <w:tc>
          <w:tcPr>
            <w:tcW w:w="2265"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hideMark/>
          </w:tcPr>
          <w:p w14:paraId="11FBCFE8" w14:textId="77777777" w:rsidR="000437E0" w:rsidRPr="000437E0" w:rsidRDefault="000437E0">
            <w:pPr>
              <w:pStyle w:val="TableTextLeft"/>
            </w:pPr>
            <w:r w:rsidRPr="000437E0">
              <w:t>1</w:t>
            </w:r>
          </w:p>
        </w:tc>
        <w:tc>
          <w:tcPr>
            <w:tcW w:w="3056" w:type="dxa"/>
            <w:tcBorders>
              <w:top w:val="single" w:sz="4" w:space="0" w:color="196B24" w:themeColor="accent3"/>
              <w:left w:val="single" w:sz="4" w:space="0" w:color="196B24" w:themeColor="accent3"/>
              <w:bottom w:val="single" w:sz="4" w:space="0" w:color="196B24" w:themeColor="accent3"/>
              <w:right w:val="nil"/>
            </w:tcBorders>
            <w:hideMark/>
          </w:tcPr>
          <w:p w14:paraId="0463B9AC" w14:textId="77777777" w:rsidR="000437E0" w:rsidRPr="000437E0" w:rsidRDefault="000437E0">
            <w:pPr>
              <w:pStyle w:val="TableTextLeft"/>
            </w:pPr>
            <w:r w:rsidRPr="000437E0">
              <w:t>203</w:t>
            </w:r>
          </w:p>
        </w:tc>
      </w:tr>
      <w:tr w:rsidR="000437E0" w:rsidRPr="000437E0" w14:paraId="784CFD32" w14:textId="77777777" w:rsidTr="000437E0">
        <w:trPr>
          <w:trHeight w:val="120"/>
        </w:trPr>
        <w:tc>
          <w:tcPr>
            <w:tcW w:w="2520" w:type="dxa"/>
            <w:tcBorders>
              <w:top w:val="single" w:sz="4" w:space="0" w:color="196B24" w:themeColor="accent3"/>
              <w:left w:val="nil"/>
              <w:bottom w:val="single" w:sz="4" w:space="0" w:color="196B24" w:themeColor="accent3"/>
              <w:right w:val="single" w:sz="4" w:space="0" w:color="196B24" w:themeColor="accent3"/>
            </w:tcBorders>
            <w:hideMark/>
          </w:tcPr>
          <w:p w14:paraId="46A12970" w14:textId="77777777" w:rsidR="000437E0" w:rsidRPr="000437E0" w:rsidRDefault="000437E0">
            <w:pPr>
              <w:pStyle w:val="TableTextLeft"/>
            </w:pPr>
            <w:r w:rsidRPr="000437E0">
              <w:t>Decile 1</w:t>
            </w:r>
          </w:p>
        </w:tc>
        <w:tc>
          <w:tcPr>
            <w:tcW w:w="1609"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hideMark/>
          </w:tcPr>
          <w:p w14:paraId="2FBF79BE" w14:textId="77777777" w:rsidR="000437E0" w:rsidRPr="000437E0" w:rsidRDefault="000437E0">
            <w:pPr>
              <w:pStyle w:val="TableTextLeft"/>
            </w:pPr>
            <w:r w:rsidRPr="000437E0">
              <w:t>0.87</w:t>
            </w:r>
          </w:p>
        </w:tc>
        <w:tc>
          <w:tcPr>
            <w:tcW w:w="2265"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hideMark/>
          </w:tcPr>
          <w:p w14:paraId="5FAE3AF9" w14:textId="77777777" w:rsidR="000437E0" w:rsidRPr="000437E0" w:rsidRDefault="000437E0">
            <w:pPr>
              <w:pStyle w:val="TableTextLeft"/>
            </w:pPr>
            <w:r w:rsidRPr="000437E0">
              <w:t>3</w:t>
            </w:r>
          </w:p>
        </w:tc>
        <w:tc>
          <w:tcPr>
            <w:tcW w:w="3056" w:type="dxa"/>
            <w:tcBorders>
              <w:top w:val="single" w:sz="4" w:space="0" w:color="196B24" w:themeColor="accent3"/>
              <w:left w:val="single" w:sz="4" w:space="0" w:color="196B24" w:themeColor="accent3"/>
              <w:bottom w:val="single" w:sz="4" w:space="0" w:color="196B24" w:themeColor="accent3"/>
              <w:right w:val="nil"/>
            </w:tcBorders>
            <w:hideMark/>
          </w:tcPr>
          <w:p w14:paraId="3A195134" w14:textId="77777777" w:rsidR="000437E0" w:rsidRPr="000437E0" w:rsidRDefault="000437E0">
            <w:pPr>
              <w:pStyle w:val="TableTextLeft"/>
            </w:pPr>
            <w:r w:rsidRPr="000437E0">
              <w:t>733</w:t>
            </w:r>
          </w:p>
        </w:tc>
      </w:tr>
      <w:tr w:rsidR="000437E0" w:rsidRPr="000437E0" w14:paraId="606116C2" w14:textId="77777777" w:rsidTr="000437E0">
        <w:trPr>
          <w:trHeight w:val="120"/>
        </w:trPr>
        <w:tc>
          <w:tcPr>
            <w:tcW w:w="2520" w:type="dxa"/>
            <w:tcBorders>
              <w:top w:val="single" w:sz="4" w:space="0" w:color="196B24" w:themeColor="accent3"/>
              <w:left w:val="nil"/>
              <w:bottom w:val="single" w:sz="4" w:space="0" w:color="196B24" w:themeColor="accent3"/>
              <w:right w:val="single" w:sz="4" w:space="0" w:color="196B24" w:themeColor="accent3"/>
            </w:tcBorders>
            <w:hideMark/>
          </w:tcPr>
          <w:p w14:paraId="3C9A680B" w14:textId="77777777" w:rsidR="000437E0" w:rsidRPr="000437E0" w:rsidRDefault="000437E0">
            <w:pPr>
              <w:pStyle w:val="TableTextLeft"/>
            </w:pPr>
            <w:r w:rsidRPr="000437E0">
              <w:t>Decile 2</w:t>
            </w:r>
          </w:p>
        </w:tc>
        <w:tc>
          <w:tcPr>
            <w:tcW w:w="1609"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hideMark/>
          </w:tcPr>
          <w:p w14:paraId="0A9631A9" w14:textId="77777777" w:rsidR="000437E0" w:rsidRPr="000437E0" w:rsidRDefault="000437E0">
            <w:pPr>
              <w:pStyle w:val="TableTextLeft"/>
            </w:pPr>
            <w:r w:rsidRPr="000437E0">
              <w:t>0.95</w:t>
            </w:r>
          </w:p>
        </w:tc>
        <w:tc>
          <w:tcPr>
            <w:tcW w:w="2265"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hideMark/>
          </w:tcPr>
          <w:p w14:paraId="3EFBD4B2" w14:textId="77777777" w:rsidR="000437E0" w:rsidRPr="000437E0" w:rsidRDefault="000437E0">
            <w:pPr>
              <w:pStyle w:val="TableTextLeft"/>
            </w:pPr>
            <w:r w:rsidRPr="000437E0">
              <w:t>3</w:t>
            </w:r>
          </w:p>
        </w:tc>
        <w:tc>
          <w:tcPr>
            <w:tcW w:w="3056" w:type="dxa"/>
            <w:tcBorders>
              <w:top w:val="single" w:sz="4" w:space="0" w:color="196B24" w:themeColor="accent3"/>
              <w:left w:val="single" w:sz="4" w:space="0" w:color="196B24" w:themeColor="accent3"/>
              <w:bottom w:val="single" w:sz="4" w:space="0" w:color="196B24" w:themeColor="accent3"/>
              <w:right w:val="nil"/>
            </w:tcBorders>
            <w:hideMark/>
          </w:tcPr>
          <w:p w14:paraId="5E1B8242" w14:textId="77777777" w:rsidR="000437E0" w:rsidRPr="000437E0" w:rsidRDefault="000437E0">
            <w:pPr>
              <w:pStyle w:val="TableTextLeft"/>
            </w:pPr>
            <w:r w:rsidRPr="000437E0">
              <w:t>2,180</w:t>
            </w:r>
          </w:p>
        </w:tc>
      </w:tr>
      <w:tr w:rsidR="000437E0" w:rsidRPr="000437E0" w14:paraId="1B29ADBA" w14:textId="77777777" w:rsidTr="000437E0">
        <w:trPr>
          <w:trHeight w:val="120"/>
        </w:trPr>
        <w:tc>
          <w:tcPr>
            <w:tcW w:w="2520" w:type="dxa"/>
            <w:tcBorders>
              <w:top w:val="single" w:sz="4" w:space="0" w:color="196B24" w:themeColor="accent3"/>
              <w:left w:val="nil"/>
              <w:bottom w:val="single" w:sz="4" w:space="0" w:color="196B24" w:themeColor="accent3"/>
              <w:right w:val="single" w:sz="4" w:space="0" w:color="196B24" w:themeColor="accent3"/>
            </w:tcBorders>
            <w:hideMark/>
          </w:tcPr>
          <w:p w14:paraId="07B30931" w14:textId="77777777" w:rsidR="000437E0" w:rsidRPr="000437E0" w:rsidRDefault="000437E0">
            <w:pPr>
              <w:pStyle w:val="TableTextLeft"/>
            </w:pPr>
            <w:r w:rsidRPr="000437E0">
              <w:t>Decile 3</w:t>
            </w:r>
          </w:p>
        </w:tc>
        <w:tc>
          <w:tcPr>
            <w:tcW w:w="1609"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hideMark/>
          </w:tcPr>
          <w:p w14:paraId="7A7441D0" w14:textId="77777777" w:rsidR="000437E0" w:rsidRPr="000437E0" w:rsidRDefault="000437E0">
            <w:pPr>
              <w:pStyle w:val="TableTextLeft"/>
            </w:pPr>
            <w:r w:rsidRPr="000437E0">
              <w:t>0.97</w:t>
            </w:r>
          </w:p>
        </w:tc>
        <w:tc>
          <w:tcPr>
            <w:tcW w:w="2265"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hideMark/>
          </w:tcPr>
          <w:p w14:paraId="590DBE6C" w14:textId="77777777" w:rsidR="000437E0" w:rsidRPr="000437E0" w:rsidRDefault="000437E0">
            <w:pPr>
              <w:pStyle w:val="TableTextLeft"/>
            </w:pPr>
            <w:r w:rsidRPr="000437E0">
              <w:t>3</w:t>
            </w:r>
          </w:p>
        </w:tc>
        <w:tc>
          <w:tcPr>
            <w:tcW w:w="3056" w:type="dxa"/>
            <w:tcBorders>
              <w:top w:val="single" w:sz="4" w:space="0" w:color="196B24" w:themeColor="accent3"/>
              <w:left w:val="single" w:sz="4" w:space="0" w:color="196B24" w:themeColor="accent3"/>
              <w:bottom w:val="single" w:sz="4" w:space="0" w:color="196B24" w:themeColor="accent3"/>
              <w:right w:val="nil"/>
            </w:tcBorders>
            <w:hideMark/>
          </w:tcPr>
          <w:p w14:paraId="7F4F2ACB" w14:textId="77777777" w:rsidR="000437E0" w:rsidRPr="000437E0" w:rsidRDefault="000437E0">
            <w:pPr>
              <w:pStyle w:val="TableTextLeft"/>
            </w:pPr>
            <w:r w:rsidRPr="000437E0">
              <w:t>5,058</w:t>
            </w:r>
          </w:p>
        </w:tc>
      </w:tr>
      <w:tr w:rsidR="000437E0" w:rsidRPr="000437E0" w14:paraId="33A7AA40" w14:textId="77777777" w:rsidTr="000437E0">
        <w:trPr>
          <w:trHeight w:val="120"/>
        </w:trPr>
        <w:tc>
          <w:tcPr>
            <w:tcW w:w="2520" w:type="dxa"/>
            <w:tcBorders>
              <w:top w:val="single" w:sz="4" w:space="0" w:color="196B24" w:themeColor="accent3"/>
              <w:left w:val="nil"/>
              <w:bottom w:val="single" w:sz="4" w:space="0" w:color="196B24" w:themeColor="accent3"/>
              <w:right w:val="single" w:sz="4" w:space="0" w:color="196B24" w:themeColor="accent3"/>
            </w:tcBorders>
            <w:hideMark/>
          </w:tcPr>
          <w:p w14:paraId="28FA7557" w14:textId="77777777" w:rsidR="000437E0" w:rsidRPr="000437E0" w:rsidRDefault="000437E0">
            <w:pPr>
              <w:pStyle w:val="TableTextLeft"/>
            </w:pPr>
            <w:r w:rsidRPr="000437E0">
              <w:t>Decile 4</w:t>
            </w:r>
          </w:p>
        </w:tc>
        <w:tc>
          <w:tcPr>
            <w:tcW w:w="1609"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hideMark/>
          </w:tcPr>
          <w:p w14:paraId="2B7449FF" w14:textId="77777777" w:rsidR="000437E0" w:rsidRPr="000437E0" w:rsidRDefault="000437E0">
            <w:pPr>
              <w:pStyle w:val="TableTextLeft"/>
            </w:pPr>
            <w:r w:rsidRPr="000437E0">
              <w:t>0.98</w:t>
            </w:r>
          </w:p>
        </w:tc>
        <w:tc>
          <w:tcPr>
            <w:tcW w:w="2265"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hideMark/>
          </w:tcPr>
          <w:p w14:paraId="274788BD" w14:textId="77777777" w:rsidR="000437E0" w:rsidRPr="000437E0" w:rsidRDefault="000437E0">
            <w:pPr>
              <w:pStyle w:val="TableTextLeft"/>
            </w:pPr>
            <w:r w:rsidRPr="000437E0">
              <w:t>2</w:t>
            </w:r>
          </w:p>
        </w:tc>
        <w:tc>
          <w:tcPr>
            <w:tcW w:w="3056" w:type="dxa"/>
            <w:tcBorders>
              <w:top w:val="single" w:sz="4" w:space="0" w:color="196B24" w:themeColor="accent3"/>
              <w:left w:val="single" w:sz="4" w:space="0" w:color="196B24" w:themeColor="accent3"/>
              <w:bottom w:val="single" w:sz="4" w:space="0" w:color="196B24" w:themeColor="accent3"/>
              <w:right w:val="nil"/>
            </w:tcBorders>
            <w:hideMark/>
          </w:tcPr>
          <w:p w14:paraId="7E5590F9" w14:textId="77777777" w:rsidR="000437E0" w:rsidRPr="000437E0" w:rsidRDefault="000437E0">
            <w:pPr>
              <w:pStyle w:val="TableTextLeft"/>
            </w:pPr>
            <w:r w:rsidRPr="000437E0">
              <w:t>6,463</w:t>
            </w:r>
          </w:p>
        </w:tc>
      </w:tr>
      <w:tr w:rsidR="000437E0" w:rsidRPr="000437E0" w14:paraId="1F2AF8BA" w14:textId="77777777" w:rsidTr="000437E0">
        <w:trPr>
          <w:trHeight w:val="120"/>
        </w:trPr>
        <w:tc>
          <w:tcPr>
            <w:tcW w:w="2520" w:type="dxa"/>
            <w:tcBorders>
              <w:top w:val="single" w:sz="4" w:space="0" w:color="196B24" w:themeColor="accent3"/>
              <w:left w:val="nil"/>
              <w:bottom w:val="single" w:sz="4" w:space="0" w:color="196B24" w:themeColor="accent3"/>
              <w:right w:val="single" w:sz="4" w:space="0" w:color="196B24" w:themeColor="accent3"/>
            </w:tcBorders>
            <w:hideMark/>
          </w:tcPr>
          <w:p w14:paraId="423B3496" w14:textId="77777777" w:rsidR="000437E0" w:rsidRPr="000437E0" w:rsidRDefault="000437E0">
            <w:pPr>
              <w:pStyle w:val="TableTextLeft"/>
            </w:pPr>
            <w:r w:rsidRPr="000437E0">
              <w:t>Decile 5</w:t>
            </w:r>
          </w:p>
        </w:tc>
        <w:tc>
          <w:tcPr>
            <w:tcW w:w="1609"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hideMark/>
          </w:tcPr>
          <w:p w14:paraId="745D4870" w14:textId="77777777" w:rsidR="000437E0" w:rsidRPr="000437E0" w:rsidRDefault="000437E0">
            <w:pPr>
              <w:pStyle w:val="TableTextLeft"/>
            </w:pPr>
            <w:r w:rsidRPr="000437E0">
              <w:t>0.99</w:t>
            </w:r>
          </w:p>
        </w:tc>
        <w:tc>
          <w:tcPr>
            <w:tcW w:w="2265"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hideMark/>
          </w:tcPr>
          <w:p w14:paraId="39B0EABF" w14:textId="77777777" w:rsidR="000437E0" w:rsidRPr="000437E0" w:rsidRDefault="000437E0">
            <w:pPr>
              <w:pStyle w:val="TableTextLeft"/>
            </w:pPr>
            <w:r w:rsidRPr="000437E0">
              <w:t>3</w:t>
            </w:r>
          </w:p>
        </w:tc>
        <w:tc>
          <w:tcPr>
            <w:tcW w:w="3056" w:type="dxa"/>
            <w:tcBorders>
              <w:top w:val="single" w:sz="4" w:space="0" w:color="196B24" w:themeColor="accent3"/>
              <w:left w:val="single" w:sz="4" w:space="0" w:color="196B24" w:themeColor="accent3"/>
              <w:bottom w:val="single" w:sz="4" w:space="0" w:color="196B24" w:themeColor="accent3"/>
              <w:right w:val="nil"/>
            </w:tcBorders>
            <w:hideMark/>
          </w:tcPr>
          <w:p w14:paraId="532A772E" w14:textId="77777777" w:rsidR="000437E0" w:rsidRPr="000437E0" w:rsidRDefault="000437E0">
            <w:pPr>
              <w:pStyle w:val="TableTextLeft"/>
            </w:pPr>
            <w:r w:rsidRPr="000437E0">
              <w:t>9,081</w:t>
            </w:r>
          </w:p>
        </w:tc>
      </w:tr>
      <w:tr w:rsidR="000437E0" w:rsidRPr="000437E0" w14:paraId="15D9A892" w14:textId="77777777" w:rsidTr="000437E0">
        <w:trPr>
          <w:trHeight w:val="120"/>
        </w:trPr>
        <w:tc>
          <w:tcPr>
            <w:tcW w:w="2520" w:type="dxa"/>
            <w:tcBorders>
              <w:top w:val="single" w:sz="4" w:space="0" w:color="196B24" w:themeColor="accent3"/>
              <w:left w:val="nil"/>
              <w:bottom w:val="single" w:sz="4" w:space="0" w:color="196B24" w:themeColor="accent3"/>
              <w:right w:val="single" w:sz="4" w:space="0" w:color="196B24" w:themeColor="accent3"/>
            </w:tcBorders>
            <w:hideMark/>
          </w:tcPr>
          <w:p w14:paraId="4E94C951" w14:textId="77777777" w:rsidR="000437E0" w:rsidRPr="000437E0" w:rsidRDefault="000437E0">
            <w:pPr>
              <w:pStyle w:val="TableTextLeft"/>
            </w:pPr>
            <w:r w:rsidRPr="000437E0">
              <w:t>Decile 6</w:t>
            </w:r>
          </w:p>
        </w:tc>
        <w:tc>
          <w:tcPr>
            <w:tcW w:w="1609"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hideMark/>
          </w:tcPr>
          <w:p w14:paraId="3CFC08C9" w14:textId="77777777" w:rsidR="000437E0" w:rsidRPr="000437E0" w:rsidRDefault="000437E0">
            <w:pPr>
              <w:pStyle w:val="TableTextLeft"/>
            </w:pPr>
            <w:r w:rsidRPr="000437E0">
              <w:t>0.99</w:t>
            </w:r>
          </w:p>
        </w:tc>
        <w:tc>
          <w:tcPr>
            <w:tcW w:w="2265"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hideMark/>
          </w:tcPr>
          <w:p w14:paraId="2BE9D120" w14:textId="77777777" w:rsidR="000437E0" w:rsidRPr="000437E0" w:rsidRDefault="000437E0">
            <w:pPr>
              <w:pStyle w:val="TableTextLeft"/>
            </w:pPr>
            <w:r w:rsidRPr="000437E0">
              <w:t>3</w:t>
            </w:r>
          </w:p>
        </w:tc>
        <w:tc>
          <w:tcPr>
            <w:tcW w:w="3056" w:type="dxa"/>
            <w:tcBorders>
              <w:top w:val="single" w:sz="4" w:space="0" w:color="196B24" w:themeColor="accent3"/>
              <w:left w:val="single" w:sz="4" w:space="0" w:color="196B24" w:themeColor="accent3"/>
              <w:bottom w:val="single" w:sz="4" w:space="0" w:color="196B24" w:themeColor="accent3"/>
              <w:right w:val="nil"/>
            </w:tcBorders>
            <w:hideMark/>
          </w:tcPr>
          <w:p w14:paraId="440884C1" w14:textId="77777777" w:rsidR="000437E0" w:rsidRPr="000437E0" w:rsidRDefault="000437E0">
            <w:pPr>
              <w:pStyle w:val="TableTextLeft"/>
            </w:pPr>
            <w:r w:rsidRPr="000437E0">
              <w:t>16,268</w:t>
            </w:r>
          </w:p>
        </w:tc>
      </w:tr>
      <w:tr w:rsidR="000437E0" w:rsidRPr="000437E0" w14:paraId="37A7A99A" w14:textId="77777777" w:rsidTr="000437E0">
        <w:trPr>
          <w:trHeight w:val="120"/>
        </w:trPr>
        <w:tc>
          <w:tcPr>
            <w:tcW w:w="2520" w:type="dxa"/>
            <w:tcBorders>
              <w:top w:val="single" w:sz="4" w:space="0" w:color="196B24" w:themeColor="accent3"/>
              <w:left w:val="nil"/>
              <w:bottom w:val="single" w:sz="4" w:space="0" w:color="196B24" w:themeColor="accent3"/>
              <w:right w:val="single" w:sz="4" w:space="0" w:color="196B24" w:themeColor="accent3"/>
            </w:tcBorders>
            <w:hideMark/>
          </w:tcPr>
          <w:p w14:paraId="5A24B551" w14:textId="77777777" w:rsidR="000437E0" w:rsidRPr="000437E0" w:rsidRDefault="000437E0">
            <w:pPr>
              <w:pStyle w:val="TableTextLeft"/>
            </w:pPr>
            <w:r w:rsidRPr="000437E0">
              <w:t>Decile 7</w:t>
            </w:r>
          </w:p>
        </w:tc>
        <w:tc>
          <w:tcPr>
            <w:tcW w:w="1609"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hideMark/>
          </w:tcPr>
          <w:p w14:paraId="4D4CBAD1" w14:textId="77777777" w:rsidR="000437E0" w:rsidRPr="000437E0" w:rsidRDefault="000437E0">
            <w:pPr>
              <w:pStyle w:val="TableTextLeft"/>
            </w:pPr>
            <w:r w:rsidRPr="000437E0">
              <w:t>0.99</w:t>
            </w:r>
          </w:p>
        </w:tc>
        <w:tc>
          <w:tcPr>
            <w:tcW w:w="2265"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hideMark/>
          </w:tcPr>
          <w:p w14:paraId="13A7CE54" w14:textId="77777777" w:rsidR="000437E0" w:rsidRPr="000437E0" w:rsidRDefault="000437E0">
            <w:pPr>
              <w:pStyle w:val="TableTextLeft"/>
            </w:pPr>
            <w:r w:rsidRPr="000437E0">
              <w:t>2</w:t>
            </w:r>
          </w:p>
        </w:tc>
        <w:tc>
          <w:tcPr>
            <w:tcW w:w="3056" w:type="dxa"/>
            <w:tcBorders>
              <w:top w:val="single" w:sz="4" w:space="0" w:color="196B24" w:themeColor="accent3"/>
              <w:left w:val="single" w:sz="4" w:space="0" w:color="196B24" w:themeColor="accent3"/>
              <w:bottom w:val="single" w:sz="4" w:space="0" w:color="196B24" w:themeColor="accent3"/>
              <w:right w:val="nil"/>
            </w:tcBorders>
            <w:hideMark/>
          </w:tcPr>
          <w:p w14:paraId="27A31D4C" w14:textId="77777777" w:rsidR="000437E0" w:rsidRPr="000437E0" w:rsidRDefault="000437E0">
            <w:pPr>
              <w:pStyle w:val="TableTextLeft"/>
            </w:pPr>
            <w:r w:rsidRPr="000437E0">
              <w:t>12,435</w:t>
            </w:r>
          </w:p>
        </w:tc>
      </w:tr>
      <w:tr w:rsidR="000437E0" w:rsidRPr="000437E0" w14:paraId="4CCA82A4" w14:textId="77777777" w:rsidTr="000437E0">
        <w:trPr>
          <w:trHeight w:val="120"/>
        </w:trPr>
        <w:tc>
          <w:tcPr>
            <w:tcW w:w="2520" w:type="dxa"/>
            <w:tcBorders>
              <w:top w:val="single" w:sz="4" w:space="0" w:color="196B24" w:themeColor="accent3"/>
              <w:left w:val="nil"/>
              <w:bottom w:val="single" w:sz="4" w:space="0" w:color="196B24" w:themeColor="accent3"/>
              <w:right w:val="single" w:sz="4" w:space="0" w:color="196B24" w:themeColor="accent3"/>
            </w:tcBorders>
            <w:hideMark/>
          </w:tcPr>
          <w:p w14:paraId="36224D3E" w14:textId="77777777" w:rsidR="000437E0" w:rsidRPr="000437E0" w:rsidRDefault="000437E0">
            <w:pPr>
              <w:pStyle w:val="TableTextLeft"/>
            </w:pPr>
            <w:r w:rsidRPr="000437E0">
              <w:t>Decile 8</w:t>
            </w:r>
          </w:p>
        </w:tc>
        <w:tc>
          <w:tcPr>
            <w:tcW w:w="1609"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hideMark/>
          </w:tcPr>
          <w:p w14:paraId="5CFA0443" w14:textId="77777777" w:rsidR="000437E0" w:rsidRPr="000437E0" w:rsidRDefault="000437E0">
            <w:pPr>
              <w:pStyle w:val="TableTextLeft"/>
            </w:pPr>
            <w:r w:rsidRPr="000437E0">
              <w:t>1.00</w:t>
            </w:r>
          </w:p>
        </w:tc>
        <w:tc>
          <w:tcPr>
            <w:tcW w:w="2265"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hideMark/>
          </w:tcPr>
          <w:p w14:paraId="7E8255C7" w14:textId="77777777" w:rsidR="000437E0" w:rsidRPr="000437E0" w:rsidRDefault="000437E0">
            <w:pPr>
              <w:pStyle w:val="TableTextLeft"/>
            </w:pPr>
            <w:r w:rsidRPr="000437E0">
              <w:t>3</w:t>
            </w:r>
          </w:p>
        </w:tc>
        <w:tc>
          <w:tcPr>
            <w:tcW w:w="3056" w:type="dxa"/>
            <w:tcBorders>
              <w:top w:val="single" w:sz="4" w:space="0" w:color="196B24" w:themeColor="accent3"/>
              <w:left w:val="single" w:sz="4" w:space="0" w:color="196B24" w:themeColor="accent3"/>
              <w:bottom w:val="single" w:sz="4" w:space="0" w:color="196B24" w:themeColor="accent3"/>
              <w:right w:val="nil"/>
            </w:tcBorders>
            <w:hideMark/>
          </w:tcPr>
          <w:p w14:paraId="6921B285" w14:textId="77777777" w:rsidR="000437E0" w:rsidRPr="000437E0" w:rsidRDefault="000437E0">
            <w:pPr>
              <w:pStyle w:val="TableTextLeft"/>
            </w:pPr>
            <w:r w:rsidRPr="000437E0">
              <w:t>19,840</w:t>
            </w:r>
          </w:p>
        </w:tc>
      </w:tr>
      <w:tr w:rsidR="000437E0" w:rsidRPr="000437E0" w14:paraId="17AE8375" w14:textId="77777777" w:rsidTr="000437E0">
        <w:trPr>
          <w:trHeight w:val="120"/>
        </w:trPr>
        <w:tc>
          <w:tcPr>
            <w:tcW w:w="2520" w:type="dxa"/>
            <w:tcBorders>
              <w:top w:val="single" w:sz="4" w:space="0" w:color="196B24" w:themeColor="accent3"/>
              <w:left w:val="nil"/>
              <w:bottom w:val="single" w:sz="4" w:space="0" w:color="196B24" w:themeColor="accent3"/>
              <w:right w:val="single" w:sz="4" w:space="0" w:color="196B24" w:themeColor="accent3"/>
            </w:tcBorders>
            <w:hideMark/>
          </w:tcPr>
          <w:p w14:paraId="10029DC1" w14:textId="77777777" w:rsidR="000437E0" w:rsidRPr="000437E0" w:rsidRDefault="000437E0">
            <w:pPr>
              <w:pStyle w:val="TableTextLeft"/>
            </w:pPr>
            <w:r w:rsidRPr="000437E0">
              <w:t>Decile 9</w:t>
            </w:r>
          </w:p>
        </w:tc>
        <w:tc>
          <w:tcPr>
            <w:tcW w:w="1609"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hideMark/>
          </w:tcPr>
          <w:p w14:paraId="4F6AB63A" w14:textId="77777777" w:rsidR="000437E0" w:rsidRPr="000437E0" w:rsidRDefault="000437E0">
            <w:pPr>
              <w:pStyle w:val="TableTextLeft"/>
            </w:pPr>
            <w:r w:rsidRPr="000437E0">
              <w:t>1.00</w:t>
            </w:r>
          </w:p>
        </w:tc>
        <w:tc>
          <w:tcPr>
            <w:tcW w:w="2265"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hideMark/>
          </w:tcPr>
          <w:p w14:paraId="4BDDA2FD" w14:textId="77777777" w:rsidR="000437E0" w:rsidRPr="000437E0" w:rsidRDefault="000437E0">
            <w:pPr>
              <w:pStyle w:val="TableTextLeft"/>
            </w:pPr>
            <w:r w:rsidRPr="000437E0">
              <w:t>3</w:t>
            </w:r>
          </w:p>
        </w:tc>
        <w:tc>
          <w:tcPr>
            <w:tcW w:w="3056" w:type="dxa"/>
            <w:tcBorders>
              <w:top w:val="single" w:sz="4" w:space="0" w:color="196B24" w:themeColor="accent3"/>
              <w:left w:val="single" w:sz="4" w:space="0" w:color="196B24" w:themeColor="accent3"/>
              <w:bottom w:val="single" w:sz="4" w:space="0" w:color="196B24" w:themeColor="accent3"/>
              <w:right w:val="nil"/>
            </w:tcBorders>
            <w:hideMark/>
          </w:tcPr>
          <w:p w14:paraId="10C2AE89" w14:textId="77777777" w:rsidR="000437E0" w:rsidRPr="000437E0" w:rsidRDefault="000437E0">
            <w:pPr>
              <w:pStyle w:val="TableTextLeft"/>
            </w:pPr>
            <w:r w:rsidRPr="000437E0">
              <w:t>26,902</w:t>
            </w:r>
          </w:p>
        </w:tc>
      </w:tr>
      <w:tr w:rsidR="000437E0" w:rsidRPr="000437E0" w14:paraId="15E89299" w14:textId="77777777" w:rsidTr="000437E0">
        <w:trPr>
          <w:trHeight w:val="120"/>
        </w:trPr>
        <w:tc>
          <w:tcPr>
            <w:tcW w:w="2520" w:type="dxa"/>
            <w:tcBorders>
              <w:top w:val="single" w:sz="4" w:space="0" w:color="196B24" w:themeColor="accent3"/>
              <w:left w:val="nil"/>
              <w:bottom w:val="single" w:sz="4" w:space="0" w:color="196B24" w:themeColor="accent3"/>
              <w:right w:val="single" w:sz="4" w:space="0" w:color="196B24" w:themeColor="accent3"/>
            </w:tcBorders>
            <w:hideMark/>
          </w:tcPr>
          <w:p w14:paraId="1CF5D023" w14:textId="77777777" w:rsidR="000437E0" w:rsidRPr="000437E0" w:rsidRDefault="000437E0">
            <w:pPr>
              <w:pStyle w:val="TableTextLeft"/>
            </w:pPr>
            <w:r w:rsidRPr="000437E0">
              <w:t>Decile 10</w:t>
            </w:r>
          </w:p>
        </w:tc>
        <w:tc>
          <w:tcPr>
            <w:tcW w:w="1609"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hideMark/>
          </w:tcPr>
          <w:p w14:paraId="1D3E7DC6" w14:textId="77777777" w:rsidR="000437E0" w:rsidRPr="000437E0" w:rsidRDefault="000437E0">
            <w:pPr>
              <w:pStyle w:val="TableTextLeft"/>
            </w:pPr>
            <w:r w:rsidRPr="000437E0">
              <w:t>1.00</w:t>
            </w:r>
          </w:p>
        </w:tc>
        <w:tc>
          <w:tcPr>
            <w:tcW w:w="2265"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hideMark/>
          </w:tcPr>
          <w:p w14:paraId="016BCB1B" w14:textId="77777777" w:rsidR="000437E0" w:rsidRPr="000437E0" w:rsidRDefault="000437E0">
            <w:pPr>
              <w:pStyle w:val="TableTextLeft"/>
            </w:pPr>
            <w:r w:rsidRPr="000437E0">
              <w:t>3</w:t>
            </w:r>
          </w:p>
        </w:tc>
        <w:tc>
          <w:tcPr>
            <w:tcW w:w="3056" w:type="dxa"/>
            <w:tcBorders>
              <w:top w:val="single" w:sz="4" w:space="0" w:color="196B24" w:themeColor="accent3"/>
              <w:left w:val="single" w:sz="4" w:space="0" w:color="196B24" w:themeColor="accent3"/>
              <w:bottom w:val="single" w:sz="4" w:space="0" w:color="196B24" w:themeColor="accent3"/>
              <w:right w:val="nil"/>
            </w:tcBorders>
            <w:hideMark/>
          </w:tcPr>
          <w:p w14:paraId="1F5B8ACD" w14:textId="77777777" w:rsidR="000437E0" w:rsidRPr="000437E0" w:rsidRDefault="000437E0">
            <w:pPr>
              <w:pStyle w:val="TableTextLeft"/>
            </w:pPr>
            <w:r w:rsidRPr="000437E0">
              <w:t>46,886</w:t>
            </w:r>
          </w:p>
        </w:tc>
      </w:tr>
      <w:tr w:rsidR="000437E0" w:rsidRPr="000437E0" w14:paraId="1E452A59" w14:textId="77777777" w:rsidTr="000437E0">
        <w:trPr>
          <w:trHeight w:val="120"/>
        </w:trPr>
        <w:tc>
          <w:tcPr>
            <w:tcW w:w="2520" w:type="dxa"/>
            <w:tcBorders>
              <w:top w:val="single" w:sz="4" w:space="0" w:color="196B24" w:themeColor="accent3"/>
              <w:left w:val="nil"/>
              <w:bottom w:val="single" w:sz="4" w:space="0" w:color="0E2841" w:themeColor="text2"/>
              <w:right w:val="single" w:sz="4" w:space="0" w:color="196B24" w:themeColor="accent3"/>
            </w:tcBorders>
            <w:hideMark/>
          </w:tcPr>
          <w:p w14:paraId="164CB86F" w14:textId="77777777" w:rsidR="000437E0" w:rsidRPr="000437E0" w:rsidRDefault="000437E0">
            <w:pPr>
              <w:pStyle w:val="TableTextLeft"/>
            </w:pPr>
            <w:r w:rsidRPr="000437E0">
              <w:t>Maximum</w:t>
            </w:r>
          </w:p>
        </w:tc>
        <w:tc>
          <w:tcPr>
            <w:tcW w:w="1609" w:type="dxa"/>
            <w:tcBorders>
              <w:top w:val="single" w:sz="4" w:space="0" w:color="196B24" w:themeColor="accent3"/>
              <w:left w:val="single" w:sz="4" w:space="0" w:color="196B24" w:themeColor="accent3"/>
              <w:bottom w:val="single" w:sz="4" w:space="0" w:color="0E2841" w:themeColor="text2"/>
              <w:right w:val="single" w:sz="4" w:space="0" w:color="196B24" w:themeColor="accent3"/>
            </w:tcBorders>
            <w:hideMark/>
          </w:tcPr>
          <w:p w14:paraId="184C490A" w14:textId="77777777" w:rsidR="000437E0" w:rsidRPr="000437E0" w:rsidRDefault="000437E0">
            <w:pPr>
              <w:pStyle w:val="TableTextLeft"/>
            </w:pPr>
            <w:r w:rsidRPr="000437E0">
              <w:t>1.00</w:t>
            </w:r>
          </w:p>
        </w:tc>
        <w:tc>
          <w:tcPr>
            <w:tcW w:w="2265" w:type="dxa"/>
            <w:tcBorders>
              <w:top w:val="single" w:sz="4" w:space="0" w:color="196B24" w:themeColor="accent3"/>
              <w:left w:val="single" w:sz="4" w:space="0" w:color="196B24" w:themeColor="accent3"/>
              <w:bottom w:val="single" w:sz="4" w:space="0" w:color="0E2841" w:themeColor="text2"/>
              <w:right w:val="single" w:sz="4" w:space="0" w:color="196B24" w:themeColor="accent3"/>
            </w:tcBorders>
            <w:hideMark/>
          </w:tcPr>
          <w:p w14:paraId="419AC423" w14:textId="77777777" w:rsidR="000437E0" w:rsidRPr="000437E0" w:rsidRDefault="000437E0">
            <w:pPr>
              <w:pStyle w:val="TableTextLeft"/>
            </w:pPr>
            <w:r w:rsidRPr="000437E0">
              <w:t>1</w:t>
            </w:r>
          </w:p>
        </w:tc>
        <w:tc>
          <w:tcPr>
            <w:tcW w:w="3056" w:type="dxa"/>
            <w:tcBorders>
              <w:top w:val="single" w:sz="4" w:space="0" w:color="196B24" w:themeColor="accent3"/>
              <w:left w:val="single" w:sz="4" w:space="0" w:color="196B24" w:themeColor="accent3"/>
              <w:bottom w:val="single" w:sz="4" w:space="0" w:color="0E2841" w:themeColor="text2"/>
              <w:right w:val="nil"/>
            </w:tcBorders>
            <w:hideMark/>
          </w:tcPr>
          <w:p w14:paraId="69633716" w14:textId="77777777" w:rsidR="000437E0" w:rsidRPr="000437E0" w:rsidRDefault="000437E0">
            <w:pPr>
              <w:pStyle w:val="TableTextLeft"/>
            </w:pPr>
            <w:r w:rsidRPr="000437E0">
              <w:t>12,176</w:t>
            </w:r>
          </w:p>
        </w:tc>
      </w:tr>
    </w:tbl>
    <w:p w14:paraId="5E766CA0" w14:textId="77777777" w:rsidR="000437E0" w:rsidRPr="000437E0" w:rsidRDefault="000437E0" w:rsidP="000437E0">
      <w:pPr>
        <w:pStyle w:val="ExhibitSource"/>
        <w:tabs>
          <w:tab w:val="left" w:pos="540"/>
        </w:tabs>
        <w:ind w:left="540" w:hanging="540"/>
      </w:pPr>
      <w:r w:rsidRPr="000437E0">
        <w:t>Source: Mathematica analysis of the test-site data provided by Avalere Health and the Academy of Nutrition and Dietetics (N=28 facilities)</w:t>
      </w:r>
    </w:p>
    <w:p w14:paraId="00321D3B" w14:textId="77777777" w:rsidR="000437E0" w:rsidRDefault="000437E0" w:rsidP="000437E0">
      <w:pPr>
        <w:pStyle w:val="TableTitle"/>
      </w:pPr>
      <w:bookmarkStart w:id="5" w:name="_Toc163565288"/>
      <w:r w:rsidRPr="000437E0">
        <w:rPr>
          <w:b/>
          <w:bCs/>
        </w:rPr>
        <w:t>Table IX.3.</w:t>
      </w:r>
      <w:r w:rsidRPr="000437E0">
        <w:t xml:space="preserve"> Mean signal-to-noise reliability scores by deciles of GMCS measure scores</w:t>
      </w:r>
      <w:bookmarkEnd w:id="5"/>
    </w:p>
    <w:tbl>
      <w:tblPr>
        <w:tblStyle w:val="BaseTable"/>
        <w:tblW w:w="9450" w:type="dxa"/>
        <w:tblInd w:w="0" w:type="dxa"/>
        <w:tblLook w:val="04A0" w:firstRow="1" w:lastRow="0" w:firstColumn="1" w:lastColumn="0" w:noHBand="0" w:noVBand="1"/>
      </w:tblPr>
      <w:tblGrid>
        <w:gridCol w:w="2250"/>
        <w:gridCol w:w="1440"/>
        <w:gridCol w:w="1710"/>
        <w:gridCol w:w="1800"/>
        <w:gridCol w:w="2250"/>
      </w:tblGrid>
      <w:tr w:rsidR="000437E0" w14:paraId="7DE09365" w14:textId="77777777" w:rsidTr="000437E0">
        <w:trPr>
          <w:cnfStyle w:val="100000000000" w:firstRow="1" w:lastRow="0" w:firstColumn="0" w:lastColumn="0" w:oddVBand="0" w:evenVBand="0" w:oddHBand="0" w:evenHBand="0" w:firstRowFirstColumn="0" w:firstRowLastColumn="0" w:lastRowFirstColumn="0" w:lastRowLastColumn="0"/>
          <w:trHeight w:val="120"/>
          <w:tblHeader/>
        </w:trPr>
        <w:tc>
          <w:tcPr>
            <w:tcW w:w="2250" w:type="dxa"/>
            <w:hideMark/>
          </w:tcPr>
          <w:p w14:paraId="1D981184" w14:textId="77777777" w:rsidR="000437E0" w:rsidRDefault="000437E0">
            <w:pPr>
              <w:pStyle w:val="TableHeaderLeft"/>
            </w:pPr>
            <w:r>
              <w:t> </w:t>
            </w:r>
          </w:p>
        </w:tc>
        <w:tc>
          <w:tcPr>
            <w:tcW w:w="1440" w:type="dxa"/>
            <w:hideMark/>
          </w:tcPr>
          <w:p w14:paraId="6DE4A774" w14:textId="77777777" w:rsidR="000437E0" w:rsidRDefault="000437E0">
            <w:pPr>
              <w:pStyle w:val="TableHeaderCenter"/>
            </w:pPr>
            <w:r>
              <w:t>Mean reliability</w:t>
            </w:r>
          </w:p>
        </w:tc>
        <w:tc>
          <w:tcPr>
            <w:tcW w:w="1710" w:type="dxa"/>
            <w:hideMark/>
          </w:tcPr>
          <w:p w14:paraId="77F905B2" w14:textId="77777777" w:rsidR="000437E0" w:rsidRDefault="000437E0">
            <w:pPr>
              <w:pStyle w:val="TableHeaderCenter"/>
            </w:pPr>
            <w:r>
              <w:t>Mean GMCS score</w:t>
            </w:r>
          </w:p>
        </w:tc>
        <w:tc>
          <w:tcPr>
            <w:tcW w:w="1800" w:type="dxa"/>
            <w:hideMark/>
          </w:tcPr>
          <w:p w14:paraId="275C87E9" w14:textId="77777777" w:rsidR="000437E0" w:rsidRDefault="000437E0">
            <w:pPr>
              <w:pStyle w:val="TableHeaderCenter"/>
            </w:pPr>
            <w:r>
              <w:t>Number of facilities</w:t>
            </w:r>
          </w:p>
        </w:tc>
        <w:tc>
          <w:tcPr>
            <w:tcW w:w="2250" w:type="dxa"/>
            <w:hideMark/>
          </w:tcPr>
          <w:p w14:paraId="23D6AE11" w14:textId="77777777" w:rsidR="000437E0" w:rsidRDefault="000437E0">
            <w:pPr>
              <w:pStyle w:val="TableHeaderCenter"/>
            </w:pPr>
            <w:r>
              <w:t>Number of encounters</w:t>
            </w:r>
          </w:p>
        </w:tc>
      </w:tr>
      <w:tr w:rsidR="000437E0" w14:paraId="4C74DE06" w14:textId="77777777" w:rsidTr="000437E0">
        <w:trPr>
          <w:trHeight w:val="120"/>
        </w:trPr>
        <w:tc>
          <w:tcPr>
            <w:tcW w:w="2250" w:type="dxa"/>
            <w:tcBorders>
              <w:top w:val="single" w:sz="4" w:space="0" w:color="196B24" w:themeColor="accent3"/>
              <w:left w:val="nil"/>
              <w:bottom w:val="single" w:sz="4" w:space="0" w:color="196B24" w:themeColor="accent3"/>
              <w:right w:val="single" w:sz="4" w:space="0" w:color="196B24" w:themeColor="accent3"/>
            </w:tcBorders>
            <w:hideMark/>
          </w:tcPr>
          <w:p w14:paraId="2B838600" w14:textId="77777777" w:rsidR="000437E0" w:rsidRDefault="000437E0">
            <w:pPr>
              <w:pStyle w:val="TableTextLeft"/>
            </w:pPr>
            <w:r>
              <w:t xml:space="preserve">Overall </w:t>
            </w:r>
          </w:p>
        </w:tc>
        <w:tc>
          <w:tcPr>
            <w:tcW w:w="1440"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hideMark/>
          </w:tcPr>
          <w:p w14:paraId="6FB86EA9" w14:textId="77777777" w:rsidR="000437E0" w:rsidRDefault="000437E0">
            <w:pPr>
              <w:pStyle w:val="TableTextLeft"/>
            </w:pPr>
            <w:r>
              <w:t>0.96</w:t>
            </w:r>
          </w:p>
        </w:tc>
        <w:tc>
          <w:tcPr>
            <w:tcW w:w="1710"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hideMark/>
          </w:tcPr>
          <w:p w14:paraId="117A403C" w14:textId="77777777" w:rsidR="000437E0" w:rsidRDefault="000437E0">
            <w:pPr>
              <w:pStyle w:val="TableTextLeft"/>
            </w:pPr>
            <w:r>
              <w:t>90.3</w:t>
            </w:r>
          </w:p>
        </w:tc>
        <w:tc>
          <w:tcPr>
            <w:tcW w:w="1800"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hideMark/>
          </w:tcPr>
          <w:p w14:paraId="19FEF492" w14:textId="77777777" w:rsidR="000437E0" w:rsidRDefault="000437E0">
            <w:pPr>
              <w:pStyle w:val="TableTextLeft"/>
            </w:pPr>
            <w:r>
              <w:t>28</w:t>
            </w:r>
          </w:p>
        </w:tc>
        <w:tc>
          <w:tcPr>
            <w:tcW w:w="2250" w:type="dxa"/>
            <w:tcBorders>
              <w:top w:val="single" w:sz="4" w:space="0" w:color="196B24" w:themeColor="accent3"/>
              <w:left w:val="single" w:sz="4" w:space="0" w:color="196B24" w:themeColor="accent3"/>
              <w:bottom w:val="single" w:sz="4" w:space="0" w:color="196B24" w:themeColor="accent3"/>
              <w:right w:val="nil"/>
            </w:tcBorders>
            <w:hideMark/>
          </w:tcPr>
          <w:p w14:paraId="64F95669" w14:textId="77777777" w:rsidR="000437E0" w:rsidRDefault="000437E0">
            <w:pPr>
              <w:pStyle w:val="TableTextLeft"/>
            </w:pPr>
            <w:r>
              <w:t>145,846</w:t>
            </w:r>
          </w:p>
        </w:tc>
      </w:tr>
      <w:tr w:rsidR="000437E0" w14:paraId="4ACDE455" w14:textId="77777777" w:rsidTr="000437E0">
        <w:trPr>
          <w:trHeight w:val="120"/>
        </w:trPr>
        <w:tc>
          <w:tcPr>
            <w:tcW w:w="2250" w:type="dxa"/>
            <w:tcBorders>
              <w:top w:val="single" w:sz="4" w:space="0" w:color="196B24" w:themeColor="accent3"/>
              <w:left w:val="nil"/>
              <w:bottom w:val="single" w:sz="4" w:space="0" w:color="196B24" w:themeColor="accent3"/>
              <w:right w:val="single" w:sz="4" w:space="0" w:color="196B24" w:themeColor="accent3"/>
            </w:tcBorders>
            <w:hideMark/>
          </w:tcPr>
          <w:p w14:paraId="3A766AE4" w14:textId="77777777" w:rsidR="000437E0" w:rsidRDefault="000437E0">
            <w:pPr>
              <w:pStyle w:val="TableTextLeft"/>
            </w:pPr>
            <w:r>
              <w:t>Minimum GMCS score</w:t>
            </w:r>
          </w:p>
        </w:tc>
        <w:tc>
          <w:tcPr>
            <w:tcW w:w="1440"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vAlign w:val="bottom"/>
            <w:hideMark/>
          </w:tcPr>
          <w:p w14:paraId="6BEF7714" w14:textId="77777777" w:rsidR="000437E0" w:rsidRDefault="000437E0">
            <w:pPr>
              <w:pStyle w:val="TableTextLeft"/>
            </w:pPr>
            <w:r>
              <w:t>0.78</w:t>
            </w:r>
          </w:p>
        </w:tc>
        <w:tc>
          <w:tcPr>
            <w:tcW w:w="1710"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hideMark/>
          </w:tcPr>
          <w:p w14:paraId="5CB83AB1" w14:textId="77777777" w:rsidR="000437E0" w:rsidRDefault="000437E0">
            <w:pPr>
              <w:pStyle w:val="TableTextLeft"/>
            </w:pPr>
            <w:r>
              <w:t>83.7</w:t>
            </w:r>
          </w:p>
        </w:tc>
        <w:tc>
          <w:tcPr>
            <w:tcW w:w="1800"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hideMark/>
          </w:tcPr>
          <w:p w14:paraId="22B07F08" w14:textId="77777777" w:rsidR="000437E0" w:rsidRDefault="000437E0">
            <w:pPr>
              <w:pStyle w:val="TableTextLeft"/>
            </w:pPr>
            <w:r>
              <w:t>1</w:t>
            </w:r>
          </w:p>
        </w:tc>
        <w:tc>
          <w:tcPr>
            <w:tcW w:w="2250" w:type="dxa"/>
            <w:tcBorders>
              <w:top w:val="single" w:sz="4" w:space="0" w:color="196B24" w:themeColor="accent3"/>
              <w:left w:val="single" w:sz="4" w:space="0" w:color="196B24" w:themeColor="accent3"/>
              <w:bottom w:val="single" w:sz="4" w:space="0" w:color="196B24" w:themeColor="accent3"/>
              <w:right w:val="nil"/>
            </w:tcBorders>
            <w:hideMark/>
          </w:tcPr>
          <w:p w14:paraId="68060A81" w14:textId="77777777" w:rsidR="000437E0" w:rsidRDefault="000437E0">
            <w:pPr>
              <w:pStyle w:val="TableTextLeft"/>
            </w:pPr>
            <w:r>
              <w:t>310</w:t>
            </w:r>
          </w:p>
        </w:tc>
      </w:tr>
      <w:tr w:rsidR="000437E0" w14:paraId="0842322A" w14:textId="77777777" w:rsidTr="000437E0">
        <w:trPr>
          <w:trHeight w:val="120"/>
        </w:trPr>
        <w:tc>
          <w:tcPr>
            <w:tcW w:w="2250" w:type="dxa"/>
            <w:tcBorders>
              <w:top w:val="single" w:sz="4" w:space="0" w:color="196B24" w:themeColor="accent3"/>
              <w:left w:val="nil"/>
              <w:bottom w:val="single" w:sz="4" w:space="0" w:color="196B24" w:themeColor="accent3"/>
              <w:right w:val="single" w:sz="4" w:space="0" w:color="196B24" w:themeColor="accent3"/>
            </w:tcBorders>
            <w:hideMark/>
          </w:tcPr>
          <w:p w14:paraId="57BD792E" w14:textId="77777777" w:rsidR="000437E0" w:rsidRDefault="000437E0">
            <w:pPr>
              <w:pStyle w:val="TableTextLeft"/>
            </w:pPr>
            <w:r>
              <w:t>Decile 1 of GMCS scores</w:t>
            </w:r>
          </w:p>
        </w:tc>
        <w:tc>
          <w:tcPr>
            <w:tcW w:w="1440"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vAlign w:val="bottom"/>
            <w:hideMark/>
          </w:tcPr>
          <w:p w14:paraId="1ADEAD8F" w14:textId="77777777" w:rsidR="000437E0" w:rsidRDefault="000437E0">
            <w:pPr>
              <w:pStyle w:val="TableTextLeft"/>
            </w:pPr>
            <w:r>
              <w:t>0.82</w:t>
            </w:r>
          </w:p>
        </w:tc>
        <w:tc>
          <w:tcPr>
            <w:tcW w:w="1710"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hideMark/>
          </w:tcPr>
          <w:p w14:paraId="6BB5043D" w14:textId="77777777" w:rsidR="000437E0" w:rsidRDefault="000437E0">
            <w:pPr>
              <w:pStyle w:val="TableTextLeft"/>
            </w:pPr>
            <w:r>
              <w:t>84.0</w:t>
            </w:r>
          </w:p>
        </w:tc>
        <w:tc>
          <w:tcPr>
            <w:tcW w:w="1800"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hideMark/>
          </w:tcPr>
          <w:p w14:paraId="1A708855" w14:textId="77777777" w:rsidR="000437E0" w:rsidRDefault="000437E0">
            <w:pPr>
              <w:pStyle w:val="TableTextLeft"/>
            </w:pPr>
            <w:r>
              <w:t>3</w:t>
            </w:r>
          </w:p>
        </w:tc>
        <w:tc>
          <w:tcPr>
            <w:tcW w:w="2250" w:type="dxa"/>
            <w:tcBorders>
              <w:top w:val="single" w:sz="4" w:space="0" w:color="196B24" w:themeColor="accent3"/>
              <w:left w:val="single" w:sz="4" w:space="0" w:color="196B24" w:themeColor="accent3"/>
              <w:bottom w:val="single" w:sz="4" w:space="0" w:color="196B24" w:themeColor="accent3"/>
              <w:right w:val="nil"/>
            </w:tcBorders>
            <w:hideMark/>
          </w:tcPr>
          <w:p w14:paraId="6A2AD535" w14:textId="77777777" w:rsidR="000437E0" w:rsidRDefault="000437E0">
            <w:pPr>
              <w:pStyle w:val="TableTextLeft"/>
            </w:pPr>
            <w:r>
              <w:t>4,945</w:t>
            </w:r>
          </w:p>
        </w:tc>
      </w:tr>
      <w:tr w:rsidR="000437E0" w14:paraId="2D04AD66" w14:textId="77777777" w:rsidTr="000437E0">
        <w:trPr>
          <w:trHeight w:val="120"/>
        </w:trPr>
        <w:tc>
          <w:tcPr>
            <w:tcW w:w="2250" w:type="dxa"/>
            <w:tcBorders>
              <w:top w:val="single" w:sz="4" w:space="0" w:color="196B24" w:themeColor="accent3"/>
              <w:left w:val="nil"/>
              <w:bottom w:val="single" w:sz="4" w:space="0" w:color="196B24" w:themeColor="accent3"/>
              <w:right w:val="single" w:sz="4" w:space="0" w:color="196B24" w:themeColor="accent3"/>
            </w:tcBorders>
            <w:hideMark/>
          </w:tcPr>
          <w:p w14:paraId="6E8B3BEA" w14:textId="77777777" w:rsidR="000437E0" w:rsidRDefault="000437E0">
            <w:pPr>
              <w:pStyle w:val="TableTextLeft"/>
            </w:pPr>
            <w:r>
              <w:t>Decile 2 of GMCS scores</w:t>
            </w:r>
          </w:p>
        </w:tc>
        <w:tc>
          <w:tcPr>
            <w:tcW w:w="1440"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vAlign w:val="bottom"/>
            <w:hideMark/>
          </w:tcPr>
          <w:p w14:paraId="6E8664DC" w14:textId="77777777" w:rsidR="000437E0" w:rsidRDefault="000437E0">
            <w:pPr>
              <w:pStyle w:val="TableTextLeft"/>
            </w:pPr>
            <w:r>
              <w:t>0.93</w:t>
            </w:r>
          </w:p>
        </w:tc>
        <w:tc>
          <w:tcPr>
            <w:tcW w:w="1710"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hideMark/>
          </w:tcPr>
          <w:p w14:paraId="34D838A5" w14:textId="77777777" w:rsidR="000437E0" w:rsidRDefault="000437E0">
            <w:pPr>
              <w:pStyle w:val="TableTextLeft"/>
            </w:pPr>
            <w:r>
              <w:t>86.1</w:t>
            </w:r>
          </w:p>
        </w:tc>
        <w:tc>
          <w:tcPr>
            <w:tcW w:w="1800"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hideMark/>
          </w:tcPr>
          <w:p w14:paraId="6601DAFF" w14:textId="77777777" w:rsidR="000437E0" w:rsidRDefault="000437E0">
            <w:pPr>
              <w:pStyle w:val="TableTextLeft"/>
            </w:pPr>
            <w:r>
              <w:t>3</w:t>
            </w:r>
          </w:p>
        </w:tc>
        <w:tc>
          <w:tcPr>
            <w:tcW w:w="2250" w:type="dxa"/>
            <w:tcBorders>
              <w:top w:val="single" w:sz="4" w:space="0" w:color="196B24" w:themeColor="accent3"/>
              <w:left w:val="single" w:sz="4" w:space="0" w:color="196B24" w:themeColor="accent3"/>
              <w:bottom w:val="single" w:sz="4" w:space="0" w:color="196B24" w:themeColor="accent3"/>
              <w:right w:val="nil"/>
            </w:tcBorders>
            <w:hideMark/>
          </w:tcPr>
          <w:p w14:paraId="703B464B" w14:textId="77777777" w:rsidR="000437E0" w:rsidRDefault="000437E0">
            <w:pPr>
              <w:pStyle w:val="TableTextLeft"/>
            </w:pPr>
            <w:r>
              <w:t>8,644</w:t>
            </w:r>
          </w:p>
        </w:tc>
      </w:tr>
      <w:tr w:rsidR="000437E0" w14:paraId="4A1C674A" w14:textId="77777777" w:rsidTr="000437E0">
        <w:trPr>
          <w:trHeight w:val="120"/>
        </w:trPr>
        <w:tc>
          <w:tcPr>
            <w:tcW w:w="2250" w:type="dxa"/>
            <w:tcBorders>
              <w:top w:val="single" w:sz="4" w:space="0" w:color="196B24" w:themeColor="accent3"/>
              <w:left w:val="nil"/>
              <w:bottom w:val="single" w:sz="4" w:space="0" w:color="196B24" w:themeColor="accent3"/>
              <w:right w:val="single" w:sz="4" w:space="0" w:color="196B24" w:themeColor="accent3"/>
            </w:tcBorders>
            <w:hideMark/>
          </w:tcPr>
          <w:p w14:paraId="277CE92A" w14:textId="77777777" w:rsidR="000437E0" w:rsidRDefault="000437E0">
            <w:pPr>
              <w:pStyle w:val="TableTextLeft"/>
            </w:pPr>
            <w:r>
              <w:t>Decile 3 of GMCS scores</w:t>
            </w:r>
          </w:p>
        </w:tc>
        <w:tc>
          <w:tcPr>
            <w:tcW w:w="1440"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vAlign w:val="bottom"/>
            <w:hideMark/>
          </w:tcPr>
          <w:p w14:paraId="7E09B231" w14:textId="77777777" w:rsidR="000437E0" w:rsidRDefault="000437E0">
            <w:pPr>
              <w:pStyle w:val="TableTextLeft"/>
            </w:pPr>
            <w:r>
              <w:t>0.95</w:t>
            </w:r>
          </w:p>
        </w:tc>
        <w:tc>
          <w:tcPr>
            <w:tcW w:w="1710"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hideMark/>
          </w:tcPr>
          <w:p w14:paraId="5505FC02" w14:textId="77777777" w:rsidR="000437E0" w:rsidRDefault="000437E0">
            <w:pPr>
              <w:pStyle w:val="TableTextLeft"/>
            </w:pPr>
            <w:r>
              <w:t>87.9</w:t>
            </w:r>
          </w:p>
        </w:tc>
        <w:tc>
          <w:tcPr>
            <w:tcW w:w="1800"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hideMark/>
          </w:tcPr>
          <w:p w14:paraId="61A1BC74" w14:textId="77777777" w:rsidR="000437E0" w:rsidRDefault="000437E0">
            <w:pPr>
              <w:pStyle w:val="TableTextLeft"/>
            </w:pPr>
            <w:r>
              <w:t>3</w:t>
            </w:r>
          </w:p>
        </w:tc>
        <w:tc>
          <w:tcPr>
            <w:tcW w:w="2250" w:type="dxa"/>
            <w:tcBorders>
              <w:top w:val="single" w:sz="4" w:space="0" w:color="196B24" w:themeColor="accent3"/>
              <w:left w:val="single" w:sz="4" w:space="0" w:color="196B24" w:themeColor="accent3"/>
              <w:bottom w:val="single" w:sz="4" w:space="0" w:color="196B24" w:themeColor="accent3"/>
              <w:right w:val="nil"/>
            </w:tcBorders>
            <w:hideMark/>
          </w:tcPr>
          <w:p w14:paraId="14C7A548" w14:textId="77777777" w:rsidR="000437E0" w:rsidRDefault="000437E0">
            <w:pPr>
              <w:pStyle w:val="TableTextLeft"/>
            </w:pPr>
            <w:r>
              <w:t>10,299</w:t>
            </w:r>
          </w:p>
        </w:tc>
      </w:tr>
      <w:tr w:rsidR="000437E0" w14:paraId="7A280336" w14:textId="77777777" w:rsidTr="000437E0">
        <w:trPr>
          <w:trHeight w:val="120"/>
        </w:trPr>
        <w:tc>
          <w:tcPr>
            <w:tcW w:w="2250" w:type="dxa"/>
            <w:tcBorders>
              <w:top w:val="single" w:sz="4" w:space="0" w:color="196B24" w:themeColor="accent3"/>
              <w:left w:val="nil"/>
              <w:bottom w:val="single" w:sz="4" w:space="0" w:color="196B24" w:themeColor="accent3"/>
              <w:right w:val="single" w:sz="4" w:space="0" w:color="196B24" w:themeColor="accent3"/>
            </w:tcBorders>
            <w:hideMark/>
          </w:tcPr>
          <w:p w14:paraId="3EB35B33" w14:textId="77777777" w:rsidR="000437E0" w:rsidRDefault="000437E0">
            <w:pPr>
              <w:pStyle w:val="TableTextLeft"/>
            </w:pPr>
            <w:r>
              <w:t>Decile 4 of GMCS scores</w:t>
            </w:r>
          </w:p>
        </w:tc>
        <w:tc>
          <w:tcPr>
            <w:tcW w:w="1440"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vAlign w:val="bottom"/>
            <w:hideMark/>
          </w:tcPr>
          <w:p w14:paraId="01BE7ACA" w14:textId="77777777" w:rsidR="000437E0" w:rsidRDefault="000437E0">
            <w:pPr>
              <w:pStyle w:val="TableTextLeft"/>
            </w:pPr>
            <w:r>
              <w:t>0.97</w:t>
            </w:r>
          </w:p>
        </w:tc>
        <w:tc>
          <w:tcPr>
            <w:tcW w:w="1710"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hideMark/>
          </w:tcPr>
          <w:p w14:paraId="037940E6" w14:textId="77777777" w:rsidR="000437E0" w:rsidRDefault="000437E0">
            <w:pPr>
              <w:pStyle w:val="TableTextLeft"/>
            </w:pPr>
            <w:r>
              <w:t>88.8</w:t>
            </w:r>
          </w:p>
        </w:tc>
        <w:tc>
          <w:tcPr>
            <w:tcW w:w="1800"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hideMark/>
          </w:tcPr>
          <w:p w14:paraId="5DBB5CCB" w14:textId="77777777" w:rsidR="000437E0" w:rsidRDefault="000437E0">
            <w:pPr>
              <w:pStyle w:val="TableTextLeft"/>
            </w:pPr>
            <w:r>
              <w:t>2</w:t>
            </w:r>
          </w:p>
        </w:tc>
        <w:tc>
          <w:tcPr>
            <w:tcW w:w="2250" w:type="dxa"/>
            <w:tcBorders>
              <w:top w:val="single" w:sz="4" w:space="0" w:color="196B24" w:themeColor="accent3"/>
              <w:left w:val="single" w:sz="4" w:space="0" w:color="196B24" w:themeColor="accent3"/>
              <w:bottom w:val="single" w:sz="4" w:space="0" w:color="196B24" w:themeColor="accent3"/>
              <w:right w:val="nil"/>
            </w:tcBorders>
            <w:hideMark/>
          </w:tcPr>
          <w:p w14:paraId="77E3D324" w14:textId="77777777" w:rsidR="000437E0" w:rsidRDefault="000437E0">
            <w:pPr>
              <w:pStyle w:val="TableTextLeft"/>
            </w:pPr>
            <w:r>
              <w:t>5,724</w:t>
            </w:r>
          </w:p>
        </w:tc>
      </w:tr>
      <w:tr w:rsidR="000437E0" w14:paraId="530995F9" w14:textId="77777777" w:rsidTr="000437E0">
        <w:trPr>
          <w:trHeight w:val="120"/>
        </w:trPr>
        <w:tc>
          <w:tcPr>
            <w:tcW w:w="2250" w:type="dxa"/>
            <w:tcBorders>
              <w:top w:val="single" w:sz="4" w:space="0" w:color="196B24" w:themeColor="accent3"/>
              <w:left w:val="nil"/>
              <w:bottom w:val="single" w:sz="4" w:space="0" w:color="196B24" w:themeColor="accent3"/>
              <w:right w:val="single" w:sz="4" w:space="0" w:color="196B24" w:themeColor="accent3"/>
            </w:tcBorders>
            <w:hideMark/>
          </w:tcPr>
          <w:p w14:paraId="6C1027A0" w14:textId="77777777" w:rsidR="000437E0" w:rsidRDefault="000437E0">
            <w:pPr>
              <w:pStyle w:val="TableTextLeft"/>
            </w:pPr>
            <w:r>
              <w:t>Decile 5 of GMCS scores</w:t>
            </w:r>
          </w:p>
        </w:tc>
        <w:tc>
          <w:tcPr>
            <w:tcW w:w="1440"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vAlign w:val="bottom"/>
            <w:hideMark/>
          </w:tcPr>
          <w:p w14:paraId="42CD0C74" w14:textId="77777777" w:rsidR="000437E0" w:rsidRDefault="000437E0">
            <w:pPr>
              <w:pStyle w:val="TableTextLeft"/>
            </w:pPr>
            <w:r>
              <w:t>0.98</w:t>
            </w:r>
          </w:p>
        </w:tc>
        <w:tc>
          <w:tcPr>
            <w:tcW w:w="1710"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hideMark/>
          </w:tcPr>
          <w:p w14:paraId="4F638433" w14:textId="77777777" w:rsidR="000437E0" w:rsidRDefault="000437E0">
            <w:pPr>
              <w:pStyle w:val="TableTextLeft"/>
            </w:pPr>
            <w:r>
              <w:t>89.5</w:t>
            </w:r>
          </w:p>
        </w:tc>
        <w:tc>
          <w:tcPr>
            <w:tcW w:w="1800"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hideMark/>
          </w:tcPr>
          <w:p w14:paraId="37D36C00" w14:textId="77777777" w:rsidR="000437E0" w:rsidRDefault="000437E0">
            <w:pPr>
              <w:pStyle w:val="TableTextLeft"/>
            </w:pPr>
            <w:r>
              <w:t>3</w:t>
            </w:r>
          </w:p>
        </w:tc>
        <w:tc>
          <w:tcPr>
            <w:tcW w:w="2250" w:type="dxa"/>
            <w:tcBorders>
              <w:top w:val="single" w:sz="4" w:space="0" w:color="196B24" w:themeColor="accent3"/>
              <w:left w:val="single" w:sz="4" w:space="0" w:color="196B24" w:themeColor="accent3"/>
              <w:bottom w:val="single" w:sz="4" w:space="0" w:color="196B24" w:themeColor="accent3"/>
              <w:right w:val="nil"/>
            </w:tcBorders>
            <w:hideMark/>
          </w:tcPr>
          <w:p w14:paraId="44E2FCD0" w14:textId="77777777" w:rsidR="000437E0" w:rsidRDefault="000437E0">
            <w:pPr>
              <w:pStyle w:val="TableTextLeft"/>
            </w:pPr>
            <w:r>
              <w:t>11,824</w:t>
            </w:r>
          </w:p>
        </w:tc>
      </w:tr>
      <w:tr w:rsidR="000437E0" w14:paraId="005AB4BB" w14:textId="77777777" w:rsidTr="000437E0">
        <w:trPr>
          <w:trHeight w:val="120"/>
        </w:trPr>
        <w:tc>
          <w:tcPr>
            <w:tcW w:w="2250" w:type="dxa"/>
            <w:tcBorders>
              <w:top w:val="single" w:sz="4" w:space="0" w:color="196B24" w:themeColor="accent3"/>
              <w:left w:val="nil"/>
              <w:bottom w:val="single" w:sz="4" w:space="0" w:color="196B24" w:themeColor="accent3"/>
              <w:right w:val="single" w:sz="4" w:space="0" w:color="196B24" w:themeColor="accent3"/>
            </w:tcBorders>
            <w:hideMark/>
          </w:tcPr>
          <w:p w14:paraId="31CB4634" w14:textId="77777777" w:rsidR="000437E0" w:rsidRDefault="000437E0">
            <w:pPr>
              <w:pStyle w:val="TableTextLeft"/>
            </w:pPr>
            <w:r>
              <w:t>Decile 6 of GMCS scores</w:t>
            </w:r>
          </w:p>
        </w:tc>
        <w:tc>
          <w:tcPr>
            <w:tcW w:w="1440"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vAlign w:val="bottom"/>
            <w:hideMark/>
          </w:tcPr>
          <w:p w14:paraId="5E50FD13" w14:textId="77777777" w:rsidR="000437E0" w:rsidRDefault="000437E0">
            <w:pPr>
              <w:pStyle w:val="TableTextLeft"/>
            </w:pPr>
            <w:r>
              <w:t>0.99</w:t>
            </w:r>
          </w:p>
        </w:tc>
        <w:tc>
          <w:tcPr>
            <w:tcW w:w="1710"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hideMark/>
          </w:tcPr>
          <w:p w14:paraId="6409A6FB" w14:textId="77777777" w:rsidR="000437E0" w:rsidRDefault="000437E0">
            <w:pPr>
              <w:pStyle w:val="TableTextLeft"/>
            </w:pPr>
            <w:r>
              <w:t>90.5</w:t>
            </w:r>
          </w:p>
        </w:tc>
        <w:tc>
          <w:tcPr>
            <w:tcW w:w="1800"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hideMark/>
          </w:tcPr>
          <w:p w14:paraId="6157C64B" w14:textId="77777777" w:rsidR="000437E0" w:rsidRDefault="000437E0">
            <w:pPr>
              <w:pStyle w:val="TableTextLeft"/>
            </w:pPr>
            <w:r>
              <w:t>3</w:t>
            </w:r>
          </w:p>
        </w:tc>
        <w:tc>
          <w:tcPr>
            <w:tcW w:w="2250" w:type="dxa"/>
            <w:tcBorders>
              <w:top w:val="single" w:sz="4" w:space="0" w:color="196B24" w:themeColor="accent3"/>
              <w:left w:val="single" w:sz="4" w:space="0" w:color="196B24" w:themeColor="accent3"/>
              <w:bottom w:val="single" w:sz="4" w:space="0" w:color="196B24" w:themeColor="accent3"/>
              <w:right w:val="nil"/>
            </w:tcBorders>
            <w:hideMark/>
          </w:tcPr>
          <w:p w14:paraId="7F5F26A6" w14:textId="77777777" w:rsidR="000437E0" w:rsidRDefault="000437E0">
            <w:pPr>
              <w:pStyle w:val="TableTextLeft"/>
            </w:pPr>
            <w:r>
              <w:t>33,921</w:t>
            </w:r>
          </w:p>
        </w:tc>
      </w:tr>
      <w:tr w:rsidR="000437E0" w14:paraId="15C4AC82" w14:textId="77777777" w:rsidTr="000437E0">
        <w:trPr>
          <w:trHeight w:val="120"/>
        </w:trPr>
        <w:tc>
          <w:tcPr>
            <w:tcW w:w="2250" w:type="dxa"/>
            <w:tcBorders>
              <w:top w:val="single" w:sz="4" w:space="0" w:color="196B24" w:themeColor="accent3"/>
              <w:left w:val="nil"/>
              <w:bottom w:val="single" w:sz="4" w:space="0" w:color="196B24" w:themeColor="accent3"/>
              <w:right w:val="single" w:sz="4" w:space="0" w:color="196B24" w:themeColor="accent3"/>
            </w:tcBorders>
            <w:hideMark/>
          </w:tcPr>
          <w:p w14:paraId="32D41851" w14:textId="77777777" w:rsidR="000437E0" w:rsidRDefault="000437E0">
            <w:pPr>
              <w:pStyle w:val="TableTextLeft"/>
            </w:pPr>
            <w:r>
              <w:t>Decile 7 of GMCS scores</w:t>
            </w:r>
          </w:p>
        </w:tc>
        <w:tc>
          <w:tcPr>
            <w:tcW w:w="1440"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vAlign w:val="bottom"/>
            <w:hideMark/>
          </w:tcPr>
          <w:p w14:paraId="0DB59F9E" w14:textId="77777777" w:rsidR="000437E0" w:rsidRDefault="000437E0">
            <w:pPr>
              <w:pStyle w:val="TableTextLeft"/>
            </w:pPr>
            <w:r>
              <w:t>1.00</w:t>
            </w:r>
          </w:p>
        </w:tc>
        <w:tc>
          <w:tcPr>
            <w:tcW w:w="1710"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hideMark/>
          </w:tcPr>
          <w:p w14:paraId="0BB91724" w14:textId="77777777" w:rsidR="000437E0" w:rsidRDefault="000437E0">
            <w:pPr>
              <w:pStyle w:val="TableTextLeft"/>
            </w:pPr>
            <w:r>
              <w:t>91.8</w:t>
            </w:r>
          </w:p>
        </w:tc>
        <w:tc>
          <w:tcPr>
            <w:tcW w:w="1800"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hideMark/>
          </w:tcPr>
          <w:p w14:paraId="56B97008" w14:textId="77777777" w:rsidR="000437E0" w:rsidRDefault="000437E0">
            <w:pPr>
              <w:pStyle w:val="TableTextLeft"/>
            </w:pPr>
            <w:r>
              <w:t>2</w:t>
            </w:r>
          </w:p>
        </w:tc>
        <w:tc>
          <w:tcPr>
            <w:tcW w:w="2250" w:type="dxa"/>
            <w:tcBorders>
              <w:top w:val="single" w:sz="4" w:space="0" w:color="196B24" w:themeColor="accent3"/>
              <w:left w:val="single" w:sz="4" w:space="0" w:color="196B24" w:themeColor="accent3"/>
              <w:bottom w:val="single" w:sz="4" w:space="0" w:color="196B24" w:themeColor="accent3"/>
              <w:right w:val="nil"/>
            </w:tcBorders>
            <w:hideMark/>
          </w:tcPr>
          <w:p w14:paraId="230BC657" w14:textId="77777777" w:rsidR="000437E0" w:rsidRDefault="000437E0">
            <w:pPr>
              <w:pStyle w:val="TableTextLeft"/>
            </w:pPr>
            <w:r>
              <w:t>19,748</w:t>
            </w:r>
          </w:p>
        </w:tc>
      </w:tr>
      <w:tr w:rsidR="000437E0" w14:paraId="577C103B" w14:textId="77777777" w:rsidTr="000437E0">
        <w:trPr>
          <w:trHeight w:val="120"/>
        </w:trPr>
        <w:tc>
          <w:tcPr>
            <w:tcW w:w="2250" w:type="dxa"/>
            <w:tcBorders>
              <w:top w:val="single" w:sz="4" w:space="0" w:color="196B24" w:themeColor="accent3"/>
              <w:left w:val="nil"/>
              <w:bottom w:val="single" w:sz="4" w:space="0" w:color="196B24" w:themeColor="accent3"/>
              <w:right w:val="single" w:sz="4" w:space="0" w:color="196B24" w:themeColor="accent3"/>
            </w:tcBorders>
            <w:hideMark/>
          </w:tcPr>
          <w:p w14:paraId="351AB3D8" w14:textId="77777777" w:rsidR="000437E0" w:rsidRDefault="000437E0">
            <w:pPr>
              <w:pStyle w:val="TableTextLeft"/>
            </w:pPr>
            <w:r>
              <w:t>Decile 8 of GMCS scores</w:t>
            </w:r>
          </w:p>
        </w:tc>
        <w:tc>
          <w:tcPr>
            <w:tcW w:w="1440"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vAlign w:val="bottom"/>
            <w:hideMark/>
          </w:tcPr>
          <w:p w14:paraId="5C723D49" w14:textId="77777777" w:rsidR="000437E0" w:rsidRDefault="000437E0">
            <w:pPr>
              <w:pStyle w:val="TableTextLeft"/>
            </w:pPr>
            <w:r>
              <w:t>0.99</w:t>
            </w:r>
          </w:p>
        </w:tc>
        <w:tc>
          <w:tcPr>
            <w:tcW w:w="1710"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hideMark/>
          </w:tcPr>
          <w:p w14:paraId="25A5EEDD" w14:textId="77777777" w:rsidR="000437E0" w:rsidRDefault="000437E0">
            <w:pPr>
              <w:pStyle w:val="TableTextLeft"/>
            </w:pPr>
            <w:r>
              <w:t>92.6</w:t>
            </w:r>
          </w:p>
        </w:tc>
        <w:tc>
          <w:tcPr>
            <w:tcW w:w="1800"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hideMark/>
          </w:tcPr>
          <w:p w14:paraId="69C969DA" w14:textId="77777777" w:rsidR="000437E0" w:rsidRDefault="000437E0">
            <w:pPr>
              <w:pStyle w:val="TableTextLeft"/>
            </w:pPr>
            <w:r>
              <w:t>3</w:t>
            </w:r>
          </w:p>
        </w:tc>
        <w:tc>
          <w:tcPr>
            <w:tcW w:w="2250" w:type="dxa"/>
            <w:tcBorders>
              <w:top w:val="single" w:sz="4" w:space="0" w:color="196B24" w:themeColor="accent3"/>
              <w:left w:val="single" w:sz="4" w:space="0" w:color="196B24" w:themeColor="accent3"/>
              <w:bottom w:val="single" w:sz="4" w:space="0" w:color="196B24" w:themeColor="accent3"/>
              <w:right w:val="nil"/>
            </w:tcBorders>
            <w:hideMark/>
          </w:tcPr>
          <w:p w14:paraId="6EEEBAAA" w14:textId="77777777" w:rsidR="000437E0" w:rsidRDefault="000437E0">
            <w:pPr>
              <w:pStyle w:val="TableTextLeft"/>
            </w:pPr>
            <w:r>
              <w:t>13,118</w:t>
            </w:r>
          </w:p>
        </w:tc>
      </w:tr>
      <w:tr w:rsidR="000437E0" w14:paraId="2714DC26" w14:textId="77777777" w:rsidTr="000437E0">
        <w:trPr>
          <w:trHeight w:val="120"/>
        </w:trPr>
        <w:tc>
          <w:tcPr>
            <w:tcW w:w="2250" w:type="dxa"/>
            <w:tcBorders>
              <w:top w:val="single" w:sz="4" w:space="0" w:color="196B24" w:themeColor="accent3"/>
              <w:left w:val="nil"/>
              <w:bottom w:val="single" w:sz="4" w:space="0" w:color="196B24" w:themeColor="accent3"/>
              <w:right w:val="single" w:sz="4" w:space="0" w:color="196B24" w:themeColor="accent3"/>
            </w:tcBorders>
            <w:hideMark/>
          </w:tcPr>
          <w:p w14:paraId="4D8786AB" w14:textId="77777777" w:rsidR="000437E0" w:rsidRDefault="000437E0">
            <w:pPr>
              <w:pStyle w:val="TableTextLeft"/>
            </w:pPr>
            <w:r>
              <w:lastRenderedPageBreak/>
              <w:t>Decile 9 of GMCS scores</w:t>
            </w:r>
          </w:p>
        </w:tc>
        <w:tc>
          <w:tcPr>
            <w:tcW w:w="1440"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vAlign w:val="bottom"/>
            <w:hideMark/>
          </w:tcPr>
          <w:p w14:paraId="634622CA" w14:textId="77777777" w:rsidR="000437E0" w:rsidRDefault="000437E0">
            <w:pPr>
              <w:pStyle w:val="TableTextLeft"/>
            </w:pPr>
            <w:r>
              <w:t>0.97</w:t>
            </w:r>
          </w:p>
        </w:tc>
        <w:tc>
          <w:tcPr>
            <w:tcW w:w="1710"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hideMark/>
          </w:tcPr>
          <w:p w14:paraId="14B182F7" w14:textId="77777777" w:rsidR="000437E0" w:rsidRDefault="000437E0">
            <w:pPr>
              <w:pStyle w:val="TableTextLeft"/>
            </w:pPr>
            <w:r>
              <w:t>94.2</w:t>
            </w:r>
          </w:p>
        </w:tc>
        <w:tc>
          <w:tcPr>
            <w:tcW w:w="1800"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hideMark/>
          </w:tcPr>
          <w:p w14:paraId="78FA0090" w14:textId="77777777" w:rsidR="000437E0" w:rsidRDefault="000437E0">
            <w:pPr>
              <w:pStyle w:val="TableTextLeft"/>
            </w:pPr>
            <w:r>
              <w:t>3</w:t>
            </w:r>
          </w:p>
        </w:tc>
        <w:tc>
          <w:tcPr>
            <w:tcW w:w="2250" w:type="dxa"/>
            <w:tcBorders>
              <w:top w:val="single" w:sz="4" w:space="0" w:color="196B24" w:themeColor="accent3"/>
              <w:left w:val="single" w:sz="4" w:space="0" w:color="196B24" w:themeColor="accent3"/>
              <w:bottom w:val="single" w:sz="4" w:space="0" w:color="196B24" w:themeColor="accent3"/>
              <w:right w:val="nil"/>
            </w:tcBorders>
            <w:hideMark/>
          </w:tcPr>
          <w:p w14:paraId="29F4956A" w14:textId="77777777" w:rsidR="000437E0" w:rsidRDefault="000437E0">
            <w:pPr>
              <w:pStyle w:val="TableTextLeft"/>
            </w:pPr>
            <w:r>
              <w:t>9,877</w:t>
            </w:r>
          </w:p>
        </w:tc>
      </w:tr>
      <w:tr w:rsidR="000437E0" w14:paraId="2AA5F378" w14:textId="77777777" w:rsidTr="000437E0">
        <w:trPr>
          <w:trHeight w:val="120"/>
        </w:trPr>
        <w:tc>
          <w:tcPr>
            <w:tcW w:w="2250" w:type="dxa"/>
            <w:tcBorders>
              <w:top w:val="single" w:sz="4" w:space="0" w:color="196B24" w:themeColor="accent3"/>
              <w:left w:val="nil"/>
              <w:bottom w:val="single" w:sz="4" w:space="0" w:color="196B24" w:themeColor="accent3"/>
              <w:right w:val="single" w:sz="4" w:space="0" w:color="196B24" w:themeColor="accent3"/>
            </w:tcBorders>
            <w:hideMark/>
          </w:tcPr>
          <w:p w14:paraId="664E7312" w14:textId="77777777" w:rsidR="000437E0" w:rsidRDefault="000437E0">
            <w:pPr>
              <w:pStyle w:val="TableTextLeft"/>
            </w:pPr>
            <w:r>
              <w:t>Decile 10 of GMCS scores</w:t>
            </w:r>
          </w:p>
        </w:tc>
        <w:tc>
          <w:tcPr>
            <w:tcW w:w="1440"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vAlign w:val="bottom"/>
            <w:hideMark/>
          </w:tcPr>
          <w:p w14:paraId="6AA16E80" w14:textId="77777777" w:rsidR="000437E0" w:rsidRDefault="000437E0">
            <w:pPr>
              <w:pStyle w:val="TableTextLeft"/>
            </w:pPr>
            <w:r>
              <w:t>1.00</w:t>
            </w:r>
          </w:p>
        </w:tc>
        <w:tc>
          <w:tcPr>
            <w:tcW w:w="1710"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hideMark/>
          </w:tcPr>
          <w:p w14:paraId="4E191318" w14:textId="77777777" w:rsidR="000437E0" w:rsidRDefault="000437E0">
            <w:pPr>
              <w:pStyle w:val="TableTextLeft"/>
            </w:pPr>
            <w:r>
              <w:t>98.0</w:t>
            </w:r>
          </w:p>
        </w:tc>
        <w:tc>
          <w:tcPr>
            <w:tcW w:w="1800"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hideMark/>
          </w:tcPr>
          <w:p w14:paraId="32FE5D75" w14:textId="77777777" w:rsidR="000437E0" w:rsidRDefault="000437E0">
            <w:pPr>
              <w:pStyle w:val="TableTextLeft"/>
            </w:pPr>
            <w:r>
              <w:t>3</w:t>
            </w:r>
          </w:p>
        </w:tc>
        <w:tc>
          <w:tcPr>
            <w:tcW w:w="2250" w:type="dxa"/>
            <w:tcBorders>
              <w:top w:val="single" w:sz="4" w:space="0" w:color="196B24" w:themeColor="accent3"/>
              <w:left w:val="single" w:sz="4" w:space="0" w:color="196B24" w:themeColor="accent3"/>
              <w:bottom w:val="single" w:sz="4" w:space="0" w:color="196B24" w:themeColor="accent3"/>
              <w:right w:val="nil"/>
            </w:tcBorders>
            <w:hideMark/>
          </w:tcPr>
          <w:p w14:paraId="63540DE5" w14:textId="77777777" w:rsidR="000437E0" w:rsidRDefault="000437E0">
            <w:pPr>
              <w:pStyle w:val="TableTextLeft"/>
            </w:pPr>
            <w:r>
              <w:t>27,746</w:t>
            </w:r>
          </w:p>
        </w:tc>
      </w:tr>
      <w:tr w:rsidR="000437E0" w14:paraId="02276CD9" w14:textId="77777777" w:rsidTr="000437E0">
        <w:trPr>
          <w:trHeight w:val="120"/>
        </w:trPr>
        <w:tc>
          <w:tcPr>
            <w:tcW w:w="2250" w:type="dxa"/>
            <w:tcBorders>
              <w:top w:val="single" w:sz="4" w:space="0" w:color="196B24" w:themeColor="accent3"/>
              <w:left w:val="nil"/>
              <w:bottom w:val="single" w:sz="4" w:space="0" w:color="0E2841" w:themeColor="text2"/>
              <w:right w:val="single" w:sz="4" w:space="0" w:color="196B24" w:themeColor="accent3"/>
            </w:tcBorders>
            <w:hideMark/>
          </w:tcPr>
          <w:p w14:paraId="3B79FDF0" w14:textId="77777777" w:rsidR="000437E0" w:rsidRDefault="000437E0">
            <w:pPr>
              <w:pStyle w:val="TableTextLeft"/>
            </w:pPr>
            <w:r>
              <w:t>Maximum GMCS score</w:t>
            </w:r>
          </w:p>
        </w:tc>
        <w:tc>
          <w:tcPr>
            <w:tcW w:w="1440" w:type="dxa"/>
            <w:tcBorders>
              <w:top w:val="single" w:sz="4" w:space="0" w:color="196B24" w:themeColor="accent3"/>
              <w:left w:val="single" w:sz="4" w:space="0" w:color="196B24" w:themeColor="accent3"/>
              <w:bottom w:val="single" w:sz="4" w:space="0" w:color="0E2841" w:themeColor="text2"/>
              <w:right w:val="single" w:sz="4" w:space="0" w:color="196B24" w:themeColor="accent3"/>
            </w:tcBorders>
            <w:vAlign w:val="bottom"/>
            <w:hideMark/>
          </w:tcPr>
          <w:p w14:paraId="520FB4A2" w14:textId="77777777" w:rsidR="000437E0" w:rsidRDefault="000437E0">
            <w:pPr>
              <w:pStyle w:val="TableTextLeft"/>
            </w:pPr>
            <w:r>
              <w:t>1.00</w:t>
            </w:r>
          </w:p>
        </w:tc>
        <w:tc>
          <w:tcPr>
            <w:tcW w:w="1710" w:type="dxa"/>
            <w:tcBorders>
              <w:top w:val="single" w:sz="4" w:space="0" w:color="196B24" w:themeColor="accent3"/>
              <w:left w:val="single" w:sz="4" w:space="0" w:color="196B24" w:themeColor="accent3"/>
              <w:bottom w:val="single" w:sz="4" w:space="0" w:color="0E2841" w:themeColor="text2"/>
              <w:right w:val="single" w:sz="4" w:space="0" w:color="196B24" w:themeColor="accent3"/>
            </w:tcBorders>
            <w:hideMark/>
          </w:tcPr>
          <w:p w14:paraId="3F917987" w14:textId="77777777" w:rsidR="000437E0" w:rsidRDefault="000437E0">
            <w:pPr>
              <w:pStyle w:val="TableTextLeft"/>
            </w:pPr>
            <w:r>
              <w:t>98.2</w:t>
            </w:r>
          </w:p>
        </w:tc>
        <w:tc>
          <w:tcPr>
            <w:tcW w:w="1800" w:type="dxa"/>
            <w:tcBorders>
              <w:top w:val="single" w:sz="4" w:space="0" w:color="196B24" w:themeColor="accent3"/>
              <w:left w:val="single" w:sz="4" w:space="0" w:color="196B24" w:themeColor="accent3"/>
              <w:bottom w:val="single" w:sz="4" w:space="0" w:color="0E2841" w:themeColor="text2"/>
              <w:right w:val="single" w:sz="4" w:space="0" w:color="196B24" w:themeColor="accent3"/>
            </w:tcBorders>
            <w:hideMark/>
          </w:tcPr>
          <w:p w14:paraId="4AEFFF3E" w14:textId="77777777" w:rsidR="000437E0" w:rsidRDefault="000437E0">
            <w:pPr>
              <w:pStyle w:val="TableTextLeft"/>
            </w:pPr>
            <w:r>
              <w:t>1</w:t>
            </w:r>
          </w:p>
        </w:tc>
        <w:tc>
          <w:tcPr>
            <w:tcW w:w="2250" w:type="dxa"/>
            <w:tcBorders>
              <w:top w:val="single" w:sz="4" w:space="0" w:color="196B24" w:themeColor="accent3"/>
              <w:left w:val="single" w:sz="4" w:space="0" w:color="196B24" w:themeColor="accent3"/>
              <w:bottom w:val="single" w:sz="4" w:space="0" w:color="0E2841" w:themeColor="text2"/>
              <w:right w:val="nil"/>
            </w:tcBorders>
            <w:hideMark/>
          </w:tcPr>
          <w:p w14:paraId="741FC723" w14:textId="77777777" w:rsidR="000437E0" w:rsidRDefault="000437E0">
            <w:pPr>
              <w:pStyle w:val="TableTextLeft"/>
            </w:pPr>
            <w:r>
              <w:t>6,304</w:t>
            </w:r>
          </w:p>
        </w:tc>
      </w:tr>
    </w:tbl>
    <w:p w14:paraId="3D87804C" w14:textId="77777777" w:rsidR="000437E0" w:rsidRDefault="000437E0" w:rsidP="000437E0">
      <w:pPr>
        <w:pStyle w:val="ExhibitSource"/>
        <w:tabs>
          <w:tab w:val="left" w:pos="540"/>
        </w:tabs>
        <w:ind w:left="540" w:hanging="540"/>
      </w:pPr>
      <w:r>
        <w:t>Source: Mathematica analysis of the test-site data provided by Avalere Health and the Academy of Nutrition and Dietetics (N=28 facilities)</w:t>
      </w:r>
    </w:p>
    <w:p w14:paraId="1251B7AF" w14:textId="77777777" w:rsidR="000437E0" w:rsidRDefault="000437E0" w:rsidP="000437E0">
      <w:pPr>
        <w:pStyle w:val="H3"/>
        <w:numPr>
          <w:ilvl w:val="0"/>
          <w:numId w:val="4"/>
        </w:numPr>
      </w:pPr>
      <w:r>
        <w:t>Test-retest reliability</w:t>
      </w:r>
    </w:p>
    <w:p w14:paraId="64007769" w14:textId="3D9850C1" w:rsidR="000437E0" w:rsidRDefault="000437E0" w:rsidP="000437E0">
      <w:pPr>
        <w:pStyle w:val="Paragraph"/>
      </w:pPr>
      <w:r>
        <w:t>Table IX.4 shows the summary statistics of the test-retest reliability coefficients across the 500 bootstrap sample pairs. Spearman’s correlation averaged at 0.97 and ranged from 0.91 to 0.99, and the ICC averaged at 0.96 and ranged from 0.83 to 0.99. Given that a Spearman’s correlation of above 0.90 is often considered very strong, and an ICC of above 0.75 is considered good reliability, these results provide evidence of high reliability for the GMCS.</w:t>
      </w:r>
    </w:p>
    <w:p w14:paraId="00F1D1E3" w14:textId="77777777" w:rsidR="000437E0" w:rsidRDefault="000437E0" w:rsidP="000437E0">
      <w:pPr>
        <w:pStyle w:val="TableTitle"/>
      </w:pPr>
      <w:bookmarkStart w:id="6" w:name="_Toc163565289"/>
      <w:r>
        <w:rPr>
          <w:b/>
          <w:bCs/>
        </w:rPr>
        <w:t>Table IX.4.</w:t>
      </w:r>
      <w:r>
        <w:t xml:space="preserve"> Distribution of test-retest reliability scores of the GMCS measure across bootstrap samples</w:t>
      </w:r>
      <w:bookmarkEnd w:id="6"/>
    </w:p>
    <w:tbl>
      <w:tblPr>
        <w:tblStyle w:val="BaseTable"/>
        <w:tblW w:w="9495" w:type="dxa"/>
        <w:tblInd w:w="0" w:type="dxa"/>
        <w:tblLook w:val="04A0" w:firstRow="1" w:lastRow="0" w:firstColumn="1" w:lastColumn="0" w:noHBand="0" w:noVBand="1"/>
      </w:tblPr>
      <w:tblGrid>
        <w:gridCol w:w="913"/>
        <w:gridCol w:w="1735"/>
        <w:gridCol w:w="1918"/>
        <w:gridCol w:w="730"/>
        <w:gridCol w:w="548"/>
        <w:gridCol w:w="548"/>
        <w:gridCol w:w="730"/>
        <w:gridCol w:w="913"/>
        <w:gridCol w:w="730"/>
        <w:gridCol w:w="730"/>
      </w:tblGrid>
      <w:tr w:rsidR="000437E0" w14:paraId="5B9B0B87" w14:textId="77777777" w:rsidTr="000437E0">
        <w:trPr>
          <w:cnfStyle w:val="100000000000" w:firstRow="1" w:lastRow="0" w:firstColumn="0" w:lastColumn="0" w:oddVBand="0" w:evenVBand="0" w:oddHBand="0" w:evenHBand="0" w:firstRowFirstColumn="0" w:firstRowLastColumn="0" w:lastRowFirstColumn="0" w:lastRowLastColumn="0"/>
          <w:trHeight w:val="118"/>
          <w:tblHeader/>
        </w:trPr>
        <w:tc>
          <w:tcPr>
            <w:tcW w:w="913" w:type="dxa"/>
            <w:hideMark/>
          </w:tcPr>
          <w:p w14:paraId="580DA3AA" w14:textId="77777777" w:rsidR="000437E0" w:rsidRDefault="000437E0">
            <w:pPr>
              <w:pStyle w:val="TableHeaderLeft"/>
              <w:rPr>
                <w:color w:val="156082" w:themeColor="accent1"/>
                <w:sz w:val="22"/>
              </w:rPr>
            </w:pPr>
            <w:r>
              <w:t>Measure</w:t>
            </w:r>
          </w:p>
        </w:tc>
        <w:tc>
          <w:tcPr>
            <w:tcW w:w="1735" w:type="dxa"/>
            <w:hideMark/>
          </w:tcPr>
          <w:p w14:paraId="1E4CA56D" w14:textId="77777777" w:rsidR="000437E0" w:rsidRDefault="000437E0">
            <w:pPr>
              <w:pStyle w:val="TableHeaderCenter"/>
            </w:pPr>
            <w:r>
              <w:t xml:space="preserve">N </w:t>
            </w:r>
          </w:p>
          <w:p w14:paraId="7D72FE6A" w14:textId="77777777" w:rsidR="000437E0" w:rsidRDefault="000437E0">
            <w:pPr>
              <w:pStyle w:val="TableHeaderCenter"/>
            </w:pPr>
            <w:r>
              <w:t>(# bootstrap pairs)</w:t>
            </w:r>
          </w:p>
        </w:tc>
        <w:tc>
          <w:tcPr>
            <w:tcW w:w="1918" w:type="dxa"/>
            <w:hideMark/>
          </w:tcPr>
          <w:p w14:paraId="3F973513" w14:textId="77777777" w:rsidR="000437E0" w:rsidRDefault="000437E0">
            <w:pPr>
              <w:pStyle w:val="TableHeaderCenter"/>
            </w:pPr>
            <w:r>
              <w:t>Correlation method</w:t>
            </w:r>
          </w:p>
        </w:tc>
        <w:tc>
          <w:tcPr>
            <w:tcW w:w="730" w:type="dxa"/>
            <w:hideMark/>
          </w:tcPr>
          <w:p w14:paraId="26DBEA74" w14:textId="77777777" w:rsidR="000437E0" w:rsidRDefault="000437E0">
            <w:pPr>
              <w:pStyle w:val="TableHeaderCenter"/>
            </w:pPr>
            <w:r>
              <w:t>Mean</w:t>
            </w:r>
          </w:p>
        </w:tc>
        <w:tc>
          <w:tcPr>
            <w:tcW w:w="548" w:type="dxa"/>
            <w:hideMark/>
          </w:tcPr>
          <w:p w14:paraId="5DBE21BB" w14:textId="77777777" w:rsidR="000437E0" w:rsidRDefault="000437E0">
            <w:pPr>
              <w:pStyle w:val="TableHeaderCenter"/>
            </w:pPr>
            <w:r>
              <w:t>SD</w:t>
            </w:r>
          </w:p>
        </w:tc>
        <w:tc>
          <w:tcPr>
            <w:tcW w:w="548" w:type="dxa"/>
            <w:hideMark/>
          </w:tcPr>
          <w:p w14:paraId="6220E89C" w14:textId="77777777" w:rsidR="000437E0" w:rsidRDefault="000437E0">
            <w:pPr>
              <w:pStyle w:val="TableHeaderCenter"/>
            </w:pPr>
            <w:r>
              <w:t>Min</w:t>
            </w:r>
          </w:p>
        </w:tc>
        <w:tc>
          <w:tcPr>
            <w:tcW w:w="730" w:type="dxa"/>
            <w:hideMark/>
          </w:tcPr>
          <w:p w14:paraId="2388952C" w14:textId="77777777" w:rsidR="000437E0" w:rsidRDefault="000437E0">
            <w:pPr>
              <w:pStyle w:val="TableHeaderCenter"/>
            </w:pPr>
            <w:r>
              <w:t xml:space="preserve">25th </w:t>
            </w:r>
            <w:proofErr w:type="spellStart"/>
            <w:r>
              <w:t>pctl</w:t>
            </w:r>
            <w:proofErr w:type="spellEnd"/>
            <w:r>
              <w:t>.</w:t>
            </w:r>
          </w:p>
        </w:tc>
        <w:tc>
          <w:tcPr>
            <w:tcW w:w="913" w:type="dxa"/>
            <w:hideMark/>
          </w:tcPr>
          <w:p w14:paraId="49CF6D0F" w14:textId="77777777" w:rsidR="000437E0" w:rsidRDefault="000437E0">
            <w:pPr>
              <w:pStyle w:val="TableHeaderCenter"/>
            </w:pPr>
            <w:r>
              <w:t>Median</w:t>
            </w:r>
          </w:p>
        </w:tc>
        <w:tc>
          <w:tcPr>
            <w:tcW w:w="730" w:type="dxa"/>
            <w:hideMark/>
          </w:tcPr>
          <w:p w14:paraId="3597BB81" w14:textId="77777777" w:rsidR="000437E0" w:rsidRDefault="000437E0">
            <w:pPr>
              <w:pStyle w:val="TableHeaderCenter"/>
            </w:pPr>
            <w:r>
              <w:t xml:space="preserve">75th </w:t>
            </w:r>
            <w:proofErr w:type="spellStart"/>
            <w:r>
              <w:t>pctl</w:t>
            </w:r>
            <w:proofErr w:type="spellEnd"/>
            <w:r>
              <w:t>.</w:t>
            </w:r>
          </w:p>
        </w:tc>
        <w:tc>
          <w:tcPr>
            <w:tcW w:w="730" w:type="dxa"/>
            <w:hideMark/>
          </w:tcPr>
          <w:p w14:paraId="190122A6" w14:textId="77777777" w:rsidR="000437E0" w:rsidRDefault="000437E0">
            <w:pPr>
              <w:pStyle w:val="TableHeaderCenter"/>
            </w:pPr>
            <w:r>
              <w:t>Max</w:t>
            </w:r>
          </w:p>
        </w:tc>
      </w:tr>
      <w:tr w:rsidR="000437E0" w14:paraId="61629122" w14:textId="77777777" w:rsidTr="000437E0">
        <w:trPr>
          <w:trHeight w:val="118"/>
        </w:trPr>
        <w:tc>
          <w:tcPr>
            <w:tcW w:w="913" w:type="dxa"/>
            <w:vMerge w:val="restart"/>
            <w:tcBorders>
              <w:top w:val="single" w:sz="4" w:space="0" w:color="196B24" w:themeColor="accent3"/>
              <w:left w:val="nil"/>
              <w:bottom w:val="single" w:sz="4" w:space="0" w:color="0E2841" w:themeColor="text2"/>
              <w:right w:val="single" w:sz="4" w:space="0" w:color="196B24" w:themeColor="accent3"/>
            </w:tcBorders>
            <w:hideMark/>
          </w:tcPr>
          <w:p w14:paraId="66160FFC" w14:textId="77777777" w:rsidR="000437E0" w:rsidRDefault="000437E0">
            <w:pPr>
              <w:pStyle w:val="TableTextLeft"/>
            </w:pPr>
            <w:r>
              <w:t>GMCS</w:t>
            </w:r>
          </w:p>
        </w:tc>
        <w:tc>
          <w:tcPr>
            <w:tcW w:w="1735" w:type="dxa"/>
            <w:vMerge w:val="restart"/>
            <w:tcBorders>
              <w:top w:val="single" w:sz="4" w:space="0" w:color="196B24" w:themeColor="accent3"/>
              <w:left w:val="single" w:sz="4" w:space="0" w:color="196B24" w:themeColor="accent3"/>
              <w:bottom w:val="single" w:sz="4" w:space="0" w:color="0E2841" w:themeColor="text2"/>
              <w:right w:val="single" w:sz="4" w:space="0" w:color="196B24" w:themeColor="accent3"/>
            </w:tcBorders>
            <w:hideMark/>
          </w:tcPr>
          <w:p w14:paraId="77701D7F" w14:textId="77777777" w:rsidR="000437E0" w:rsidRDefault="000437E0">
            <w:pPr>
              <w:pStyle w:val="TableTextLeft"/>
            </w:pPr>
            <w:r>
              <w:t>500</w:t>
            </w:r>
          </w:p>
        </w:tc>
        <w:tc>
          <w:tcPr>
            <w:tcW w:w="1918"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hideMark/>
          </w:tcPr>
          <w:p w14:paraId="23288102" w14:textId="77777777" w:rsidR="000437E0" w:rsidRDefault="000437E0">
            <w:pPr>
              <w:pStyle w:val="TableTextLeft"/>
            </w:pPr>
            <w:r>
              <w:t>Spearman’s rho</w:t>
            </w:r>
          </w:p>
        </w:tc>
        <w:tc>
          <w:tcPr>
            <w:tcW w:w="730"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hideMark/>
          </w:tcPr>
          <w:p w14:paraId="63E9E48B" w14:textId="77777777" w:rsidR="000437E0" w:rsidRDefault="000437E0">
            <w:pPr>
              <w:pStyle w:val="TableTextLeft"/>
            </w:pPr>
            <w:r>
              <w:t>0.97</w:t>
            </w:r>
          </w:p>
        </w:tc>
        <w:tc>
          <w:tcPr>
            <w:tcW w:w="548"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hideMark/>
          </w:tcPr>
          <w:p w14:paraId="1EF198E4" w14:textId="77777777" w:rsidR="000437E0" w:rsidRDefault="000437E0">
            <w:pPr>
              <w:pStyle w:val="TableTextLeft"/>
            </w:pPr>
            <w:r>
              <w:t>0.02</w:t>
            </w:r>
          </w:p>
        </w:tc>
        <w:tc>
          <w:tcPr>
            <w:tcW w:w="548"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hideMark/>
          </w:tcPr>
          <w:p w14:paraId="358327FD" w14:textId="77777777" w:rsidR="000437E0" w:rsidRDefault="000437E0">
            <w:pPr>
              <w:pStyle w:val="TableTextLeft"/>
            </w:pPr>
            <w:r>
              <w:t>0.91</w:t>
            </w:r>
          </w:p>
        </w:tc>
        <w:tc>
          <w:tcPr>
            <w:tcW w:w="730"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hideMark/>
          </w:tcPr>
          <w:p w14:paraId="03A1E17E" w14:textId="77777777" w:rsidR="000437E0" w:rsidRDefault="000437E0">
            <w:pPr>
              <w:pStyle w:val="TableTextLeft"/>
            </w:pPr>
            <w:r>
              <w:t>0.96</w:t>
            </w:r>
          </w:p>
        </w:tc>
        <w:tc>
          <w:tcPr>
            <w:tcW w:w="913"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hideMark/>
          </w:tcPr>
          <w:p w14:paraId="7454444F" w14:textId="77777777" w:rsidR="000437E0" w:rsidRDefault="000437E0">
            <w:pPr>
              <w:pStyle w:val="TableTextLeft"/>
            </w:pPr>
            <w:r>
              <w:t>0.97</w:t>
            </w:r>
          </w:p>
        </w:tc>
        <w:tc>
          <w:tcPr>
            <w:tcW w:w="730" w:type="dxa"/>
            <w:tcBorders>
              <w:top w:val="single" w:sz="4" w:space="0" w:color="196B24" w:themeColor="accent3"/>
              <w:left w:val="single" w:sz="4" w:space="0" w:color="196B24" w:themeColor="accent3"/>
              <w:bottom w:val="single" w:sz="4" w:space="0" w:color="196B24" w:themeColor="accent3"/>
              <w:right w:val="single" w:sz="4" w:space="0" w:color="196B24" w:themeColor="accent3"/>
            </w:tcBorders>
            <w:hideMark/>
          </w:tcPr>
          <w:p w14:paraId="5FCD8AFA" w14:textId="77777777" w:rsidR="000437E0" w:rsidRDefault="000437E0">
            <w:pPr>
              <w:pStyle w:val="TableTextLeft"/>
            </w:pPr>
            <w:r>
              <w:t>0.98</w:t>
            </w:r>
          </w:p>
        </w:tc>
        <w:tc>
          <w:tcPr>
            <w:tcW w:w="730" w:type="dxa"/>
            <w:tcBorders>
              <w:top w:val="single" w:sz="4" w:space="0" w:color="196B24" w:themeColor="accent3"/>
              <w:left w:val="single" w:sz="4" w:space="0" w:color="196B24" w:themeColor="accent3"/>
              <w:bottom w:val="single" w:sz="4" w:space="0" w:color="196B24" w:themeColor="accent3"/>
              <w:right w:val="nil"/>
            </w:tcBorders>
            <w:hideMark/>
          </w:tcPr>
          <w:p w14:paraId="6B597175" w14:textId="77777777" w:rsidR="000437E0" w:rsidRDefault="000437E0">
            <w:pPr>
              <w:pStyle w:val="TableTextLeft"/>
            </w:pPr>
            <w:r>
              <w:t>0.99</w:t>
            </w:r>
          </w:p>
        </w:tc>
      </w:tr>
      <w:tr w:rsidR="000437E0" w14:paraId="2B3255E9" w14:textId="77777777" w:rsidTr="000437E0">
        <w:trPr>
          <w:trHeight w:val="118"/>
        </w:trPr>
        <w:tc>
          <w:tcPr>
            <w:tcW w:w="0" w:type="auto"/>
            <w:vMerge/>
            <w:tcBorders>
              <w:top w:val="single" w:sz="4" w:space="0" w:color="196B24" w:themeColor="accent3"/>
              <w:left w:val="nil"/>
              <w:bottom w:val="single" w:sz="4" w:space="0" w:color="0E2841" w:themeColor="text2"/>
              <w:right w:val="single" w:sz="4" w:space="0" w:color="196B24" w:themeColor="accent3"/>
            </w:tcBorders>
            <w:vAlign w:val="center"/>
            <w:hideMark/>
          </w:tcPr>
          <w:p w14:paraId="1D66BA78" w14:textId="77777777" w:rsidR="000437E0" w:rsidRDefault="000437E0">
            <w:pPr>
              <w:spacing w:before="0" w:after="0" w:line="240" w:lineRule="auto"/>
              <w:rPr>
                <w:color w:val="000000" w:themeColor="text1"/>
                <w:sz w:val="18"/>
              </w:rPr>
            </w:pPr>
          </w:p>
        </w:tc>
        <w:tc>
          <w:tcPr>
            <w:tcW w:w="0" w:type="auto"/>
            <w:vMerge/>
            <w:tcBorders>
              <w:top w:val="single" w:sz="4" w:space="0" w:color="196B24" w:themeColor="accent3"/>
              <w:left w:val="single" w:sz="4" w:space="0" w:color="196B24" w:themeColor="accent3"/>
              <w:bottom w:val="single" w:sz="4" w:space="0" w:color="0E2841" w:themeColor="text2"/>
              <w:right w:val="single" w:sz="4" w:space="0" w:color="196B24" w:themeColor="accent3"/>
            </w:tcBorders>
            <w:vAlign w:val="center"/>
            <w:hideMark/>
          </w:tcPr>
          <w:p w14:paraId="090C3D67" w14:textId="77777777" w:rsidR="000437E0" w:rsidRDefault="000437E0">
            <w:pPr>
              <w:spacing w:before="0" w:after="0" w:line="240" w:lineRule="auto"/>
              <w:rPr>
                <w:color w:val="000000" w:themeColor="text1"/>
                <w:sz w:val="18"/>
              </w:rPr>
            </w:pPr>
          </w:p>
        </w:tc>
        <w:tc>
          <w:tcPr>
            <w:tcW w:w="1918" w:type="dxa"/>
            <w:tcBorders>
              <w:top w:val="single" w:sz="4" w:space="0" w:color="196B24" w:themeColor="accent3"/>
              <w:left w:val="single" w:sz="4" w:space="0" w:color="196B24" w:themeColor="accent3"/>
              <w:bottom w:val="single" w:sz="4" w:space="0" w:color="0E2841" w:themeColor="text2"/>
              <w:right w:val="single" w:sz="4" w:space="0" w:color="196B24" w:themeColor="accent3"/>
            </w:tcBorders>
            <w:hideMark/>
          </w:tcPr>
          <w:p w14:paraId="359C478D" w14:textId="77777777" w:rsidR="000437E0" w:rsidRDefault="000437E0">
            <w:pPr>
              <w:pStyle w:val="TableTextLeft"/>
            </w:pPr>
            <w:r>
              <w:t>ICC*</w:t>
            </w:r>
          </w:p>
        </w:tc>
        <w:tc>
          <w:tcPr>
            <w:tcW w:w="730" w:type="dxa"/>
            <w:tcBorders>
              <w:top w:val="single" w:sz="4" w:space="0" w:color="196B24" w:themeColor="accent3"/>
              <w:left w:val="single" w:sz="4" w:space="0" w:color="196B24" w:themeColor="accent3"/>
              <w:bottom w:val="single" w:sz="4" w:space="0" w:color="0E2841" w:themeColor="text2"/>
              <w:right w:val="single" w:sz="4" w:space="0" w:color="196B24" w:themeColor="accent3"/>
            </w:tcBorders>
            <w:hideMark/>
          </w:tcPr>
          <w:p w14:paraId="4771A95D" w14:textId="77777777" w:rsidR="000437E0" w:rsidRDefault="000437E0">
            <w:pPr>
              <w:pStyle w:val="TableTextLeft"/>
            </w:pPr>
            <w:r>
              <w:t>0.96</w:t>
            </w:r>
          </w:p>
        </w:tc>
        <w:tc>
          <w:tcPr>
            <w:tcW w:w="548" w:type="dxa"/>
            <w:tcBorders>
              <w:top w:val="single" w:sz="4" w:space="0" w:color="196B24" w:themeColor="accent3"/>
              <w:left w:val="single" w:sz="4" w:space="0" w:color="196B24" w:themeColor="accent3"/>
              <w:bottom w:val="single" w:sz="4" w:space="0" w:color="0E2841" w:themeColor="text2"/>
              <w:right w:val="single" w:sz="4" w:space="0" w:color="196B24" w:themeColor="accent3"/>
            </w:tcBorders>
            <w:hideMark/>
          </w:tcPr>
          <w:p w14:paraId="6E7B3703" w14:textId="77777777" w:rsidR="000437E0" w:rsidRDefault="000437E0">
            <w:pPr>
              <w:pStyle w:val="TableTextLeft"/>
            </w:pPr>
            <w:r>
              <w:t>0.02</w:t>
            </w:r>
          </w:p>
        </w:tc>
        <w:tc>
          <w:tcPr>
            <w:tcW w:w="548" w:type="dxa"/>
            <w:tcBorders>
              <w:top w:val="single" w:sz="4" w:space="0" w:color="196B24" w:themeColor="accent3"/>
              <w:left w:val="single" w:sz="4" w:space="0" w:color="196B24" w:themeColor="accent3"/>
              <w:bottom w:val="single" w:sz="4" w:space="0" w:color="0E2841" w:themeColor="text2"/>
              <w:right w:val="single" w:sz="4" w:space="0" w:color="196B24" w:themeColor="accent3"/>
            </w:tcBorders>
            <w:hideMark/>
          </w:tcPr>
          <w:p w14:paraId="07FA7351" w14:textId="77777777" w:rsidR="000437E0" w:rsidRDefault="000437E0">
            <w:pPr>
              <w:pStyle w:val="TableTextLeft"/>
            </w:pPr>
            <w:r>
              <w:t>0.83</w:t>
            </w:r>
          </w:p>
        </w:tc>
        <w:tc>
          <w:tcPr>
            <w:tcW w:w="730" w:type="dxa"/>
            <w:tcBorders>
              <w:top w:val="single" w:sz="4" w:space="0" w:color="196B24" w:themeColor="accent3"/>
              <w:left w:val="single" w:sz="4" w:space="0" w:color="196B24" w:themeColor="accent3"/>
              <w:bottom w:val="single" w:sz="4" w:space="0" w:color="0E2841" w:themeColor="text2"/>
              <w:right w:val="single" w:sz="4" w:space="0" w:color="196B24" w:themeColor="accent3"/>
            </w:tcBorders>
            <w:hideMark/>
          </w:tcPr>
          <w:p w14:paraId="2E269C68" w14:textId="77777777" w:rsidR="000437E0" w:rsidRDefault="000437E0">
            <w:pPr>
              <w:pStyle w:val="TableTextLeft"/>
            </w:pPr>
            <w:r>
              <w:t>0.95</w:t>
            </w:r>
          </w:p>
        </w:tc>
        <w:tc>
          <w:tcPr>
            <w:tcW w:w="913" w:type="dxa"/>
            <w:tcBorders>
              <w:top w:val="single" w:sz="4" w:space="0" w:color="196B24" w:themeColor="accent3"/>
              <w:left w:val="single" w:sz="4" w:space="0" w:color="196B24" w:themeColor="accent3"/>
              <w:bottom w:val="single" w:sz="4" w:space="0" w:color="0E2841" w:themeColor="text2"/>
              <w:right w:val="single" w:sz="4" w:space="0" w:color="196B24" w:themeColor="accent3"/>
            </w:tcBorders>
            <w:hideMark/>
          </w:tcPr>
          <w:p w14:paraId="1A4AFB2E" w14:textId="77777777" w:rsidR="000437E0" w:rsidRDefault="000437E0">
            <w:pPr>
              <w:pStyle w:val="TableTextLeft"/>
            </w:pPr>
            <w:r>
              <w:t>0.96</w:t>
            </w:r>
          </w:p>
        </w:tc>
        <w:tc>
          <w:tcPr>
            <w:tcW w:w="730" w:type="dxa"/>
            <w:tcBorders>
              <w:top w:val="single" w:sz="4" w:space="0" w:color="196B24" w:themeColor="accent3"/>
              <w:left w:val="single" w:sz="4" w:space="0" w:color="196B24" w:themeColor="accent3"/>
              <w:bottom w:val="single" w:sz="4" w:space="0" w:color="0E2841" w:themeColor="text2"/>
              <w:right w:val="single" w:sz="4" w:space="0" w:color="196B24" w:themeColor="accent3"/>
            </w:tcBorders>
            <w:hideMark/>
          </w:tcPr>
          <w:p w14:paraId="4992CC6E" w14:textId="77777777" w:rsidR="000437E0" w:rsidRDefault="000437E0">
            <w:pPr>
              <w:pStyle w:val="TableTextLeft"/>
            </w:pPr>
            <w:r>
              <w:t>0.98</w:t>
            </w:r>
          </w:p>
        </w:tc>
        <w:tc>
          <w:tcPr>
            <w:tcW w:w="730" w:type="dxa"/>
            <w:tcBorders>
              <w:top w:val="single" w:sz="4" w:space="0" w:color="196B24" w:themeColor="accent3"/>
              <w:left w:val="single" w:sz="4" w:space="0" w:color="196B24" w:themeColor="accent3"/>
              <w:bottom w:val="single" w:sz="4" w:space="0" w:color="0E2841" w:themeColor="text2"/>
              <w:right w:val="nil"/>
            </w:tcBorders>
            <w:hideMark/>
          </w:tcPr>
          <w:p w14:paraId="1FB9850F" w14:textId="77777777" w:rsidR="000437E0" w:rsidRDefault="000437E0">
            <w:pPr>
              <w:pStyle w:val="TableTextLeft"/>
            </w:pPr>
            <w:r>
              <w:t>0.99</w:t>
            </w:r>
          </w:p>
        </w:tc>
      </w:tr>
    </w:tbl>
    <w:p w14:paraId="45168DBB" w14:textId="77777777" w:rsidR="000437E0" w:rsidRDefault="000437E0" w:rsidP="000437E0">
      <w:pPr>
        <w:pStyle w:val="ExhibitSource"/>
        <w:tabs>
          <w:tab w:val="left" w:pos="540"/>
        </w:tabs>
        <w:ind w:left="540" w:hanging="540"/>
      </w:pPr>
      <w:r>
        <w:t>Source: Mathematica analysis of the test-site data provided by Avalere Health and the Academy of Nutrition and Dietetics (N=28 facilities)</w:t>
      </w:r>
    </w:p>
    <w:p w14:paraId="0D4820B8" w14:textId="77777777" w:rsidR="000437E0" w:rsidRDefault="000437E0" w:rsidP="000437E0">
      <w:pPr>
        <w:pStyle w:val="ExhibitSource"/>
      </w:pPr>
      <w:r>
        <w:t xml:space="preserve">*Using </w:t>
      </w:r>
      <w:proofErr w:type="gramStart"/>
      <w:r>
        <w:t>ICC(</w:t>
      </w:r>
      <w:proofErr w:type="gramEnd"/>
      <w:r>
        <w:t xml:space="preserve">2,1), or the two-way random effects, absolute agreement, single rater/measurement ICC. </w:t>
      </w:r>
    </w:p>
    <w:p w14:paraId="231BE7E5" w14:textId="77777777" w:rsidR="000437E0" w:rsidRDefault="000437E0" w:rsidP="000437E0">
      <w:pPr>
        <w:pStyle w:val="H2"/>
        <w:numPr>
          <w:ilvl w:val="0"/>
          <w:numId w:val="2"/>
        </w:numPr>
      </w:pPr>
      <w:bookmarkStart w:id="7" w:name="_Toc163565266"/>
      <w:r>
        <w:t>Interpretation</w:t>
      </w:r>
      <w:bookmarkEnd w:id="7"/>
    </w:p>
    <w:p w14:paraId="009C06C0" w14:textId="175EC4A6" w:rsidR="000437E0" w:rsidRDefault="000437E0" w:rsidP="000437E0">
      <w:pPr>
        <w:pStyle w:val="Paragraph"/>
      </w:pPr>
      <w:r>
        <w:t xml:space="preserve">The results of the reliability analysis indicate that the GMCS is a highly reliable measure, both with respect to signal-to-noise and test-retest reliability. The high reliability coefficients obtained in the signal-to-noise analysis suggest that the GMCS can be reliably used to distinguish between facilities in terms of their completeness of malnutrition care. The high reliability coefficients obtained in the test-retest analysis support that the GMCS is highly stable in the face of random sampling variability in the encounters used to compute the measure scores. </w:t>
      </w:r>
    </w:p>
    <w:p w14:paraId="4F279831" w14:textId="77777777" w:rsidR="00364A0B" w:rsidRDefault="00364A0B"/>
    <w:sectPr w:rsidR="00364A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2C470C"/>
    <w:multiLevelType w:val="hybridMultilevel"/>
    <w:tmpl w:val="7D8A9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E781FE5"/>
    <w:multiLevelType w:val="hybridMultilevel"/>
    <w:tmpl w:val="995CF6D6"/>
    <w:lvl w:ilvl="0" w:tplc="ACA27714">
      <w:start w:val="9"/>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71720DF"/>
    <w:multiLevelType w:val="hybridMultilevel"/>
    <w:tmpl w:val="AEF2FC9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5CB12C98"/>
    <w:multiLevelType w:val="hybridMultilevel"/>
    <w:tmpl w:val="50C4F42E"/>
    <w:lvl w:ilvl="0" w:tplc="0409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513688708">
    <w:abstractNumId w:val="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527948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358642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727301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7E0"/>
    <w:rsid w:val="000437E0"/>
    <w:rsid w:val="001C63CD"/>
    <w:rsid w:val="00364A0B"/>
    <w:rsid w:val="00B70343"/>
    <w:rsid w:val="00BC20F5"/>
    <w:rsid w:val="00C941B4"/>
    <w:rsid w:val="00FE2D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6C94A"/>
  <w15:chartTrackingRefBased/>
  <w15:docId w15:val="{B1139377-678C-4FFB-9AEA-E074574D1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7E0"/>
    <w:pPr>
      <w:spacing w:after="180" w:line="300" w:lineRule="atLeast"/>
    </w:pPr>
    <w:rPr>
      <w:kern w:val="0"/>
      <w:sz w:val="20"/>
      <w14:ligatures w14:val="none"/>
    </w:rPr>
  </w:style>
  <w:style w:type="paragraph" w:styleId="Heading1">
    <w:name w:val="heading 1"/>
    <w:basedOn w:val="Normal"/>
    <w:next w:val="Normal"/>
    <w:link w:val="Heading1Char"/>
    <w:uiPriority w:val="9"/>
    <w:qFormat/>
    <w:rsid w:val="000437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37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37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37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37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37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37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37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37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37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37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37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37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37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37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37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37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37E0"/>
    <w:rPr>
      <w:rFonts w:eastAsiaTheme="majorEastAsia" w:cstheme="majorBidi"/>
      <w:color w:val="272727" w:themeColor="text1" w:themeTint="D8"/>
    </w:rPr>
  </w:style>
  <w:style w:type="paragraph" w:styleId="Title">
    <w:name w:val="Title"/>
    <w:basedOn w:val="Normal"/>
    <w:next w:val="Normal"/>
    <w:link w:val="TitleChar"/>
    <w:uiPriority w:val="10"/>
    <w:qFormat/>
    <w:rsid w:val="000437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37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37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37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37E0"/>
    <w:pPr>
      <w:spacing w:before="160"/>
      <w:jc w:val="center"/>
    </w:pPr>
    <w:rPr>
      <w:i/>
      <w:iCs/>
      <w:color w:val="404040" w:themeColor="text1" w:themeTint="BF"/>
    </w:rPr>
  </w:style>
  <w:style w:type="character" w:customStyle="1" w:styleId="QuoteChar">
    <w:name w:val="Quote Char"/>
    <w:basedOn w:val="DefaultParagraphFont"/>
    <w:link w:val="Quote"/>
    <w:uiPriority w:val="29"/>
    <w:rsid w:val="000437E0"/>
    <w:rPr>
      <w:i/>
      <w:iCs/>
      <w:color w:val="404040" w:themeColor="text1" w:themeTint="BF"/>
    </w:rPr>
  </w:style>
  <w:style w:type="paragraph" w:styleId="ListParagraph">
    <w:name w:val="List Paragraph"/>
    <w:basedOn w:val="Normal"/>
    <w:uiPriority w:val="34"/>
    <w:qFormat/>
    <w:rsid w:val="000437E0"/>
    <w:pPr>
      <w:ind w:left="720"/>
      <w:contextualSpacing/>
    </w:pPr>
  </w:style>
  <w:style w:type="character" w:styleId="IntenseEmphasis">
    <w:name w:val="Intense Emphasis"/>
    <w:basedOn w:val="DefaultParagraphFont"/>
    <w:uiPriority w:val="21"/>
    <w:qFormat/>
    <w:rsid w:val="000437E0"/>
    <w:rPr>
      <w:i/>
      <w:iCs/>
      <w:color w:val="0F4761" w:themeColor="accent1" w:themeShade="BF"/>
    </w:rPr>
  </w:style>
  <w:style w:type="paragraph" w:styleId="IntenseQuote">
    <w:name w:val="Intense Quote"/>
    <w:basedOn w:val="Normal"/>
    <w:next w:val="Normal"/>
    <w:link w:val="IntenseQuoteChar"/>
    <w:uiPriority w:val="30"/>
    <w:qFormat/>
    <w:rsid w:val="000437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37E0"/>
    <w:rPr>
      <w:i/>
      <w:iCs/>
      <w:color w:val="0F4761" w:themeColor="accent1" w:themeShade="BF"/>
    </w:rPr>
  </w:style>
  <w:style w:type="character" w:styleId="IntenseReference">
    <w:name w:val="Intense Reference"/>
    <w:basedOn w:val="DefaultParagraphFont"/>
    <w:uiPriority w:val="32"/>
    <w:qFormat/>
    <w:rsid w:val="000437E0"/>
    <w:rPr>
      <w:b/>
      <w:bCs/>
      <w:smallCaps/>
      <w:color w:val="0F4761" w:themeColor="accent1" w:themeShade="BF"/>
      <w:spacing w:val="5"/>
    </w:rPr>
  </w:style>
  <w:style w:type="paragraph" w:customStyle="1" w:styleId="TableTextLeft">
    <w:name w:val="Table Text Left"/>
    <w:semiHidden/>
    <w:rsid w:val="000437E0"/>
    <w:pPr>
      <w:spacing w:before="40" w:after="20" w:line="240" w:lineRule="atLeast"/>
    </w:pPr>
    <w:rPr>
      <w:rFonts w:asciiTheme="majorHAnsi" w:hAnsiTheme="majorHAnsi"/>
      <w:color w:val="000000" w:themeColor="text1"/>
      <w:kern w:val="0"/>
      <w:sz w:val="18"/>
      <w14:ligatures w14:val="none"/>
    </w:rPr>
  </w:style>
  <w:style w:type="character" w:customStyle="1" w:styleId="ParagraphChar">
    <w:name w:val="Paragraph Char"/>
    <w:basedOn w:val="DefaultParagraphFont"/>
    <w:link w:val="Paragraph"/>
    <w:locked/>
    <w:rsid w:val="000437E0"/>
    <w:rPr>
      <w:sz w:val="20"/>
    </w:rPr>
  </w:style>
  <w:style w:type="paragraph" w:customStyle="1" w:styleId="Paragraph">
    <w:name w:val="Paragraph"/>
    <w:basedOn w:val="Normal"/>
    <w:link w:val="ParagraphChar"/>
    <w:qFormat/>
    <w:rsid w:val="000437E0"/>
    <w:pPr>
      <w:widowControl w:val="0"/>
    </w:pPr>
    <w:rPr>
      <w:kern w:val="2"/>
      <w14:ligatures w14:val="standardContextual"/>
    </w:rPr>
  </w:style>
  <w:style w:type="character" w:customStyle="1" w:styleId="H1Char">
    <w:name w:val="H1 Char"/>
    <w:basedOn w:val="DefaultParagraphFont"/>
    <w:link w:val="H1"/>
    <w:locked/>
    <w:rsid w:val="000437E0"/>
    <w:rPr>
      <w:rFonts w:asciiTheme="majorHAnsi" w:eastAsiaTheme="majorEastAsia" w:hAnsiTheme="majorHAnsi" w:cstheme="majorBidi"/>
      <w:color w:val="0E2841" w:themeColor="text2"/>
      <w:sz w:val="30"/>
      <w:szCs w:val="32"/>
    </w:rPr>
  </w:style>
  <w:style w:type="paragraph" w:customStyle="1" w:styleId="H1">
    <w:name w:val="H1"/>
    <w:basedOn w:val="Heading1"/>
    <w:next w:val="Paragraph"/>
    <w:link w:val="H1Char"/>
    <w:qFormat/>
    <w:rsid w:val="000437E0"/>
    <w:pPr>
      <w:spacing w:before="180" w:after="60" w:line="360" w:lineRule="atLeast"/>
      <w:ind w:left="432" w:hanging="432"/>
      <w:outlineLvl w:val="1"/>
    </w:pPr>
    <w:rPr>
      <w:color w:val="0E2841" w:themeColor="text2"/>
      <w:sz w:val="30"/>
      <w:szCs w:val="32"/>
    </w:rPr>
  </w:style>
  <w:style w:type="paragraph" w:customStyle="1" w:styleId="ExhibitSource">
    <w:name w:val="Exhibit Source"/>
    <w:basedOn w:val="TableTextLeft"/>
    <w:semiHidden/>
    <w:rsid w:val="000437E0"/>
    <w:pPr>
      <w:tabs>
        <w:tab w:val="left" w:pos="648"/>
      </w:tabs>
      <w:spacing w:after="40" w:line="200" w:lineRule="atLeast"/>
      <w:ind w:left="648" w:hanging="648"/>
    </w:pPr>
    <w:rPr>
      <w:sz w:val="16"/>
    </w:rPr>
  </w:style>
  <w:style w:type="paragraph" w:customStyle="1" w:styleId="H2">
    <w:name w:val="H2"/>
    <w:basedOn w:val="H1"/>
    <w:next w:val="Paragraph"/>
    <w:qFormat/>
    <w:rsid w:val="000437E0"/>
    <w:pPr>
      <w:spacing w:line="320" w:lineRule="atLeast"/>
      <w:outlineLvl w:val="2"/>
    </w:pPr>
    <w:rPr>
      <w:b/>
      <w:color w:val="156082" w:themeColor="accent1"/>
      <w:sz w:val="24"/>
    </w:rPr>
  </w:style>
  <w:style w:type="paragraph" w:customStyle="1" w:styleId="H3">
    <w:name w:val="H3"/>
    <w:basedOn w:val="H1"/>
    <w:next w:val="Paragraph"/>
    <w:qFormat/>
    <w:rsid w:val="000437E0"/>
    <w:pPr>
      <w:spacing w:line="260" w:lineRule="atLeast"/>
      <w:outlineLvl w:val="3"/>
    </w:pPr>
    <w:rPr>
      <w:rFonts w:asciiTheme="minorHAnsi" w:hAnsiTheme="minorHAnsi"/>
      <w:b/>
      <w:color w:val="000000" w:themeColor="text1"/>
      <w:sz w:val="20"/>
    </w:rPr>
  </w:style>
  <w:style w:type="paragraph" w:customStyle="1" w:styleId="TableHeaderCenter">
    <w:name w:val="Table Header Center"/>
    <w:basedOn w:val="TableTextLeft"/>
    <w:semiHidden/>
    <w:rsid w:val="000437E0"/>
    <w:pPr>
      <w:keepNext/>
      <w:jc w:val="center"/>
    </w:pPr>
    <w:rPr>
      <w:color w:val="FFFFFF" w:themeColor="background1"/>
    </w:rPr>
  </w:style>
  <w:style w:type="paragraph" w:customStyle="1" w:styleId="TableHeaderLeft">
    <w:name w:val="Table Header Left"/>
    <w:basedOn w:val="TableTextLeft"/>
    <w:semiHidden/>
    <w:rsid w:val="000437E0"/>
    <w:pPr>
      <w:keepNext/>
    </w:pPr>
    <w:rPr>
      <w:color w:val="FFFFFF" w:themeColor="background1"/>
    </w:rPr>
  </w:style>
  <w:style w:type="paragraph" w:customStyle="1" w:styleId="TableTitle">
    <w:name w:val="Table Title"/>
    <w:basedOn w:val="Normal"/>
    <w:qFormat/>
    <w:rsid w:val="000437E0"/>
    <w:pPr>
      <w:keepNext/>
      <w:keepLines/>
      <w:spacing w:before="180" w:after="80" w:line="240" w:lineRule="atLeast"/>
    </w:pPr>
    <w:rPr>
      <w:rFonts w:asciiTheme="majorHAnsi" w:hAnsiTheme="majorHAnsi"/>
      <w:color w:val="156082" w:themeColor="accent1"/>
      <w:sz w:val="22"/>
    </w:rPr>
  </w:style>
  <w:style w:type="table" w:customStyle="1" w:styleId="BaseTable">
    <w:name w:val="Base Table"/>
    <w:basedOn w:val="TableNormal"/>
    <w:rsid w:val="000437E0"/>
    <w:pPr>
      <w:spacing w:before="40" w:after="20" w:line="240" w:lineRule="auto"/>
    </w:pPr>
    <w:rPr>
      <w:rFonts w:asciiTheme="majorHAnsi" w:hAnsiTheme="majorHAnsi"/>
      <w:kern w:val="0"/>
      <w:sz w:val="18"/>
      <w14:ligatures w14:val="none"/>
    </w:rPr>
    <w:tblPr>
      <w:tblInd w:w="0" w:type="nil"/>
      <w:tblBorders>
        <w:bottom w:val="single" w:sz="4" w:space="0" w:color="0E2841" w:themeColor="text2"/>
        <w:insideH w:val="single" w:sz="4" w:space="0" w:color="196B24" w:themeColor="accent3"/>
        <w:insideV w:val="single" w:sz="4" w:space="0" w:color="196B24"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E2841" w:themeColor="text2"/>
          <w:right w:val="nil"/>
          <w:insideH w:val="nil"/>
          <w:insideV w:val="single" w:sz="4" w:space="0" w:color="FFFFFF" w:themeColor="background1"/>
          <w:tl2br w:val="nil"/>
          <w:tr2bl w:val="nil"/>
        </w:tcBorders>
        <w:shd w:val="clear" w:color="auto" w:fill="0E2841" w:themeFill="text2"/>
        <w:vAlign w:val="bottom"/>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3141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ddc9a90-ce33-4621-b585-823809e223e1">
      <Terms xmlns="http://schemas.microsoft.com/office/infopath/2007/PartnerControls"/>
    </lcf76f155ced4ddcb4097134ff3c332f>
    <TaxCatchAll xmlns="d4794453-8fde-48a7-b2a2-9e30ee2e8c3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85A3FCDEFE1E845988F8F8D411E2B66" ma:contentTypeVersion="12" ma:contentTypeDescription="Create a new document." ma:contentTypeScope="" ma:versionID="ea8a1cd0812ad7b29303de99391ee50b">
  <xsd:schema xmlns:xsd="http://www.w3.org/2001/XMLSchema" xmlns:xs="http://www.w3.org/2001/XMLSchema" xmlns:p="http://schemas.microsoft.com/office/2006/metadata/properties" xmlns:ns2="cddc9a90-ce33-4621-b585-823809e223e1" xmlns:ns3="d4794453-8fde-48a7-b2a2-9e30ee2e8c37" targetNamespace="http://schemas.microsoft.com/office/2006/metadata/properties" ma:root="true" ma:fieldsID="9e9ec62eb61056780545bb7d59656e4f" ns2:_="" ns3:_="">
    <xsd:import namespace="cddc9a90-ce33-4621-b585-823809e223e1"/>
    <xsd:import namespace="d4794453-8fde-48a7-b2a2-9e30ee2e8c3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dc9a90-ce33-4621-b585-823809e223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0bb3ce1-2d96-45e5-99c4-d2bba11dad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794453-8fde-48a7-b2a2-9e30ee2e8c3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cb6ef637-5003-435c-a6c1-01cf6ea544d5}" ma:internalName="TaxCatchAll" ma:showField="CatchAllData" ma:web="d4794453-8fde-48a7-b2a2-9e30ee2e8c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B709B6-658E-460B-BB04-67196F39FA49}">
  <ds:schemaRefs>
    <ds:schemaRef ds:uri="http://schemas.openxmlformats.org/package/2006/metadata/core-properties"/>
    <ds:schemaRef ds:uri="http://schemas.microsoft.com/office/2006/metadata/properties"/>
    <ds:schemaRef ds:uri="cddc9a90-ce33-4621-b585-823809e223e1"/>
    <ds:schemaRef ds:uri="http://purl.org/dc/terms/"/>
    <ds:schemaRef ds:uri="http://purl.org/dc/elements/1.1/"/>
    <ds:schemaRef ds:uri="d4794453-8fde-48a7-b2a2-9e30ee2e8c37"/>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6553C116-9699-4496-BF48-B0D4EB31597C}">
  <ds:schemaRefs>
    <ds:schemaRef ds:uri="http://schemas.microsoft.com/sharepoint/v3/contenttype/forms"/>
  </ds:schemaRefs>
</ds:datastoreItem>
</file>

<file path=customXml/itemProps3.xml><?xml version="1.0" encoding="utf-8"?>
<ds:datastoreItem xmlns:ds="http://schemas.openxmlformats.org/officeDocument/2006/customXml" ds:itemID="{C19DA293-AD81-4575-93DB-A2C3F3BC9A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dc9a90-ce33-4621-b585-823809e223e1"/>
    <ds:schemaRef ds:uri="d4794453-8fde-48a7-b2a2-9e30ee2e8c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1077</Words>
  <Characters>6141</Characters>
  <Application>Microsoft Office Word</Application>
  <DocSecurity>0</DocSecurity>
  <Lines>51</Lines>
  <Paragraphs>14</Paragraphs>
  <ScaleCrop>false</ScaleCrop>
  <Company/>
  <LinksUpToDate>false</LinksUpToDate>
  <CharactersWithSpaces>7204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E. Coltman</dc:creator>
  <cp:keywords/>
  <dc:description/>
  <cp:lastModifiedBy>Anne E. Coltman</cp:lastModifiedBy>
  <cp:revision>2</cp:revision>
  <dcterms:created xsi:type="dcterms:W3CDTF">2024-04-15T16:41:00Z</dcterms:created>
  <dcterms:modified xsi:type="dcterms:W3CDTF">2024-05-03T14:51:00Z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0x010100685A3FCDEFE1E845988F8F8D411E2B66</vt:lpwstr>
  </property>
  <property fmtid="{D5CDD505-2E9C-101B-9397-08002B2CF9AE}" pid="3" name="MediaServiceImageTags">
    <vt:lpwstr/>
  </property>
</Properties>
</file>