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FC39A" w14:textId="77777777" w:rsidR="00CD249E" w:rsidRDefault="00CD249E" w:rsidP="00CD249E">
      <w:pPr>
        <w:pStyle w:val="H1"/>
        <w:numPr>
          <w:ilvl w:val="0"/>
          <w:numId w:val="7"/>
        </w:numPr>
      </w:pPr>
      <w:bookmarkStart w:id="0" w:name="_Toc163565267"/>
      <w:r>
        <w:t>Validity</w:t>
      </w:r>
      <w:bookmarkEnd w:id="0"/>
    </w:p>
    <w:p w14:paraId="256FBC05" w14:textId="77777777" w:rsidR="00CD249E" w:rsidRDefault="00CD249E" w:rsidP="00CD249E">
      <w:pPr>
        <w:pStyle w:val="Paragraph"/>
      </w:pPr>
      <w:r>
        <w:t xml:space="preserve">Validity testing was conducted at the </w:t>
      </w:r>
      <w:r w:rsidRPr="0B65F835">
        <w:rPr>
          <w:b/>
          <w:bCs/>
        </w:rPr>
        <w:t>accountable entity level</w:t>
      </w:r>
      <w:r>
        <w:t xml:space="preserve"> using </w:t>
      </w:r>
      <w:r w:rsidRPr="0B65F835">
        <w:rPr>
          <w:b/>
          <w:bCs/>
        </w:rPr>
        <w:t>empirical validity testing</w:t>
      </w:r>
      <w:r>
        <w:t xml:space="preserve"> and at the </w:t>
      </w:r>
      <w:r w:rsidRPr="0B65F835">
        <w:rPr>
          <w:b/>
          <w:bCs/>
        </w:rPr>
        <w:t>encounter-level</w:t>
      </w:r>
      <w:r>
        <w:t xml:space="preserve"> using </w:t>
      </w:r>
      <w:r w:rsidRPr="0B65F835">
        <w:rPr>
          <w:b/>
          <w:bCs/>
        </w:rPr>
        <w:t>data element validity testing</w:t>
      </w:r>
      <w:r>
        <w:t xml:space="preserve">. We additionally assessed the </w:t>
      </w:r>
      <w:r w:rsidRPr="0B65F835">
        <w:rPr>
          <w:b/>
          <w:bCs/>
        </w:rPr>
        <w:t>face validity</w:t>
      </w:r>
      <w:r>
        <w:t xml:space="preserve"> of the measure scores via qualitative examination of clinician views captured in the web survey. </w:t>
      </w:r>
    </w:p>
    <w:p w14:paraId="4A8CD3D2" w14:textId="77777777" w:rsidR="00CD249E" w:rsidRDefault="00CD249E" w:rsidP="0B65F835">
      <w:pPr>
        <w:pStyle w:val="H2"/>
        <w:ind w:left="0"/>
      </w:pPr>
      <w:bookmarkStart w:id="1" w:name="_Toc163565268"/>
      <w:r>
        <w:t>Methods</w:t>
      </w:r>
      <w:bookmarkEnd w:id="1"/>
    </w:p>
    <w:p w14:paraId="17A70E7C" w14:textId="77777777" w:rsidR="00CD249E" w:rsidRDefault="00CD249E" w:rsidP="00CD249E">
      <w:pPr>
        <w:pStyle w:val="H3"/>
        <w:numPr>
          <w:ilvl w:val="0"/>
          <w:numId w:val="9"/>
        </w:numPr>
      </w:pPr>
      <w:r>
        <w:t>Empirical validity testing</w:t>
      </w:r>
    </w:p>
    <w:p w14:paraId="7EE373CC" w14:textId="77777777" w:rsidR="00CD249E" w:rsidRDefault="00CD249E" w:rsidP="00CD249E">
      <w:pPr>
        <w:pStyle w:val="Paragraph"/>
      </w:pPr>
      <w:r>
        <w:t xml:space="preserve">We assessed the validity of the GMCS measure scores by investigating its relationship to other variables, as expected according to prior research. </w:t>
      </w:r>
    </w:p>
    <w:p w14:paraId="76DE679F" w14:textId="77777777" w:rsidR="00CD249E" w:rsidRDefault="00CD249E" w:rsidP="00CD249E">
      <w:pPr>
        <w:pStyle w:val="Paragraph"/>
      </w:pPr>
      <w:r>
        <w:t xml:space="preserve">The literature suggests that malnutrition is associated with several patient and encounter characteristics, including older age (Hudson et al., 2018; Lanctin et al., 2021; </w:t>
      </w:r>
      <w:proofErr w:type="spellStart"/>
      <w:r>
        <w:t>Lengfelder</w:t>
      </w:r>
      <w:proofErr w:type="spellEnd"/>
      <w:r>
        <w:t xml:space="preserve"> et al., 2022), prolonged hospital length of stay (LOS; Allard et al., 2016; Curtis et al., 2017; Emami et al., 2020; Haines et al., 2021; Hudson et al., 2018; </w:t>
      </w:r>
      <w:proofErr w:type="spellStart"/>
      <w:r>
        <w:t>Kichloo</w:t>
      </w:r>
      <w:proofErr w:type="spellEnd"/>
      <w:r>
        <w:t xml:space="preserve"> et al., 2021; Le et al., 2023; Lee et al., 2022; </w:t>
      </w:r>
      <w:proofErr w:type="spellStart"/>
      <w:r>
        <w:t>Lengfelder</w:t>
      </w:r>
      <w:proofErr w:type="spellEnd"/>
      <w:r>
        <w:t xml:space="preserve"> et al., 2022; Reed et al., 2024; Uhl et al., 2021), increased readmissions (Emami et al., 2020; Hudson et al., 2018; </w:t>
      </w:r>
      <w:proofErr w:type="spellStart"/>
      <w:r>
        <w:t>Lengfelder</w:t>
      </w:r>
      <w:proofErr w:type="spellEnd"/>
      <w:r>
        <w:t xml:space="preserve"> et al., 2022), and non-Hispanic black race/ethnicity compared to non-Hispanic white race/ethnicity (Reed et al., 2024). However, given that the GMCS is a measure of the completeness or thoroughness of malnutrition care provided by a facility, rather than a measure of patients’ </w:t>
      </w:r>
      <w:r w:rsidRPr="0B65F835">
        <w:rPr>
          <w:i/>
          <w:iCs/>
        </w:rPr>
        <w:t>malnutrition</w:t>
      </w:r>
      <w:r>
        <w:t xml:space="preserve">, we supplemented these </w:t>
      </w:r>
      <w:r w:rsidRPr="0B65F835">
        <w:rPr>
          <w:i/>
          <w:iCs/>
        </w:rPr>
        <w:t>a priori</w:t>
      </w:r>
      <w:r>
        <w:t xml:space="preserve"> hypotheses from the literature with an additional layer of logic to conduct our validity testing in two steps.</w:t>
      </w:r>
    </w:p>
    <w:p w14:paraId="4D3A2B2F" w14:textId="77777777" w:rsidR="00CD249E" w:rsidRDefault="00CD249E" w:rsidP="00CD249E">
      <w:pPr>
        <w:pStyle w:val="Paragraph"/>
      </w:pPr>
      <w:r>
        <w:t xml:space="preserve">First, we tested a series of hypotheses to assess whether our encounter-level data confirms the findings in the literature regarding the factors associated with malnutrition. To do so, we conducted four separate chi-squared tests to assess whether encounters’ malnutrition screening results (possible results are “at-risk” or “not at-risk”) differ significantly across levels of each factor of interest. The factors tested included age (levels: encounters in 1st quartile vs. 4th quartile of age), LOS (levels: encounters in 1st quartile vs. 4th quartile of LOS), readmission status (levels: non-readmission vs. readmission encounters), and race/ethnicity (encounters of non-Hispanic black patients vs. non-Hispanic white patients). Note that the sample sizes used in each chi-squared test are different, given that each test compared a different subset of encounters. </w:t>
      </w:r>
    </w:p>
    <w:p w14:paraId="4B977D9E" w14:textId="77777777" w:rsidR="00CD249E" w:rsidRDefault="00CD249E" w:rsidP="00CD249E">
      <w:pPr>
        <w:pStyle w:val="Paragraph"/>
      </w:pPr>
      <w:r>
        <w:t>Following the first set of hypotheses, we introduce the additional layer of logic, which is that we expect higher-risk (in terms of malnutrition) encounters to contribute to lower scores on the GMCS. Given the measure specifications of the GMCS, it becomes increasingly more difficult to obtain high scores (i.e., provide complete care) to higher-risk encounters, as such encounters require more components to be completed. This logic provides us with the second set of hypotheses, where we tested whether the factors associated with malnutrition (same four factors as before) relate to the GMCS as expected. To do so, we conducted four separate paired t-tests (or Wilcoxon signed-rank sum tests in cases where the normality assumption was not met) to assess whether facility scores on the GMCS differ significantly when computed among lower-risk encounters compared to higher-risk encounters. For example, we assessed whether the GMCS when computed among non-readmission encounters differ significantly from when computed among readmission encounters, where each non-readmission GMCS was paired with its corresponding readmission GMCS of the same facility. Note that in the test conducted for the race/ethnicity factor, we only included data from 25 facilities (rather than all 28 facilities), given that 3 facilities had fewer than 11 encounters of non-Hispanic black patients.</w:t>
      </w:r>
    </w:p>
    <w:p w14:paraId="0DBB048C" w14:textId="77777777" w:rsidR="00CD249E" w:rsidRDefault="00CD249E" w:rsidP="00CD249E">
      <w:pPr>
        <w:pStyle w:val="Paragraph"/>
      </w:pPr>
      <w:r>
        <w:lastRenderedPageBreak/>
        <w:t xml:space="preserve">In sum, using this two-step analysis, we assessed whether the GMCS relates to various malnutrition-associated factors, including age, LOS, readmission status, and race/ethnicity, as expected. </w:t>
      </w:r>
    </w:p>
    <w:p w14:paraId="5AAA22C9" w14:textId="77777777" w:rsidR="00CD249E" w:rsidRDefault="00CD249E" w:rsidP="00CD249E">
      <w:pPr>
        <w:pStyle w:val="H3"/>
        <w:numPr>
          <w:ilvl w:val="0"/>
          <w:numId w:val="9"/>
        </w:numPr>
      </w:pPr>
      <w:r>
        <w:t>Data element validity</w:t>
      </w:r>
    </w:p>
    <w:p w14:paraId="4C054E23" w14:textId="77777777" w:rsidR="00CD249E" w:rsidRDefault="00CD249E" w:rsidP="00CD249E">
      <w:pPr>
        <w:pStyle w:val="Paragraph"/>
      </w:pPr>
      <w:r>
        <w:t>Data element validity was assessed for the key data elements used to construct the GMCS measure, as well as for supplemental data elements such as patient characteristics. The validity of the GMCS data elements was established by examining the agreement between the data elements in the electronic source data (which included EHR structured fields and clinical notes [EHR charts]) and the electronic data obtained using the eCQM specifications that was used to compute the measure scores. The assessed data elements included all the critical data elements required to calculate the measure:</w:t>
      </w:r>
    </w:p>
    <w:p w14:paraId="02937BBF" w14:textId="77777777" w:rsidR="00CD249E" w:rsidRDefault="00CD249E" w:rsidP="00CD249E">
      <w:pPr>
        <w:pStyle w:val="Paragraph"/>
        <w:numPr>
          <w:ilvl w:val="0"/>
          <w:numId w:val="10"/>
        </w:numPr>
        <w:spacing w:after="0"/>
      </w:pPr>
      <w:r>
        <w:t>Malnutrition Risk Screening</w:t>
      </w:r>
    </w:p>
    <w:p w14:paraId="6EFEF87E" w14:textId="77777777" w:rsidR="00CD249E" w:rsidRDefault="00CD249E" w:rsidP="00CD249E">
      <w:pPr>
        <w:pStyle w:val="Paragraph"/>
        <w:numPr>
          <w:ilvl w:val="0"/>
          <w:numId w:val="10"/>
        </w:numPr>
        <w:spacing w:after="0"/>
      </w:pPr>
      <w:r>
        <w:t>Malnutrition At Risk Result</w:t>
      </w:r>
    </w:p>
    <w:p w14:paraId="468FFD20" w14:textId="77777777" w:rsidR="00CD249E" w:rsidRDefault="00CD249E" w:rsidP="00CD249E">
      <w:pPr>
        <w:pStyle w:val="Paragraph"/>
        <w:numPr>
          <w:ilvl w:val="0"/>
          <w:numId w:val="10"/>
        </w:numPr>
        <w:spacing w:after="0"/>
      </w:pPr>
      <w:r>
        <w:t>Nutrition Assessment</w:t>
      </w:r>
    </w:p>
    <w:p w14:paraId="1CEE8F11" w14:textId="77777777" w:rsidR="00CD249E" w:rsidRDefault="00CD249E" w:rsidP="00CD249E">
      <w:pPr>
        <w:pStyle w:val="Paragraph"/>
        <w:numPr>
          <w:ilvl w:val="0"/>
          <w:numId w:val="10"/>
        </w:numPr>
        <w:spacing w:after="0"/>
      </w:pPr>
      <w:r>
        <w:t>Malnutrition Diagnosis</w:t>
      </w:r>
    </w:p>
    <w:p w14:paraId="06F33BDF" w14:textId="77777777" w:rsidR="00CD249E" w:rsidRDefault="00CD249E" w:rsidP="00CD249E">
      <w:pPr>
        <w:pStyle w:val="Paragraph"/>
        <w:numPr>
          <w:ilvl w:val="0"/>
          <w:numId w:val="10"/>
        </w:numPr>
        <w:spacing w:after="0"/>
      </w:pPr>
      <w:r>
        <w:t>Nutrition Care Plan</w:t>
      </w:r>
    </w:p>
    <w:p w14:paraId="3C4C926F" w14:textId="77777777" w:rsidR="00CD249E" w:rsidRDefault="00CD249E" w:rsidP="00CD249E">
      <w:pPr>
        <w:pStyle w:val="Paragraph"/>
        <w:numPr>
          <w:ilvl w:val="0"/>
          <w:numId w:val="10"/>
        </w:numPr>
        <w:spacing w:after="0"/>
      </w:pPr>
      <w:r>
        <w:t>Ethnicity</w:t>
      </w:r>
    </w:p>
    <w:p w14:paraId="609A7D8B" w14:textId="77777777" w:rsidR="00CD249E" w:rsidRDefault="00CD249E" w:rsidP="00CD249E">
      <w:pPr>
        <w:pStyle w:val="Paragraph"/>
        <w:numPr>
          <w:ilvl w:val="0"/>
          <w:numId w:val="10"/>
        </w:numPr>
        <w:spacing w:after="0"/>
      </w:pPr>
      <w:r>
        <w:t>Payer</w:t>
      </w:r>
    </w:p>
    <w:p w14:paraId="21CF39CE" w14:textId="77777777" w:rsidR="00CD249E" w:rsidRDefault="00CD249E" w:rsidP="00CD249E">
      <w:pPr>
        <w:pStyle w:val="Paragraph"/>
        <w:numPr>
          <w:ilvl w:val="0"/>
          <w:numId w:val="10"/>
        </w:numPr>
        <w:spacing w:after="0"/>
      </w:pPr>
      <w:r>
        <w:t>Race</w:t>
      </w:r>
    </w:p>
    <w:p w14:paraId="25E9546D" w14:textId="77777777" w:rsidR="00CD249E" w:rsidRDefault="00CD249E" w:rsidP="00CD249E">
      <w:pPr>
        <w:pStyle w:val="Paragraph"/>
        <w:numPr>
          <w:ilvl w:val="0"/>
          <w:numId w:val="10"/>
        </w:numPr>
        <w:spacing w:after="0"/>
      </w:pPr>
      <w:r>
        <w:t>Sex</w:t>
      </w:r>
    </w:p>
    <w:p w14:paraId="0358A31B" w14:textId="77777777" w:rsidR="00CD249E" w:rsidRDefault="00CD249E" w:rsidP="00CD249E">
      <w:pPr>
        <w:pStyle w:val="Paragraph"/>
        <w:numPr>
          <w:ilvl w:val="0"/>
          <w:numId w:val="10"/>
        </w:numPr>
      </w:pPr>
      <w:r>
        <w:t>Length of stay</w:t>
      </w:r>
    </w:p>
    <w:p w14:paraId="7A75FD8D" w14:textId="77777777" w:rsidR="00CD249E" w:rsidRDefault="00CD249E" w:rsidP="00CD249E">
      <w:pPr>
        <w:pStyle w:val="Paragraph"/>
        <w:rPr>
          <w:sz w:val="16"/>
          <w:szCs w:val="16"/>
        </w:rPr>
      </w:pPr>
      <w:r>
        <w:t xml:space="preserve">Data element validity was assessed on a sample of N = 180 total encounters, where six facilities each provided data for 30 encounters. </w:t>
      </w:r>
    </w:p>
    <w:p w14:paraId="1B8CF3A6" w14:textId="77777777" w:rsidR="00CD249E" w:rsidRDefault="00CD249E" w:rsidP="00CD249E">
      <w:pPr>
        <w:pStyle w:val="Paragraph"/>
      </w:pPr>
      <w:r>
        <w:t>Note that this analysis is based on testing conducted by AMSTAT. Mathematica did not conduct the analysis and is providing the interpretation of results only.</w:t>
      </w:r>
    </w:p>
    <w:p w14:paraId="096BF0AA" w14:textId="77777777" w:rsidR="00CD249E" w:rsidRPr="00CD249E" w:rsidRDefault="00CD249E" w:rsidP="00CD249E">
      <w:pPr>
        <w:pStyle w:val="H3"/>
        <w:numPr>
          <w:ilvl w:val="0"/>
          <w:numId w:val="9"/>
        </w:numPr>
      </w:pPr>
      <w:r>
        <w:t>Face validity</w:t>
      </w:r>
    </w:p>
    <w:p w14:paraId="0CFC5692" w14:textId="77777777" w:rsidR="00CD249E" w:rsidRPr="00CD249E" w:rsidRDefault="00CD249E" w:rsidP="00CD249E">
      <w:pPr>
        <w:pStyle w:val="Paragraph"/>
      </w:pPr>
      <w:r>
        <w:t>We assessed the face validity of the GMCS by conducting a web survey to obtain clinicians’ views of the extent to which the measure reflects quality of malnutrition care. We gauged clinicians’ perspectives by prompting them to indicate their level of agreement (strongly agree, agree, disagree, or strongly disagree) on the following two statements, as well as one additional open-ended question:</w:t>
      </w:r>
    </w:p>
    <w:p w14:paraId="4791C3FB" w14:textId="77777777" w:rsidR="00CD249E" w:rsidRPr="00CD249E" w:rsidRDefault="00CD249E" w:rsidP="00CD249E">
      <w:pPr>
        <w:pStyle w:val="Paragraph"/>
        <w:numPr>
          <w:ilvl w:val="0"/>
          <w:numId w:val="11"/>
        </w:numPr>
      </w:pPr>
      <w:r>
        <w:t>The GMCS measure score is an accurate reflection of the quality of malnutrition care. (N = 46 responses)</w:t>
      </w:r>
    </w:p>
    <w:p w14:paraId="3E183CB7" w14:textId="77777777" w:rsidR="00CD249E" w:rsidRPr="00CD249E" w:rsidRDefault="00CD249E" w:rsidP="00CD249E">
      <w:pPr>
        <w:pStyle w:val="Paragraph"/>
        <w:numPr>
          <w:ilvl w:val="0"/>
          <w:numId w:val="11"/>
        </w:numPr>
      </w:pPr>
      <w:r>
        <w:t>The GMCS measure score can be used to distinguish between good and poor quality of malnutrition care. (N = 46 responses)</w:t>
      </w:r>
    </w:p>
    <w:p w14:paraId="42DE0BBA" w14:textId="77777777" w:rsidR="00CD249E" w:rsidRPr="00CD249E" w:rsidRDefault="00CD249E" w:rsidP="00CD249E">
      <w:pPr>
        <w:pStyle w:val="Paragraph"/>
        <w:numPr>
          <w:ilvl w:val="0"/>
          <w:numId w:val="11"/>
        </w:numPr>
      </w:pPr>
      <w:r>
        <w:t>Do you have any recommendations that would help strengthen the face validity of the GMCS measure? (N = 21 responses)</w:t>
      </w:r>
    </w:p>
    <w:p w14:paraId="5B74B0D7" w14:textId="77777777" w:rsidR="00CD249E" w:rsidRPr="00CD249E" w:rsidRDefault="00CD249E" w:rsidP="00CD249E">
      <w:pPr>
        <w:pStyle w:val="Paragraph"/>
      </w:pPr>
      <w:r>
        <w:t>If a clinician disagreed or strongly disagreed with a statement, we additionally asked for an explanation.</w:t>
      </w:r>
    </w:p>
    <w:p w14:paraId="40855748" w14:textId="01DC0863" w:rsidR="00CD249E" w:rsidRDefault="00CD249E" w:rsidP="0B65F835">
      <w:pPr>
        <w:pStyle w:val="H2"/>
        <w:ind w:left="0"/>
        <w:rPr>
          <w:rFonts w:ascii="Arial" w:eastAsia="Arial" w:hAnsi="Arial" w:cs="Arial"/>
          <w:bCs/>
          <w:sz w:val="20"/>
          <w:szCs w:val="20"/>
        </w:rPr>
      </w:pPr>
      <w:bookmarkStart w:id="2" w:name="_Toc163565269"/>
      <w:r>
        <w:lastRenderedPageBreak/>
        <w:t>Results</w:t>
      </w:r>
      <w:bookmarkEnd w:id="2"/>
      <w:r w:rsidR="31C910C0" w:rsidRPr="0B65F835">
        <w:rPr>
          <w:rFonts w:ascii="Arial" w:eastAsia="Arial" w:hAnsi="Arial" w:cs="Arial"/>
          <w:bCs/>
          <w:sz w:val="20"/>
          <w:szCs w:val="20"/>
        </w:rPr>
        <w:t xml:space="preserve"> </w:t>
      </w:r>
      <w:r w:rsidR="4EF82BF0" w:rsidRPr="0B65F835">
        <w:rPr>
          <w:rFonts w:ascii="Arial" w:eastAsia="Arial" w:hAnsi="Arial" w:cs="Arial"/>
          <w:bCs/>
          <w:sz w:val="20"/>
          <w:szCs w:val="20"/>
        </w:rPr>
        <w:t>Empirical validity testing</w:t>
      </w:r>
    </w:p>
    <w:p w14:paraId="22215292" w14:textId="640416F6" w:rsidR="00CD249E" w:rsidRDefault="4EF82BF0" w:rsidP="0B65F835">
      <w:pPr>
        <w:spacing w:after="0"/>
        <w:rPr>
          <w:rFonts w:ascii="Arial" w:eastAsia="Arial" w:hAnsi="Arial" w:cs="Arial"/>
          <w:szCs w:val="20"/>
        </w:rPr>
      </w:pPr>
      <w:r w:rsidRPr="0B65F835">
        <w:rPr>
          <w:rFonts w:ascii="Arial" w:eastAsia="Arial" w:hAnsi="Arial" w:cs="Arial"/>
          <w:szCs w:val="20"/>
        </w:rPr>
        <w:t xml:space="preserve">Table X.1 presents the results from the four chi-squared tests. We found significant differences in the malnutrition screening result across all four </w:t>
      </w:r>
      <w:proofErr w:type="gramStart"/>
      <w:r w:rsidRPr="0B65F835">
        <w:rPr>
          <w:rFonts w:ascii="Arial" w:eastAsia="Arial" w:hAnsi="Arial" w:cs="Arial"/>
          <w:szCs w:val="20"/>
        </w:rPr>
        <w:t>patient</w:t>
      </w:r>
      <w:proofErr w:type="gramEnd"/>
      <w:r w:rsidRPr="0B65F835">
        <w:rPr>
          <w:rFonts w:ascii="Arial" w:eastAsia="Arial" w:hAnsi="Arial" w:cs="Arial"/>
          <w:szCs w:val="20"/>
        </w:rPr>
        <w:t xml:space="preserve"> and encounter characteristics. The direction of the differences was as expected according to prior research, where encounters of older patients had more “at-risk” results than younger patients, longer stays more than shorter stays, readmission encounters more than non-readmissions, and encounters of non-Hispanic black patients more than non-Hispanic white patients. </w:t>
      </w:r>
    </w:p>
    <w:p w14:paraId="7CC0CFAC" w14:textId="138F3124" w:rsidR="00CD249E" w:rsidRDefault="4EF82BF0" w:rsidP="0B65F835">
      <w:pPr>
        <w:spacing w:after="0"/>
        <w:rPr>
          <w:rFonts w:ascii="Arial" w:eastAsia="Arial" w:hAnsi="Arial" w:cs="Arial"/>
          <w:color w:val="4472C4"/>
          <w:szCs w:val="20"/>
        </w:rPr>
      </w:pPr>
      <w:r w:rsidRPr="0B65F835">
        <w:rPr>
          <w:rFonts w:ascii="Arial" w:eastAsia="Arial" w:hAnsi="Arial" w:cs="Arial"/>
          <w:b/>
          <w:bCs/>
          <w:color w:val="4472C4"/>
          <w:szCs w:val="20"/>
        </w:rPr>
        <w:t>Table X.1.</w:t>
      </w:r>
      <w:r w:rsidRPr="0B65F835">
        <w:rPr>
          <w:rFonts w:ascii="Arial" w:eastAsia="Arial" w:hAnsi="Arial" w:cs="Arial"/>
          <w:color w:val="4472C4"/>
          <w:szCs w:val="20"/>
        </w:rPr>
        <w:t xml:space="preserve"> Results of hypothesis testing for differences in the malnutrition screening result across patient characteristics</w:t>
      </w:r>
    </w:p>
    <w:tbl>
      <w:tblPr>
        <w:tblStyle w:val="TableGrid"/>
        <w:tblW w:w="0" w:type="auto"/>
        <w:tblLayout w:type="fixed"/>
        <w:tblLook w:val="04A0" w:firstRow="1" w:lastRow="0" w:firstColumn="1" w:lastColumn="0" w:noHBand="0" w:noVBand="1"/>
      </w:tblPr>
      <w:tblGrid>
        <w:gridCol w:w="930"/>
        <w:gridCol w:w="770"/>
        <w:gridCol w:w="970"/>
        <w:gridCol w:w="750"/>
        <w:gridCol w:w="850"/>
        <w:gridCol w:w="1305"/>
        <w:gridCol w:w="570"/>
        <w:gridCol w:w="810"/>
        <w:gridCol w:w="1160"/>
        <w:gridCol w:w="1040"/>
      </w:tblGrid>
      <w:tr w:rsidR="0B65F835" w14:paraId="7E06C4E7" w14:textId="77777777" w:rsidTr="0B65F835">
        <w:trPr>
          <w:trHeight w:val="120"/>
        </w:trPr>
        <w:tc>
          <w:tcPr>
            <w:tcW w:w="930" w:type="dxa"/>
            <w:tcBorders>
              <w:top w:val="nil"/>
              <w:left w:val="nil"/>
              <w:bottom w:val="single" w:sz="8" w:space="0" w:color="44546A"/>
              <w:right w:val="single" w:sz="8" w:space="0" w:color="FFFFFF" w:themeColor="background1"/>
            </w:tcBorders>
            <w:shd w:val="clear" w:color="auto" w:fill="44546A"/>
            <w:tcMar>
              <w:left w:w="58" w:type="dxa"/>
              <w:right w:w="58" w:type="dxa"/>
            </w:tcMar>
            <w:vAlign w:val="bottom"/>
          </w:tcPr>
          <w:p w14:paraId="0D2BB1B1" w14:textId="67419742" w:rsidR="0B65F835" w:rsidRDefault="0B65F835" w:rsidP="0B65F835">
            <w:pPr>
              <w:spacing w:after="0"/>
              <w:rPr>
                <w:rFonts w:ascii="Arial" w:eastAsia="Arial" w:hAnsi="Arial" w:cs="Arial"/>
                <w:b/>
                <w:bCs/>
                <w:color w:val="FFFFFF" w:themeColor="background1"/>
                <w:sz w:val="18"/>
                <w:szCs w:val="18"/>
              </w:rPr>
            </w:pPr>
            <w:r w:rsidRPr="0B65F835">
              <w:rPr>
                <w:rFonts w:ascii="Arial" w:eastAsia="Arial" w:hAnsi="Arial" w:cs="Arial"/>
                <w:b/>
                <w:bCs/>
                <w:color w:val="FFFFFF" w:themeColor="background1"/>
                <w:sz w:val="18"/>
                <w:szCs w:val="18"/>
              </w:rPr>
              <w:t>Dependent variable</w:t>
            </w:r>
          </w:p>
        </w:tc>
        <w:tc>
          <w:tcPr>
            <w:tcW w:w="770" w:type="dxa"/>
            <w:tcBorders>
              <w:top w:val="nil"/>
              <w:left w:val="single" w:sz="8" w:space="0" w:color="FFFFFF" w:themeColor="background1"/>
              <w:bottom w:val="single" w:sz="8" w:space="0" w:color="44546A"/>
              <w:right w:val="single" w:sz="8" w:space="0" w:color="FFFFFF" w:themeColor="background1"/>
            </w:tcBorders>
            <w:shd w:val="clear" w:color="auto" w:fill="44546A"/>
            <w:tcMar>
              <w:left w:w="58" w:type="dxa"/>
              <w:right w:w="58" w:type="dxa"/>
            </w:tcMar>
            <w:vAlign w:val="bottom"/>
          </w:tcPr>
          <w:p w14:paraId="204139E5" w14:textId="21C17D9A" w:rsidR="0B65F835" w:rsidRDefault="0B65F835" w:rsidP="0B65F835">
            <w:pPr>
              <w:spacing w:after="0"/>
              <w:jc w:val="center"/>
              <w:rPr>
                <w:rFonts w:ascii="Arial" w:eastAsia="Arial" w:hAnsi="Arial" w:cs="Arial"/>
                <w:b/>
                <w:bCs/>
                <w:color w:val="FFFFFF" w:themeColor="background1"/>
                <w:sz w:val="18"/>
                <w:szCs w:val="18"/>
              </w:rPr>
            </w:pPr>
            <w:r w:rsidRPr="0B65F835">
              <w:rPr>
                <w:rFonts w:ascii="Arial" w:eastAsia="Arial" w:hAnsi="Arial" w:cs="Arial"/>
                <w:b/>
                <w:bCs/>
                <w:color w:val="FFFFFF" w:themeColor="background1"/>
                <w:sz w:val="18"/>
                <w:szCs w:val="18"/>
              </w:rPr>
              <w:t>Factor</w:t>
            </w:r>
          </w:p>
        </w:tc>
        <w:tc>
          <w:tcPr>
            <w:tcW w:w="970" w:type="dxa"/>
            <w:tcBorders>
              <w:top w:val="nil"/>
              <w:left w:val="single" w:sz="8" w:space="0" w:color="FFFFFF" w:themeColor="background1"/>
              <w:bottom w:val="single" w:sz="8" w:space="0" w:color="44546A"/>
              <w:right w:val="single" w:sz="8" w:space="0" w:color="FFFFFF" w:themeColor="background1"/>
            </w:tcBorders>
            <w:shd w:val="clear" w:color="auto" w:fill="44546A"/>
            <w:tcMar>
              <w:left w:w="58" w:type="dxa"/>
              <w:right w:w="58" w:type="dxa"/>
            </w:tcMar>
            <w:vAlign w:val="bottom"/>
          </w:tcPr>
          <w:p w14:paraId="7CF7BB14" w14:textId="71B60D7C" w:rsidR="0B65F835" w:rsidRDefault="0B65F835" w:rsidP="0B65F835">
            <w:pPr>
              <w:spacing w:after="0"/>
              <w:jc w:val="center"/>
              <w:rPr>
                <w:rFonts w:ascii="Arial" w:eastAsia="Arial" w:hAnsi="Arial" w:cs="Arial"/>
                <w:b/>
                <w:bCs/>
                <w:color w:val="FFFFFF" w:themeColor="background1"/>
                <w:sz w:val="18"/>
                <w:szCs w:val="18"/>
              </w:rPr>
            </w:pPr>
            <w:r w:rsidRPr="0B65F835">
              <w:rPr>
                <w:rFonts w:ascii="Arial" w:eastAsia="Arial" w:hAnsi="Arial" w:cs="Arial"/>
                <w:b/>
                <w:bCs/>
                <w:color w:val="FFFFFF" w:themeColor="background1"/>
                <w:sz w:val="18"/>
                <w:szCs w:val="18"/>
              </w:rPr>
              <w:t>Levels compared</w:t>
            </w:r>
          </w:p>
        </w:tc>
        <w:tc>
          <w:tcPr>
            <w:tcW w:w="750" w:type="dxa"/>
            <w:tcBorders>
              <w:top w:val="nil"/>
              <w:left w:val="single" w:sz="8" w:space="0" w:color="FFFFFF" w:themeColor="background1"/>
              <w:bottom w:val="single" w:sz="8" w:space="0" w:color="44546A"/>
              <w:right w:val="single" w:sz="8" w:space="0" w:color="FFFFFF" w:themeColor="background1"/>
            </w:tcBorders>
            <w:shd w:val="clear" w:color="auto" w:fill="44546A"/>
            <w:tcMar>
              <w:left w:w="58" w:type="dxa"/>
              <w:right w:w="58" w:type="dxa"/>
            </w:tcMar>
            <w:vAlign w:val="bottom"/>
          </w:tcPr>
          <w:p w14:paraId="3617C4BB" w14:textId="5C5EFCBD" w:rsidR="0B65F835" w:rsidRDefault="0B65F835" w:rsidP="0B65F835">
            <w:pPr>
              <w:spacing w:after="0"/>
              <w:jc w:val="center"/>
              <w:rPr>
                <w:rFonts w:ascii="Arial" w:eastAsia="Arial" w:hAnsi="Arial" w:cs="Arial"/>
                <w:b/>
                <w:bCs/>
                <w:color w:val="FFFFFF" w:themeColor="background1"/>
                <w:sz w:val="18"/>
                <w:szCs w:val="18"/>
              </w:rPr>
            </w:pPr>
            <w:r w:rsidRPr="0B65F835">
              <w:rPr>
                <w:rFonts w:ascii="Arial" w:eastAsia="Arial" w:hAnsi="Arial" w:cs="Arial"/>
                <w:b/>
                <w:bCs/>
                <w:color w:val="FFFFFF" w:themeColor="background1"/>
                <w:sz w:val="18"/>
                <w:szCs w:val="18"/>
              </w:rPr>
              <w:t>N (total patients)</w:t>
            </w:r>
          </w:p>
        </w:tc>
        <w:tc>
          <w:tcPr>
            <w:tcW w:w="850" w:type="dxa"/>
            <w:tcBorders>
              <w:top w:val="nil"/>
              <w:left w:val="single" w:sz="8" w:space="0" w:color="FFFFFF" w:themeColor="background1"/>
              <w:bottom w:val="single" w:sz="8" w:space="0" w:color="44546A"/>
              <w:right w:val="single" w:sz="8" w:space="0" w:color="FFFFFF" w:themeColor="background1"/>
            </w:tcBorders>
            <w:shd w:val="clear" w:color="auto" w:fill="44546A"/>
            <w:tcMar>
              <w:left w:w="58" w:type="dxa"/>
              <w:right w:w="58" w:type="dxa"/>
            </w:tcMar>
            <w:vAlign w:val="bottom"/>
          </w:tcPr>
          <w:p w14:paraId="0CE3959B" w14:textId="279422D5" w:rsidR="0B65F835" w:rsidRDefault="0B65F835" w:rsidP="0B65F835">
            <w:pPr>
              <w:spacing w:after="0"/>
              <w:jc w:val="center"/>
              <w:rPr>
                <w:rFonts w:ascii="Arial" w:eastAsia="Arial" w:hAnsi="Arial" w:cs="Arial"/>
                <w:b/>
                <w:bCs/>
                <w:color w:val="FFFFFF" w:themeColor="background1"/>
                <w:sz w:val="18"/>
                <w:szCs w:val="18"/>
              </w:rPr>
            </w:pPr>
            <w:r w:rsidRPr="0B65F835">
              <w:rPr>
                <w:rFonts w:ascii="Arial" w:eastAsia="Arial" w:hAnsi="Arial" w:cs="Arial"/>
                <w:b/>
                <w:bCs/>
                <w:color w:val="FFFFFF" w:themeColor="background1"/>
                <w:sz w:val="18"/>
                <w:szCs w:val="18"/>
              </w:rPr>
              <w:t>Statistical test</w:t>
            </w:r>
          </w:p>
        </w:tc>
        <w:tc>
          <w:tcPr>
            <w:tcW w:w="1305" w:type="dxa"/>
            <w:tcBorders>
              <w:top w:val="nil"/>
              <w:left w:val="single" w:sz="8" w:space="0" w:color="FFFFFF" w:themeColor="background1"/>
              <w:bottom w:val="single" w:sz="8" w:space="0" w:color="44546A"/>
              <w:right w:val="single" w:sz="8" w:space="0" w:color="FFFFFF" w:themeColor="background1"/>
            </w:tcBorders>
            <w:shd w:val="clear" w:color="auto" w:fill="44546A"/>
            <w:tcMar>
              <w:left w:w="58" w:type="dxa"/>
              <w:right w:w="58" w:type="dxa"/>
            </w:tcMar>
            <w:vAlign w:val="bottom"/>
          </w:tcPr>
          <w:p w14:paraId="340C67D7" w14:textId="7181ACF8" w:rsidR="0B65F835" w:rsidRDefault="0B65F835" w:rsidP="0B65F835">
            <w:pPr>
              <w:spacing w:after="0"/>
              <w:jc w:val="center"/>
              <w:rPr>
                <w:rFonts w:ascii="Arial" w:eastAsia="Arial" w:hAnsi="Arial" w:cs="Arial"/>
                <w:b/>
                <w:bCs/>
                <w:color w:val="FFFFFF" w:themeColor="background1"/>
                <w:sz w:val="18"/>
                <w:szCs w:val="18"/>
              </w:rPr>
            </w:pPr>
            <w:r w:rsidRPr="0B65F835">
              <w:rPr>
                <w:rFonts w:ascii="Arial" w:eastAsia="Arial" w:hAnsi="Arial" w:cs="Arial"/>
                <w:b/>
                <w:bCs/>
                <w:color w:val="FFFFFF" w:themeColor="background1"/>
                <w:sz w:val="18"/>
                <w:szCs w:val="18"/>
              </w:rPr>
              <w:t>Test statistic</w:t>
            </w:r>
          </w:p>
        </w:tc>
        <w:tc>
          <w:tcPr>
            <w:tcW w:w="570" w:type="dxa"/>
            <w:tcBorders>
              <w:top w:val="nil"/>
              <w:left w:val="single" w:sz="8" w:space="0" w:color="FFFFFF" w:themeColor="background1"/>
              <w:bottom w:val="single" w:sz="8" w:space="0" w:color="44546A"/>
              <w:right w:val="single" w:sz="8" w:space="0" w:color="FFFFFF" w:themeColor="background1"/>
            </w:tcBorders>
            <w:shd w:val="clear" w:color="auto" w:fill="44546A"/>
            <w:tcMar>
              <w:left w:w="58" w:type="dxa"/>
              <w:right w:w="58" w:type="dxa"/>
            </w:tcMar>
            <w:vAlign w:val="bottom"/>
          </w:tcPr>
          <w:p w14:paraId="3AAC0B85" w14:textId="487C1677" w:rsidR="0B65F835" w:rsidRDefault="0B65F835" w:rsidP="0B65F835">
            <w:pPr>
              <w:spacing w:after="0"/>
              <w:jc w:val="center"/>
              <w:rPr>
                <w:rFonts w:ascii="Arial" w:eastAsia="Arial" w:hAnsi="Arial" w:cs="Arial"/>
                <w:b/>
                <w:bCs/>
                <w:color w:val="FFFFFF" w:themeColor="background1"/>
                <w:sz w:val="18"/>
                <w:szCs w:val="18"/>
              </w:rPr>
            </w:pPr>
            <w:r w:rsidRPr="0B65F835">
              <w:rPr>
                <w:rFonts w:ascii="Arial" w:eastAsia="Arial" w:hAnsi="Arial" w:cs="Arial"/>
                <w:b/>
                <w:bCs/>
                <w:color w:val="FFFFFF" w:themeColor="background1"/>
                <w:sz w:val="18"/>
                <w:szCs w:val="18"/>
              </w:rPr>
              <w:t>P-value</w:t>
            </w:r>
          </w:p>
        </w:tc>
        <w:tc>
          <w:tcPr>
            <w:tcW w:w="810" w:type="dxa"/>
            <w:tcBorders>
              <w:top w:val="nil"/>
              <w:left w:val="single" w:sz="8" w:space="0" w:color="FFFFFF" w:themeColor="background1"/>
              <w:bottom w:val="single" w:sz="8" w:space="0" w:color="44546A"/>
              <w:right w:val="single" w:sz="8" w:space="0" w:color="FFFFFF" w:themeColor="background1"/>
            </w:tcBorders>
            <w:shd w:val="clear" w:color="auto" w:fill="44546A"/>
            <w:tcMar>
              <w:left w:w="58" w:type="dxa"/>
              <w:right w:w="58" w:type="dxa"/>
            </w:tcMar>
            <w:vAlign w:val="bottom"/>
          </w:tcPr>
          <w:p w14:paraId="7C6ACF75" w14:textId="4209C592" w:rsidR="0B65F835" w:rsidRDefault="0B65F835" w:rsidP="0B65F835">
            <w:pPr>
              <w:spacing w:after="0"/>
              <w:jc w:val="center"/>
              <w:rPr>
                <w:rFonts w:ascii="Arial" w:eastAsia="Arial" w:hAnsi="Arial" w:cs="Arial"/>
                <w:b/>
                <w:bCs/>
                <w:color w:val="FFFFFF" w:themeColor="background1"/>
                <w:sz w:val="18"/>
                <w:szCs w:val="18"/>
              </w:rPr>
            </w:pPr>
            <w:r w:rsidRPr="0B65F835">
              <w:rPr>
                <w:rFonts w:ascii="Arial" w:eastAsia="Arial" w:hAnsi="Arial" w:cs="Arial"/>
                <w:b/>
                <w:bCs/>
                <w:color w:val="FFFFFF" w:themeColor="background1"/>
                <w:sz w:val="18"/>
                <w:szCs w:val="18"/>
              </w:rPr>
              <w:t>Effect size</w:t>
            </w:r>
          </w:p>
        </w:tc>
        <w:tc>
          <w:tcPr>
            <w:tcW w:w="1160" w:type="dxa"/>
            <w:tcBorders>
              <w:top w:val="nil"/>
              <w:left w:val="single" w:sz="8" w:space="0" w:color="FFFFFF" w:themeColor="background1"/>
              <w:bottom w:val="single" w:sz="8" w:space="0" w:color="44546A"/>
              <w:right w:val="single" w:sz="8" w:space="0" w:color="FFFFFF" w:themeColor="background1"/>
            </w:tcBorders>
            <w:shd w:val="clear" w:color="auto" w:fill="44546A"/>
            <w:tcMar>
              <w:left w:w="58" w:type="dxa"/>
              <w:right w:w="58" w:type="dxa"/>
            </w:tcMar>
            <w:vAlign w:val="bottom"/>
          </w:tcPr>
          <w:p w14:paraId="512B47BE" w14:textId="2576C1EE" w:rsidR="0B65F835" w:rsidRDefault="0B65F835" w:rsidP="0B65F835">
            <w:pPr>
              <w:spacing w:after="0"/>
              <w:jc w:val="center"/>
              <w:rPr>
                <w:rFonts w:ascii="Arial" w:eastAsia="Arial" w:hAnsi="Arial" w:cs="Arial"/>
                <w:b/>
                <w:bCs/>
                <w:color w:val="FFFFFF" w:themeColor="background1"/>
                <w:sz w:val="18"/>
                <w:szCs w:val="18"/>
              </w:rPr>
            </w:pPr>
            <w:r w:rsidRPr="0B65F835">
              <w:rPr>
                <w:rFonts w:ascii="Arial" w:eastAsia="Arial" w:hAnsi="Arial" w:cs="Arial"/>
                <w:b/>
                <w:bCs/>
                <w:color w:val="FFFFFF" w:themeColor="background1"/>
                <w:sz w:val="18"/>
                <w:szCs w:val="18"/>
              </w:rPr>
              <w:t>Interpretation of the effect</w:t>
            </w:r>
          </w:p>
        </w:tc>
        <w:tc>
          <w:tcPr>
            <w:tcW w:w="1040" w:type="dxa"/>
            <w:tcBorders>
              <w:top w:val="nil"/>
              <w:left w:val="single" w:sz="8" w:space="0" w:color="FFFFFF" w:themeColor="background1"/>
              <w:bottom w:val="single" w:sz="8" w:space="0" w:color="44546A"/>
              <w:right w:val="nil"/>
            </w:tcBorders>
            <w:shd w:val="clear" w:color="auto" w:fill="44546A"/>
            <w:tcMar>
              <w:left w:w="58" w:type="dxa"/>
              <w:right w:w="58" w:type="dxa"/>
            </w:tcMar>
            <w:vAlign w:val="bottom"/>
          </w:tcPr>
          <w:p w14:paraId="31F90780" w14:textId="091D13DB" w:rsidR="0B65F835" w:rsidRDefault="0B65F835" w:rsidP="0B65F835">
            <w:pPr>
              <w:spacing w:after="0"/>
              <w:jc w:val="center"/>
              <w:rPr>
                <w:rFonts w:ascii="Arial" w:eastAsia="Arial" w:hAnsi="Arial" w:cs="Arial"/>
                <w:b/>
                <w:bCs/>
                <w:color w:val="FFFFFF" w:themeColor="background1"/>
                <w:sz w:val="18"/>
                <w:szCs w:val="18"/>
              </w:rPr>
            </w:pPr>
            <w:r w:rsidRPr="0B65F835">
              <w:rPr>
                <w:rFonts w:ascii="Arial" w:eastAsia="Arial" w:hAnsi="Arial" w:cs="Arial"/>
                <w:b/>
                <w:bCs/>
                <w:color w:val="FFFFFF" w:themeColor="background1"/>
                <w:sz w:val="18"/>
                <w:szCs w:val="18"/>
              </w:rPr>
              <w:t>Conclusion</w:t>
            </w:r>
          </w:p>
        </w:tc>
      </w:tr>
      <w:tr w:rsidR="003A57CE" w14:paraId="5A52AE70" w14:textId="77777777" w:rsidTr="0B65F835">
        <w:trPr>
          <w:trHeight w:val="120"/>
        </w:trPr>
        <w:tc>
          <w:tcPr>
            <w:tcW w:w="930" w:type="dxa"/>
            <w:vMerge w:val="restart"/>
            <w:tcBorders>
              <w:top w:val="single" w:sz="8" w:space="0" w:color="44546A"/>
              <w:left w:val="nil"/>
              <w:bottom w:val="single" w:sz="8" w:space="0" w:color="44546A"/>
              <w:right w:val="single" w:sz="8" w:space="0" w:color="A5A5A5"/>
            </w:tcBorders>
            <w:shd w:val="clear" w:color="auto" w:fill="FFFFFF" w:themeFill="background1"/>
            <w:tcMar>
              <w:left w:w="58" w:type="dxa"/>
              <w:right w:w="58" w:type="dxa"/>
            </w:tcMar>
          </w:tcPr>
          <w:p w14:paraId="49B83B5C" w14:textId="1562AF18"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Malnutrition screening result</w:t>
            </w:r>
          </w:p>
        </w:tc>
        <w:tc>
          <w:tcPr>
            <w:tcW w:w="770" w:type="dxa"/>
            <w:tcBorders>
              <w:top w:val="single" w:sz="8" w:space="0" w:color="44546A"/>
              <w:left w:val="single" w:sz="8" w:space="0" w:color="A5A5A5"/>
              <w:bottom w:val="single" w:sz="8" w:space="0" w:color="A5A5A5"/>
              <w:right w:val="single" w:sz="8" w:space="0" w:color="A5A5A5"/>
            </w:tcBorders>
            <w:shd w:val="clear" w:color="auto" w:fill="FFFFFF" w:themeFill="background1"/>
            <w:tcMar>
              <w:left w:w="58" w:type="dxa"/>
              <w:right w:w="58" w:type="dxa"/>
            </w:tcMar>
          </w:tcPr>
          <w:p w14:paraId="5DF88191" w14:textId="2A6636CB"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Age</w:t>
            </w:r>
          </w:p>
        </w:tc>
        <w:tc>
          <w:tcPr>
            <w:tcW w:w="970" w:type="dxa"/>
            <w:tcBorders>
              <w:top w:val="single" w:sz="8" w:space="0" w:color="44546A"/>
              <w:left w:val="single" w:sz="8" w:space="0" w:color="A5A5A5"/>
              <w:bottom w:val="single" w:sz="8" w:space="0" w:color="A5A5A5"/>
              <w:right w:val="single" w:sz="8" w:space="0" w:color="A5A5A5"/>
            </w:tcBorders>
            <w:shd w:val="clear" w:color="auto" w:fill="FFFFFF" w:themeFill="background1"/>
            <w:tcMar>
              <w:left w:w="58" w:type="dxa"/>
              <w:right w:w="58" w:type="dxa"/>
            </w:tcMar>
          </w:tcPr>
          <w:p w14:paraId="05689F45" w14:textId="14C373E6"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1st quartile vs. 4th quartile</w:t>
            </w:r>
          </w:p>
        </w:tc>
        <w:tc>
          <w:tcPr>
            <w:tcW w:w="750" w:type="dxa"/>
            <w:tcBorders>
              <w:top w:val="single" w:sz="8" w:space="0" w:color="44546A"/>
              <w:left w:val="single" w:sz="8" w:space="0" w:color="A5A5A5"/>
              <w:bottom w:val="single" w:sz="8" w:space="0" w:color="A5A5A5"/>
              <w:right w:val="single" w:sz="8" w:space="0" w:color="A5A5A5"/>
            </w:tcBorders>
            <w:shd w:val="clear" w:color="auto" w:fill="FFFFFF" w:themeFill="background1"/>
            <w:tcMar>
              <w:left w:w="58" w:type="dxa"/>
              <w:right w:w="58" w:type="dxa"/>
            </w:tcMar>
          </w:tcPr>
          <w:p w14:paraId="511BFDA7" w14:textId="5E9F7132"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69,517</w:t>
            </w:r>
          </w:p>
        </w:tc>
        <w:tc>
          <w:tcPr>
            <w:tcW w:w="850" w:type="dxa"/>
            <w:tcBorders>
              <w:top w:val="single" w:sz="8" w:space="0" w:color="44546A"/>
              <w:left w:val="single" w:sz="8" w:space="0" w:color="A5A5A5"/>
              <w:bottom w:val="single" w:sz="8" w:space="0" w:color="A5A5A5"/>
              <w:right w:val="single" w:sz="8" w:space="0" w:color="A5A5A5"/>
            </w:tcBorders>
            <w:shd w:val="clear" w:color="auto" w:fill="FFFFFF" w:themeFill="background1"/>
            <w:tcMar>
              <w:left w:w="58" w:type="dxa"/>
              <w:right w:w="58" w:type="dxa"/>
            </w:tcMar>
          </w:tcPr>
          <w:p w14:paraId="1B1F5B74" w14:textId="5C2A3753"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Chi-squared test</w:t>
            </w:r>
          </w:p>
        </w:tc>
        <w:tc>
          <w:tcPr>
            <w:tcW w:w="1305" w:type="dxa"/>
            <w:tcBorders>
              <w:top w:val="single" w:sz="8" w:space="0" w:color="44546A"/>
              <w:left w:val="single" w:sz="8" w:space="0" w:color="A5A5A5"/>
              <w:bottom w:val="single" w:sz="8" w:space="0" w:color="A5A5A5"/>
              <w:right w:val="single" w:sz="8" w:space="0" w:color="A5A5A5"/>
            </w:tcBorders>
            <w:shd w:val="clear" w:color="auto" w:fill="FFFFFF" w:themeFill="background1"/>
            <w:tcMar>
              <w:left w:w="58" w:type="dxa"/>
              <w:right w:w="58" w:type="dxa"/>
            </w:tcMar>
          </w:tcPr>
          <w:p w14:paraId="5214AB62" w14:textId="10176744" w:rsidR="003A57CE" w:rsidRDefault="003A57CE" w:rsidP="003A57CE">
            <w:pPr>
              <w:spacing w:after="0" w:line="276" w:lineRule="auto"/>
            </w:pPr>
            <m:oMathPara>
              <m:oMath>
                <m:sSup>
                  <m:sSupPr>
                    <m:ctrlPr>
                      <w:rPr>
                        <w:rFonts w:ascii="Cambria Math" w:hAnsi="Cambria Math"/>
                        <w:i/>
                        <w:iCs/>
                      </w:rPr>
                    </m:ctrlPr>
                  </m:sSupPr>
                  <m:e>
                    <m:r>
                      <w:rPr>
                        <w:rFonts w:ascii="Cambria Math" w:hAnsi="Cambria Math"/>
                      </w:rPr>
                      <m:t>χ</m:t>
                    </m:r>
                  </m:e>
                  <m:sup>
                    <m:r>
                      <w:rPr>
                        <w:rFonts w:ascii="Cambria Math" w:hAnsi="Cambria Math"/>
                      </w:rPr>
                      <m:t>2</m:t>
                    </m:r>
                  </m:sup>
                </m:sSup>
                <m:r>
                  <w:rPr>
                    <w:rFonts w:ascii="Cambria Math" w:hAnsi="Cambria Math"/>
                  </w:rPr>
                  <m:t>(1)=777.02</m:t>
                </m:r>
              </m:oMath>
            </m:oMathPara>
          </w:p>
        </w:tc>
        <w:tc>
          <w:tcPr>
            <w:tcW w:w="570" w:type="dxa"/>
            <w:tcBorders>
              <w:top w:val="single" w:sz="8" w:space="0" w:color="44546A"/>
              <w:left w:val="single" w:sz="8" w:space="0" w:color="A5A5A5"/>
              <w:bottom w:val="single" w:sz="8" w:space="0" w:color="A5A5A5"/>
              <w:right w:val="single" w:sz="8" w:space="0" w:color="A5A5A5"/>
            </w:tcBorders>
            <w:shd w:val="clear" w:color="auto" w:fill="FFFFFF" w:themeFill="background1"/>
            <w:tcMar>
              <w:left w:w="58" w:type="dxa"/>
              <w:right w:w="58" w:type="dxa"/>
            </w:tcMar>
          </w:tcPr>
          <w:p w14:paraId="3D1F5D97" w14:textId="50366DAF" w:rsidR="003A57CE" w:rsidRDefault="003A57CE" w:rsidP="003A57CE">
            <w:pPr>
              <w:spacing w:after="0" w:line="276" w:lineRule="auto"/>
            </w:pPr>
            <m:oMathPara>
              <m:oMath>
                <m:r>
                  <w:rPr>
                    <w:rFonts w:ascii="Cambria Math" w:hAnsi="Cambria Math"/>
                  </w:rPr>
                  <m:t>p&lt;.01</m:t>
                </m:r>
              </m:oMath>
            </m:oMathPara>
          </w:p>
        </w:tc>
        <w:tc>
          <w:tcPr>
            <w:tcW w:w="810" w:type="dxa"/>
            <w:tcBorders>
              <w:top w:val="single" w:sz="8" w:space="0" w:color="44546A"/>
              <w:left w:val="single" w:sz="8" w:space="0" w:color="A5A5A5"/>
              <w:bottom w:val="single" w:sz="8" w:space="0" w:color="A5A5A5"/>
              <w:right w:val="single" w:sz="8" w:space="0" w:color="A5A5A5"/>
            </w:tcBorders>
            <w:shd w:val="clear" w:color="auto" w:fill="FFFFFF" w:themeFill="background1"/>
            <w:tcMar>
              <w:left w:w="58" w:type="dxa"/>
              <w:right w:w="58" w:type="dxa"/>
            </w:tcMar>
          </w:tcPr>
          <w:p w14:paraId="531AC032" w14:textId="77777777" w:rsidR="003A57CE" w:rsidRPr="00185B24" w:rsidRDefault="003A57CE" w:rsidP="003A57CE">
            <w:pPr>
              <w:pStyle w:val="TableTextLeft"/>
            </w:pPr>
            <m:oMathPara>
              <m:oMathParaPr>
                <m:jc m:val="centerGroup"/>
              </m:oMathParaPr>
              <m:oMath>
                <m:r>
                  <w:rPr>
                    <w:rFonts w:ascii="Cambria Math" w:hAnsi="Cambria Math"/>
                  </w:rPr>
                  <m:t>φ=0.11;</m:t>
                </m:r>
              </m:oMath>
            </m:oMathPara>
          </w:p>
          <w:p w14:paraId="1A3D865C" w14:textId="444C0E0A" w:rsidR="003A57CE" w:rsidRDefault="003A57CE" w:rsidP="003A57CE">
            <w:pPr>
              <w:spacing w:after="0" w:line="276" w:lineRule="auto"/>
            </w:pPr>
            <m:oMathPara>
              <m:oMath>
                <m:r>
                  <w:rPr>
                    <w:rFonts w:ascii="Cambria Math" w:hAnsi="Cambria Math"/>
                  </w:rPr>
                  <m:t>h=0.21</m:t>
                </m:r>
              </m:oMath>
            </m:oMathPara>
          </w:p>
        </w:tc>
        <w:tc>
          <w:tcPr>
            <w:tcW w:w="1160" w:type="dxa"/>
            <w:tcBorders>
              <w:top w:val="single" w:sz="8" w:space="0" w:color="44546A"/>
              <w:left w:val="single" w:sz="8" w:space="0" w:color="A5A5A5"/>
              <w:bottom w:val="single" w:sz="8" w:space="0" w:color="A5A5A5"/>
              <w:right w:val="single" w:sz="8" w:space="0" w:color="A5A5A5"/>
            </w:tcBorders>
            <w:shd w:val="clear" w:color="auto" w:fill="FFFFFF" w:themeFill="background1"/>
            <w:tcMar>
              <w:left w:w="58" w:type="dxa"/>
              <w:right w:w="58" w:type="dxa"/>
            </w:tcMar>
          </w:tcPr>
          <w:p w14:paraId="41B58DB8" w14:textId="3B65DEE1"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Statistically significant differences. Small effect size.</w:t>
            </w:r>
          </w:p>
        </w:tc>
        <w:tc>
          <w:tcPr>
            <w:tcW w:w="1040" w:type="dxa"/>
            <w:tcBorders>
              <w:top w:val="single" w:sz="8" w:space="0" w:color="44546A"/>
              <w:left w:val="single" w:sz="8" w:space="0" w:color="A5A5A5"/>
              <w:bottom w:val="single" w:sz="8" w:space="0" w:color="A5A5A5"/>
              <w:right w:val="nil"/>
            </w:tcBorders>
            <w:shd w:val="clear" w:color="auto" w:fill="FFFFFF" w:themeFill="background1"/>
            <w:tcMar>
              <w:left w:w="58" w:type="dxa"/>
              <w:right w:w="58" w:type="dxa"/>
            </w:tcMar>
          </w:tcPr>
          <w:p w14:paraId="622E5B13" w14:textId="47BA2FDB"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Older patients at higher risk</w:t>
            </w:r>
          </w:p>
        </w:tc>
      </w:tr>
      <w:tr w:rsidR="003A57CE" w14:paraId="4A4E3ADC" w14:textId="77777777" w:rsidTr="0B65F835">
        <w:trPr>
          <w:trHeight w:val="120"/>
        </w:trPr>
        <w:tc>
          <w:tcPr>
            <w:tcW w:w="930" w:type="dxa"/>
            <w:vMerge/>
            <w:tcBorders>
              <w:left w:val="nil"/>
              <w:right w:val="single" w:sz="0" w:space="0" w:color="A5A5A5"/>
            </w:tcBorders>
            <w:vAlign w:val="center"/>
          </w:tcPr>
          <w:p w14:paraId="25815324" w14:textId="77777777" w:rsidR="003A57CE" w:rsidRDefault="003A57CE" w:rsidP="003A57CE"/>
        </w:tc>
        <w:tc>
          <w:tcPr>
            <w:tcW w:w="770" w:type="dxa"/>
            <w:tcBorders>
              <w:top w:val="single" w:sz="8" w:space="0" w:color="A5A5A5"/>
              <w:left w:val="nil"/>
              <w:bottom w:val="single" w:sz="8" w:space="0" w:color="A5A5A5"/>
              <w:right w:val="single" w:sz="8" w:space="0" w:color="A5A5A5"/>
            </w:tcBorders>
            <w:shd w:val="clear" w:color="auto" w:fill="FFFFFF" w:themeFill="background1"/>
            <w:tcMar>
              <w:left w:w="58" w:type="dxa"/>
              <w:right w:w="58" w:type="dxa"/>
            </w:tcMar>
          </w:tcPr>
          <w:p w14:paraId="38B7873E" w14:textId="4D97C378"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Length of stay</w:t>
            </w:r>
          </w:p>
        </w:tc>
        <w:tc>
          <w:tcPr>
            <w:tcW w:w="970"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5CE95C18" w14:textId="32F6F88F"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1st quartile vs. 4th quartile</w:t>
            </w:r>
          </w:p>
        </w:tc>
        <w:tc>
          <w:tcPr>
            <w:tcW w:w="750"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7229A1EA" w14:textId="5381CF3D"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70,769</w:t>
            </w:r>
          </w:p>
        </w:tc>
        <w:tc>
          <w:tcPr>
            <w:tcW w:w="850"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62EE1F25" w14:textId="39FDFDCE"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Chi-squared test</w:t>
            </w:r>
          </w:p>
        </w:tc>
        <w:tc>
          <w:tcPr>
            <w:tcW w:w="1305"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0A6BA1ED" w14:textId="6CE147FC" w:rsidR="003A57CE" w:rsidRDefault="003A57CE" w:rsidP="003A57CE">
            <w:pPr>
              <w:spacing w:after="0" w:line="276" w:lineRule="auto"/>
            </w:pPr>
            <m:oMathPara>
              <m:oMath>
                <m:sSup>
                  <m:sSupPr>
                    <m:ctrlPr>
                      <w:rPr>
                        <w:rFonts w:ascii="Cambria Math" w:hAnsi="Cambria Math"/>
                        <w:i/>
                        <w:iCs/>
                      </w:rPr>
                    </m:ctrlPr>
                  </m:sSupPr>
                  <m:e>
                    <m:r>
                      <w:rPr>
                        <w:rFonts w:ascii="Cambria Math" w:hAnsi="Cambria Math"/>
                      </w:rPr>
                      <m:t>χ</m:t>
                    </m:r>
                  </m:e>
                  <m:sup>
                    <m:r>
                      <w:rPr>
                        <w:rFonts w:ascii="Cambria Math" w:hAnsi="Cambria Math"/>
                      </w:rPr>
                      <m:t>2</m:t>
                    </m:r>
                  </m:sup>
                </m:sSup>
                <m:r>
                  <w:rPr>
                    <w:rFonts w:ascii="Cambria Math" w:hAnsi="Cambria Math"/>
                  </w:rPr>
                  <m:t>(1)=670.81</m:t>
                </m:r>
              </m:oMath>
            </m:oMathPara>
          </w:p>
        </w:tc>
        <w:tc>
          <w:tcPr>
            <w:tcW w:w="570"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5771A221" w14:textId="34C3613D" w:rsidR="003A57CE" w:rsidRDefault="003A57CE" w:rsidP="003A57CE">
            <w:pPr>
              <w:spacing w:after="0" w:line="276" w:lineRule="auto"/>
            </w:pPr>
            <m:oMathPara>
              <m:oMath>
                <m:r>
                  <w:rPr>
                    <w:rFonts w:ascii="Cambria Math" w:hAnsi="Cambria Math"/>
                  </w:rPr>
                  <m:t>p&lt;.01</m:t>
                </m:r>
              </m:oMath>
            </m:oMathPara>
          </w:p>
        </w:tc>
        <w:tc>
          <w:tcPr>
            <w:tcW w:w="810"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46761F33" w14:textId="77777777" w:rsidR="003A57CE" w:rsidRPr="00185B24" w:rsidRDefault="003A57CE" w:rsidP="003A57CE">
            <w:pPr>
              <w:pStyle w:val="TableTextLeft"/>
            </w:pPr>
            <m:oMathPara>
              <m:oMathParaPr>
                <m:jc m:val="centerGroup"/>
              </m:oMathParaPr>
              <m:oMath>
                <m:r>
                  <w:rPr>
                    <w:rFonts w:ascii="Cambria Math" w:hAnsi="Cambria Math"/>
                  </w:rPr>
                  <m:t>φ=0.10;</m:t>
                </m:r>
              </m:oMath>
            </m:oMathPara>
          </w:p>
          <w:p w14:paraId="1D420E4A" w14:textId="3C97D0A7" w:rsidR="003A57CE" w:rsidRDefault="003A57CE" w:rsidP="003A57CE">
            <w:pPr>
              <w:spacing w:after="0" w:line="276" w:lineRule="auto"/>
            </w:pPr>
            <m:oMathPara>
              <m:oMath>
                <m:r>
                  <w:rPr>
                    <w:rFonts w:ascii="Cambria Math" w:hAnsi="Cambria Math"/>
                  </w:rPr>
                  <m:t>h=0.20</m:t>
                </m:r>
              </m:oMath>
            </m:oMathPara>
          </w:p>
        </w:tc>
        <w:tc>
          <w:tcPr>
            <w:tcW w:w="1160"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7D1341AE" w14:textId="02465794"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Statistically significant differences. Small effect size.</w:t>
            </w:r>
          </w:p>
        </w:tc>
        <w:tc>
          <w:tcPr>
            <w:tcW w:w="1040" w:type="dxa"/>
            <w:tcBorders>
              <w:top w:val="single" w:sz="8" w:space="0" w:color="A5A5A5"/>
              <w:left w:val="single" w:sz="8" w:space="0" w:color="A5A5A5"/>
              <w:bottom w:val="single" w:sz="8" w:space="0" w:color="A5A5A5"/>
              <w:right w:val="nil"/>
            </w:tcBorders>
            <w:shd w:val="clear" w:color="auto" w:fill="FFFFFF" w:themeFill="background1"/>
            <w:tcMar>
              <w:left w:w="58" w:type="dxa"/>
              <w:right w:w="58" w:type="dxa"/>
            </w:tcMar>
          </w:tcPr>
          <w:p w14:paraId="66EAB80A" w14:textId="70A50636"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Longer stays at higher risk</w:t>
            </w:r>
          </w:p>
        </w:tc>
      </w:tr>
      <w:tr w:rsidR="003A57CE" w14:paraId="0DE63F3C" w14:textId="77777777" w:rsidTr="0B65F835">
        <w:trPr>
          <w:trHeight w:val="120"/>
        </w:trPr>
        <w:tc>
          <w:tcPr>
            <w:tcW w:w="930" w:type="dxa"/>
            <w:vMerge/>
            <w:tcBorders>
              <w:left w:val="nil"/>
              <w:right w:val="single" w:sz="0" w:space="0" w:color="A5A5A5"/>
            </w:tcBorders>
            <w:vAlign w:val="center"/>
          </w:tcPr>
          <w:p w14:paraId="3B031952" w14:textId="77777777" w:rsidR="003A57CE" w:rsidRDefault="003A57CE" w:rsidP="003A57CE"/>
        </w:tc>
        <w:tc>
          <w:tcPr>
            <w:tcW w:w="770" w:type="dxa"/>
            <w:tcBorders>
              <w:top w:val="single" w:sz="8" w:space="0" w:color="A5A5A5"/>
              <w:left w:val="nil"/>
              <w:bottom w:val="single" w:sz="8" w:space="0" w:color="A5A5A5"/>
              <w:right w:val="single" w:sz="8" w:space="0" w:color="A5A5A5"/>
            </w:tcBorders>
            <w:shd w:val="clear" w:color="auto" w:fill="FFFFFF" w:themeFill="background1"/>
            <w:tcMar>
              <w:left w:w="58" w:type="dxa"/>
              <w:right w:w="58" w:type="dxa"/>
            </w:tcMar>
          </w:tcPr>
          <w:p w14:paraId="6A3FACC2" w14:textId="1BBFABD0" w:rsidR="003A57CE" w:rsidRDefault="003A57CE" w:rsidP="003A57CE">
            <w:pPr>
              <w:spacing w:after="0"/>
              <w:rPr>
                <w:rFonts w:ascii="Arial" w:eastAsia="Arial" w:hAnsi="Arial" w:cs="Arial"/>
                <w:color w:val="000000" w:themeColor="text1"/>
                <w:sz w:val="18"/>
                <w:szCs w:val="18"/>
              </w:rPr>
            </w:pPr>
            <w:proofErr w:type="spellStart"/>
            <w:r w:rsidRPr="0B65F835">
              <w:rPr>
                <w:rFonts w:ascii="Arial" w:eastAsia="Arial" w:hAnsi="Arial" w:cs="Arial"/>
                <w:color w:val="000000" w:themeColor="text1"/>
                <w:sz w:val="18"/>
                <w:szCs w:val="18"/>
              </w:rPr>
              <w:t>Readmis-sion</w:t>
            </w:r>
            <w:proofErr w:type="spellEnd"/>
            <w:r w:rsidRPr="0B65F835">
              <w:rPr>
                <w:rFonts w:ascii="Arial" w:eastAsia="Arial" w:hAnsi="Arial" w:cs="Arial"/>
                <w:color w:val="000000" w:themeColor="text1"/>
                <w:sz w:val="18"/>
                <w:szCs w:val="18"/>
              </w:rPr>
              <w:t xml:space="preserve"> status</w:t>
            </w:r>
          </w:p>
        </w:tc>
        <w:tc>
          <w:tcPr>
            <w:tcW w:w="970"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2FFDBE12" w14:textId="685A8F9F"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Non-readmission vs. readmission</w:t>
            </w:r>
          </w:p>
        </w:tc>
        <w:tc>
          <w:tcPr>
            <w:tcW w:w="750"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1AE21FC5" w14:textId="5BB92F2A"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141,529</w:t>
            </w:r>
          </w:p>
        </w:tc>
        <w:tc>
          <w:tcPr>
            <w:tcW w:w="850"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1E1BBB32" w14:textId="62C22743"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Chi-squared test</w:t>
            </w:r>
          </w:p>
        </w:tc>
        <w:tc>
          <w:tcPr>
            <w:tcW w:w="1305"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126E1DD4" w14:textId="199375CD" w:rsidR="003A57CE" w:rsidRDefault="003A57CE" w:rsidP="003A57CE">
            <w:pPr>
              <w:spacing w:after="0" w:line="276" w:lineRule="auto"/>
            </w:pPr>
            <m:oMathPara>
              <m:oMath>
                <m:sSup>
                  <m:sSupPr>
                    <m:ctrlPr>
                      <w:rPr>
                        <w:rFonts w:ascii="Cambria Math" w:hAnsi="Cambria Math"/>
                        <w:i/>
                        <w:iCs/>
                      </w:rPr>
                    </m:ctrlPr>
                  </m:sSupPr>
                  <m:e>
                    <m:r>
                      <w:rPr>
                        <w:rFonts w:ascii="Cambria Math" w:hAnsi="Cambria Math"/>
                      </w:rPr>
                      <m:t>χ</m:t>
                    </m:r>
                  </m:e>
                  <m:sup>
                    <m:r>
                      <w:rPr>
                        <w:rFonts w:ascii="Cambria Math" w:hAnsi="Cambria Math"/>
                      </w:rPr>
                      <m:t>2</m:t>
                    </m:r>
                  </m:sup>
                </m:sSup>
                <m:r>
                  <w:rPr>
                    <w:rFonts w:ascii="Cambria Math" w:hAnsi="Cambria Math"/>
                  </w:rPr>
                  <m:t>(1)=1060.65</m:t>
                </m:r>
              </m:oMath>
            </m:oMathPara>
          </w:p>
        </w:tc>
        <w:tc>
          <w:tcPr>
            <w:tcW w:w="570"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20C46288" w14:textId="272C6A71" w:rsidR="003A57CE" w:rsidRDefault="003A57CE" w:rsidP="003A57CE">
            <w:pPr>
              <w:spacing w:after="0" w:line="276" w:lineRule="auto"/>
            </w:pPr>
            <m:oMathPara>
              <m:oMath>
                <m:r>
                  <w:rPr>
                    <w:rFonts w:ascii="Cambria Math" w:hAnsi="Cambria Math"/>
                  </w:rPr>
                  <m:t>p&lt;.01</m:t>
                </m:r>
              </m:oMath>
            </m:oMathPara>
          </w:p>
        </w:tc>
        <w:tc>
          <w:tcPr>
            <w:tcW w:w="810"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6DFC275F" w14:textId="77777777" w:rsidR="003A57CE" w:rsidRPr="00185B24" w:rsidRDefault="003A57CE" w:rsidP="003A57CE">
            <w:pPr>
              <w:pStyle w:val="TableTextLeft"/>
            </w:pPr>
            <m:oMathPara>
              <m:oMathParaPr>
                <m:jc m:val="centerGroup"/>
              </m:oMathParaPr>
              <m:oMath>
                <m:r>
                  <w:rPr>
                    <w:rFonts w:ascii="Cambria Math" w:hAnsi="Cambria Math"/>
                  </w:rPr>
                  <m:t>φ=0.09;</m:t>
                </m:r>
              </m:oMath>
            </m:oMathPara>
          </w:p>
          <w:p w14:paraId="443F466E" w14:textId="7D7F5BCC" w:rsidR="003A57CE" w:rsidRDefault="003A57CE" w:rsidP="003A57CE">
            <w:pPr>
              <w:spacing w:after="0" w:line="276" w:lineRule="auto"/>
            </w:pPr>
            <m:oMathPara>
              <m:oMath>
                <m:r>
                  <w:rPr>
                    <w:rFonts w:ascii="Cambria Math" w:hAnsi="Cambria Math"/>
                  </w:rPr>
                  <m:t>h=0.18</m:t>
                </m:r>
              </m:oMath>
            </m:oMathPara>
          </w:p>
        </w:tc>
        <w:tc>
          <w:tcPr>
            <w:tcW w:w="1160"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6EFAAE2D" w14:textId="6CFD0FEB"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Statistically significant differences. Effect size nearing the threshold for a small effect.</w:t>
            </w:r>
          </w:p>
        </w:tc>
        <w:tc>
          <w:tcPr>
            <w:tcW w:w="1040" w:type="dxa"/>
            <w:tcBorders>
              <w:top w:val="single" w:sz="8" w:space="0" w:color="A5A5A5"/>
              <w:left w:val="single" w:sz="8" w:space="0" w:color="A5A5A5"/>
              <w:bottom w:val="single" w:sz="8" w:space="0" w:color="A5A5A5"/>
              <w:right w:val="nil"/>
            </w:tcBorders>
            <w:shd w:val="clear" w:color="auto" w:fill="FFFFFF" w:themeFill="background1"/>
            <w:tcMar>
              <w:left w:w="58" w:type="dxa"/>
              <w:right w:w="58" w:type="dxa"/>
            </w:tcMar>
          </w:tcPr>
          <w:p w14:paraId="1F5325C9" w14:textId="67B879F3"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Readmission patients at higher risk</w:t>
            </w:r>
          </w:p>
        </w:tc>
      </w:tr>
      <w:tr w:rsidR="003A57CE" w14:paraId="4770EC02" w14:textId="77777777" w:rsidTr="0B65F835">
        <w:trPr>
          <w:trHeight w:val="120"/>
        </w:trPr>
        <w:tc>
          <w:tcPr>
            <w:tcW w:w="930" w:type="dxa"/>
            <w:vMerge/>
            <w:tcBorders>
              <w:top w:val="single" w:sz="0" w:space="0" w:color="44546A"/>
              <w:left w:val="nil"/>
              <w:bottom w:val="single" w:sz="0" w:space="0" w:color="44546A"/>
              <w:right w:val="single" w:sz="0" w:space="0" w:color="A5A5A5"/>
            </w:tcBorders>
            <w:vAlign w:val="center"/>
          </w:tcPr>
          <w:p w14:paraId="1D183E58" w14:textId="77777777" w:rsidR="003A57CE" w:rsidRDefault="003A57CE" w:rsidP="003A57CE"/>
        </w:tc>
        <w:tc>
          <w:tcPr>
            <w:tcW w:w="770" w:type="dxa"/>
            <w:tcBorders>
              <w:top w:val="single" w:sz="8" w:space="0" w:color="A5A5A5"/>
              <w:left w:val="nil"/>
              <w:bottom w:val="single" w:sz="8" w:space="0" w:color="44546A"/>
              <w:right w:val="single" w:sz="8" w:space="0" w:color="A5A5A5"/>
            </w:tcBorders>
            <w:shd w:val="clear" w:color="auto" w:fill="FFFFFF" w:themeFill="background1"/>
            <w:tcMar>
              <w:left w:w="58" w:type="dxa"/>
              <w:right w:w="58" w:type="dxa"/>
            </w:tcMar>
          </w:tcPr>
          <w:p w14:paraId="1221220C" w14:textId="7B256127"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Race/ ethnicity</w:t>
            </w:r>
          </w:p>
        </w:tc>
        <w:tc>
          <w:tcPr>
            <w:tcW w:w="970" w:type="dxa"/>
            <w:tcBorders>
              <w:top w:val="single" w:sz="8" w:space="0" w:color="A5A5A5"/>
              <w:left w:val="single" w:sz="8" w:space="0" w:color="A5A5A5"/>
              <w:bottom w:val="single" w:sz="8" w:space="0" w:color="44546A"/>
              <w:right w:val="single" w:sz="8" w:space="0" w:color="A5A5A5"/>
            </w:tcBorders>
            <w:shd w:val="clear" w:color="auto" w:fill="FFFFFF" w:themeFill="background1"/>
            <w:tcMar>
              <w:left w:w="58" w:type="dxa"/>
              <w:right w:w="58" w:type="dxa"/>
            </w:tcMar>
          </w:tcPr>
          <w:p w14:paraId="57FF7D14" w14:textId="28726DF3"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Non-Hispanic black vs. non-Hispanic white</w:t>
            </w:r>
          </w:p>
        </w:tc>
        <w:tc>
          <w:tcPr>
            <w:tcW w:w="750" w:type="dxa"/>
            <w:tcBorders>
              <w:top w:val="single" w:sz="8" w:space="0" w:color="A5A5A5"/>
              <w:left w:val="single" w:sz="8" w:space="0" w:color="A5A5A5"/>
              <w:bottom w:val="single" w:sz="8" w:space="0" w:color="44546A"/>
              <w:right w:val="single" w:sz="8" w:space="0" w:color="A5A5A5"/>
            </w:tcBorders>
            <w:shd w:val="clear" w:color="auto" w:fill="FFFFFF" w:themeFill="background1"/>
            <w:tcMar>
              <w:left w:w="58" w:type="dxa"/>
              <w:right w:w="58" w:type="dxa"/>
            </w:tcMar>
          </w:tcPr>
          <w:p w14:paraId="3DFBEE19" w14:textId="22D6628D"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130,503</w:t>
            </w:r>
          </w:p>
        </w:tc>
        <w:tc>
          <w:tcPr>
            <w:tcW w:w="850" w:type="dxa"/>
            <w:tcBorders>
              <w:top w:val="single" w:sz="8" w:space="0" w:color="A5A5A5"/>
              <w:left w:val="single" w:sz="8" w:space="0" w:color="A5A5A5"/>
              <w:bottom w:val="single" w:sz="8" w:space="0" w:color="44546A"/>
              <w:right w:val="single" w:sz="8" w:space="0" w:color="A5A5A5"/>
            </w:tcBorders>
            <w:shd w:val="clear" w:color="auto" w:fill="FFFFFF" w:themeFill="background1"/>
            <w:tcMar>
              <w:left w:w="58" w:type="dxa"/>
              <w:right w:w="58" w:type="dxa"/>
            </w:tcMar>
          </w:tcPr>
          <w:p w14:paraId="50A94313" w14:textId="52ABAC48"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Chi-squared test</w:t>
            </w:r>
          </w:p>
        </w:tc>
        <w:tc>
          <w:tcPr>
            <w:tcW w:w="1305" w:type="dxa"/>
            <w:tcBorders>
              <w:top w:val="single" w:sz="8" w:space="0" w:color="A5A5A5"/>
              <w:left w:val="single" w:sz="8" w:space="0" w:color="A5A5A5"/>
              <w:bottom w:val="single" w:sz="8" w:space="0" w:color="44546A"/>
              <w:right w:val="single" w:sz="8" w:space="0" w:color="A5A5A5"/>
            </w:tcBorders>
            <w:shd w:val="clear" w:color="auto" w:fill="FFFFFF" w:themeFill="background1"/>
            <w:tcMar>
              <w:left w:w="58" w:type="dxa"/>
              <w:right w:w="58" w:type="dxa"/>
            </w:tcMar>
          </w:tcPr>
          <w:p w14:paraId="73E4045B" w14:textId="491AF8A3" w:rsidR="003A57CE" w:rsidRDefault="003A57CE" w:rsidP="003A57CE">
            <w:pPr>
              <w:spacing w:after="0" w:line="276" w:lineRule="auto"/>
            </w:pPr>
            <m:oMathPara>
              <m:oMath>
                <m:sSup>
                  <m:sSupPr>
                    <m:ctrlPr>
                      <w:rPr>
                        <w:rFonts w:ascii="Cambria Math" w:hAnsi="Cambria Math"/>
                        <w:i/>
                        <w:iCs/>
                      </w:rPr>
                    </m:ctrlPr>
                  </m:sSupPr>
                  <m:e>
                    <m:r>
                      <w:rPr>
                        <w:rFonts w:ascii="Cambria Math" w:hAnsi="Cambria Math"/>
                      </w:rPr>
                      <m:t>χ</m:t>
                    </m:r>
                  </m:e>
                  <m:sup>
                    <m:r>
                      <w:rPr>
                        <w:rFonts w:ascii="Cambria Math" w:hAnsi="Cambria Math"/>
                      </w:rPr>
                      <m:t>2</m:t>
                    </m:r>
                  </m:sup>
                </m:sSup>
                <m:r>
                  <w:rPr>
                    <w:rFonts w:ascii="Cambria Math" w:hAnsi="Cambria Math"/>
                  </w:rPr>
                  <m:t>(1)=367.27</m:t>
                </m:r>
              </m:oMath>
            </m:oMathPara>
          </w:p>
        </w:tc>
        <w:tc>
          <w:tcPr>
            <w:tcW w:w="570" w:type="dxa"/>
            <w:tcBorders>
              <w:top w:val="single" w:sz="8" w:space="0" w:color="A5A5A5"/>
              <w:left w:val="single" w:sz="8" w:space="0" w:color="A5A5A5"/>
              <w:bottom w:val="single" w:sz="8" w:space="0" w:color="44546A"/>
              <w:right w:val="single" w:sz="8" w:space="0" w:color="A5A5A5"/>
            </w:tcBorders>
            <w:shd w:val="clear" w:color="auto" w:fill="FFFFFF" w:themeFill="background1"/>
            <w:tcMar>
              <w:left w:w="58" w:type="dxa"/>
              <w:right w:w="58" w:type="dxa"/>
            </w:tcMar>
          </w:tcPr>
          <w:p w14:paraId="12EB4B63" w14:textId="19F19DB8" w:rsidR="003A57CE" w:rsidRDefault="003A57CE" w:rsidP="003A57CE">
            <w:pPr>
              <w:spacing w:after="0" w:line="276" w:lineRule="auto"/>
            </w:pPr>
            <m:oMathPara>
              <m:oMath>
                <m:r>
                  <w:rPr>
                    <w:rFonts w:ascii="Cambria Math" w:hAnsi="Cambria Math"/>
                  </w:rPr>
                  <m:t>p&lt;.01</m:t>
                </m:r>
              </m:oMath>
            </m:oMathPara>
          </w:p>
        </w:tc>
        <w:tc>
          <w:tcPr>
            <w:tcW w:w="810" w:type="dxa"/>
            <w:tcBorders>
              <w:top w:val="single" w:sz="8" w:space="0" w:color="A5A5A5"/>
              <w:left w:val="single" w:sz="8" w:space="0" w:color="A5A5A5"/>
              <w:bottom w:val="single" w:sz="8" w:space="0" w:color="44546A"/>
              <w:right w:val="single" w:sz="8" w:space="0" w:color="A5A5A5"/>
            </w:tcBorders>
            <w:shd w:val="clear" w:color="auto" w:fill="FFFFFF" w:themeFill="background1"/>
            <w:tcMar>
              <w:left w:w="58" w:type="dxa"/>
              <w:right w:w="58" w:type="dxa"/>
            </w:tcMar>
          </w:tcPr>
          <w:p w14:paraId="653C5204" w14:textId="77777777" w:rsidR="003A57CE" w:rsidRPr="00185B24" w:rsidRDefault="003A57CE" w:rsidP="003A57CE">
            <w:pPr>
              <w:pStyle w:val="TableTextLeft"/>
            </w:pPr>
            <m:oMathPara>
              <m:oMathParaPr>
                <m:jc m:val="centerGroup"/>
              </m:oMathParaPr>
              <m:oMath>
                <m:r>
                  <w:rPr>
                    <w:rFonts w:ascii="Cambria Math" w:hAnsi="Cambria Math"/>
                  </w:rPr>
                  <m:t>φ=0.05;</m:t>
                </m:r>
              </m:oMath>
            </m:oMathPara>
          </w:p>
          <w:p w14:paraId="103A8C53" w14:textId="562349CE" w:rsidR="003A57CE" w:rsidRDefault="003A57CE" w:rsidP="003A57CE">
            <w:pPr>
              <w:spacing w:after="0" w:line="276" w:lineRule="auto"/>
            </w:pPr>
            <m:oMathPara>
              <m:oMath>
                <m:r>
                  <w:rPr>
                    <w:rFonts w:ascii="Cambria Math" w:hAnsi="Cambria Math"/>
                  </w:rPr>
                  <m:t>h=-0.12</m:t>
                </m:r>
              </m:oMath>
            </m:oMathPara>
          </w:p>
        </w:tc>
        <w:tc>
          <w:tcPr>
            <w:tcW w:w="1160" w:type="dxa"/>
            <w:tcBorders>
              <w:top w:val="single" w:sz="8" w:space="0" w:color="A5A5A5"/>
              <w:left w:val="single" w:sz="8" w:space="0" w:color="A5A5A5"/>
              <w:bottom w:val="single" w:sz="8" w:space="0" w:color="44546A"/>
              <w:right w:val="single" w:sz="8" w:space="0" w:color="A5A5A5"/>
            </w:tcBorders>
            <w:shd w:val="clear" w:color="auto" w:fill="FFFFFF" w:themeFill="background1"/>
            <w:tcMar>
              <w:left w:w="58" w:type="dxa"/>
              <w:right w:w="58" w:type="dxa"/>
            </w:tcMar>
          </w:tcPr>
          <w:p w14:paraId="0DBF48E3" w14:textId="4151EB1F"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Statistically significant differences. Insignificant effect size.</w:t>
            </w:r>
          </w:p>
        </w:tc>
        <w:tc>
          <w:tcPr>
            <w:tcW w:w="1040" w:type="dxa"/>
            <w:tcBorders>
              <w:top w:val="single" w:sz="8" w:space="0" w:color="A5A5A5"/>
              <w:left w:val="single" w:sz="8" w:space="0" w:color="A5A5A5"/>
              <w:bottom w:val="single" w:sz="8" w:space="0" w:color="44546A"/>
              <w:right w:val="nil"/>
            </w:tcBorders>
            <w:shd w:val="clear" w:color="auto" w:fill="FFFFFF" w:themeFill="background1"/>
            <w:tcMar>
              <w:left w:w="58" w:type="dxa"/>
              <w:right w:w="58" w:type="dxa"/>
            </w:tcMar>
          </w:tcPr>
          <w:p w14:paraId="4C99AD6A" w14:textId="32007A5D" w:rsidR="003A57CE" w:rsidRDefault="003A57CE" w:rsidP="003A57CE">
            <w:pPr>
              <w:spacing w:after="0"/>
              <w:rPr>
                <w:rFonts w:ascii="Arial" w:eastAsia="Arial" w:hAnsi="Arial" w:cs="Arial"/>
                <w:color w:val="000000" w:themeColor="text1"/>
                <w:sz w:val="18"/>
                <w:szCs w:val="18"/>
              </w:rPr>
            </w:pPr>
            <w:r w:rsidRPr="0B65F835">
              <w:rPr>
                <w:rFonts w:ascii="Arial" w:eastAsia="Arial" w:hAnsi="Arial" w:cs="Arial"/>
                <w:color w:val="000000" w:themeColor="text1"/>
                <w:sz w:val="18"/>
                <w:szCs w:val="18"/>
              </w:rPr>
              <w:t xml:space="preserve">Black patients </w:t>
            </w:r>
            <w:proofErr w:type="gramStart"/>
            <w:r w:rsidRPr="0B65F835">
              <w:rPr>
                <w:rFonts w:ascii="Arial" w:eastAsia="Arial" w:hAnsi="Arial" w:cs="Arial"/>
                <w:color w:val="000000" w:themeColor="text1"/>
                <w:sz w:val="18"/>
                <w:szCs w:val="18"/>
              </w:rPr>
              <w:t>at</w:t>
            </w:r>
            <w:proofErr w:type="gramEnd"/>
            <w:r w:rsidRPr="0B65F835">
              <w:rPr>
                <w:rFonts w:ascii="Arial" w:eastAsia="Arial" w:hAnsi="Arial" w:cs="Arial"/>
                <w:color w:val="000000" w:themeColor="text1"/>
                <w:sz w:val="18"/>
                <w:szCs w:val="18"/>
              </w:rPr>
              <w:t xml:space="preserve"> higher risk but the effects do not reach the threshold of a small effect. </w:t>
            </w:r>
          </w:p>
        </w:tc>
      </w:tr>
    </w:tbl>
    <w:p w14:paraId="3CBA411B" w14:textId="27204784" w:rsidR="00CD249E" w:rsidRDefault="4EF82BF0"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 xml:space="preserve"> </w:t>
      </w:r>
    </w:p>
    <w:p w14:paraId="7F1D59B4" w14:textId="501EA36B" w:rsidR="00CD249E" w:rsidRDefault="4EF82BF0" w:rsidP="0B65F835">
      <w:pPr>
        <w:spacing w:after="0"/>
        <w:rPr>
          <w:rFonts w:ascii="Arial" w:eastAsia="Arial" w:hAnsi="Arial" w:cs="Arial"/>
          <w:szCs w:val="20"/>
        </w:rPr>
      </w:pPr>
      <w:r w:rsidRPr="0B65F835">
        <w:rPr>
          <w:rFonts w:ascii="Arial" w:eastAsia="Arial" w:hAnsi="Arial" w:cs="Arial"/>
          <w:szCs w:val="20"/>
        </w:rPr>
        <w:lastRenderedPageBreak/>
        <w:t xml:space="preserve">The φ (phi) effect </w:t>
      </w:r>
      <w:proofErr w:type="gramStart"/>
      <w:r w:rsidRPr="0B65F835">
        <w:rPr>
          <w:rFonts w:ascii="Arial" w:eastAsia="Arial" w:hAnsi="Arial" w:cs="Arial"/>
          <w:szCs w:val="20"/>
        </w:rPr>
        <w:t>size,</w:t>
      </w:r>
      <w:proofErr w:type="gramEnd"/>
      <w:r w:rsidRPr="0B65F835">
        <w:rPr>
          <w:rFonts w:ascii="Arial" w:eastAsia="Arial" w:hAnsi="Arial" w:cs="Arial"/>
          <w:szCs w:val="20"/>
        </w:rPr>
        <w:t xml:space="preserve"> is a measure of association used to determine the strength and direction of the relationship between two categorical variables. It is </w:t>
      </w:r>
      <w:proofErr w:type="gramStart"/>
      <w:r w:rsidRPr="0B65F835">
        <w:rPr>
          <w:rFonts w:ascii="Arial" w:eastAsia="Arial" w:hAnsi="Arial" w:cs="Arial"/>
          <w:szCs w:val="20"/>
        </w:rPr>
        <w:t>similar to</w:t>
      </w:r>
      <w:proofErr w:type="gramEnd"/>
      <w:r w:rsidRPr="0B65F835">
        <w:rPr>
          <w:rFonts w:ascii="Arial" w:eastAsia="Arial" w:hAnsi="Arial" w:cs="Arial"/>
          <w:szCs w:val="20"/>
        </w:rPr>
        <w:t xml:space="preserve"> the Pearson correlation coefficient for continuous variables but is specifically designed for binary (yes/no) data. The φ coefficient ranges from -1 to 1, where -1 indicates a perfect negative association, 1 indicates a perfect positive association, and 0 indicates no association between the variables. For φ effect size coefficient, the values of 0.10, 0.30 and 0.50 indicate, respectively, small, </w:t>
      </w:r>
      <w:proofErr w:type="gramStart"/>
      <w:r w:rsidRPr="0B65F835">
        <w:rPr>
          <w:rFonts w:ascii="Arial" w:eastAsia="Arial" w:hAnsi="Arial" w:cs="Arial"/>
          <w:szCs w:val="20"/>
        </w:rPr>
        <w:t>medium</w:t>
      </w:r>
      <w:proofErr w:type="gramEnd"/>
      <w:r w:rsidRPr="0B65F835">
        <w:rPr>
          <w:rFonts w:ascii="Arial" w:eastAsia="Arial" w:hAnsi="Arial" w:cs="Arial"/>
          <w:szCs w:val="20"/>
        </w:rPr>
        <w:t xml:space="preserve"> and large effects. </w:t>
      </w:r>
    </w:p>
    <w:p w14:paraId="27AD54B6" w14:textId="72D137F4" w:rsidR="00CD249E" w:rsidRDefault="00CD249E" w:rsidP="0B65F835">
      <w:pPr>
        <w:spacing w:after="0"/>
        <w:rPr>
          <w:rFonts w:ascii="Arial" w:eastAsia="Arial" w:hAnsi="Arial" w:cs="Arial"/>
          <w:szCs w:val="20"/>
        </w:rPr>
      </w:pPr>
    </w:p>
    <w:p w14:paraId="2F708E4A" w14:textId="637CF043" w:rsidR="00CD249E" w:rsidRDefault="4EF82BF0" w:rsidP="0B65F835">
      <w:pPr>
        <w:spacing w:after="0"/>
        <w:rPr>
          <w:rFonts w:ascii="Arial" w:eastAsia="Arial" w:hAnsi="Arial" w:cs="Arial"/>
          <w:szCs w:val="20"/>
        </w:rPr>
      </w:pPr>
      <w:proofErr w:type="gramStart"/>
      <w:r w:rsidRPr="0B65F835">
        <w:rPr>
          <w:rFonts w:ascii="Arial" w:eastAsia="Arial" w:hAnsi="Arial" w:cs="Arial"/>
          <w:szCs w:val="20"/>
        </w:rPr>
        <w:t>The Cohen’s h effect size,</w:t>
      </w:r>
      <w:proofErr w:type="gramEnd"/>
      <w:r w:rsidRPr="0B65F835">
        <w:rPr>
          <w:rFonts w:ascii="Arial" w:eastAsia="Arial" w:hAnsi="Arial" w:cs="Arial"/>
          <w:szCs w:val="20"/>
        </w:rPr>
        <w:t xml:space="preserve"> is a measure of the difference in proportions between two groups. It is used for comparing the proportions of two groups when the data are binary (e.g., success/failure, yes/no). Cohen's h provides a standardized measure of effect size, allowing for comparisons across different studies or contexts. For Cohen’s h effect size coefficient, the values of 0.20, 0.50 and 0.80 indicate, respectively, small, </w:t>
      </w:r>
      <w:proofErr w:type="gramStart"/>
      <w:r w:rsidRPr="0B65F835">
        <w:rPr>
          <w:rFonts w:ascii="Arial" w:eastAsia="Arial" w:hAnsi="Arial" w:cs="Arial"/>
          <w:szCs w:val="20"/>
        </w:rPr>
        <w:t>medium</w:t>
      </w:r>
      <w:proofErr w:type="gramEnd"/>
      <w:r w:rsidRPr="0B65F835">
        <w:rPr>
          <w:rFonts w:ascii="Arial" w:eastAsia="Arial" w:hAnsi="Arial" w:cs="Arial"/>
          <w:szCs w:val="20"/>
        </w:rPr>
        <w:t xml:space="preserve"> and large effects.</w:t>
      </w:r>
    </w:p>
    <w:p w14:paraId="1A3EFF93" w14:textId="3FE75559" w:rsidR="00CD249E" w:rsidRDefault="00CD249E" w:rsidP="0B65F835">
      <w:pPr>
        <w:spacing w:after="0"/>
      </w:pPr>
    </w:p>
    <w:p w14:paraId="42612740" w14:textId="49ADEDD9" w:rsidR="00CD249E" w:rsidRDefault="4EF82BF0" w:rsidP="0B65F835">
      <w:pPr>
        <w:spacing w:after="0"/>
      </w:pPr>
      <w:r w:rsidRPr="0B65F835">
        <w:rPr>
          <w:rFonts w:ascii="Arial" w:eastAsia="Arial" w:hAnsi="Arial" w:cs="Arial"/>
          <w:szCs w:val="20"/>
        </w:rPr>
        <w:t>Table X.2 shows the results from the four paired t-tests and Wilcoxon signed-rank sum tests. Unexpectedly, we found non-significant differences for the age and LOS factors, meaning that facilities’ GMCS measure scores did not differ meaningfully across encounters of older and younger patients and across longer and shorter stays. On the other hand, as hypothesized, we found significant differences in facilities’ GMCS measure scores across the readmission status and race/ethnicity factors. The direction of the differences was as expected, where the GMCS computed among readmission encounters were lower than that of non-readmission encounters, and the GMCS computed among encounters of non-Hispanic black patients were lower than that of non-Hispanic white patients.</w:t>
      </w:r>
    </w:p>
    <w:p w14:paraId="231B0029" w14:textId="478F7085" w:rsidR="00CD249E" w:rsidRDefault="4EF82BF0" w:rsidP="0B65F835">
      <w:pPr>
        <w:spacing w:after="0"/>
        <w:rPr>
          <w:rFonts w:ascii="Arial" w:eastAsia="Arial" w:hAnsi="Arial" w:cs="Arial"/>
          <w:color w:val="4472C4"/>
          <w:szCs w:val="20"/>
        </w:rPr>
      </w:pPr>
      <w:r w:rsidRPr="0B65F835">
        <w:rPr>
          <w:rFonts w:ascii="Arial" w:eastAsia="Arial" w:hAnsi="Arial" w:cs="Arial"/>
          <w:b/>
          <w:bCs/>
          <w:color w:val="4472C4"/>
          <w:szCs w:val="20"/>
        </w:rPr>
        <w:t>Table X.2.</w:t>
      </w:r>
      <w:r w:rsidRPr="0B65F835">
        <w:rPr>
          <w:rFonts w:ascii="Arial" w:eastAsia="Arial" w:hAnsi="Arial" w:cs="Arial"/>
          <w:color w:val="4472C4"/>
          <w:szCs w:val="20"/>
        </w:rPr>
        <w:t xml:space="preserve"> Results of hypothesis testing for differences in the GMCS measure across patient characteristics</w:t>
      </w:r>
    </w:p>
    <w:tbl>
      <w:tblPr>
        <w:tblStyle w:val="BaseTable"/>
        <w:tblW w:w="10116" w:type="dxa"/>
        <w:tblInd w:w="0" w:type="dxa"/>
        <w:tblLook w:val="04A0" w:firstRow="1" w:lastRow="0" w:firstColumn="1" w:lastColumn="0" w:noHBand="0" w:noVBand="1"/>
      </w:tblPr>
      <w:tblGrid>
        <w:gridCol w:w="1060"/>
        <w:gridCol w:w="1247"/>
        <w:gridCol w:w="1197"/>
        <w:gridCol w:w="891"/>
        <w:gridCol w:w="988"/>
        <w:gridCol w:w="1261"/>
        <w:gridCol w:w="690"/>
        <w:gridCol w:w="856"/>
        <w:gridCol w:w="1926"/>
      </w:tblGrid>
      <w:tr w:rsidR="002C7489" w14:paraId="175B9FF5" w14:textId="77777777" w:rsidTr="002C7489">
        <w:trPr>
          <w:cnfStyle w:val="100000000000" w:firstRow="1" w:lastRow="0" w:firstColumn="0" w:lastColumn="0" w:oddVBand="0" w:evenVBand="0" w:oddHBand="0" w:evenHBand="0" w:firstRowFirstColumn="0" w:firstRowLastColumn="0" w:lastRowFirstColumn="0" w:lastRowLastColumn="0"/>
          <w:trHeight w:val="120"/>
          <w:tblHeader/>
        </w:trPr>
        <w:tc>
          <w:tcPr>
            <w:tcW w:w="1060" w:type="dxa"/>
            <w:hideMark/>
          </w:tcPr>
          <w:p w14:paraId="25F5F0AE" w14:textId="77777777" w:rsidR="002C7489" w:rsidRDefault="002C7489">
            <w:pPr>
              <w:pStyle w:val="TableHeaderLeft"/>
            </w:pPr>
            <w:r>
              <w:t>Dependent variable</w:t>
            </w:r>
          </w:p>
        </w:tc>
        <w:tc>
          <w:tcPr>
            <w:tcW w:w="1247" w:type="dxa"/>
            <w:hideMark/>
          </w:tcPr>
          <w:p w14:paraId="671F02F9" w14:textId="77777777" w:rsidR="002C7489" w:rsidRDefault="002C7489">
            <w:pPr>
              <w:pStyle w:val="TableHeaderCenter"/>
            </w:pPr>
            <w:r>
              <w:t>Factor</w:t>
            </w:r>
          </w:p>
        </w:tc>
        <w:tc>
          <w:tcPr>
            <w:tcW w:w="1197" w:type="dxa"/>
            <w:hideMark/>
          </w:tcPr>
          <w:p w14:paraId="2BC1FA67" w14:textId="77777777" w:rsidR="002C7489" w:rsidRDefault="002C7489">
            <w:pPr>
              <w:pStyle w:val="TableHeaderCenter"/>
            </w:pPr>
            <w:r>
              <w:t>Levels compared</w:t>
            </w:r>
          </w:p>
        </w:tc>
        <w:tc>
          <w:tcPr>
            <w:tcW w:w="891" w:type="dxa"/>
            <w:hideMark/>
          </w:tcPr>
          <w:p w14:paraId="4BB00321" w14:textId="77777777" w:rsidR="002C7489" w:rsidRDefault="002C7489">
            <w:pPr>
              <w:pStyle w:val="TableHeaderCenter"/>
            </w:pPr>
            <w:r>
              <w:t>N (# facilities)</w:t>
            </w:r>
          </w:p>
        </w:tc>
        <w:tc>
          <w:tcPr>
            <w:tcW w:w="988" w:type="dxa"/>
            <w:hideMark/>
          </w:tcPr>
          <w:p w14:paraId="3A74EE4B" w14:textId="77777777" w:rsidR="002C7489" w:rsidRDefault="002C7489">
            <w:pPr>
              <w:pStyle w:val="TableHeaderCenter"/>
            </w:pPr>
            <w:r>
              <w:t>Statistical test</w:t>
            </w:r>
          </w:p>
        </w:tc>
        <w:tc>
          <w:tcPr>
            <w:tcW w:w="1261" w:type="dxa"/>
            <w:hideMark/>
          </w:tcPr>
          <w:p w14:paraId="32E67CE7" w14:textId="77777777" w:rsidR="002C7489" w:rsidRDefault="002C7489">
            <w:pPr>
              <w:pStyle w:val="TableHeaderCenter"/>
            </w:pPr>
            <w:r>
              <w:t>Test statistic</w:t>
            </w:r>
          </w:p>
        </w:tc>
        <w:tc>
          <w:tcPr>
            <w:tcW w:w="690" w:type="dxa"/>
            <w:hideMark/>
          </w:tcPr>
          <w:p w14:paraId="4F527299" w14:textId="77777777" w:rsidR="002C7489" w:rsidRDefault="002C7489">
            <w:pPr>
              <w:pStyle w:val="TableHeaderCenter"/>
            </w:pPr>
            <w:r>
              <w:t>P-value</w:t>
            </w:r>
          </w:p>
        </w:tc>
        <w:tc>
          <w:tcPr>
            <w:tcW w:w="856" w:type="dxa"/>
            <w:hideMark/>
          </w:tcPr>
          <w:p w14:paraId="290338C4" w14:textId="77777777" w:rsidR="002C7489" w:rsidRDefault="002C7489">
            <w:pPr>
              <w:pStyle w:val="TableHeaderCenter"/>
            </w:pPr>
            <w:r>
              <w:t>Effect size</w:t>
            </w:r>
          </w:p>
        </w:tc>
        <w:tc>
          <w:tcPr>
            <w:tcW w:w="1926" w:type="dxa"/>
            <w:hideMark/>
          </w:tcPr>
          <w:p w14:paraId="7BA5813B" w14:textId="77777777" w:rsidR="002C7489" w:rsidRDefault="002C7489">
            <w:pPr>
              <w:pStyle w:val="TableHeaderCenter"/>
            </w:pPr>
            <w:r>
              <w:t>Conclusion</w:t>
            </w:r>
          </w:p>
        </w:tc>
      </w:tr>
      <w:tr w:rsidR="002C7489" w14:paraId="226001D5" w14:textId="77777777" w:rsidTr="002C7489">
        <w:trPr>
          <w:trHeight w:val="120"/>
        </w:trPr>
        <w:tc>
          <w:tcPr>
            <w:tcW w:w="1060" w:type="dxa"/>
            <w:vMerge w:val="restart"/>
            <w:tcBorders>
              <w:top w:val="single" w:sz="4" w:space="0" w:color="196B24" w:themeColor="accent3"/>
              <w:left w:val="nil"/>
              <w:bottom w:val="single" w:sz="4" w:space="0" w:color="0E2841" w:themeColor="text2"/>
              <w:right w:val="single" w:sz="4" w:space="0" w:color="196B24" w:themeColor="accent3"/>
            </w:tcBorders>
            <w:hideMark/>
          </w:tcPr>
          <w:p w14:paraId="311446A8" w14:textId="77777777" w:rsidR="002C7489" w:rsidRDefault="002C7489">
            <w:pPr>
              <w:pStyle w:val="TableTextLeft"/>
            </w:pPr>
            <w:r>
              <w:t>GMCS measure score</w:t>
            </w:r>
          </w:p>
        </w:tc>
        <w:tc>
          <w:tcPr>
            <w:tcW w:w="1247"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71E76DE6" w14:textId="77777777" w:rsidR="002C7489" w:rsidRDefault="002C7489">
            <w:pPr>
              <w:pStyle w:val="TableTextLeft"/>
            </w:pPr>
            <w:r>
              <w:t>Age</w:t>
            </w:r>
          </w:p>
        </w:tc>
        <w:tc>
          <w:tcPr>
            <w:tcW w:w="1197"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6700CB6" w14:textId="77777777" w:rsidR="002C7489" w:rsidRDefault="002C7489">
            <w:pPr>
              <w:pStyle w:val="TableTextLeft"/>
            </w:pPr>
            <w:r>
              <w:t>1st quartile vs. 4th quartile</w:t>
            </w:r>
          </w:p>
        </w:tc>
        <w:tc>
          <w:tcPr>
            <w:tcW w:w="891"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23A47B35" w14:textId="77777777" w:rsidR="002C7489" w:rsidRDefault="002C7489">
            <w:pPr>
              <w:pStyle w:val="TableTextLeft"/>
            </w:pPr>
            <w:r>
              <w:t>28</w:t>
            </w:r>
          </w:p>
        </w:tc>
        <w:tc>
          <w:tcPr>
            <w:tcW w:w="98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781778F7" w14:textId="77777777" w:rsidR="002C7489" w:rsidRDefault="002C7489">
            <w:pPr>
              <w:pStyle w:val="TableTextLeft"/>
            </w:pPr>
            <w:r>
              <w:t>Paired t-test</w:t>
            </w:r>
          </w:p>
        </w:tc>
        <w:tc>
          <w:tcPr>
            <w:tcW w:w="1261"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37889E55" w14:textId="77777777" w:rsidR="002C7489" w:rsidRDefault="002C7489">
            <w:pPr>
              <w:pStyle w:val="TableTextLeft"/>
            </w:pPr>
            <m:oMathPara>
              <m:oMathParaPr>
                <m:jc m:val="centerGroup"/>
              </m:oMathParaPr>
              <m:oMath>
                <m:r>
                  <w:rPr>
                    <w:rFonts w:ascii="Cambria Math" w:hAnsi="Cambria Math"/>
                  </w:rPr>
                  <m:t>t</m:t>
                </m:r>
                <m:d>
                  <m:dPr>
                    <m:ctrlPr>
                      <w:rPr>
                        <w:rFonts w:ascii="Cambria Math" w:hAnsi="Cambria Math"/>
                        <w:i/>
                        <w:iCs/>
                      </w:rPr>
                    </m:ctrlPr>
                  </m:dPr>
                  <m:e>
                    <m:r>
                      <w:rPr>
                        <w:rFonts w:ascii="Cambria Math" w:hAnsi="Cambria Math"/>
                      </w:rPr>
                      <m:t>27</m:t>
                    </m:r>
                  </m:e>
                </m:d>
                <m:r>
                  <w:rPr>
                    <w:rFonts w:ascii="Cambria Math" w:hAnsi="Cambria Math"/>
                  </w:rPr>
                  <m:t>=1.03</m:t>
                </m:r>
              </m:oMath>
            </m:oMathPara>
          </w:p>
        </w:tc>
        <w:tc>
          <w:tcPr>
            <w:tcW w:w="69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0F2EED70" w14:textId="77777777" w:rsidR="002C7489" w:rsidRDefault="002C7489">
            <w:pPr>
              <w:pStyle w:val="TableTextLeft"/>
            </w:pPr>
            <m:oMathPara>
              <m:oMathParaPr>
                <m:jc m:val="centerGroup"/>
              </m:oMathParaPr>
              <m:oMath>
                <m:r>
                  <w:rPr>
                    <w:rFonts w:ascii="Cambria Math" w:hAnsi="Cambria Math"/>
                  </w:rPr>
                  <m:t>p=.31</m:t>
                </m:r>
              </m:oMath>
            </m:oMathPara>
          </w:p>
        </w:tc>
        <w:tc>
          <w:tcPr>
            <w:tcW w:w="856"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16578AE7" w14:textId="77777777" w:rsidR="002C7489" w:rsidRDefault="002C7489">
            <w:pPr>
              <w:pStyle w:val="TableTextLeft"/>
            </w:pPr>
            <m:oMathPara>
              <m:oMathParaPr>
                <m:jc m:val="centerGroup"/>
              </m:oMathParaPr>
              <m:oMath>
                <m:r>
                  <w:rPr>
                    <w:rFonts w:ascii="Cambria Math" w:hAnsi="Cambria Math"/>
                  </w:rPr>
                  <m:t>d=0.19</m:t>
                </m:r>
              </m:oMath>
            </m:oMathPara>
          </w:p>
        </w:tc>
        <w:tc>
          <w:tcPr>
            <w:tcW w:w="1926" w:type="dxa"/>
            <w:tcBorders>
              <w:top w:val="single" w:sz="4" w:space="0" w:color="196B24" w:themeColor="accent3"/>
              <w:left w:val="single" w:sz="4" w:space="0" w:color="196B24" w:themeColor="accent3"/>
              <w:bottom w:val="single" w:sz="4" w:space="0" w:color="196B24" w:themeColor="accent3"/>
              <w:right w:val="nil"/>
            </w:tcBorders>
            <w:hideMark/>
          </w:tcPr>
          <w:p w14:paraId="37786FA6" w14:textId="77777777" w:rsidR="002C7489" w:rsidRDefault="002C7489">
            <w:pPr>
              <w:pStyle w:val="TableTextLeft"/>
            </w:pPr>
            <w:r>
              <w:t>No significant difference</w:t>
            </w:r>
          </w:p>
        </w:tc>
      </w:tr>
      <w:tr w:rsidR="002C7489" w14:paraId="44314E16" w14:textId="77777777" w:rsidTr="002C7489">
        <w:trPr>
          <w:trHeight w:val="120"/>
        </w:trPr>
        <w:tc>
          <w:tcPr>
            <w:tcW w:w="0" w:type="auto"/>
            <w:vMerge/>
            <w:tcBorders>
              <w:top w:val="single" w:sz="4" w:space="0" w:color="196B24" w:themeColor="accent3"/>
              <w:left w:val="nil"/>
              <w:bottom w:val="single" w:sz="4" w:space="0" w:color="0E2841" w:themeColor="text2"/>
              <w:right w:val="single" w:sz="4" w:space="0" w:color="196B24" w:themeColor="accent3"/>
            </w:tcBorders>
            <w:vAlign w:val="center"/>
            <w:hideMark/>
          </w:tcPr>
          <w:p w14:paraId="583309A4" w14:textId="77777777" w:rsidR="002C7489" w:rsidRDefault="002C7489">
            <w:pPr>
              <w:spacing w:before="0" w:after="0" w:line="240" w:lineRule="auto"/>
              <w:rPr>
                <w:color w:val="000000" w:themeColor="text1"/>
                <w:sz w:val="18"/>
              </w:rPr>
            </w:pPr>
          </w:p>
        </w:tc>
        <w:tc>
          <w:tcPr>
            <w:tcW w:w="1247"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3905BA6F" w14:textId="77777777" w:rsidR="002C7489" w:rsidRDefault="002C7489">
            <w:pPr>
              <w:pStyle w:val="TableTextLeft"/>
            </w:pPr>
            <w:r>
              <w:t>Length of stay</w:t>
            </w:r>
          </w:p>
        </w:tc>
        <w:tc>
          <w:tcPr>
            <w:tcW w:w="1197"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2BCE16B5" w14:textId="77777777" w:rsidR="002C7489" w:rsidRDefault="002C7489">
            <w:pPr>
              <w:pStyle w:val="TableTextLeft"/>
            </w:pPr>
            <w:r>
              <w:t>1st quartile vs. 4th quartile</w:t>
            </w:r>
          </w:p>
        </w:tc>
        <w:tc>
          <w:tcPr>
            <w:tcW w:w="891"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1C49E430" w14:textId="77777777" w:rsidR="002C7489" w:rsidRDefault="002C7489">
            <w:pPr>
              <w:pStyle w:val="TableTextLeft"/>
            </w:pPr>
            <w:r>
              <w:t>28</w:t>
            </w:r>
          </w:p>
        </w:tc>
        <w:tc>
          <w:tcPr>
            <w:tcW w:w="98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9C3D562" w14:textId="77777777" w:rsidR="002C7489" w:rsidRDefault="002C7489">
            <w:pPr>
              <w:pStyle w:val="TableTextLeft"/>
            </w:pPr>
            <w:r>
              <w:t>Paired t-test</w:t>
            </w:r>
          </w:p>
        </w:tc>
        <w:tc>
          <w:tcPr>
            <w:tcW w:w="1261"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48DE0989" w14:textId="77777777" w:rsidR="002C7489" w:rsidRDefault="002C7489">
            <w:pPr>
              <w:pStyle w:val="TableTextLeft"/>
            </w:pPr>
            <m:oMathPara>
              <m:oMathParaPr>
                <m:jc m:val="centerGroup"/>
              </m:oMathParaPr>
              <m:oMath>
                <m:r>
                  <w:rPr>
                    <w:rFonts w:ascii="Cambria Math" w:hAnsi="Cambria Math"/>
                  </w:rPr>
                  <m:t>t</m:t>
                </m:r>
                <m:d>
                  <m:dPr>
                    <m:ctrlPr>
                      <w:rPr>
                        <w:rFonts w:ascii="Cambria Math" w:hAnsi="Cambria Math"/>
                        <w:i/>
                        <w:iCs/>
                      </w:rPr>
                    </m:ctrlPr>
                  </m:dPr>
                  <m:e>
                    <m:r>
                      <w:rPr>
                        <w:rFonts w:ascii="Cambria Math" w:hAnsi="Cambria Math"/>
                      </w:rPr>
                      <m:t>27</m:t>
                    </m:r>
                  </m:e>
                </m:d>
                <m:r>
                  <w:rPr>
                    <w:rFonts w:ascii="Cambria Math" w:hAnsi="Cambria Math"/>
                  </w:rPr>
                  <m:t>=-0.87</m:t>
                </m:r>
              </m:oMath>
            </m:oMathPara>
          </w:p>
        </w:tc>
        <w:tc>
          <w:tcPr>
            <w:tcW w:w="69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0920AD0E" w14:textId="77777777" w:rsidR="002C7489" w:rsidRDefault="002C7489">
            <w:pPr>
              <w:pStyle w:val="TableTextLeft"/>
            </w:pPr>
            <m:oMathPara>
              <m:oMathParaPr>
                <m:jc m:val="centerGroup"/>
              </m:oMathParaPr>
              <m:oMath>
                <m:r>
                  <w:rPr>
                    <w:rFonts w:ascii="Cambria Math" w:hAnsi="Cambria Math"/>
                  </w:rPr>
                  <m:t>p=.39</m:t>
                </m:r>
              </m:oMath>
            </m:oMathPara>
          </w:p>
        </w:tc>
        <w:tc>
          <w:tcPr>
            <w:tcW w:w="856"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459BB539" w14:textId="77777777" w:rsidR="002C7489" w:rsidRDefault="002C7489">
            <w:pPr>
              <w:pStyle w:val="TableTextLeft"/>
            </w:pPr>
            <m:oMathPara>
              <m:oMathParaPr>
                <m:jc m:val="centerGroup"/>
              </m:oMathParaPr>
              <m:oMath>
                <m:r>
                  <w:rPr>
                    <w:rFonts w:ascii="Cambria Math" w:hAnsi="Cambria Math"/>
                  </w:rPr>
                  <m:t>d=-0.16</m:t>
                </m:r>
              </m:oMath>
            </m:oMathPara>
          </w:p>
        </w:tc>
        <w:tc>
          <w:tcPr>
            <w:tcW w:w="1926" w:type="dxa"/>
            <w:tcBorders>
              <w:top w:val="single" w:sz="4" w:space="0" w:color="196B24" w:themeColor="accent3"/>
              <w:left w:val="single" w:sz="4" w:space="0" w:color="196B24" w:themeColor="accent3"/>
              <w:bottom w:val="single" w:sz="4" w:space="0" w:color="196B24" w:themeColor="accent3"/>
              <w:right w:val="nil"/>
            </w:tcBorders>
            <w:hideMark/>
          </w:tcPr>
          <w:p w14:paraId="01841BF6" w14:textId="77777777" w:rsidR="002C7489" w:rsidRDefault="002C7489">
            <w:pPr>
              <w:pStyle w:val="TableTextLeft"/>
            </w:pPr>
            <w:r>
              <w:t>No significant difference</w:t>
            </w:r>
          </w:p>
        </w:tc>
      </w:tr>
      <w:tr w:rsidR="002C7489" w14:paraId="481C72FD" w14:textId="77777777" w:rsidTr="002C7489">
        <w:trPr>
          <w:trHeight w:val="120"/>
        </w:trPr>
        <w:tc>
          <w:tcPr>
            <w:tcW w:w="0" w:type="auto"/>
            <w:vMerge/>
            <w:tcBorders>
              <w:top w:val="single" w:sz="4" w:space="0" w:color="196B24" w:themeColor="accent3"/>
              <w:left w:val="nil"/>
              <w:bottom w:val="single" w:sz="4" w:space="0" w:color="0E2841" w:themeColor="text2"/>
              <w:right w:val="single" w:sz="4" w:space="0" w:color="196B24" w:themeColor="accent3"/>
            </w:tcBorders>
            <w:vAlign w:val="center"/>
            <w:hideMark/>
          </w:tcPr>
          <w:p w14:paraId="328D71CB" w14:textId="77777777" w:rsidR="002C7489" w:rsidRDefault="002C7489">
            <w:pPr>
              <w:spacing w:before="0" w:after="0" w:line="240" w:lineRule="auto"/>
              <w:rPr>
                <w:color w:val="000000" w:themeColor="text1"/>
                <w:sz w:val="18"/>
              </w:rPr>
            </w:pPr>
          </w:p>
        </w:tc>
        <w:tc>
          <w:tcPr>
            <w:tcW w:w="1247"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775348D7" w14:textId="77777777" w:rsidR="002C7489" w:rsidRDefault="002C7489">
            <w:pPr>
              <w:pStyle w:val="TableTextLeft"/>
            </w:pPr>
            <w:r>
              <w:t>Readmission status</w:t>
            </w:r>
          </w:p>
        </w:tc>
        <w:tc>
          <w:tcPr>
            <w:tcW w:w="1197"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11E66FA" w14:textId="77777777" w:rsidR="002C7489" w:rsidRDefault="002C7489">
            <w:pPr>
              <w:pStyle w:val="TableTextLeft"/>
            </w:pPr>
            <w:r>
              <w:t>Non-readmission vs. readmission</w:t>
            </w:r>
          </w:p>
        </w:tc>
        <w:tc>
          <w:tcPr>
            <w:tcW w:w="891"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16615CDD" w14:textId="77777777" w:rsidR="002C7489" w:rsidRDefault="002C7489">
            <w:pPr>
              <w:pStyle w:val="TableTextLeft"/>
            </w:pPr>
            <w:r>
              <w:t>28</w:t>
            </w:r>
          </w:p>
        </w:tc>
        <w:tc>
          <w:tcPr>
            <w:tcW w:w="98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30344E2C" w14:textId="77777777" w:rsidR="002C7489" w:rsidRDefault="002C7489">
            <w:pPr>
              <w:pStyle w:val="TableTextLeft"/>
            </w:pPr>
            <w:r>
              <w:t>Wilcoxon signed-rank sum test</w:t>
            </w:r>
          </w:p>
        </w:tc>
        <w:tc>
          <w:tcPr>
            <w:tcW w:w="1261"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1A7B730" w14:textId="77777777" w:rsidR="002C7489" w:rsidRDefault="002C7489">
            <w:pPr>
              <w:pStyle w:val="TableTextLeft"/>
            </w:pPr>
            <m:oMathPara>
              <m:oMathParaPr>
                <m:jc m:val="centerGroup"/>
              </m:oMathParaPr>
              <m:oMath>
                <m:r>
                  <w:rPr>
                    <w:rFonts w:ascii="Cambria Math" w:hAnsi="Cambria Math"/>
                  </w:rPr>
                  <m:t>Z=-1.89</m:t>
                </m:r>
              </m:oMath>
            </m:oMathPara>
          </w:p>
        </w:tc>
        <w:tc>
          <w:tcPr>
            <w:tcW w:w="69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7A2B9808" w14:textId="77777777" w:rsidR="002C7489" w:rsidRDefault="002C7489">
            <w:pPr>
              <w:pStyle w:val="TableTextLeft"/>
            </w:pPr>
            <m:oMathPara>
              <m:oMathParaPr>
                <m:jc m:val="centerGroup"/>
              </m:oMathParaPr>
              <m:oMath>
                <m:r>
                  <w:rPr>
                    <w:rFonts w:ascii="Cambria Math" w:hAnsi="Cambria Math"/>
                  </w:rPr>
                  <m:t>p=.06</m:t>
                </m:r>
              </m:oMath>
            </m:oMathPara>
          </w:p>
        </w:tc>
        <w:tc>
          <w:tcPr>
            <w:tcW w:w="856"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757464D0" w14:textId="77777777" w:rsidR="002C7489" w:rsidRDefault="002C7489">
            <w:pPr>
              <w:pStyle w:val="TableTextLeft"/>
            </w:pPr>
            <m:oMathPara>
              <m:oMathParaPr>
                <m:jc m:val="centerGroup"/>
              </m:oMathParaPr>
              <m:oMath>
                <m:r>
                  <w:rPr>
                    <w:rFonts w:ascii="Cambria Math" w:hAnsi="Cambria Math"/>
                  </w:rPr>
                  <m:t>r=-0.36</m:t>
                </m:r>
              </m:oMath>
            </m:oMathPara>
          </w:p>
        </w:tc>
        <w:tc>
          <w:tcPr>
            <w:tcW w:w="1926" w:type="dxa"/>
            <w:tcBorders>
              <w:top w:val="single" w:sz="4" w:space="0" w:color="196B24" w:themeColor="accent3"/>
              <w:left w:val="single" w:sz="4" w:space="0" w:color="196B24" w:themeColor="accent3"/>
              <w:bottom w:val="single" w:sz="4" w:space="0" w:color="196B24" w:themeColor="accent3"/>
              <w:right w:val="nil"/>
            </w:tcBorders>
            <w:hideMark/>
          </w:tcPr>
          <w:p w14:paraId="0D4C6DC9" w14:textId="77777777" w:rsidR="002C7489" w:rsidRDefault="002C7489">
            <w:pPr>
              <w:pStyle w:val="TableTextLeft"/>
            </w:pPr>
            <w:r>
              <w:t xml:space="preserve">Readmission encounters have a lower GMCS </w:t>
            </w:r>
          </w:p>
        </w:tc>
      </w:tr>
      <w:tr w:rsidR="002C7489" w14:paraId="56CE9369" w14:textId="77777777" w:rsidTr="002C7489">
        <w:trPr>
          <w:trHeight w:val="120"/>
        </w:trPr>
        <w:tc>
          <w:tcPr>
            <w:tcW w:w="0" w:type="auto"/>
            <w:vMerge/>
            <w:tcBorders>
              <w:top w:val="single" w:sz="4" w:space="0" w:color="196B24" w:themeColor="accent3"/>
              <w:left w:val="nil"/>
              <w:bottom w:val="single" w:sz="4" w:space="0" w:color="0E2841" w:themeColor="text2"/>
              <w:right w:val="single" w:sz="4" w:space="0" w:color="196B24" w:themeColor="accent3"/>
            </w:tcBorders>
            <w:vAlign w:val="center"/>
            <w:hideMark/>
          </w:tcPr>
          <w:p w14:paraId="06742BE1" w14:textId="77777777" w:rsidR="002C7489" w:rsidRDefault="002C7489">
            <w:pPr>
              <w:spacing w:before="0" w:after="0" w:line="240" w:lineRule="auto"/>
              <w:rPr>
                <w:color w:val="000000" w:themeColor="text1"/>
                <w:sz w:val="18"/>
              </w:rPr>
            </w:pPr>
          </w:p>
        </w:tc>
        <w:tc>
          <w:tcPr>
            <w:tcW w:w="1247"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31C413A8" w14:textId="77777777" w:rsidR="002C7489" w:rsidRDefault="002C7489">
            <w:pPr>
              <w:pStyle w:val="TableTextLeft"/>
            </w:pPr>
            <w:r>
              <w:t>Race/ethnicity</w:t>
            </w:r>
          </w:p>
        </w:tc>
        <w:tc>
          <w:tcPr>
            <w:tcW w:w="1197"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4A32E15B" w14:textId="77777777" w:rsidR="002C7489" w:rsidRDefault="002C7489">
            <w:pPr>
              <w:pStyle w:val="TableTextLeft"/>
            </w:pPr>
            <w:r>
              <w:t>Non-Hispanic black vs. non-Hispanic white</w:t>
            </w:r>
          </w:p>
        </w:tc>
        <w:tc>
          <w:tcPr>
            <w:tcW w:w="891"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1CFC4B49" w14:textId="77777777" w:rsidR="002C7489" w:rsidRDefault="002C7489">
            <w:pPr>
              <w:pStyle w:val="TableTextLeft"/>
            </w:pPr>
            <w:r>
              <w:t>25*</w:t>
            </w:r>
          </w:p>
        </w:tc>
        <w:tc>
          <w:tcPr>
            <w:tcW w:w="988"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15E0E03A" w14:textId="77777777" w:rsidR="002C7489" w:rsidRDefault="002C7489">
            <w:pPr>
              <w:pStyle w:val="TableTextLeft"/>
            </w:pPr>
            <w:r>
              <w:t>Wilcoxon signed-rank sum test</w:t>
            </w:r>
          </w:p>
        </w:tc>
        <w:tc>
          <w:tcPr>
            <w:tcW w:w="1261"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6F06C717" w14:textId="77777777" w:rsidR="002C7489" w:rsidRDefault="002C7489">
            <w:pPr>
              <w:pStyle w:val="TableTextLeft"/>
            </w:pPr>
            <m:oMathPara>
              <m:oMathParaPr>
                <m:jc m:val="centerGroup"/>
              </m:oMathParaPr>
              <m:oMath>
                <m:r>
                  <w:rPr>
                    <w:rFonts w:ascii="Cambria Math" w:hAnsi="Cambria Math"/>
                  </w:rPr>
                  <m:t>Z=2.44</m:t>
                </m:r>
              </m:oMath>
            </m:oMathPara>
          </w:p>
        </w:tc>
        <w:tc>
          <w:tcPr>
            <w:tcW w:w="690"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7210BC22" w14:textId="77777777" w:rsidR="002C7489" w:rsidRDefault="002C7489">
            <w:pPr>
              <w:pStyle w:val="TableTextLeft"/>
            </w:pPr>
            <m:oMathPara>
              <m:oMathParaPr>
                <m:jc m:val="centerGroup"/>
              </m:oMathParaPr>
              <m:oMath>
                <m:r>
                  <w:rPr>
                    <w:rFonts w:ascii="Cambria Math" w:hAnsi="Cambria Math"/>
                  </w:rPr>
                  <m:t>p=.01</m:t>
                </m:r>
              </m:oMath>
            </m:oMathPara>
          </w:p>
        </w:tc>
        <w:tc>
          <w:tcPr>
            <w:tcW w:w="856"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070E4B15" w14:textId="77777777" w:rsidR="002C7489" w:rsidRDefault="002C7489">
            <w:pPr>
              <w:pStyle w:val="TableTextLeft"/>
            </w:pPr>
            <m:oMathPara>
              <m:oMathParaPr>
                <m:jc m:val="centerGroup"/>
              </m:oMathParaPr>
              <m:oMath>
                <m:r>
                  <w:rPr>
                    <w:rFonts w:ascii="Cambria Math" w:hAnsi="Cambria Math"/>
                  </w:rPr>
                  <m:t>r=0.49</m:t>
                </m:r>
              </m:oMath>
            </m:oMathPara>
          </w:p>
        </w:tc>
        <w:tc>
          <w:tcPr>
            <w:tcW w:w="1926" w:type="dxa"/>
            <w:tcBorders>
              <w:top w:val="single" w:sz="4" w:space="0" w:color="196B24" w:themeColor="accent3"/>
              <w:left w:val="single" w:sz="4" w:space="0" w:color="196B24" w:themeColor="accent3"/>
              <w:bottom w:val="single" w:sz="4" w:space="0" w:color="0E2841" w:themeColor="text2"/>
              <w:right w:val="nil"/>
            </w:tcBorders>
            <w:hideMark/>
          </w:tcPr>
          <w:p w14:paraId="4A63194E" w14:textId="77777777" w:rsidR="002C7489" w:rsidRDefault="002C7489">
            <w:pPr>
              <w:pStyle w:val="TableTextLeft"/>
            </w:pPr>
            <w:r>
              <w:t>Non-Hispanic black patients have a lower GMCS</w:t>
            </w:r>
          </w:p>
        </w:tc>
      </w:tr>
    </w:tbl>
    <w:p w14:paraId="5AD033D1" w14:textId="2B90B28C" w:rsidR="00CD249E" w:rsidRDefault="4EF82BF0"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 xml:space="preserve">*Note: Using n=25 facilities because for privacy reasons, facilities with less than 11 non-Hispanic black patients were removed from the data for these tests. </w:t>
      </w:r>
    </w:p>
    <w:p w14:paraId="6A9B9EC9" w14:textId="0810D42F" w:rsidR="00CD249E" w:rsidRDefault="00CD249E" w:rsidP="0B65F835">
      <w:pPr>
        <w:spacing w:after="0"/>
        <w:rPr>
          <w:rFonts w:ascii="Arial" w:eastAsia="Arial" w:hAnsi="Arial" w:cs="Arial"/>
          <w:color w:val="000000" w:themeColor="text1"/>
          <w:szCs w:val="20"/>
        </w:rPr>
      </w:pPr>
    </w:p>
    <w:p w14:paraId="5B507EC1" w14:textId="0920A619" w:rsidR="00CD249E" w:rsidRDefault="4EF82BF0"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 xml:space="preserve">Cohen's d is a measure of effect size commonly used in the context of comparing the means of two groups. For Cohen’s d effect size coefficient, the values of 0.20, 0.50 and 0.80 indicate, respectively, small, </w:t>
      </w:r>
      <w:proofErr w:type="gramStart"/>
      <w:r w:rsidRPr="0B65F835">
        <w:rPr>
          <w:rFonts w:ascii="Arial" w:eastAsia="Arial" w:hAnsi="Arial" w:cs="Arial"/>
          <w:color w:val="000000" w:themeColor="text1"/>
          <w:szCs w:val="20"/>
        </w:rPr>
        <w:t>medium</w:t>
      </w:r>
      <w:proofErr w:type="gramEnd"/>
      <w:r w:rsidRPr="0B65F835">
        <w:rPr>
          <w:rFonts w:ascii="Arial" w:eastAsia="Arial" w:hAnsi="Arial" w:cs="Arial"/>
          <w:color w:val="000000" w:themeColor="text1"/>
          <w:szCs w:val="20"/>
        </w:rPr>
        <w:t xml:space="preserve"> and large effects. The Wilcoxon signed-rank test is a non-parametric statistical test used to compare two related samples or paired data, which we used in place of the paired sample t-test in cases where the normality assumption was not met. The Wilcoxon test can be used to calculate an effect size </w:t>
      </w:r>
      <w:r w:rsidRPr="0B65F835">
        <w:rPr>
          <w:rFonts w:ascii="Arial" w:eastAsia="Arial" w:hAnsi="Arial" w:cs="Arial"/>
          <w:color w:val="000000" w:themeColor="text1"/>
          <w:szCs w:val="20"/>
        </w:rPr>
        <w:lastRenderedPageBreak/>
        <w:t xml:space="preserve">denoted as </w:t>
      </w:r>
      <w:r w:rsidRPr="0B65F835">
        <w:rPr>
          <w:rFonts w:ascii="Arial" w:eastAsia="Arial" w:hAnsi="Arial" w:cs="Arial"/>
          <w:i/>
          <w:iCs/>
          <w:color w:val="000000" w:themeColor="text1"/>
          <w:szCs w:val="20"/>
        </w:rPr>
        <w:t>r</w:t>
      </w:r>
      <w:r w:rsidRPr="0B65F835">
        <w:rPr>
          <w:rFonts w:ascii="Arial" w:eastAsia="Arial" w:hAnsi="Arial" w:cs="Arial"/>
          <w:color w:val="000000" w:themeColor="text1"/>
          <w:szCs w:val="20"/>
        </w:rPr>
        <w:t xml:space="preserve">, which represents the extent to which the measure score in one group </w:t>
      </w:r>
      <w:proofErr w:type="gramStart"/>
      <w:r w:rsidRPr="0B65F835">
        <w:rPr>
          <w:rFonts w:ascii="Arial" w:eastAsia="Arial" w:hAnsi="Arial" w:cs="Arial"/>
          <w:color w:val="000000" w:themeColor="text1"/>
          <w:szCs w:val="20"/>
        </w:rPr>
        <w:t>differ</w:t>
      </w:r>
      <w:proofErr w:type="gramEnd"/>
      <w:r w:rsidRPr="0B65F835">
        <w:rPr>
          <w:rFonts w:ascii="Arial" w:eastAsia="Arial" w:hAnsi="Arial" w:cs="Arial"/>
          <w:color w:val="000000" w:themeColor="text1"/>
          <w:szCs w:val="20"/>
        </w:rPr>
        <w:t xml:space="preserve"> from the scores in another group. To interpret the r effect size, we used the same cutoffs we used for interpreting Cohen’s d. </w:t>
      </w:r>
    </w:p>
    <w:p w14:paraId="0D7EA5D5" w14:textId="17F27CAF" w:rsidR="00CD249E" w:rsidRDefault="4EF82BF0" w:rsidP="0B65F835">
      <w:pPr>
        <w:spacing w:before="180" w:after="0"/>
        <w:rPr>
          <w:rFonts w:ascii="Arial" w:eastAsia="Arial" w:hAnsi="Arial" w:cs="Arial"/>
          <w:b/>
          <w:bCs/>
          <w:color w:val="000000" w:themeColor="text1"/>
          <w:szCs w:val="20"/>
        </w:rPr>
      </w:pPr>
      <w:r w:rsidRPr="0B65F835">
        <w:rPr>
          <w:rFonts w:ascii="Arial" w:eastAsia="Arial" w:hAnsi="Arial" w:cs="Arial"/>
          <w:b/>
          <w:bCs/>
          <w:color w:val="000000" w:themeColor="text1"/>
          <w:szCs w:val="20"/>
        </w:rPr>
        <w:t>Data element validity</w:t>
      </w:r>
    </w:p>
    <w:p w14:paraId="007196C6" w14:textId="7F703AEE" w:rsidR="00CD249E" w:rsidRDefault="4EF82BF0" w:rsidP="0B65F835">
      <w:pPr>
        <w:spacing w:after="0"/>
        <w:rPr>
          <w:rFonts w:ascii="Arial" w:eastAsia="Arial" w:hAnsi="Arial" w:cs="Arial"/>
          <w:szCs w:val="20"/>
        </w:rPr>
      </w:pPr>
      <w:r w:rsidRPr="0B65F835">
        <w:rPr>
          <w:rFonts w:ascii="Arial" w:eastAsia="Arial" w:hAnsi="Arial" w:cs="Arial"/>
          <w:szCs w:val="20"/>
        </w:rPr>
        <w:t xml:space="preserve">The results demonstrate no variation in the validity or the data elements by sites, with all sites reporting 100% agreement on all tested data elements (Table X.3). </w:t>
      </w:r>
    </w:p>
    <w:p w14:paraId="0F96A5D7" w14:textId="21B00675" w:rsidR="00CD249E" w:rsidRDefault="4EF82BF0" w:rsidP="0B65F835">
      <w:pPr>
        <w:spacing w:after="0"/>
        <w:rPr>
          <w:rFonts w:ascii="Arial" w:eastAsia="Arial" w:hAnsi="Arial" w:cs="Arial"/>
          <w:color w:val="4472C4"/>
          <w:szCs w:val="20"/>
        </w:rPr>
      </w:pPr>
      <w:r w:rsidRPr="0B65F835">
        <w:rPr>
          <w:rFonts w:ascii="Arial" w:eastAsia="Arial" w:hAnsi="Arial" w:cs="Arial"/>
          <w:b/>
          <w:bCs/>
          <w:color w:val="4472C4"/>
          <w:szCs w:val="20"/>
        </w:rPr>
        <w:t>Table X.3.</w:t>
      </w:r>
      <w:r w:rsidRPr="0B65F835">
        <w:rPr>
          <w:rFonts w:ascii="Arial" w:eastAsia="Arial" w:hAnsi="Arial" w:cs="Arial"/>
          <w:color w:val="4472C4"/>
          <w:szCs w:val="20"/>
        </w:rPr>
        <w:t xml:space="preserve"> Results of the data element validity testing</w:t>
      </w:r>
    </w:p>
    <w:tbl>
      <w:tblPr>
        <w:tblStyle w:val="TableGrid"/>
        <w:tblW w:w="0" w:type="auto"/>
        <w:tblLayout w:type="fixed"/>
        <w:tblLook w:val="04A0" w:firstRow="1" w:lastRow="0" w:firstColumn="1" w:lastColumn="0" w:noHBand="0" w:noVBand="1"/>
      </w:tblPr>
      <w:tblGrid>
        <w:gridCol w:w="1990"/>
        <w:gridCol w:w="4822"/>
        <w:gridCol w:w="2250"/>
      </w:tblGrid>
      <w:tr w:rsidR="0B65F835" w14:paraId="402B24CD" w14:textId="77777777" w:rsidTr="0B65F835">
        <w:trPr>
          <w:trHeight w:val="1065"/>
        </w:trPr>
        <w:tc>
          <w:tcPr>
            <w:tcW w:w="1990" w:type="dxa"/>
            <w:tcBorders>
              <w:top w:val="nil"/>
              <w:left w:val="nil"/>
              <w:bottom w:val="single" w:sz="8" w:space="0" w:color="44546A"/>
              <w:right w:val="single" w:sz="8" w:space="0" w:color="FFFFFF" w:themeColor="background1"/>
            </w:tcBorders>
            <w:shd w:val="clear" w:color="auto" w:fill="44546A"/>
            <w:tcMar>
              <w:left w:w="58" w:type="dxa"/>
              <w:right w:w="58" w:type="dxa"/>
            </w:tcMar>
            <w:vAlign w:val="center"/>
          </w:tcPr>
          <w:p w14:paraId="21834209" w14:textId="1AFCF75C" w:rsidR="0B65F835" w:rsidRDefault="0B65F835" w:rsidP="0B65F835">
            <w:pPr>
              <w:spacing w:after="0"/>
              <w:jc w:val="center"/>
              <w:rPr>
                <w:rFonts w:ascii="Arial" w:eastAsia="Arial" w:hAnsi="Arial" w:cs="Arial"/>
                <w:b/>
                <w:bCs/>
                <w:color w:val="FFFFFF" w:themeColor="background1"/>
                <w:szCs w:val="20"/>
              </w:rPr>
            </w:pPr>
            <w:r w:rsidRPr="0B65F835">
              <w:rPr>
                <w:rFonts w:ascii="Arial" w:eastAsia="Arial" w:hAnsi="Arial" w:cs="Arial"/>
                <w:b/>
                <w:bCs/>
                <w:color w:val="FFFFFF" w:themeColor="background1"/>
                <w:szCs w:val="20"/>
              </w:rPr>
              <w:t>Data element</w:t>
            </w:r>
          </w:p>
        </w:tc>
        <w:tc>
          <w:tcPr>
            <w:tcW w:w="4822" w:type="dxa"/>
            <w:tcBorders>
              <w:top w:val="nil"/>
              <w:left w:val="single" w:sz="8" w:space="0" w:color="FFFFFF" w:themeColor="background1"/>
              <w:bottom w:val="single" w:sz="8" w:space="0" w:color="44546A"/>
              <w:right w:val="single" w:sz="8" w:space="0" w:color="FFFFFF" w:themeColor="background1"/>
            </w:tcBorders>
            <w:shd w:val="clear" w:color="auto" w:fill="44546A"/>
            <w:tcMar>
              <w:left w:w="58" w:type="dxa"/>
              <w:right w:w="58" w:type="dxa"/>
            </w:tcMar>
            <w:vAlign w:val="center"/>
          </w:tcPr>
          <w:p w14:paraId="03955378" w14:textId="1FA6588B" w:rsidR="0B65F835" w:rsidRDefault="0B65F835" w:rsidP="0B65F835">
            <w:pPr>
              <w:spacing w:after="0"/>
              <w:jc w:val="center"/>
              <w:rPr>
                <w:rFonts w:ascii="Arial" w:eastAsia="Arial" w:hAnsi="Arial" w:cs="Arial"/>
                <w:b/>
                <w:bCs/>
                <w:color w:val="FFFFFF" w:themeColor="background1"/>
                <w:szCs w:val="20"/>
              </w:rPr>
            </w:pPr>
            <w:r w:rsidRPr="0B65F835">
              <w:rPr>
                <w:rFonts w:ascii="Arial" w:eastAsia="Arial" w:hAnsi="Arial" w:cs="Arial"/>
                <w:b/>
                <w:bCs/>
                <w:color w:val="FFFFFF" w:themeColor="background1"/>
                <w:szCs w:val="20"/>
              </w:rPr>
              <w:t>Data-element description and value set</w:t>
            </w:r>
          </w:p>
        </w:tc>
        <w:tc>
          <w:tcPr>
            <w:tcW w:w="2250" w:type="dxa"/>
            <w:tcBorders>
              <w:top w:val="nil"/>
              <w:left w:val="single" w:sz="8" w:space="0" w:color="FFFFFF" w:themeColor="background1"/>
              <w:bottom w:val="single" w:sz="8" w:space="0" w:color="44546A"/>
              <w:right w:val="nil"/>
            </w:tcBorders>
            <w:shd w:val="clear" w:color="auto" w:fill="44546A"/>
            <w:tcMar>
              <w:left w:w="58" w:type="dxa"/>
              <w:right w:w="58" w:type="dxa"/>
            </w:tcMar>
            <w:vAlign w:val="center"/>
          </w:tcPr>
          <w:p w14:paraId="38CE13B0" w14:textId="3F13D402" w:rsidR="0B65F835" w:rsidRDefault="0B65F835" w:rsidP="0B65F835">
            <w:pPr>
              <w:spacing w:after="0"/>
              <w:jc w:val="center"/>
              <w:rPr>
                <w:rFonts w:ascii="Arial" w:eastAsia="Arial" w:hAnsi="Arial" w:cs="Arial"/>
                <w:b/>
                <w:bCs/>
                <w:color w:val="FFFFFF" w:themeColor="background1"/>
                <w:szCs w:val="20"/>
              </w:rPr>
            </w:pPr>
            <w:r w:rsidRPr="0B65F835">
              <w:rPr>
                <w:rFonts w:ascii="Arial" w:eastAsia="Arial" w:hAnsi="Arial" w:cs="Arial"/>
                <w:b/>
                <w:bCs/>
                <w:color w:val="FFFFFF" w:themeColor="background1"/>
                <w:szCs w:val="20"/>
              </w:rPr>
              <w:t>Agreement between the source data and the electronic data obtained using the eCQM specifications (%)</w:t>
            </w:r>
          </w:p>
        </w:tc>
      </w:tr>
      <w:tr w:rsidR="0B65F835" w14:paraId="7D8FAC38" w14:textId="77777777" w:rsidTr="0B65F835">
        <w:trPr>
          <w:trHeight w:val="450"/>
        </w:trPr>
        <w:tc>
          <w:tcPr>
            <w:tcW w:w="1990" w:type="dxa"/>
            <w:tcBorders>
              <w:top w:val="single" w:sz="8" w:space="0" w:color="44546A"/>
              <w:left w:val="nil"/>
              <w:bottom w:val="single" w:sz="8" w:space="0" w:color="A5A5A5"/>
              <w:right w:val="single" w:sz="8" w:space="0" w:color="A5A5A5"/>
            </w:tcBorders>
            <w:shd w:val="clear" w:color="auto" w:fill="FFFFFF" w:themeFill="background1"/>
            <w:tcMar>
              <w:left w:w="58" w:type="dxa"/>
              <w:right w:w="58" w:type="dxa"/>
            </w:tcMar>
          </w:tcPr>
          <w:p w14:paraId="7005CAA4" w14:textId="08DC0BB3"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Nutrition Assessment</w:t>
            </w:r>
          </w:p>
        </w:tc>
        <w:tc>
          <w:tcPr>
            <w:tcW w:w="4822" w:type="dxa"/>
            <w:tcBorders>
              <w:top w:val="single" w:sz="8" w:space="0" w:color="44546A"/>
              <w:left w:val="single" w:sz="8" w:space="0" w:color="A5A5A5"/>
              <w:bottom w:val="single" w:sz="8" w:space="0" w:color="A5A5A5"/>
              <w:right w:val="single" w:sz="8" w:space="0" w:color="A5A5A5"/>
            </w:tcBorders>
            <w:shd w:val="clear" w:color="auto" w:fill="FFFFFF" w:themeFill="background1"/>
            <w:tcMar>
              <w:left w:w="58" w:type="dxa"/>
              <w:right w:w="58" w:type="dxa"/>
            </w:tcMar>
          </w:tcPr>
          <w:p w14:paraId="4E540C3D" w14:textId="48A07E39"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 xml:space="preserve">"Assessment, </w:t>
            </w:r>
            <w:proofErr w:type="gramStart"/>
            <w:r w:rsidRPr="0B65F835">
              <w:rPr>
                <w:rFonts w:ascii="Arial" w:eastAsia="Arial" w:hAnsi="Arial" w:cs="Arial"/>
                <w:color w:val="000000" w:themeColor="text1"/>
                <w:szCs w:val="20"/>
              </w:rPr>
              <w:t>Performed</w:t>
            </w:r>
            <w:proofErr w:type="gramEnd"/>
            <w:r w:rsidRPr="0B65F835">
              <w:rPr>
                <w:rFonts w:ascii="Arial" w:eastAsia="Arial" w:hAnsi="Arial" w:cs="Arial"/>
                <w:color w:val="000000" w:themeColor="text1"/>
                <w:szCs w:val="20"/>
              </w:rPr>
              <w:t>: Malnutrition Assessment" using "Malnutrition Assessment (2.16.840.1.113762.1.4.1095.29)"</w:t>
            </w:r>
          </w:p>
        </w:tc>
        <w:tc>
          <w:tcPr>
            <w:tcW w:w="2250" w:type="dxa"/>
            <w:tcBorders>
              <w:top w:val="single" w:sz="8" w:space="0" w:color="44546A"/>
              <w:left w:val="single" w:sz="8" w:space="0" w:color="A5A5A5"/>
              <w:bottom w:val="single" w:sz="8" w:space="0" w:color="A5A5A5"/>
              <w:right w:val="nil"/>
            </w:tcBorders>
            <w:shd w:val="clear" w:color="auto" w:fill="FFFFFF" w:themeFill="background1"/>
            <w:tcMar>
              <w:left w:w="58" w:type="dxa"/>
              <w:right w:w="58" w:type="dxa"/>
            </w:tcMar>
          </w:tcPr>
          <w:p w14:paraId="6D0FDE30" w14:textId="7CA05C08" w:rsidR="0B65F835" w:rsidRDefault="0B65F835" w:rsidP="0B65F835">
            <w:pPr>
              <w:spacing w:after="0"/>
              <w:jc w:val="center"/>
              <w:rPr>
                <w:rFonts w:ascii="Arial" w:eastAsia="Arial" w:hAnsi="Arial" w:cs="Arial"/>
                <w:color w:val="000000" w:themeColor="text1"/>
                <w:szCs w:val="20"/>
              </w:rPr>
            </w:pPr>
            <w:r w:rsidRPr="0B65F835">
              <w:rPr>
                <w:rFonts w:ascii="Arial" w:eastAsia="Arial" w:hAnsi="Arial" w:cs="Arial"/>
                <w:color w:val="000000" w:themeColor="text1"/>
                <w:szCs w:val="20"/>
              </w:rPr>
              <w:t>100</w:t>
            </w:r>
          </w:p>
        </w:tc>
      </w:tr>
      <w:tr w:rsidR="0B65F835" w14:paraId="60A056BA" w14:textId="77777777" w:rsidTr="0B65F835">
        <w:trPr>
          <w:trHeight w:val="510"/>
        </w:trPr>
        <w:tc>
          <w:tcPr>
            <w:tcW w:w="1990" w:type="dxa"/>
            <w:tcBorders>
              <w:top w:val="single" w:sz="8" w:space="0" w:color="A5A5A5"/>
              <w:left w:val="nil"/>
              <w:bottom w:val="single" w:sz="8" w:space="0" w:color="A5A5A5"/>
              <w:right w:val="single" w:sz="8" w:space="0" w:color="A5A5A5"/>
            </w:tcBorders>
            <w:shd w:val="clear" w:color="auto" w:fill="FFFFFF" w:themeFill="background1"/>
            <w:tcMar>
              <w:left w:w="58" w:type="dxa"/>
              <w:right w:w="58" w:type="dxa"/>
            </w:tcMar>
          </w:tcPr>
          <w:p w14:paraId="0BC751D6" w14:textId="1BF1409B"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Malnutrition Screening</w:t>
            </w:r>
          </w:p>
        </w:tc>
        <w:tc>
          <w:tcPr>
            <w:tcW w:w="4822"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3E6518FB" w14:textId="7A733042"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 xml:space="preserve">"Assessment, </w:t>
            </w:r>
            <w:proofErr w:type="gramStart"/>
            <w:r w:rsidRPr="0B65F835">
              <w:rPr>
                <w:rFonts w:ascii="Arial" w:eastAsia="Arial" w:hAnsi="Arial" w:cs="Arial"/>
                <w:color w:val="000000" w:themeColor="text1"/>
                <w:szCs w:val="20"/>
              </w:rPr>
              <w:t>Performed</w:t>
            </w:r>
            <w:proofErr w:type="gramEnd"/>
            <w:r w:rsidRPr="0B65F835">
              <w:rPr>
                <w:rFonts w:ascii="Arial" w:eastAsia="Arial" w:hAnsi="Arial" w:cs="Arial"/>
                <w:color w:val="000000" w:themeColor="text1"/>
                <w:szCs w:val="20"/>
              </w:rPr>
              <w:t>: Malnutrition Risk Screening" using "Malnutrition Risk Screening (2.16.840.1.113762.1.4.1095.40)"</w:t>
            </w:r>
          </w:p>
        </w:tc>
        <w:tc>
          <w:tcPr>
            <w:tcW w:w="2250" w:type="dxa"/>
            <w:tcBorders>
              <w:top w:val="single" w:sz="8" w:space="0" w:color="A5A5A5"/>
              <w:left w:val="single" w:sz="8" w:space="0" w:color="A5A5A5"/>
              <w:bottom w:val="single" w:sz="8" w:space="0" w:color="A5A5A5"/>
              <w:right w:val="nil"/>
            </w:tcBorders>
            <w:shd w:val="clear" w:color="auto" w:fill="FFFFFF" w:themeFill="background1"/>
            <w:tcMar>
              <w:left w:w="58" w:type="dxa"/>
              <w:right w:w="58" w:type="dxa"/>
            </w:tcMar>
          </w:tcPr>
          <w:p w14:paraId="1E089834" w14:textId="27ECB5C2" w:rsidR="0B65F835" w:rsidRDefault="0B65F835" w:rsidP="0B65F835">
            <w:pPr>
              <w:spacing w:after="0"/>
              <w:jc w:val="center"/>
              <w:rPr>
                <w:rFonts w:ascii="Arial" w:eastAsia="Arial" w:hAnsi="Arial" w:cs="Arial"/>
                <w:color w:val="000000" w:themeColor="text1"/>
                <w:szCs w:val="20"/>
              </w:rPr>
            </w:pPr>
            <w:r w:rsidRPr="0B65F835">
              <w:rPr>
                <w:rFonts w:ascii="Arial" w:eastAsia="Arial" w:hAnsi="Arial" w:cs="Arial"/>
                <w:color w:val="000000" w:themeColor="text1"/>
                <w:szCs w:val="20"/>
              </w:rPr>
              <w:t>100</w:t>
            </w:r>
          </w:p>
        </w:tc>
      </w:tr>
      <w:tr w:rsidR="0B65F835" w14:paraId="210D6379" w14:textId="77777777" w:rsidTr="0B65F835">
        <w:trPr>
          <w:trHeight w:val="435"/>
        </w:trPr>
        <w:tc>
          <w:tcPr>
            <w:tcW w:w="1990" w:type="dxa"/>
            <w:tcBorders>
              <w:top w:val="single" w:sz="8" w:space="0" w:color="A5A5A5"/>
              <w:left w:val="nil"/>
              <w:bottom w:val="single" w:sz="8" w:space="0" w:color="A5A5A5"/>
              <w:right w:val="single" w:sz="8" w:space="0" w:color="A5A5A5"/>
            </w:tcBorders>
            <w:shd w:val="clear" w:color="auto" w:fill="FFFFFF" w:themeFill="background1"/>
            <w:tcMar>
              <w:left w:w="58" w:type="dxa"/>
              <w:right w:w="58" w:type="dxa"/>
            </w:tcMar>
          </w:tcPr>
          <w:p w14:paraId="7B56882B" w14:textId="7C97FECA"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Malnutrition Screening</w:t>
            </w:r>
          </w:p>
        </w:tc>
        <w:tc>
          <w:tcPr>
            <w:tcW w:w="4822"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3A9CA16F" w14:textId="7439069C"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 xml:space="preserve">"Assessment, </w:t>
            </w:r>
            <w:proofErr w:type="gramStart"/>
            <w:r w:rsidRPr="0B65F835">
              <w:rPr>
                <w:rFonts w:ascii="Arial" w:eastAsia="Arial" w:hAnsi="Arial" w:cs="Arial"/>
                <w:color w:val="000000" w:themeColor="text1"/>
                <w:szCs w:val="20"/>
              </w:rPr>
              <w:t>Performed</w:t>
            </w:r>
            <w:proofErr w:type="gramEnd"/>
            <w:r w:rsidRPr="0B65F835">
              <w:rPr>
                <w:rFonts w:ascii="Arial" w:eastAsia="Arial" w:hAnsi="Arial" w:cs="Arial"/>
                <w:color w:val="000000" w:themeColor="text1"/>
                <w:szCs w:val="20"/>
              </w:rPr>
              <w:t>: Malnutrition Screening At Risk Result" using "Malnutrition Screening At Risk Result (2.16.840.1.113762.1.4.1095.38)"</w:t>
            </w:r>
          </w:p>
        </w:tc>
        <w:tc>
          <w:tcPr>
            <w:tcW w:w="2250" w:type="dxa"/>
            <w:tcBorders>
              <w:top w:val="single" w:sz="8" w:space="0" w:color="A5A5A5"/>
              <w:left w:val="single" w:sz="8" w:space="0" w:color="A5A5A5"/>
              <w:bottom w:val="single" w:sz="8" w:space="0" w:color="A5A5A5"/>
              <w:right w:val="nil"/>
            </w:tcBorders>
            <w:shd w:val="clear" w:color="auto" w:fill="FFFFFF" w:themeFill="background1"/>
            <w:tcMar>
              <w:left w:w="58" w:type="dxa"/>
              <w:right w:w="58" w:type="dxa"/>
            </w:tcMar>
          </w:tcPr>
          <w:p w14:paraId="6EFBF608" w14:textId="15485ABE" w:rsidR="0B65F835" w:rsidRDefault="0B65F835" w:rsidP="0B65F835">
            <w:pPr>
              <w:spacing w:after="0"/>
              <w:jc w:val="center"/>
              <w:rPr>
                <w:rFonts w:ascii="Arial" w:eastAsia="Arial" w:hAnsi="Arial" w:cs="Arial"/>
                <w:color w:val="000000" w:themeColor="text1"/>
                <w:szCs w:val="20"/>
              </w:rPr>
            </w:pPr>
            <w:r w:rsidRPr="0B65F835">
              <w:rPr>
                <w:rFonts w:ascii="Arial" w:eastAsia="Arial" w:hAnsi="Arial" w:cs="Arial"/>
                <w:color w:val="000000" w:themeColor="text1"/>
                <w:szCs w:val="20"/>
              </w:rPr>
              <w:t>100</w:t>
            </w:r>
          </w:p>
        </w:tc>
      </w:tr>
      <w:tr w:rsidR="0B65F835" w14:paraId="132609A5" w14:textId="77777777" w:rsidTr="0B65F835">
        <w:trPr>
          <w:trHeight w:val="405"/>
        </w:trPr>
        <w:tc>
          <w:tcPr>
            <w:tcW w:w="1990" w:type="dxa"/>
            <w:tcBorders>
              <w:top w:val="single" w:sz="8" w:space="0" w:color="A5A5A5"/>
              <w:left w:val="nil"/>
              <w:bottom w:val="single" w:sz="8" w:space="0" w:color="A5A5A5"/>
              <w:right w:val="single" w:sz="8" w:space="0" w:color="A5A5A5"/>
            </w:tcBorders>
            <w:shd w:val="clear" w:color="auto" w:fill="FFFFFF" w:themeFill="background1"/>
            <w:tcMar>
              <w:left w:w="58" w:type="dxa"/>
              <w:right w:w="58" w:type="dxa"/>
            </w:tcMar>
          </w:tcPr>
          <w:p w14:paraId="156FAB88" w14:textId="5EF899CB"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Malnutrition Diagnosis</w:t>
            </w:r>
          </w:p>
        </w:tc>
        <w:tc>
          <w:tcPr>
            <w:tcW w:w="4822"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41033B17" w14:textId="1C6302EB"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"Diagnosis: Malnutrition Diagnosis" using "Malnutrition Diagnosis (2.16.840.1.113762.1.4.1095.55)"</w:t>
            </w:r>
          </w:p>
        </w:tc>
        <w:tc>
          <w:tcPr>
            <w:tcW w:w="2250" w:type="dxa"/>
            <w:tcBorders>
              <w:top w:val="single" w:sz="8" w:space="0" w:color="A5A5A5"/>
              <w:left w:val="single" w:sz="8" w:space="0" w:color="A5A5A5"/>
              <w:bottom w:val="single" w:sz="8" w:space="0" w:color="A5A5A5"/>
              <w:right w:val="nil"/>
            </w:tcBorders>
            <w:shd w:val="clear" w:color="auto" w:fill="FFFFFF" w:themeFill="background1"/>
            <w:tcMar>
              <w:left w:w="58" w:type="dxa"/>
              <w:right w:w="58" w:type="dxa"/>
            </w:tcMar>
          </w:tcPr>
          <w:p w14:paraId="7CA490BC" w14:textId="0571915C" w:rsidR="0B65F835" w:rsidRDefault="0B65F835" w:rsidP="0B65F835">
            <w:pPr>
              <w:spacing w:after="0"/>
              <w:jc w:val="center"/>
              <w:rPr>
                <w:rFonts w:ascii="Arial" w:eastAsia="Arial" w:hAnsi="Arial" w:cs="Arial"/>
                <w:color w:val="000000" w:themeColor="text1"/>
                <w:szCs w:val="20"/>
              </w:rPr>
            </w:pPr>
            <w:r w:rsidRPr="0B65F835">
              <w:rPr>
                <w:rFonts w:ascii="Arial" w:eastAsia="Arial" w:hAnsi="Arial" w:cs="Arial"/>
                <w:color w:val="000000" w:themeColor="text1"/>
                <w:szCs w:val="20"/>
              </w:rPr>
              <w:t>100</w:t>
            </w:r>
          </w:p>
        </w:tc>
      </w:tr>
      <w:tr w:rsidR="0B65F835" w14:paraId="2C178A3D" w14:textId="77777777" w:rsidTr="0B65F835">
        <w:trPr>
          <w:trHeight w:val="465"/>
        </w:trPr>
        <w:tc>
          <w:tcPr>
            <w:tcW w:w="1990" w:type="dxa"/>
            <w:tcBorders>
              <w:top w:val="single" w:sz="8" w:space="0" w:color="A5A5A5"/>
              <w:left w:val="nil"/>
              <w:bottom w:val="single" w:sz="8" w:space="0" w:color="A5A5A5"/>
              <w:right w:val="single" w:sz="8" w:space="0" w:color="A5A5A5"/>
            </w:tcBorders>
            <w:shd w:val="clear" w:color="auto" w:fill="FFFFFF" w:themeFill="background1"/>
            <w:tcMar>
              <w:left w:w="58" w:type="dxa"/>
              <w:right w:w="58" w:type="dxa"/>
            </w:tcMar>
          </w:tcPr>
          <w:p w14:paraId="33A0D6B9" w14:textId="0D50606E"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Length of stay</w:t>
            </w:r>
          </w:p>
        </w:tc>
        <w:tc>
          <w:tcPr>
            <w:tcW w:w="4822"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509C7B6F" w14:textId="34E493B1"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 xml:space="preserve">"Encounter, </w:t>
            </w:r>
            <w:proofErr w:type="gramStart"/>
            <w:r w:rsidRPr="0B65F835">
              <w:rPr>
                <w:rFonts w:ascii="Arial" w:eastAsia="Arial" w:hAnsi="Arial" w:cs="Arial"/>
                <w:color w:val="000000" w:themeColor="text1"/>
                <w:szCs w:val="20"/>
              </w:rPr>
              <w:t>Performed</w:t>
            </w:r>
            <w:proofErr w:type="gramEnd"/>
            <w:r w:rsidRPr="0B65F835">
              <w:rPr>
                <w:rFonts w:ascii="Arial" w:eastAsia="Arial" w:hAnsi="Arial" w:cs="Arial"/>
                <w:color w:val="000000" w:themeColor="text1"/>
                <w:szCs w:val="20"/>
              </w:rPr>
              <w:t>: Encounter Inpatient" using "Encounter Inpatient (2.16.840.1.113883.3.666.5.307)"</w:t>
            </w:r>
          </w:p>
        </w:tc>
        <w:tc>
          <w:tcPr>
            <w:tcW w:w="2250" w:type="dxa"/>
            <w:tcBorders>
              <w:top w:val="single" w:sz="8" w:space="0" w:color="A5A5A5"/>
              <w:left w:val="single" w:sz="8" w:space="0" w:color="A5A5A5"/>
              <w:bottom w:val="single" w:sz="8" w:space="0" w:color="A5A5A5"/>
              <w:right w:val="nil"/>
            </w:tcBorders>
            <w:shd w:val="clear" w:color="auto" w:fill="FFFFFF" w:themeFill="background1"/>
            <w:tcMar>
              <w:left w:w="58" w:type="dxa"/>
              <w:right w:w="58" w:type="dxa"/>
            </w:tcMar>
          </w:tcPr>
          <w:p w14:paraId="5BB8AFF2" w14:textId="20D0D9EC" w:rsidR="0B65F835" w:rsidRDefault="0B65F835" w:rsidP="0B65F835">
            <w:pPr>
              <w:spacing w:after="0"/>
              <w:jc w:val="center"/>
              <w:rPr>
                <w:rFonts w:ascii="Arial" w:eastAsia="Arial" w:hAnsi="Arial" w:cs="Arial"/>
                <w:color w:val="000000" w:themeColor="text1"/>
                <w:szCs w:val="20"/>
              </w:rPr>
            </w:pPr>
            <w:r w:rsidRPr="0B65F835">
              <w:rPr>
                <w:rFonts w:ascii="Arial" w:eastAsia="Arial" w:hAnsi="Arial" w:cs="Arial"/>
                <w:color w:val="000000" w:themeColor="text1"/>
                <w:szCs w:val="20"/>
              </w:rPr>
              <w:t>100</w:t>
            </w:r>
          </w:p>
        </w:tc>
      </w:tr>
      <w:tr w:rsidR="0B65F835" w14:paraId="69C54AAE" w14:textId="77777777" w:rsidTr="0B65F835">
        <w:trPr>
          <w:trHeight w:val="585"/>
        </w:trPr>
        <w:tc>
          <w:tcPr>
            <w:tcW w:w="1990" w:type="dxa"/>
            <w:tcBorders>
              <w:top w:val="single" w:sz="8" w:space="0" w:color="A5A5A5"/>
              <w:left w:val="nil"/>
              <w:bottom w:val="single" w:sz="8" w:space="0" w:color="A5A5A5"/>
              <w:right w:val="single" w:sz="8" w:space="0" w:color="A5A5A5"/>
            </w:tcBorders>
            <w:shd w:val="clear" w:color="auto" w:fill="FFFFFF" w:themeFill="background1"/>
            <w:tcMar>
              <w:left w:w="58" w:type="dxa"/>
              <w:right w:w="58" w:type="dxa"/>
            </w:tcMar>
          </w:tcPr>
          <w:p w14:paraId="72975BF7" w14:textId="02303B94"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Malnutrition Care Plan</w:t>
            </w:r>
          </w:p>
        </w:tc>
        <w:tc>
          <w:tcPr>
            <w:tcW w:w="4822"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713F78A5" w14:textId="0AD0D016"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 xml:space="preserve">"Intervention, </w:t>
            </w:r>
            <w:proofErr w:type="gramStart"/>
            <w:r w:rsidRPr="0B65F835">
              <w:rPr>
                <w:rFonts w:ascii="Arial" w:eastAsia="Arial" w:hAnsi="Arial" w:cs="Arial"/>
                <w:color w:val="000000" w:themeColor="text1"/>
                <w:szCs w:val="20"/>
              </w:rPr>
              <w:t>Performed</w:t>
            </w:r>
            <w:proofErr w:type="gramEnd"/>
            <w:r w:rsidRPr="0B65F835">
              <w:rPr>
                <w:rFonts w:ascii="Arial" w:eastAsia="Arial" w:hAnsi="Arial" w:cs="Arial"/>
                <w:color w:val="000000" w:themeColor="text1"/>
                <w:szCs w:val="20"/>
              </w:rPr>
              <w:t>: Nutrition Care Plan" using "Nutrition Care Plan (2.16.840.1.113762.1.4.1095.88)"</w:t>
            </w:r>
          </w:p>
        </w:tc>
        <w:tc>
          <w:tcPr>
            <w:tcW w:w="2250" w:type="dxa"/>
            <w:tcBorders>
              <w:top w:val="single" w:sz="8" w:space="0" w:color="A5A5A5"/>
              <w:left w:val="single" w:sz="8" w:space="0" w:color="A5A5A5"/>
              <w:bottom w:val="single" w:sz="8" w:space="0" w:color="A5A5A5"/>
              <w:right w:val="nil"/>
            </w:tcBorders>
            <w:shd w:val="clear" w:color="auto" w:fill="FFFFFF" w:themeFill="background1"/>
            <w:tcMar>
              <w:left w:w="58" w:type="dxa"/>
              <w:right w:w="58" w:type="dxa"/>
            </w:tcMar>
          </w:tcPr>
          <w:p w14:paraId="0F10EEF2" w14:textId="567EA121" w:rsidR="0B65F835" w:rsidRDefault="0B65F835" w:rsidP="0B65F835">
            <w:pPr>
              <w:spacing w:after="0"/>
              <w:jc w:val="center"/>
              <w:rPr>
                <w:rFonts w:ascii="Arial" w:eastAsia="Arial" w:hAnsi="Arial" w:cs="Arial"/>
                <w:color w:val="000000" w:themeColor="text1"/>
                <w:szCs w:val="20"/>
              </w:rPr>
            </w:pPr>
            <w:r w:rsidRPr="0B65F835">
              <w:rPr>
                <w:rFonts w:ascii="Arial" w:eastAsia="Arial" w:hAnsi="Arial" w:cs="Arial"/>
                <w:color w:val="000000" w:themeColor="text1"/>
                <w:szCs w:val="20"/>
              </w:rPr>
              <w:t>100</w:t>
            </w:r>
          </w:p>
        </w:tc>
      </w:tr>
      <w:tr w:rsidR="0B65F835" w14:paraId="27C85CC4" w14:textId="77777777" w:rsidTr="0B65F835">
        <w:trPr>
          <w:trHeight w:val="285"/>
        </w:trPr>
        <w:tc>
          <w:tcPr>
            <w:tcW w:w="1990" w:type="dxa"/>
            <w:tcBorders>
              <w:top w:val="single" w:sz="8" w:space="0" w:color="A5A5A5"/>
              <w:left w:val="nil"/>
              <w:bottom w:val="single" w:sz="8" w:space="0" w:color="A5A5A5"/>
              <w:right w:val="single" w:sz="8" w:space="0" w:color="A5A5A5"/>
            </w:tcBorders>
            <w:shd w:val="clear" w:color="auto" w:fill="FFFFFF" w:themeFill="background1"/>
            <w:tcMar>
              <w:left w:w="58" w:type="dxa"/>
              <w:right w:w="58" w:type="dxa"/>
            </w:tcMar>
          </w:tcPr>
          <w:p w14:paraId="7D21AEEC" w14:textId="788A0263"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Hispanic Ethnicity</w:t>
            </w:r>
          </w:p>
        </w:tc>
        <w:tc>
          <w:tcPr>
            <w:tcW w:w="4822"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6335AE1E" w14:textId="19FA9DD8"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"Patient Characteristic Ethnicity: Ethnicity" using "Ethnicity (2.16.840.1.114222.4.11.837)"</w:t>
            </w:r>
          </w:p>
        </w:tc>
        <w:tc>
          <w:tcPr>
            <w:tcW w:w="2250" w:type="dxa"/>
            <w:tcBorders>
              <w:top w:val="single" w:sz="8" w:space="0" w:color="A5A5A5"/>
              <w:left w:val="single" w:sz="8" w:space="0" w:color="A5A5A5"/>
              <w:bottom w:val="single" w:sz="8" w:space="0" w:color="A5A5A5"/>
              <w:right w:val="nil"/>
            </w:tcBorders>
            <w:shd w:val="clear" w:color="auto" w:fill="FFFFFF" w:themeFill="background1"/>
            <w:tcMar>
              <w:left w:w="58" w:type="dxa"/>
              <w:right w:w="58" w:type="dxa"/>
            </w:tcMar>
          </w:tcPr>
          <w:p w14:paraId="02171A6E" w14:textId="53D06284" w:rsidR="0B65F835" w:rsidRDefault="0B65F835" w:rsidP="0B65F835">
            <w:pPr>
              <w:spacing w:after="0"/>
              <w:jc w:val="center"/>
              <w:rPr>
                <w:rFonts w:ascii="Arial" w:eastAsia="Arial" w:hAnsi="Arial" w:cs="Arial"/>
                <w:color w:val="000000" w:themeColor="text1"/>
                <w:szCs w:val="20"/>
              </w:rPr>
            </w:pPr>
            <w:r w:rsidRPr="0B65F835">
              <w:rPr>
                <w:rFonts w:ascii="Arial" w:eastAsia="Arial" w:hAnsi="Arial" w:cs="Arial"/>
                <w:color w:val="000000" w:themeColor="text1"/>
                <w:szCs w:val="20"/>
              </w:rPr>
              <w:t>100</w:t>
            </w:r>
          </w:p>
        </w:tc>
      </w:tr>
      <w:tr w:rsidR="0B65F835" w14:paraId="672FAB52" w14:textId="77777777" w:rsidTr="0B65F835">
        <w:trPr>
          <w:trHeight w:val="285"/>
        </w:trPr>
        <w:tc>
          <w:tcPr>
            <w:tcW w:w="1990" w:type="dxa"/>
            <w:tcBorders>
              <w:top w:val="single" w:sz="8" w:space="0" w:color="A5A5A5"/>
              <w:left w:val="nil"/>
              <w:bottom w:val="single" w:sz="8" w:space="0" w:color="A5A5A5"/>
              <w:right w:val="single" w:sz="8" w:space="0" w:color="A5A5A5"/>
            </w:tcBorders>
            <w:shd w:val="clear" w:color="auto" w:fill="FFFFFF" w:themeFill="background1"/>
            <w:tcMar>
              <w:left w:w="58" w:type="dxa"/>
              <w:right w:w="58" w:type="dxa"/>
            </w:tcMar>
          </w:tcPr>
          <w:p w14:paraId="54F1FD94" w14:textId="39BB0179"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Insurance</w:t>
            </w:r>
          </w:p>
        </w:tc>
        <w:tc>
          <w:tcPr>
            <w:tcW w:w="4822"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0F7836C0" w14:textId="7FBF8A8F"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"Patient Characteristic Payer: Payer" using "Payer (2.16.840.1.114222.4.11.3591)"</w:t>
            </w:r>
          </w:p>
        </w:tc>
        <w:tc>
          <w:tcPr>
            <w:tcW w:w="2250" w:type="dxa"/>
            <w:tcBorders>
              <w:top w:val="single" w:sz="8" w:space="0" w:color="A5A5A5"/>
              <w:left w:val="single" w:sz="8" w:space="0" w:color="A5A5A5"/>
              <w:bottom w:val="single" w:sz="8" w:space="0" w:color="A5A5A5"/>
              <w:right w:val="nil"/>
            </w:tcBorders>
            <w:shd w:val="clear" w:color="auto" w:fill="FFFFFF" w:themeFill="background1"/>
            <w:tcMar>
              <w:left w:w="58" w:type="dxa"/>
              <w:right w:w="58" w:type="dxa"/>
            </w:tcMar>
          </w:tcPr>
          <w:p w14:paraId="53801627" w14:textId="6B782582" w:rsidR="0B65F835" w:rsidRDefault="0B65F835" w:rsidP="0B65F835">
            <w:pPr>
              <w:spacing w:after="0"/>
              <w:jc w:val="center"/>
              <w:rPr>
                <w:rFonts w:ascii="Arial" w:eastAsia="Arial" w:hAnsi="Arial" w:cs="Arial"/>
                <w:color w:val="000000" w:themeColor="text1"/>
                <w:szCs w:val="20"/>
              </w:rPr>
            </w:pPr>
            <w:r w:rsidRPr="0B65F835">
              <w:rPr>
                <w:rFonts w:ascii="Arial" w:eastAsia="Arial" w:hAnsi="Arial" w:cs="Arial"/>
                <w:color w:val="000000" w:themeColor="text1"/>
                <w:szCs w:val="20"/>
              </w:rPr>
              <w:t>100</w:t>
            </w:r>
          </w:p>
        </w:tc>
      </w:tr>
      <w:tr w:rsidR="0B65F835" w14:paraId="48CB1910" w14:textId="77777777" w:rsidTr="0B65F835">
        <w:trPr>
          <w:trHeight w:val="285"/>
        </w:trPr>
        <w:tc>
          <w:tcPr>
            <w:tcW w:w="1990" w:type="dxa"/>
            <w:tcBorders>
              <w:top w:val="single" w:sz="8" w:space="0" w:color="A5A5A5"/>
              <w:left w:val="nil"/>
              <w:bottom w:val="single" w:sz="8" w:space="0" w:color="A5A5A5"/>
              <w:right w:val="single" w:sz="8" w:space="0" w:color="A5A5A5"/>
            </w:tcBorders>
            <w:shd w:val="clear" w:color="auto" w:fill="FFFFFF" w:themeFill="background1"/>
            <w:tcMar>
              <w:left w:w="58" w:type="dxa"/>
              <w:right w:w="58" w:type="dxa"/>
            </w:tcMar>
          </w:tcPr>
          <w:p w14:paraId="38FBB941" w14:textId="76687D89"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Race</w:t>
            </w:r>
          </w:p>
        </w:tc>
        <w:tc>
          <w:tcPr>
            <w:tcW w:w="4822" w:type="dxa"/>
            <w:tcBorders>
              <w:top w:val="single" w:sz="8" w:space="0" w:color="A5A5A5"/>
              <w:left w:val="single" w:sz="8" w:space="0" w:color="A5A5A5"/>
              <w:bottom w:val="single" w:sz="8" w:space="0" w:color="A5A5A5"/>
              <w:right w:val="single" w:sz="8" w:space="0" w:color="A5A5A5"/>
            </w:tcBorders>
            <w:shd w:val="clear" w:color="auto" w:fill="FFFFFF" w:themeFill="background1"/>
            <w:tcMar>
              <w:left w:w="58" w:type="dxa"/>
              <w:right w:w="58" w:type="dxa"/>
            </w:tcMar>
          </w:tcPr>
          <w:p w14:paraId="33EADBF9" w14:textId="545E5146"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"Patient Characteristic Race: Race" using "Race (2.16.840.1.114222.4.11.836)"</w:t>
            </w:r>
          </w:p>
        </w:tc>
        <w:tc>
          <w:tcPr>
            <w:tcW w:w="2250" w:type="dxa"/>
            <w:tcBorders>
              <w:top w:val="single" w:sz="8" w:space="0" w:color="A5A5A5"/>
              <w:left w:val="single" w:sz="8" w:space="0" w:color="A5A5A5"/>
              <w:bottom w:val="single" w:sz="8" w:space="0" w:color="A5A5A5"/>
              <w:right w:val="nil"/>
            </w:tcBorders>
            <w:shd w:val="clear" w:color="auto" w:fill="FFFFFF" w:themeFill="background1"/>
            <w:tcMar>
              <w:left w:w="58" w:type="dxa"/>
              <w:right w:w="58" w:type="dxa"/>
            </w:tcMar>
          </w:tcPr>
          <w:p w14:paraId="1A0387CF" w14:textId="36C6DF7B" w:rsidR="0B65F835" w:rsidRDefault="0B65F835" w:rsidP="0B65F835">
            <w:pPr>
              <w:spacing w:after="0"/>
              <w:jc w:val="center"/>
              <w:rPr>
                <w:rFonts w:ascii="Arial" w:eastAsia="Arial" w:hAnsi="Arial" w:cs="Arial"/>
                <w:color w:val="000000" w:themeColor="text1"/>
                <w:szCs w:val="20"/>
              </w:rPr>
            </w:pPr>
            <w:r w:rsidRPr="0B65F835">
              <w:rPr>
                <w:rFonts w:ascii="Arial" w:eastAsia="Arial" w:hAnsi="Arial" w:cs="Arial"/>
                <w:color w:val="000000" w:themeColor="text1"/>
                <w:szCs w:val="20"/>
              </w:rPr>
              <w:t>100</w:t>
            </w:r>
          </w:p>
        </w:tc>
      </w:tr>
      <w:tr w:rsidR="0B65F835" w14:paraId="4C35FAC8" w14:textId="77777777" w:rsidTr="0B65F835">
        <w:trPr>
          <w:trHeight w:val="420"/>
        </w:trPr>
        <w:tc>
          <w:tcPr>
            <w:tcW w:w="1990" w:type="dxa"/>
            <w:tcBorders>
              <w:top w:val="single" w:sz="8" w:space="0" w:color="A5A5A5"/>
              <w:left w:val="nil"/>
              <w:bottom w:val="single" w:sz="8" w:space="0" w:color="44546A"/>
              <w:right w:val="single" w:sz="8" w:space="0" w:color="A5A5A5"/>
            </w:tcBorders>
            <w:shd w:val="clear" w:color="auto" w:fill="FFFFFF" w:themeFill="background1"/>
            <w:tcMar>
              <w:left w:w="58" w:type="dxa"/>
              <w:right w:w="58" w:type="dxa"/>
            </w:tcMar>
          </w:tcPr>
          <w:p w14:paraId="00313269" w14:textId="7F2A6161"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Sex</w:t>
            </w:r>
          </w:p>
        </w:tc>
        <w:tc>
          <w:tcPr>
            <w:tcW w:w="4822" w:type="dxa"/>
            <w:tcBorders>
              <w:top w:val="single" w:sz="8" w:space="0" w:color="A5A5A5"/>
              <w:left w:val="single" w:sz="8" w:space="0" w:color="A5A5A5"/>
              <w:bottom w:val="single" w:sz="8" w:space="0" w:color="44546A"/>
              <w:right w:val="single" w:sz="8" w:space="0" w:color="A5A5A5"/>
            </w:tcBorders>
            <w:shd w:val="clear" w:color="auto" w:fill="FFFFFF" w:themeFill="background1"/>
            <w:tcMar>
              <w:left w:w="58" w:type="dxa"/>
              <w:right w:w="58" w:type="dxa"/>
            </w:tcMar>
          </w:tcPr>
          <w:p w14:paraId="49154DD7" w14:textId="6C6A14FE" w:rsidR="0B65F835" w:rsidRDefault="0B65F835" w:rsidP="0B65F835">
            <w:pPr>
              <w:spacing w:after="0"/>
              <w:rPr>
                <w:rFonts w:ascii="Arial" w:eastAsia="Arial" w:hAnsi="Arial" w:cs="Arial"/>
                <w:color w:val="000000" w:themeColor="text1"/>
                <w:szCs w:val="20"/>
              </w:rPr>
            </w:pPr>
            <w:r w:rsidRPr="0B65F835">
              <w:rPr>
                <w:rFonts w:ascii="Arial" w:eastAsia="Arial" w:hAnsi="Arial" w:cs="Arial"/>
                <w:color w:val="000000" w:themeColor="text1"/>
                <w:szCs w:val="20"/>
              </w:rPr>
              <w:t>"Patient Characteristic Sex: ONC Administrative Sex" using "ONC Administrative Sex (2.16.840.1.113762.1.4.1)"</w:t>
            </w:r>
          </w:p>
        </w:tc>
        <w:tc>
          <w:tcPr>
            <w:tcW w:w="2250" w:type="dxa"/>
            <w:tcBorders>
              <w:top w:val="single" w:sz="8" w:space="0" w:color="A5A5A5"/>
              <w:left w:val="single" w:sz="8" w:space="0" w:color="A5A5A5"/>
              <w:bottom w:val="single" w:sz="8" w:space="0" w:color="44546A"/>
              <w:right w:val="nil"/>
            </w:tcBorders>
            <w:shd w:val="clear" w:color="auto" w:fill="FFFFFF" w:themeFill="background1"/>
            <w:tcMar>
              <w:left w:w="58" w:type="dxa"/>
              <w:right w:w="58" w:type="dxa"/>
            </w:tcMar>
          </w:tcPr>
          <w:p w14:paraId="55E3AEC6" w14:textId="28B358F2" w:rsidR="0B65F835" w:rsidRDefault="0B65F835" w:rsidP="0B65F835">
            <w:pPr>
              <w:spacing w:after="0"/>
              <w:jc w:val="center"/>
              <w:rPr>
                <w:rFonts w:ascii="Arial" w:eastAsia="Arial" w:hAnsi="Arial" w:cs="Arial"/>
                <w:color w:val="000000" w:themeColor="text1"/>
                <w:szCs w:val="20"/>
              </w:rPr>
            </w:pPr>
            <w:r w:rsidRPr="0B65F835">
              <w:rPr>
                <w:rFonts w:ascii="Arial" w:eastAsia="Arial" w:hAnsi="Arial" w:cs="Arial"/>
                <w:color w:val="000000" w:themeColor="text1"/>
                <w:szCs w:val="20"/>
              </w:rPr>
              <w:t>100</w:t>
            </w:r>
          </w:p>
        </w:tc>
      </w:tr>
    </w:tbl>
    <w:p w14:paraId="389F1A68" w14:textId="2097A1AC" w:rsidR="00CD249E" w:rsidRDefault="4EF82BF0" w:rsidP="0B65F835">
      <w:pPr>
        <w:spacing w:before="180" w:after="0"/>
        <w:rPr>
          <w:rFonts w:ascii="Arial" w:eastAsia="Arial" w:hAnsi="Arial" w:cs="Arial"/>
          <w:b/>
          <w:bCs/>
          <w:color w:val="000000" w:themeColor="text1"/>
          <w:szCs w:val="20"/>
        </w:rPr>
      </w:pPr>
      <w:r w:rsidRPr="0B65F835">
        <w:rPr>
          <w:rFonts w:ascii="Arial" w:eastAsia="Arial" w:hAnsi="Arial" w:cs="Arial"/>
          <w:b/>
          <w:bCs/>
          <w:color w:val="000000" w:themeColor="text1"/>
          <w:szCs w:val="20"/>
        </w:rPr>
        <w:t>Face validity</w:t>
      </w:r>
    </w:p>
    <w:p w14:paraId="6F7190DB" w14:textId="1C73F820" w:rsidR="00CD249E" w:rsidRDefault="4EF82BF0" w:rsidP="0B65F835">
      <w:pPr>
        <w:spacing w:after="0"/>
        <w:rPr>
          <w:rFonts w:ascii="Arial" w:eastAsia="Arial" w:hAnsi="Arial" w:cs="Arial"/>
          <w:szCs w:val="20"/>
        </w:rPr>
      </w:pPr>
      <w:r w:rsidRPr="0B65F835">
        <w:rPr>
          <w:rFonts w:ascii="Arial" w:eastAsia="Arial" w:hAnsi="Arial" w:cs="Arial"/>
          <w:szCs w:val="20"/>
        </w:rPr>
        <w:lastRenderedPageBreak/>
        <w:t xml:space="preserve">The responses to the web survey revealed overall support among clinicians for the face validity of the GMCS measure. Most clinicians agreed or strongly agreed that the GMCS measure score is an accurate reflection of malnutrition care quality (84.8%; Question a), and most clinicians agreed or strongly agreed that it can be used to distinguish between good and poor quality of malnutrition care (73.9%; Question b). No clinicians strongly disagreed with either of these two statements. Of the clinicians who disagreed with these statements, a commonly expressed concern was that the GMCS measure only captures the completion or documentation of the care components, rather the quality or effectiveness of the provided assessments and interventions. </w:t>
      </w:r>
    </w:p>
    <w:p w14:paraId="6FEF16D2" w14:textId="61DA2A73" w:rsidR="00CD249E" w:rsidRDefault="4EF82BF0" w:rsidP="0B65F835">
      <w:pPr>
        <w:spacing w:after="0"/>
        <w:rPr>
          <w:rFonts w:ascii="Arial" w:eastAsia="Arial" w:hAnsi="Arial" w:cs="Arial"/>
          <w:szCs w:val="20"/>
        </w:rPr>
      </w:pPr>
      <w:r w:rsidRPr="0B65F835">
        <w:rPr>
          <w:rFonts w:ascii="Arial" w:eastAsia="Arial" w:hAnsi="Arial" w:cs="Arial"/>
          <w:szCs w:val="20"/>
        </w:rPr>
        <w:t>Finally, we received several recommendations to strengthen the face validity of the GMCS measure. These recommendations included the addition of monitoring and evaluation of care to assess care quality and impacts, to define specific aspects needed in a nutrition care plan, to add a discharge component to the measure, and to promote dieti</w:t>
      </w:r>
      <w:r w:rsidR="00C86756">
        <w:rPr>
          <w:rFonts w:ascii="Arial" w:eastAsia="Arial" w:hAnsi="Arial" w:cs="Arial"/>
          <w:szCs w:val="20"/>
        </w:rPr>
        <w:t>t</w:t>
      </w:r>
      <w:r w:rsidRPr="0B65F835">
        <w:rPr>
          <w:rFonts w:ascii="Arial" w:eastAsia="Arial" w:hAnsi="Arial" w:cs="Arial"/>
          <w:szCs w:val="20"/>
        </w:rPr>
        <w:t>ians’ (who are the experts in nutrition) active participation and lead in implementing the measure.</w:t>
      </w:r>
    </w:p>
    <w:p w14:paraId="74F3CFA2" w14:textId="77777777" w:rsidR="002A3F3F" w:rsidRDefault="002A3F3F" w:rsidP="0B65F835">
      <w:pPr>
        <w:spacing w:after="0"/>
        <w:rPr>
          <w:rFonts w:ascii="Arial" w:eastAsia="Arial" w:hAnsi="Arial" w:cs="Arial"/>
          <w:szCs w:val="20"/>
        </w:rPr>
      </w:pPr>
    </w:p>
    <w:p w14:paraId="41D7BA1D" w14:textId="77777777" w:rsidR="002A3F3F" w:rsidRDefault="002A3F3F" w:rsidP="0B65F835">
      <w:pPr>
        <w:spacing w:after="0"/>
        <w:rPr>
          <w:rFonts w:ascii="Arial" w:eastAsia="Arial" w:hAnsi="Arial" w:cs="Arial"/>
          <w:szCs w:val="20"/>
        </w:rPr>
      </w:pPr>
    </w:p>
    <w:p w14:paraId="3C9E6FD9" w14:textId="77777777" w:rsidR="002A3F3F" w:rsidRDefault="002A3F3F" w:rsidP="0B65F835">
      <w:pPr>
        <w:spacing w:after="0"/>
        <w:rPr>
          <w:rFonts w:ascii="Arial" w:eastAsia="Arial" w:hAnsi="Arial" w:cs="Arial"/>
          <w:szCs w:val="20"/>
        </w:rPr>
      </w:pPr>
    </w:p>
    <w:p w14:paraId="7D35D0C4" w14:textId="0C0BD2B0" w:rsidR="00C86756" w:rsidRDefault="00C86756" w:rsidP="0B65F835">
      <w:pPr>
        <w:spacing w:after="0"/>
        <w:rPr>
          <w:rFonts w:ascii="Arial" w:eastAsia="Arial" w:hAnsi="Arial" w:cs="Arial"/>
          <w:szCs w:val="20"/>
        </w:rPr>
      </w:pPr>
      <w:r>
        <w:rPr>
          <w:rFonts w:ascii="Arial" w:eastAsia="Arial" w:hAnsi="Arial" w:cs="Arial"/>
          <w:szCs w:val="20"/>
        </w:rPr>
        <w:t>References</w:t>
      </w:r>
    </w:p>
    <w:p w14:paraId="22947513" w14:textId="77777777" w:rsidR="00095B27" w:rsidRDefault="00A74A21" w:rsidP="00095B27">
      <w:pPr>
        <w:pStyle w:val="Paragraph"/>
        <w:ind w:left="-90"/>
      </w:pPr>
      <w:r>
        <w:t xml:space="preserve">Allard JP, Keller H, Jeejeebhoy KN, et al. Malnutrition at Hospital Admission-Contributors and Effect on Length of Stay: A Prospective Cohort Study </w:t>
      </w:r>
      <w:proofErr w:type="gramStart"/>
      <w:r>
        <w:t>From</w:t>
      </w:r>
      <w:proofErr w:type="gramEnd"/>
      <w:r>
        <w:t xml:space="preserve"> the Canadian Malnutrition Task Force. </w:t>
      </w:r>
      <w:r>
        <w:rPr>
          <w:i/>
          <w:iCs/>
        </w:rPr>
        <w:t xml:space="preserve">JPEN J </w:t>
      </w:r>
      <w:proofErr w:type="spellStart"/>
      <w:r>
        <w:rPr>
          <w:i/>
          <w:iCs/>
        </w:rPr>
        <w:t>Parenter</w:t>
      </w:r>
      <w:proofErr w:type="spellEnd"/>
      <w:r>
        <w:rPr>
          <w:i/>
          <w:iCs/>
        </w:rPr>
        <w:t xml:space="preserve"> Enteral </w:t>
      </w:r>
      <w:proofErr w:type="spellStart"/>
      <w:r>
        <w:rPr>
          <w:i/>
          <w:iCs/>
        </w:rPr>
        <w:t>Nutr</w:t>
      </w:r>
      <w:proofErr w:type="spellEnd"/>
      <w:r>
        <w:t>. 2016;40(4):487-497. doi:10.1177/0148607114567902</w:t>
      </w:r>
    </w:p>
    <w:p w14:paraId="182B6D39" w14:textId="345C1C11" w:rsidR="00A74A21" w:rsidRDefault="00A74A21" w:rsidP="00095B27">
      <w:pPr>
        <w:pStyle w:val="Paragraph"/>
        <w:ind w:left="-90"/>
      </w:pPr>
      <w:r>
        <w:t xml:space="preserve">Curtis LJ, Bernier P, Jeejeebhoy K, et al. Costs of hospital malnutrition. </w:t>
      </w:r>
      <w:r>
        <w:rPr>
          <w:i/>
          <w:iCs/>
        </w:rPr>
        <w:t xml:space="preserve">Clin </w:t>
      </w:r>
      <w:proofErr w:type="spellStart"/>
      <w:r>
        <w:rPr>
          <w:i/>
          <w:iCs/>
        </w:rPr>
        <w:t>Nutr</w:t>
      </w:r>
      <w:proofErr w:type="spellEnd"/>
      <w:r>
        <w:t xml:space="preserve">. 2017;36(5):1391-1396. </w:t>
      </w:r>
      <w:proofErr w:type="gramStart"/>
      <w:r>
        <w:t>doi:10.1016/j.clnu</w:t>
      </w:r>
      <w:proofErr w:type="gramEnd"/>
      <w:r>
        <w:t>.2016.09.009</w:t>
      </w:r>
    </w:p>
    <w:p w14:paraId="5509DC6D" w14:textId="77777777" w:rsidR="00A74A21" w:rsidRDefault="00A74A21" w:rsidP="00A74A21">
      <w:pPr>
        <w:pStyle w:val="Paragraph"/>
        <w:ind w:left="-90"/>
      </w:pPr>
      <w:r>
        <w:t xml:space="preserve">Emami S, Rudasill S, Bellamkonda N, et al. Impact of Malnutrition on Outcomes Following Transcatheter Aortic Valve Implantation (from a National Cohort). </w:t>
      </w:r>
      <w:r>
        <w:rPr>
          <w:i/>
          <w:iCs/>
        </w:rPr>
        <w:t xml:space="preserve">Am J </w:t>
      </w:r>
      <w:proofErr w:type="spellStart"/>
      <w:r>
        <w:rPr>
          <w:i/>
          <w:iCs/>
        </w:rPr>
        <w:t>Cardiol</w:t>
      </w:r>
      <w:proofErr w:type="spellEnd"/>
      <w:r>
        <w:t xml:space="preserve">. 2020;125(7):1096-1101. </w:t>
      </w:r>
      <w:proofErr w:type="gramStart"/>
      <w:r>
        <w:t>doi:10.1016/j.amjcard</w:t>
      </w:r>
      <w:proofErr w:type="gramEnd"/>
      <w:r>
        <w:t>.2019.12.038</w:t>
      </w:r>
    </w:p>
    <w:p w14:paraId="7CBE281F" w14:textId="77777777" w:rsidR="00A74A21" w:rsidRDefault="00A74A21" w:rsidP="00A74A21">
      <w:pPr>
        <w:pStyle w:val="Paragraph"/>
        <w:ind w:left="-90"/>
      </w:pPr>
      <w:r>
        <w:t xml:space="preserve">Haines KL, Lao W, Nguyen BP, et al. Evaluation of malnutrition via modified GLIM criteria for in patients undergoing emergent gastrointestinal surgery. </w:t>
      </w:r>
      <w:r>
        <w:rPr>
          <w:i/>
          <w:iCs/>
        </w:rPr>
        <w:t xml:space="preserve">Clin </w:t>
      </w:r>
      <w:proofErr w:type="spellStart"/>
      <w:r>
        <w:rPr>
          <w:i/>
          <w:iCs/>
        </w:rPr>
        <w:t>Nutr</w:t>
      </w:r>
      <w:proofErr w:type="spellEnd"/>
      <w:r>
        <w:t xml:space="preserve">. 2021;40(3):1367-1375. </w:t>
      </w:r>
      <w:proofErr w:type="gramStart"/>
      <w:r>
        <w:t>doi:10.1016/j.clnu</w:t>
      </w:r>
      <w:proofErr w:type="gramEnd"/>
      <w:r>
        <w:t>.2020.08.026</w:t>
      </w:r>
    </w:p>
    <w:p w14:paraId="384EA8D8" w14:textId="77777777" w:rsidR="00A74A21" w:rsidRDefault="00A74A21" w:rsidP="00A74A21">
      <w:pPr>
        <w:pStyle w:val="Paragraph"/>
        <w:ind w:left="-90"/>
      </w:pPr>
      <w:r>
        <w:t xml:space="preserve">Hudson L, Chittams J, Griffith C, Compher C. Malnutrition Identified by Academy of Nutrition and Dietetics/American Society for Parenteral and Enteral Nutrition Is Associated </w:t>
      </w:r>
      <w:proofErr w:type="gramStart"/>
      <w:r>
        <w:t>With</w:t>
      </w:r>
      <w:proofErr w:type="gramEnd"/>
      <w:r>
        <w:t xml:space="preserve"> More 30-Day Readmissions, Greater Hospital Mortality, and Longer Hospital Stays: A Retrospective Analysis of Nutrition Assessment Data in a Major Medical Center. </w:t>
      </w:r>
      <w:r>
        <w:rPr>
          <w:i/>
          <w:iCs/>
        </w:rPr>
        <w:t xml:space="preserve">JPEN J </w:t>
      </w:r>
      <w:proofErr w:type="spellStart"/>
      <w:r>
        <w:rPr>
          <w:i/>
          <w:iCs/>
        </w:rPr>
        <w:t>Parenter</w:t>
      </w:r>
      <w:proofErr w:type="spellEnd"/>
      <w:r>
        <w:rPr>
          <w:i/>
          <w:iCs/>
        </w:rPr>
        <w:t xml:space="preserve"> Enteral </w:t>
      </w:r>
      <w:proofErr w:type="spellStart"/>
      <w:r>
        <w:rPr>
          <w:i/>
          <w:iCs/>
        </w:rPr>
        <w:t>Nutr</w:t>
      </w:r>
      <w:proofErr w:type="spellEnd"/>
      <w:r>
        <w:t>. 2018;42(5):892-897. doi:10.1002/jpen.1021</w:t>
      </w:r>
    </w:p>
    <w:p w14:paraId="3CB044BB" w14:textId="77777777" w:rsidR="00A74A21" w:rsidRDefault="00A74A21" w:rsidP="00A74A21">
      <w:pPr>
        <w:pStyle w:val="Paragraph"/>
        <w:ind w:left="-90"/>
      </w:pPr>
      <w:proofErr w:type="spellStart"/>
      <w:r>
        <w:t>Kichloo</w:t>
      </w:r>
      <w:proofErr w:type="spellEnd"/>
      <w:r>
        <w:t xml:space="preserve"> A, Shaka H, El-Amir Z, et al. In-patient outcomes of patients with diabetic ketoacidosis and concurrent protein energy malnutrition: A national database study from 2016 to 2017. </w:t>
      </w:r>
      <w:r>
        <w:rPr>
          <w:i/>
          <w:iCs/>
        </w:rPr>
        <w:t>Postgrad Med</w:t>
      </w:r>
      <w:r>
        <w:t>. 2021;133(8):854-859. doi:10.1080/00325481.2021.1916231</w:t>
      </w:r>
    </w:p>
    <w:p w14:paraId="0BDCC574" w14:textId="77777777" w:rsidR="00A74A21" w:rsidRDefault="00A74A21" w:rsidP="00A74A21">
      <w:pPr>
        <w:pStyle w:val="Paragraph"/>
        <w:ind w:left="-90"/>
      </w:pPr>
      <w:r>
        <w:t xml:space="preserve">Lanctin DP, Merced-Nieves F, Mallett RM, et al. Prevalence and Economic Burden of Malnutrition Diagnosis Among Patients Presenting to United States Emergency Departments. </w:t>
      </w:r>
      <w:proofErr w:type="spellStart"/>
      <w:r>
        <w:rPr>
          <w:i/>
          <w:iCs/>
        </w:rPr>
        <w:t>Acad</w:t>
      </w:r>
      <w:proofErr w:type="spellEnd"/>
      <w:r>
        <w:rPr>
          <w:i/>
          <w:iCs/>
        </w:rPr>
        <w:t xml:space="preserve"> Emerg Med</w:t>
      </w:r>
      <w:r>
        <w:t>. 2021;28(3):325-335. doi:10.1111/acem.13887</w:t>
      </w:r>
    </w:p>
    <w:p w14:paraId="2F8FB11C" w14:textId="77777777" w:rsidR="00A74A21" w:rsidRDefault="00A74A21" w:rsidP="00A74A21">
      <w:pPr>
        <w:pStyle w:val="Paragraph"/>
        <w:ind w:left="-90"/>
      </w:pPr>
      <w:r>
        <w:t xml:space="preserve">Le B, Flier S, Madill J, et al. Malnutrition risk, outcomes, and costs among older adults undergoing elective </w:t>
      </w:r>
      <w:r>
        <w:lastRenderedPageBreak/>
        <w:t xml:space="preserve">surgical procedures: a retrospective cohort study. </w:t>
      </w:r>
      <w:proofErr w:type="spellStart"/>
      <w:r>
        <w:rPr>
          <w:i/>
          <w:iCs/>
        </w:rPr>
        <w:t>Nutr</w:t>
      </w:r>
      <w:proofErr w:type="spellEnd"/>
      <w:r>
        <w:rPr>
          <w:i/>
          <w:iCs/>
        </w:rPr>
        <w:t xml:space="preserve"> Clin </w:t>
      </w:r>
      <w:proofErr w:type="spellStart"/>
      <w:r>
        <w:rPr>
          <w:i/>
          <w:iCs/>
        </w:rPr>
        <w:t>Pract</w:t>
      </w:r>
      <w:proofErr w:type="spellEnd"/>
      <w:r>
        <w:t>. 2023; 38: 1045-1062. doi:10.1002/ncp.11043</w:t>
      </w:r>
    </w:p>
    <w:p w14:paraId="368A3AF7" w14:textId="77777777" w:rsidR="00A74A21" w:rsidRDefault="00A74A21" w:rsidP="00A74A21">
      <w:pPr>
        <w:pStyle w:val="Paragraph"/>
        <w:ind w:left="-90"/>
      </w:pPr>
      <w:r>
        <w:t xml:space="preserve">Lee DU, Hastie DJ, Fan GH, et al. Effect of malnutrition on the postoperative outcomes of patients undergoing pancreatectomy for pancreatic cancer: Propensity score–matched analysis of 2011–2017 US hospitals. </w:t>
      </w:r>
      <w:proofErr w:type="spellStart"/>
      <w:r>
        <w:rPr>
          <w:i/>
          <w:iCs/>
        </w:rPr>
        <w:t>Nutr</w:t>
      </w:r>
      <w:proofErr w:type="spellEnd"/>
      <w:r>
        <w:rPr>
          <w:i/>
          <w:iCs/>
        </w:rPr>
        <w:t xml:space="preserve"> Clin </w:t>
      </w:r>
      <w:proofErr w:type="spellStart"/>
      <w:r>
        <w:rPr>
          <w:i/>
          <w:iCs/>
        </w:rPr>
        <w:t>Pract</w:t>
      </w:r>
      <w:proofErr w:type="spellEnd"/>
      <w:r>
        <w:t>. 2022; 37: 117–129. https://doi.org/10.1002/ncp.10816</w:t>
      </w:r>
    </w:p>
    <w:p w14:paraId="7004ED9E" w14:textId="77777777" w:rsidR="00A74A21" w:rsidRDefault="00A74A21" w:rsidP="00A74A21">
      <w:pPr>
        <w:pStyle w:val="Paragraph"/>
        <w:ind w:left="-90"/>
      </w:pPr>
      <w:proofErr w:type="spellStart"/>
      <w:r>
        <w:t>Lengfelder</w:t>
      </w:r>
      <w:proofErr w:type="spellEnd"/>
      <w:r>
        <w:t xml:space="preserve"> L, Mahlke S, Moore L, Zhang X, Williams G, Lee J. </w:t>
      </w:r>
      <w:proofErr w:type="gramStart"/>
      <w:r>
        <w:t>Prevalence</w:t>
      </w:r>
      <w:proofErr w:type="gramEnd"/>
      <w:r>
        <w:t xml:space="preserve"> and impact of malnutrition on length of stay, readmission, and discharge destination. </w:t>
      </w:r>
      <w:r>
        <w:rPr>
          <w:i/>
          <w:iCs/>
        </w:rPr>
        <w:t xml:space="preserve">J </w:t>
      </w:r>
      <w:proofErr w:type="spellStart"/>
      <w:r>
        <w:rPr>
          <w:i/>
          <w:iCs/>
        </w:rPr>
        <w:t>Parenter</w:t>
      </w:r>
      <w:proofErr w:type="spellEnd"/>
      <w:r>
        <w:rPr>
          <w:i/>
          <w:iCs/>
        </w:rPr>
        <w:t xml:space="preserve"> Enteral </w:t>
      </w:r>
      <w:proofErr w:type="spellStart"/>
      <w:r>
        <w:rPr>
          <w:i/>
          <w:iCs/>
        </w:rPr>
        <w:t>Nutr</w:t>
      </w:r>
      <w:proofErr w:type="spellEnd"/>
      <w:r>
        <w:t>. 2022; 46: 1335–1342 https://doi.org/10.1002/jpen.2322.</w:t>
      </w:r>
    </w:p>
    <w:p w14:paraId="1BAE5262" w14:textId="77777777" w:rsidR="00A74A21" w:rsidRDefault="00A74A21" w:rsidP="00A74A21">
      <w:pPr>
        <w:pStyle w:val="Paragraph"/>
        <w:ind w:left="-90"/>
      </w:pPr>
      <w:r>
        <w:t xml:space="preserve">Reed WT, Jiang R, </w:t>
      </w:r>
      <w:proofErr w:type="spellStart"/>
      <w:r>
        <w:t>Ohnuma</w:t>
      </w:r>
      <w:proofErr w:type="spellEnd"/>
      <w:r>
        <w:t xml:space="preserve"> T, et al. Malnutrition and Adverse Outcomes After Surgery for Head and Neck Cancer. </w:t>
      </w:r>
      <w:r>
        <w:rPr>
          <w:i/>
          <w:iCs/>
        </w:rPr>
        <w:t xml:space="preserve">JAMA </w:t>
      </w:r>
      <w:proofErr w:type="spellStart"/>
      <w:r>
        <w:rPr>
          <w:i/>
          <w:iCs/>
        </w:rPr>
        <w:t>Otolaryngol</w:t>
      </w:r>
      <w:proofErr w:type="spellEnd"/>
      <w:r>
        <w:rPr>
          <w:i/>
          <w:iCs/>
        </w:rPr>
        <w:t xml:space="preserve"> Head Neck Surg</w:t>
      </w:r>
      <w:r>
        <w:t>. 2024;150(1):14–21. doi:10.1001/jamaoto.2023.3486</w:t>
      </w:r>
    </w:p>
    <w:p w14:paraId="38F6B86B" w14:textId="42E2931F" w:rsidR="00CD249E" w:rsidRDefault="00A74A21" w:rsidP="002A3F3F">
      <w:pPr>
        <w:pStyle w:val="Paragraph"/>
        <w:ind w:left="-90"/>
      </w:pPr>
      <w:r>
        <w:t>Uhl S, Siddique SM, McKeever L, et al. </w:t>
      </w:r>
      <w:r>
        <w:rPr>
          <w:i/>
          <w:iCs/>
        </w:rPr>
        <w:t>Malnutrition in Hospitalized Adults: A Systematic Review</w:t>
      </w:r>
      <w:r>
        <w:t>. Comparative Effectiveness Review No. 249. Agency for Healthcare Research and Quality; 2021. AHRQ Publication No. 21(22)-EHC035. doi:10.23970/AHRQEPCCER249</w:t>
      </w:r>
    </w:p>
    <w:sectPr w:rsidR="00CD2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FB5A"/>
    <w:multiLevelType w:val="hybridMultilevel"/>
    <w:tmpl w:val="1102C688"/>
    <w:lvl w:ilvl="0" w:tplc="E0166EB2">
      <w:start w:val="1"/>
      <w:numFmt w:val="upperLetter"/>
      <w:lvlText w:val="%1."/>
      <w:lvlJc w:val="left"/>
      <w:pPr>
        <w:ind w:left="720" w:hanging="360"/>
      </w:pPr>
    </w:lvl>
    <w:lvl w:ilvl="1" w:tplc="1CAC7CCE">
      <w:start w:val="1"/>
      <w:numFmt w:val="lowerLetter"/>
      <w:lvlText w:val="%2."/>
      <w:lvlJc w:val="left"/>
      <w:pPr>
        <w:ind w:left="1440" w:hanging="360"/>
      </w:pPr>
    </w:lvl>
    <w:lvl w:ilvl="2" w:tplc="5044D25E">
      <w:start w:val="1"/>
      <w:numFmt w:val="lowerRoman"/>
      <w:lvlText w:val="%3."/>
      <w:lvlJc w:val="right"/>
      <w:pPr>
        <w:ind w:left="2160" w:hanging="180"/>
      </w:pPr>
    </w:lvl>
    <w:lvl w:ilvl="3" w:tplc="074ADA46">
      <w:start w:val="1"/>
      <w:numFmt w:val="decimal"/>
      <w:lvlText w:val="%4."/>
      <w:lvlJc w:val="left"/>
      <w:pPr>
        <w:ind w:left="2880" w:hanging="360"/>
      </w:pPr>
    </w:lvl>
    <w:lvl w:ilvl="4" w:tplc="296ED01E">
      <w:start w:val="1"/>
      <w:numFmt w:val="lowerLetter"/>
      <w:lvlText w:val="%5."/>
      <w:lvlJc w:val="left"/>
      <w:pPr>
        <w:ind w:left="3600" w:hanging="360"/>
      </w:pPr>
    </w:lvl>
    <w:lvl w:ilvl="5" w:tplc="A162DCBC">
      <w:start w:val="1"/>
      <w:numFmt w:val="lowerRoman"/>
      <w:lvlText w:val="%6."/>
      <w:lvlJc w:val="right"/>
      <w:pPr>
        <w:ind w:left="4320" w:hanging="180"/>
      </w:pPr>
    </w:lvl>
    <w:lvl w:ilvl="6" w:tplc="C8FC1932">
      <w:start w:val="1"/>
      <w:numFmt w:val="decimal"/>
      <w:lvlText w:val="%7."/>
      <w:lvlJc w:val="left"/>
      <w:pPr>
        <w:ind w:left="5040" w:hanging="360"/>
      </w:pPr>
    </w:lvl>
    <w:lvl w:ilvl="7" w:tplc="FF6C8BD6">
      <w:start w:val="1"/>
      <w:numFmt w:val="lowerLetter"/>
      <w:lvlText w:val="%8."/>
      <w:lvlJc w:val="left"/>
      <w:pPr>
        <w:ind w:left="5760" w:hanging="360"/>
      </w:pPr>
    </w:lvl>
    <w:lvl w:ilvl="8" w:tplc="2160D8FA">
      <w:start w:val="1"/>
      <w:numFmt w:val="lowerRoman"/>
      <w:lvlText w:val="%9."/>
      <w:lvlJc w:val="right"/>
      <w:pPr>
        <w:ind w:left="6480" w:hanging="180"/>
      </w:pPr>
    </w:lvl>
  </w:abstractNum>
  <w:abstractNum w:abstractNumId="1" w15:restartNumberingAfterBreak="0">
    <w:nsid w:val="0D1064C6"/>
    <w:multiLevelType w:val="hybridMultilevel"/>
    <w:tmpl w:val="D88029EA"/>
    <w:lvl w:ilvl="0" w:tplc="471C7AAC">
      <w:start w:val="1"/>
      <w:numFmt w:val="upperLetter"/>
      <w:lvlText w:val="%1."/>
      <w:lvlJc w:val="left"/>
      <w:pPr>
        <w:ind w:left="720" w:hanging="360"/>
      </w:pPr>
    </w:lvl>
    <w:lvl w:ilvl="1" w:tplc="BF1C31B6">
      <w:start w:val="1"/>
      <w:numFmt w:val="lowerLetter"/>
      <w:lvlText w:val="%2."/>
      <w:lvlJc w:val="left"/>
      <w:pPr>
        <w:ind w:left="1440" w:hanging="360"/>
      </w:pPr>
    </w:lvl>
    <w:lvl w:ilvl="2" w:tplc="999A4CAC">
      <w:start w:val="1"/>
      <w:numFmt w:val="lowerRoman"/>
      <w:lvlText w:val="%3."/>
      <w:lvlJc w:val="right"/>
      <w:pPr>
        <w:ind w:left="2160" w:hanging="180"/>
      </w:pPr>
    </w:lvl>
    <w:lvl w:ilvl="3" w:tplc="B5CE426E">
      <w:start w:val="1"/>
      <w:numFmt w:val="decimal"/>
      <w:lvlText w:val="%4."/>
      <w:lvlJc w:val="left"/>
      <w:pPr>
        <w:ind w:left="2880" w:hanging="360"/>
      </w:pPr>
    </w:lvl>
    <w:lvl w:ilvl="4" w:tplc="E1BEAFE2">
      <w:start w:val="1"/>
      <w:numFmt w:val="lowerLetter"/>
      <w:lvlText w:val="%5."/>
      <w:lvlJc w:val="left"/>
      <w:pPr>
        <w:ind w:left="3600" w:hanging="360"/>
      </w:pPr>
    </w:lvl>
    <w:lvl w:ilvl="5" w:tplc="08FE79A6">
      <w:start w:val="1"/>
      <w:numFmt w:val="lowerRoman"/>
      <w:lvlText w:val="%6."/>
      <w:lvlJc w:val="right"/>
      <w:pPr>
        <w:ind w:left="4320" w:hanging="180"/>
      </w:pPr>
    </w:lvl>
    <w:lvl w:ilvl="6" w:tplc="3C342726">
      <w:start w:val="1"/>
      <w:numFmt w:val="decimal"/>
      <w:lvlText w:val="%7."/>
      <w:lvlJc w:val="left"/>
      <w:pPr>
        <w:ind w:left="5040" w:hanging="360"/>
      </w:pPr>
    </w:lvl>
    <w:lvl w:ilvl="7" w:tplc="4DD2DB4A">
      <w:start w:val="1"/>
      <w:numFmt w:val="lowerLetter"/>
      <w:lvlText w:val="%8."/>
      <w:lvlJc w:val="left"/>
      <w:pPr>
        <w:ind w:left="5760" w:hanging="360"/>
      </w:pPr>
    </w:lvl>
    <w:lvl w:ilvl="8" w:tplc="392A77EE">
      <w:start w:val="1"/>
      <w:numFmt w:val="lowerRoman"/>
      <w:lvlText w:val="%9."/>
      <w:lvlJc w:val="right"/>
      <w:pPr>
        <w:ind w:left="6480" w:hanging="180"/>
      </w:pPr>
    </w:lvl>
  </w:abstractNum>
  <w:abstractNum w:abstractNumId="2" w15:restartNumberingAfterBreak="0">
    <w:nsid w:val="0DAD556D"/>
    <w:multiLevelType w:val="hybridMultilevel"/>
    <w:tmpl w:val="3B626740"/>
    <w:lvl w:ilvl="0" w:tplc="4C0CF1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529AA7"/>
    <w:multiLevelType w:val="hybridMultilevel"/>
    <w:tmpl w:val="236E8918"/>
    <w:lvl w:ilvl="0" w:tplc="FD6E06F2">
      <w:start w:val="1"/>
      <w:numFmt w:val="upperLetter"/>
      <w:lvlText w:val="%1."/>
      <w:lvlJc w:val="left"/>
      <w:pPr>
        <w:ind w:left="720" w:hanging="360"/>
      </w:pPr>
    </w:lvl>
    <w:lvl w:ilvl="1" w:tplc="D2B023D8">
      <w:start w:val="1"/>
      <w:numFmt w:val="lowerLetter"/>
      <w:lvlText w:val="%2."/>
      <w:lvlJc w:val="left"/>
      <w:pPr>
        <w:ind w:left="1440" w:hanging="360"/>
      </w:pPr>
    </w:lvl>
    <w:lvl w:ilvl="2" w:tplc="815AE54C">
      <w:start w:val="1"/>
      <w:numFmt w:val="lowerRoman"/>
      <w:lvlText w:val="%3."/>
      <w:lvlJc w:val="right"/>
      <w:pPr>
        <w:ind w:left="2160" w:hanging="180"/>
      </w:pPr>
    </w:lvl>
    <w:lvl w:ilvl="3" w:tplc="4C2EF2D8">
      <w:start w:val="1"/>
      <w:numFmt w:val="decimal"/>
      <w:lvlText w:val="%4."/>
      <w:lvlJc w:val="left"/>
      <w:pPr>
        <w:ind w:left="2880" w:hanging="360"/>
      </w:pPr>
    </w:lvl>
    <w:lvl w:ilvl="4" w:tplc="F6E08DB0">
      <w:start w:val="1"/>
      <w:numFmt w:val="lowerLetter"/>
      <w:lvlText w:val="%5."/>
      <w:lvlJc w:val="left"/>
      <w:pPr>
        <w:ind w:left="3600" w:hanging="360"/>
      </w:pPr>
    </w:lvl>
    <w:lvl w:ilvl="5" w:tplc="322C37E0">
      <w:start w:val="1"/>
      <w:numFmt w:val="lowerRoman"/>
      <w:lvlText w:val="%6."/>
      <w:lvlJc w:val="right"/>
      <w:pPr>
        <w:ind w:left="4320" w:hanging="180"/>
      </w:pPr>
    </w:lvl>
    <w:lvl w:ilvl="6" w:tplc="10FAB42A">
      <w:start w:val="1"/>
      <w:numFmt w:val="decimal"/>
      <w:lvlText w:val="%7."/>
      <w:lvlJc w:val="left"/>
      <w:pPr>
        <w:ind w:left="5040" w:hanging="360"/>
      </w:pPr>
    </w:lvl>
    <w:lvl w:ilvl="7" w:tplc="4A8EBBA0">
      <w:start w:val="1"/>
      <w:numFmt w:val="lowerLetter"/>
      <w:lvlText w:val="%8."/>
      <w:lvlJc w:val="left"/>
      <w:pPr>
        <w:ind w:left="5760" w:hanging="360"/>
      </w:pPr>
    </w:lvl>
    <w:lvl w:ilvl="8" w:tplc="7D6056E6">
      <w:start w:val="1"/>
      <w:numFmt w:val="lowerRoman"/>
      <w:lvlText w:val="%9."/>
      <w:lvlJc w:val="right"/>
      <w:pPr>
        <w:ind w:left="6480" w:hanging="180"/>
      </w:pPr>
    </w:lvl>
  </w:abstractNum>
  <w:abstractNum w:abstractNumId="4" w15:restartNumberingAfterBreak="0">
    <w:nsid w:val="1E781FE5"/>
    <w:multiLevelType w:val="hybridMultilevel"/>
    <w:tmpl w:val="995CF6D6"/>
    <w:lvl w:ilvl="0" w:tplc="ACA27714">
      <w:start w:val="9"/>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1A1529"/>
    <w:multiLevelType w:val="hybridMultilevel"/>
    <w:tmpl w:val="F74EF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A7B621"/>
    <w:multiLevelType w:val="hybridMultilevel"/>
    <w:tmpl w:val="C9C03F22"/>
    <w:lvl w:ilvl="0" w:tplc="8D9AD214">
      <w:start w:val="1"/>
      <w:numFmt w:val="upperLetter"/>
      <w:lvlText w:val="%1."/>
      <w:lvlJc w:val="left"/>
      <w:pPr>
        <w:ind w:left="720" w:hanging="360"/>
      </w:pPr>
    </w:lvl>
    <w:lvl w:ilvl="1" w:tplc="C9CAFEAC">
      <w:start w:val="1"/>
      <w:numFmt w:val="lowerLetter"/>
      <w:lvlText w:val="%2."/>
      <w:lvlJc w:val="left"/>
      <w:pPr>
        <w:ind w:left="1440" w:hanging="360"/>
      </w:pPr>
    </w:lvl>
    <w:lvl w:ilvl="2" w:tplc="D79E79EE">
      <w:start w:val="1"/>
      <w:numFmt w:val="lowerRoman"/>
      <w:lvlText w:val="%3."/>
      <w:lvlJc w:val="right"/>
      <w:pPr>
        <w:ind w:left="2160" w:hanging="180"/>
      </w:pPr>
    </w:lvl>
    <w:lvl w:ilvl="3" w:tplc="FBE87622">
      <w:start w:val="1"/>
      <w:numFmt w:val="decimal"/>
      <w:lvlText w:val="%4."/>
      <w:lvlJc w:val="left"/>
      <w:pPr>
        <w:ind w:left="2880" w:hanging="360"/>
      </w:pPr>
    </w:lvl>
    <w:lvl w:ilvl="4" w:tplc="9BC8E1E6">
      <w:start w:val="1"/>
      <w:numFmt w:val="lowerLetter"/>
      <w:lvlText w:val="%5."/>
      <w:lvlJc w:val="left"/>
      <w:pPr>
        <w:ind w:left="3600" w:hanging="360"/>
      </w:pPr>
    </w:lvl>
    <w:lvl w:ilvl="5" w:tplc="D81C50DC">
      <w:start w:val="1"/>
      <w:numFmt w:val="lowerRoman"/>
      <w:lvlText w:val="%6."/>
      <w:lvlJc w:val="right"/>
      <w:pPr>
        <w:ind w:left="4320" w:hanging="180"/>
      </w:pPr>
    </w:lvl>
    <w:lvl w:ilvl="6" w:tplc="952C4242">
      <w:start w:val="1"/>
      <w:numFmt w:val="decimal"/>
      <w:lvlText w:val="%7."/>
      <w:lvlJc w:val="left"/>
      <w:pPr>
        <w:ind w:left="5040" w:hanging="360"/>
      </w:pPr>
    </w:lvl>
    <w:lvl w:ilvl="7" w:tplc="3B849F44">
      <w:start w:val="1"/>
      <w:numFmt w:val="lowerLetter"/>
      <w:lvlText w:val="%8."/>
      <w:lvlJc w:val="left"/>
      <w:pPr>
        <w:ind w:left="5760" w:hanging="360"/>
      </w:pPr>
    </w:lvl>
    <w:lvl w:ilvl="8" w:tplc="5C5A7564">
      <w:start w:val="1"/>
      <w:numFmt w:val="lowerRoman"/>
      <w:lvlText w:val="%9."/>
      <w:lvlJc w:val="right"/>
      <w:pPr>
        <w:ind w:left="6480" w:hanging="180"/>
      </w:pPr>
    </w:lvl>
  </w:abstractNum>
  <w:abstractNum w:abstractNumId="7" w15:restartNumberingAfterBreak="0">
    <w:nsid w:val="5FCCF99C"/>
    <w:multiLevelType w:val="hybridMultilevel"/>
    <w:tmpl w:val="BB7AE78E"/>
    <w:lvl w:ilvl="0" w:tplc="DD547F6A">
      <w:start w:val="1"/>
      <w:numFmt w:val="upperLetter"/>
      <w:lvlText w:val="%1."/>
      <w:lvlJc w:val="left"/>
      <w:pPr>
        <w:ind w:left="720" w:hanging="360"/>
      </w:pPr>
    </w:lvl>
    <w:lvl w:ilvl="1" w:tplc="91C47B90">
      <w:start w:val="1"/>
      <w:numFmt w:val="lowerLetter"/>
      <w:lvlText w:val="%2."/>
      <w:lvlJc w:val="left"/>
      <w:pPr>
        <w:ind w:left="1440" w:hanging="360"/>
      </w:pPr>
    </w:lvl>
    <w:lvl w:ilvl="2" w:tplc="C9D6C846">
      <w:start w:val="1"/>
      <w:numFmt w:val="lowerRoman"/>
      <w:lvlText w:val="%3."/>
      <w:lvlJc w:val="right"/>
      <w:pPr>
        <w:ind w:left="2160" w:hanging="180"/>
      </w:pPr>
    </w:lvl>
    <w:lvl w:ilvl="3" w:tplc="B6DA46EA">
      <w:start w:val="1"/>
      <w:numFmt w:val="decimal"/>
      <w:lvlText w:val="%4."/>
      <w:lvlJc w:val="left"/>
      <w:pPr>
        <w:ind w:left="2880" w:hanging="360"/>
      </w:pPr>
    </w:lvl>
    <w:lvl w:ilvl="4" w:tplc="CF626168">
      <w:start w:val="1"/>
      <w:numFmt w:val="lowerLetter"/>
      <w:lvlText w:val="%5."/>
      <w:lvlJc w:val="left"/>
      <w:pPr>
        <w:ind w:left="3600" w:hanging="360"/>
      </w:pPr>
    </w:lvl>
    <w:lvl w:ilvl="5" w:tplc="3EF83F16">
      <w:start w:val="1"/>
      <w:numFmt w:val="lowerRoman"/>
      <w:lvlText w:val="%6."/>
      <w:lvlJc w:val="right"/>
      <w:pPr>
        <w:ind w:left="4320" w:hanging="180"/>
      </w:pPr>
    </w:lvl>
    <w:lvl w:ilvl="6" w:tplc="8F1A54FA">
      <w:start w:val="1"/>
      <w:numFmt w:val="decimal"/>
      <w:lvlText w:val="%7."/>
      <w:lvlJc w:val="left"/>
      <w:pPr>
        <w:ind w:left="5040" w:hanging="360"/>
      </w:pPr>
    </w:lvl>
    <w:lvl w:ilvl="7" w:tplc="856E621C">
      <w:start w:val="1"/>
      <w:numFmt w:val="lowerLetter"/>
      <w:lvlText w:val="%8."/>
      <w:lvlJc w:val="left"/>
      <w:pPr>
        <w:ind w:left="5760" w:hanging="360"/>
      </w:pPr>
    </w:lvl>
    <w:lvl w:ilvl="8" w:tplc="460A5D9A">
      <w:start w:val="1"/>
      <w:numFmt w:val="lowerRoman"/>
      <w:lvlText w:val="%9."/>
      <w:lvlJc w:val="right"/>
      <w:pPr>
        <w:ind w:left="6480" w:hanging="180"/>
      </w:pPr>
    </w:lvl>
  </w:abstractNum>
  <w:abstractNum w:abstractNumId="8" w15:restartNumberingAfterBreak="0">
    <w:nsid w:val="613CA9A5"/>
    <w:multiLevelType w:val="hybridMultilevel"/>
    <w:tmpl w:val="AD7858D6"/>
    <w:lvl w:ilvl="0" w:tplc="7ADA8A00">
      <w:start w:val="1"/>
      <w:numFmt w:val="upperLetter"/>
      <w:lvlText w:val="%1."/>
      <w:lvlJc w:val="left"/>
      <w:pPr>
        <w:ind w:left="720" w:hanging="360"/>
      </w:pPr>
    </w:lvl>
    <w:lvl w:ilvl="1" w:tplc="AC142E3C">
      <w:start w:val="1"/>
      <w:numFmt w:val="lowerLetter"/>
      <w:lvlText w:val="%2."/>
      <w:lvlJc w:val="left"/>
      <w:pPr>
        <w:ind w:left="1440" w:hanging="360"/>
      </w:pPr>
    </w:lvl>
    <w:lvl w:ilvl="2" w:tplc="20000144">
      <w:start w:val="1"/>
      <w:numFmt w:val="lowerRoman"/>
      <w:lvlText w:val="%3."/>
      <w:lvlJc w:val="right"/>
      <w:pPr>
        <w:ind w:left="2160" w:hanging="180"/>
      </w:pPr>
    </w:lvl>
    <w:lvl w:ilvl="3" w:tplc="EA1A7404">
      <w:start w:val="1"/>
      <w:numFmt w:val="decimal"/>
      <w:lvlText w:val="%4."/>
      <w:lvlJc w:val="left"/>
      <w:pPr>
        <w:ind w:left="2880" w:hanging="360"/>
      </w:pPr>
    </w:lvl>
    <w:lvl w:ilvl="4" w:tplc="3D7AEEB2">
      <w:start w:val="1"/>
      <w:numFmt w:val="lowerLetter"/>
      <w:lvlText w:val="%5."/>
      <w:lvlJc w:val="left"/>
      <w:pPr>
        <w:ind w:left="3600" w:hanging="360"/>
      </w:pPr>
    </w:lvl>
    <w:lvl w:ilvl="5" w:tplc="B05A16D0">
      <w:start w:val="1"/>
      <w:numFmt w:val="lowerRoman"/>
      <w:lvlText w:val="%6."/>
      <w:lvlJc w:val="right"/>
      <w:pPr>
        <w:ind w:left="4320" w:hanging="180"/>
      </w:pPr>
    </w:lvl>
    <w:lvl w:ilvl="6" w:tplc="68DAFFA6">
      <w:start w:val="1"/>
      <w:numFmt w:val="decimal"/>
      <w:lvlText w:val="%7."/>
      <w:lvlJc w:val="left"/>
      <w:pPr>
        <w:ind w:left="5040" w:hanging="360"/>
      </w:pPr>
    </w:lvl>
    <w:lvl w:ilvl="7" w:tplc="1B34F550">
      <w:start w:val="1"/>
      <w:numFmt w:val="lowerLetter"/>
      <w:lvlText w:val="%8."/>
      <w:lvlJc w:val="left"/>
      <w:pPr>
        <w:ind w:left="5760" w:hanging="360"/>
      </w:pPr>
    </w:lvl>
    <w:lvl w:ilvl="8" w:tplc="C51C5AE6">
      <w:start w:val="1"/>
      <w:numFmt w:val="lowerRoman"/>
      <w:lvlText w:val="%9."/>
      <w:lvlJc w:val="right"/>
      <w:pPr>
        <w:ind w:left="6480" w:hanging="180"/>
      </w:pPr>
    </w:lvl>
  </w:abstractNum>
  <w:abstractNum w:abstractNumId="9" w15:restartNumberingAfterBreak="0">
    <w:nsid w:val="628C6BA6"/>
    <w:multiLevelType w:val="hybridMultilevel"/>
    <w:tmpl w:val="FE4EA2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9B26CDC"/>
    <w:multiLevelType w:val="hybridMultilevel"/>
    <w:tmpl w:val="C136B5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EC23260"/>
    <w:multiLevelType w:val="hybridMultilevel"/>
    <w:tmpl w:val="C2C211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28963744">
    <w:abstractNumId w:val="6"/>
  </w:num>
  <w:num w:numId="2" w16cid:durableId="1907495632">
    <w:abstractNumId w:val="7"/>
  </w:num>
  <w:num w:numId="3" w16cid:durableId="1362781390">
    <w:abstractNumId w:val="1"/>
  </w:num>
  <w:num w:numId="4" w16cid:durableId="1593270749">
    <w:abstractNumId w:val="8"/>
  </w:num>
  <w:num w:numId="5" w16cid:durableId="275719399">
    <w:abstractNumId w:val="0"/>
  </w:num>
  <w:num w:numId="6" w16cid:durableId="469979936">
    <w:abstractNumId w:val="3"/>
  </w:num>
  <w:num w:numId="7" w16cid:durableId="46388872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4751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4927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1171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1790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0339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9E"/>
    <w:rsid w:val="000013C5"/>
    <w:rsid w:val="00095B27"/>
    <w:rsid w:val="001C63CD"/>
    <w:rsid w:val="002A3F3F"/>
    <w:rsid w:val="002C7489"/>
    <w:rsid w:val="00364A0B"/>
    <w:rsid w:val="003A57CE"/>
    <w:rsid w:val="006C1064"/>
    <w:rsid w:val="00A36870"/>
    <w:rsid w:val="00A74A21"/>
    <w:rsid w:val="00AE27AF"/>
    <w:rsid w:val="00B03BDF"/>
    <w:rsid w:val="00B70343"/>
    <w:rsid w:val="00BC20F5"/>
    <w:rsid w:val="00C23D54"/>
    <w:rsid w:val="00C86756"/>
    <w:rsid w:val="00C941B4"/>
    <w:rsid w:val="00CD249E"/>
    <w:rsid w:val="00EA482E"/>
    <w:rsid w:val="00FD1F77"/>
    <w:rsid w:val="0B65F835"/>
    <w:rsid w:val="19018E72"/>
    <w:rsid w:val="31C910C0"/>
    <w:rsid w:val="4799D0B4"/>
    <w:rsid w:val="49940E59"/>
    <w:rsid w:val="4EF82BF0"/>
    <w:rsid w:val="598F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93D29"/>
  <w15:chartTrackingRefBased/>
  <w15:docId w15:val="{48B7783A-65CF-47AA-82D5-F366EC6B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49E"/>
    <w:pPr>
      <w:spacing w:after="180" w:line="300" w:lineRule="atLeast"/>
    </w:pPr>
    <w:rPr>
      <w:kern w:val="0"/>
      <w:sz w:val="20"/>
      <w14:ligatures w14:val="none"/>
    </w:rPr>
  </w:style>
  <w:style w:type="paragraph" w:styleId="Heading1">
    <w:name w:val="heading 1"/>
    <w:basedOn w:val="Normal"/>
    <w:next w:val="Normal"/>
    <w:link w:val="Heading1Char"/>
    <w:uiPriority w:val="9"/>
    <w:qFormat/>
    <w:rsid w:val="00CD2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49E"/>
    <w:rPr>
      <w:rFonts w:eastAsiaTheme="majorEastAsia" w:cstheme="majorBidi"/>
      <w:color w:val="272727" w:themeColor="text1" w:themeTint="D8"/>
    </w:rPr>
  </w:style>
  <w:style w:type="paragraph" w:styleId="Title">
    <w:name w:val="Title"/>
    <w:basedOn w:val="Normal"/>
    <w:next w:val="Normal"/>
    <w:link w:val="TitleChar"/>
    <w:uiPriority w:val="10"/>
    <w:qFormat/>
    <w:rsid w:val="00CD2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49E"/>
    <w:pPr>
      <w:spacing w:before="160"/>
      <w:jc w:val="center"/>
    </w:pPr>
    <w:rPr>
      <w:i/>
      <w:iCs/>
      <w:color w:val="404040" w:themeColor="text1" w:themeTint="BF"/>
    </w:rPr>
  </w:style>
  <w:style w:type="character" w:customStyle="1" w:styleId="QuoteChar">
    <w:name w:val="Quote Char"/>
    <w:basedOn w:val="DefaultParagraphFont"/>
    <w:link w:val="Quote"/>
    <w:uiPriority w:val="29"/>
    <w:rsid w:val="00CD249E"/>
    <w:rPr>
      <w:i/>
      <w:iCs/>
      <w:color w:val="404040" w:themeColor="text1" w:themeTint="BF"/>
    </w:rPr>
  </w:style>
  <w:style w:type="paragraph" w:styleId="ListParagraph">
    <w:name w:val="List Paragraph"/>
    <w:basedOn w:val="Normal"/>
    <w:uiPriority w:val="34"/>
    <w:qFormat/>
    <w:rsid w:val="00CD249E"/>
    <w:pPr>
      <w:ind w:left="720"/>
      <w:contextualSpacing/>
    </w:pPr>
  </w:style>
  <w:style w:type="character" w:styleId="IntenseEmphasis">
    <w:name w:val="Intense Emphasis"/>
    <w:basedOn w:val="DefaultParagraphFont"/>
    <w:uiPriority w:val="21"/>
    <w:qFormat/>
    <w:rsid w:val="00CD249E"/>
    <w:rPr>
      <w:i/>
      <w:iCs/>
      <w:color w:val="0F4761" w:themeColor="accent1" w:themeShade="BF"/>
    </w:rPr>
  </w:style>
  <w:style w:type="paragraph" w:styleId="IntenseQuote">
    <w:name w:val="Intense Quote"/>
    <w:basedOn w:val="Normal"/>
    <w:next w:val="Normal"/>
    <w:link w:val="IntenseQuoteChar"/>
    <w:uiPriority w:val="30"/>
    <w:qFormat/>
    <w:rsid w:val="00CD2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49E"/>
    <w:rPr>
      <w:i/>
      <w:iCs/>
      <w:color w:val="0F4761" w:themeColor="accent1" w:themeShade="BF"/>
    </w:rPr>
  </w:style>
  <w:style w:type="character" w:styleId="IntenseReference">
    <w:name w:val="Intense Reference"/>
    <w:basedOn w:val="DefaultParagraphFont"/>
    <w:uiPriority w:val="32"/>
    <w:qFormat/>
    <w:rsid w:val="00CD249E"/>
    <w:rPr>
      <w:b/>
      <w:bCs/>
      <w:smallCaps/>
      <w:color w:val="0F4761" w:themeColor="accent1" w:themeShade="BF"/>
      <w:spacing w:val="5"/>
    </w:rPr>
  </w:style>
  <w:style w:type="paragraph" w:styleId="CommentText">
    <w:name w:val="annotation text"/>
    <w:basedOn w:val="Normal"/>
    <w:link w:val="CommentTextChar"/>
    <w:semiHidden/>
    <w:unhideWhenUsed/>
    <w:rsid w:val="00CD249E"/>
    <w:pPr>
      <w:spacing w:line="240" w:lineRule="auto"/>
    </w:pPr>
    <w:rPr>
      <w:szCs w:val="20"/>
    </w:rPr>
  </w:style>
  <w:style w:type="character" w:customStyle="1" w:styleId="CommentTextChar">
    <w:name w:val="Comment Text Char"/>
    <w:basedOn w:val="DefaultParagraphFont"/>
    <w:link w:val="CommentText"/>
    <w:semiHidden/>
    <w:rsid w:val="00CD249E"/>
    <w:rPr>
      <w:kern w:val="0"/>
      <w:sz w:val="20"/>
      <w:szCs w:val="20"/>
      <w14:ligatures w14:val="none"/>
    </w:rPr>
  </w:style>
  <w:style w:type="paragraph" w:customStyle="1" w:styleId="TableTextLeft">
    <w:name w:val="Table Text Left"/>
    <w:semiHidden/>
    <w:rsid w:val="00CD249E"/>
    <w:pPr>
      <w:spacing w:before="40" w:after="20" w:line="240" w:lineRule="atLeast"/>
    </w:pPr>
    <w:rPr>
      <w:rFonts w:asciiTheme="majorHAnsi" w:hAnsiTheme="majorHAnsi"/>
      <w:color w:val="000000" w:themeColor="text1"/>
      <w:kern w:val="0"/>
      <w:sz w:val="18"/>
      <w14:ligatures w14:val="none"/>
    </w:rPr>
  </w:style>
  <w:style w:type="character" w:customStyle="1" w:styleId="ParagraphChar">
    <w:name w:val="Paragraph Char"/>
    <w:basedOn w:val="DefaultParagraphFont"/>
    <w:link w:val="Paragraph"/>
    <w:locked/>
    <w:rsid w:val="00CD249E"/>
    <w:rPr>
      <w:sz w:val="20"/>
    </w:rPr>
  </w:style>
  <w:style w:type="paragraph" w:customStyle="1" w:styleId="Paragraph">
    <w:name w:val="Paragraph"/>
    <w:basedOn w:val="Normal"/>
    <w:link w:val="ParagraphChar"/>
    <w:qFormat/>
    <w:rsid w:val="00CD249E"/>
    <w:pPr>
      <w:widowControl w:val="0"/>
    </w:pPr>
    <w:rPr>
      <w:kern w:val="2"/>
      <w14:ligatures w14:val="standardContextual"/>
    </w:rPr>
  </w:style>
  <w:style w:type="character" w:customStyle="1" w:styleId="H1Char">
    <w:name w:val="H1 Char"/>
    <w:basedOn w:val="DefaultParagraphFont"/>
    <w:link w:val="H1"/>
    <w:locked/>
    <w:rsid w:val="00CD249E"/>
    <w:rPr>
      <w:rFonts w:asciiTheme="majorHAnsi" w:eastAsiaTheme="majorEastAsia" w:hAnsiTheme="majorHAnsi" w:cstheme="majorBidi"/>
      <w:color w:val="0E2841" w:themeColor="text2"/>
      <w:sz w:val="30"/>
      <w:szCs w:val="32"/>
    </w:rPr>
  </w:style>
  <w:style w:type="paragraph" w:customStyle="1" w:styleId="H1">
    <w:name w:val="H1"/>
    <w:basedOn w:val="Heading1"/>
    <w:next w:val="Paragraph"/>
    <w:link w:val="H1Char"/>
    <w:qFormat/>
    <w:rsid w:val="00CD249E"/>
    <w:pPr>
      <w:spacing w:before="180" w:after="60" w:line="360" w:lineRule="atLeast"/>
      <w:ind w:left="432" w:hanging="432"/>
      <w:outlineLvl w:val="1"/>
    </w:pPr>
    <w:rPr>
      <w:color w:val="0E2841" w:themeColor="text2"/>
      <w:sz w:val="30"/>
      <w:szCs w:val="32"/>
    </w:rPr>
  </w:style>
  <w:style w:type="paragraph" w:customStyle="1" w:styleId="ExhibitFootnote">
    <w:name w:val="Exhibit Footnote"/>
    <w:basedOn w:val="TableTextLeft"/>
    <w:semiHidden/>
    <w:rsid w:val="00CD249E"/>
    <w:pPr>
      <w:spacing w:after="40" w:line="200" w:lineRule="atLeast"/>
    </w:pPr>
    <w:rPr>
      <w:sz w:val="16"/>
    </w:rPr>
  </w:style>
  <w:style w:type="paragraph" w:customStyle="1" w:styleId="ExhibitSource">
    <w:name w:val="Exhibit Source"/>
    <w:basedOn w:val="TableTextLeft"/>
    <w:semiHidden/>
    <w:rsid w:val="00CD249E"/>
    <w:pPr>
      <w:tabs>
        <w:tab w:val="left" w:pos="648"/>
      </w:tabs>
      <w:spacing w:after="40" w:line="200" w:lineRule="atLeast"/>
      <w:ind w:left="648" w:hanging="648"/>
    </w:pPr>
    <w:rPr>
      <w:sz w:val="16"/>
    </w:rPr>
  </w:style>
  <w:style w:type="paragraph" w:customStyle="1" w:styleId="H2">
    <w:name w:val="H2"/>
    <w:basedOn w:val="H1"/>
    <w:next w:val="Paragraph"/>
    <w:qFormat/>
    <w:rsid w:val="00CD249E"/>
    <w:pPr>
      <w:spacing w:line="320" w:lineRule="atLeast"/>
      <w:outlineLvl w:val="2"/>
    </w:pPr>
    <w:rPr>
      <w:b/>
      <w:color w:val="156082" w:themeColor="accent1"/>
      <w:sz w:val="24"/>
    </w:rPr>
  </w:style>
  <w:style w:type="paragraph" w:customStyle="1" w:styleId="H3">
    <w:name w:val="H3"/>
    <w:basedOn w:val="H1"/>
    <w:next w:val="Paragraph"/>
    <w:qFormat/>
    <w:rsid w:val="00CD249E"/>
    <w:pPr>
      <w:spacing w:line="260" w:lineRule="atLeast"/>
      <w:outlineLvl w:val="3"/>
    </w:pPr>
    <w:rPr>
      <w:rFonts w:asciiTheme="minorHAnsi" w:hAnsiTheme="minorHAnsi"/>
      <w:b/>
      <w:color w:val="000000" w:themeColor="text1"/>
      <w:sz w:val="20"/>
    </w:rPr>
  </w:style>
  <w:style w:type="paragraph" w:customStyle="1" w:styleId="TableHeaderCenter">
    <w:name w:val="Table Header Center"/>
    <w:basedOn w:val="TableTextLeft"/>
    <w:semiHidden/>
    <w:rsid w:val="00CD249E"/>
    <w:pPr>
      <w:keepNext/>
      <w:jc w:val="center"/>
    </w:pPr>
    <w:rPr>
      <w:color w:val="FFFFFF" w:themeColor="background1"/>
    </w:rPr>
  </w:style>
  <w:style w:type="paragraph" w:customStyle="1" w:styleId="TableHeaderLeft">
    <w:name w:val="Table Header Left"/>
    <w:basedOn w:val="TableTextLeft"/>
    <w:semiHidden/>
    <w:rsid w:val="00CD249E"/>
    <w:pPr>
      <w:keepNext/>
    </w:pPr>
    <w:rPr>
      <w:color w:val="FFFFFF" w:themeColor="background1"/>
    </w:rPr>
  </w:style>
  <w:style w:type="paragraph" w:customStyle="1" w:styleId="TableTitle">
    <w:name w:val="Table Title"/>
    <w:basedOn w:val="Normal"/>
    <w:qFormat/>
    <w:rsid w:val="00CD249E"/>
    <w:pPr>
      <w:keepNext/>
      <w:keepLines/>
      <w:spacing w:before="180" w:after="80" w:line="240" w:lineRule="atLeast"/>
    </w:pPr>
    <w:rPr>
      <w:rFonts w:asciiTheme="majorHAnsi" w:hAnsiTheme="majorHAnsi"/>
      <w:color w:val="156082" w:themeColor="accent1"/>
      <w:sz w:val="22"/>
    </w:rPr>
  </w:style>
  <w:style w:type="character" w:styleId="CommentReference">
    <w:name w:val="annotation reference"/>
    <w:basedOn w:val="DefaultParagraphFont"/>
    <w:semiHidden/>
    <w:unhideWhenUsed/>
    <w:rsid w:val="00CD249E"/>
    <w:rPr>
      <w:sz w:val="16"/>
      <w:szCs w:val="16"/>
    </w:rPr>
  </w:style>
  <w:style w:type="table" w:customStyle="1" w:styleId="BaseTable">
    <w:name w:val="Base Table"/>
    <w:basedOn w:val="TableNormal"/>
    <w:rsid w:val="00CD249E"/>
    <w:pPr>
      <w:spacing w:before="40" w:after="20" w:line="240" w:lineRule="auto"/>
    </w:pPr>
    <w:rPr>
      <w:rFonts w:asciiTheme="majorHAnsi" w:hAnsiTheme="majorHAnsi"/>
      <w:kern w:val="0"/>
      <w:sz w:val="18"/>
      <w14:ligatures w14:val="none"/>
    </w:rPr>
    <w:tblPr>
      <w:tblInd w:w="0" w:type="nil"/>
      <w:tblBorders>
        <w:bottom w:val="single" w:sz="4" w:space="0" w:color="0E2841" w:themeColor="text2"/>
        <w:insideH w:val="single" w:sz="4" w:space="0" w:color="196B24" w:themeColor="accent3"/>
        <w:insideV w:val="single" w:sz="4" w:space="0" w:color="196B24"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E2841" w:themeColor="text2"/>
          <w:right w:val="nil"/>
          <w:insideH w:val="nil"/>
          <w:insideV w:val="single" w:sz="4" w:space="0" w:color="FFFFFF" w:themeColor="background1"/>
          <w:tl2br w:val="nil"/>
          <w:tr2bl w:val="nil"/>
        </w:tcBorders>
        <w:shd w:val="clear" w:color="auto" w:fill="0E2841" w:themeFill="text2"/>
        <w:vAlign w:val="bottom"/>
      </w:tcPr>
    </w:tblStyle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A74A2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822254">
      <w:bodyDiv w:val="1"/>
      <w:marLeft w:val="0"/>
      <w:marRight w:val="0"/>
      <w:marTop w:val="0"/>
      <w:marBottom w:val="0"/>
      <w:divBdr>
        <w:top w:val="none" w:sz="0" w:space="0" w:color="auto"/>
        <w:left w:val="none" w:sz="0" w:space="0" w:color="auto"/>
        <w:bottom w:val="none" w:sz="0" w:space="0" w:color="auto"/>
        <w:right w:val="none" w:sz="0" w:space="0" w:color="auto"/>
      </w:divBdr>
    </w:div>
    <w:div w:id="581837793">
      <w:bodyDiv w:val="1"/>
      <w:marLeft w:val="0"/>
      <w:marRight w:val="0"/>
      <w:marTop w:val="0"/>
      <w:marBottom w:val="0"/>
      <w:divBdr>
        <w:top w:val="none" w:sz="0" w:space="0" w:color="auto"/>
        <w:left w:val="none" w:sz="0" w:space="0" w:color="auto"/>
        <w:bottom w:val="none" w:sz="0" w:space="0" w:color="auto"/>
        <w:right w:val="none" w:sz="0" w:space="0" w:color="auto"/>
      </w:divBdr>
    </w:div>
    <w:div w:id="772356617">
      <w:bodyDiv w:val="1"/>
      <w:marLeft w:val="0"/>
      <w:marRight w:val="0"/>
      <w:marTop w:val="0"/>
      <w:marBottom w:val="0"/>
      <w:divBdr>
        <w:top w:val="none" w:sz="0" w:space="0" w:color="auto"/>
        <w:left w:val="none" w:sz="0" w:space="0" w:color="auto"/>
        <w:bottom w:val="none" w:sz="0" w:space="0" w:color="auto"/>
        <w:right w:val="none" w:sz="0" w:space="0" w:color="auto"/>
      </w:divBdr>
    </w:div>
    <w:div w:id="1630164685">
      <w:bodyDiv w:val="1"/>
      <w:marLeft w:val="0"/>
      <w:marRight w:val="0"/>
      <w:marTop w:val="0"/>
      <w:marBottom w:val="0"/>
      <w:divBdr>
        <w:top w:val="none" w:sz="0" w:space="0" w:color="auto"/>
        <w:left w:val="none" w:sz="0" w:space="0" w:color="auto"/>
        <w:bottom w:val="none" w:sz="0" w:space="0" w:color="auto"/>
        <w:right w:val="none" w:sz="0" w:space="0" w:color="auto"/>
      </w:divBdr>
    </w:div>
    <w:div w:id="1807040096">
      <w:bodyDiv w:val="1"/>
      <w:marLeft w:val="0"/>
      <w:marRight w:val="0"/>
      <w:marTop w:val="0"/>
      <w:marBottom w:val="0"/>
      <w:divBdr>
        <w:top w:val="none" w:sz="0" w:space="0" w:color="auto"/>
        <w:left w:val="none" w:sz="0" w:space="0" w:color="auto"/>
        <w:bottom w:val="none" w:sz="0" w:space="0" w:color="auto"/>
        <w:right w:val="none" w:sz="0" w:space="0" w:color="auto"/>
      </w:divBdr>
    </w:div>
    <w:div w:id="213575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A3FCDEFE1E845988F8F8D411E2B66" ma:contentTypeVersion="12" ma:contentTypeDescription="Create a new document." ma:contentTypeScope="" ma:versionID="ea8a1cd0812ad7b29303de99391ee50b">
  <xsd:schema xmlns:xsd="http://www.w3.org/2001/XMLSchema" xmlns:xs="http://www.w3.org/2001/XMLSchema" xmlns:p="http://schemas.microsoft.com/office/2006/metadata/properties" xmlns:ns2="cddc9a90-ce33-4621-b585-823809e223e1" xmlns:ns3="d4794453-8fde-48a7-b2a2-9e30ee2e8c37" targetNamespace="http://schemas.microsoft.com/office/2006/metadata/properties" ma:root="true" ma:fieldsID="9e9ec62eb61056780545bb7d59656e4f" ns2:_="" ns3:_="">
    <xsd:import namespace="cddc9a90-ce33-4621-b585-823809e223e1"/>
    <xsd:import namespace="d4794453-8fde-48a7-b2a2-9e30ee2e8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c9a90-ce33-4621-b585-823809e22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bb3ce1-2d96-45e5-99c4-d2bba11dad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94453-8fde-48a7-b2a2-9e30ee2e8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6ef637-5003-435c-a6c1-01cf6ea544d5}" ma:internalName="TaxCatchAll" ma:showField="CatchAllData" ma:web="d4794453-8fde-48a7-b2a2-9e30ee2e8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dc9a90-ce33-4621-b585-823809e223e1">
      <Terms xmlns="http://schemas.microsoft.com/office/infopath/2007/PartnerControls"/>
    </lcf76f155ced4ddcb4097134ff3c332f>
    <TaxCatchAll xmlns="d4794453-8fde-48a7-b2a2-9e30ee2e8c37" xsi:nil="true"/>
  </documentManagement>
</p:properties>
</file>

<file path=customXml/itemProps1.xml><?xml version="1.0" encoding="utf-8"?>
<ds:datastoreItem xmlns:ds="http://schemas.openxmlformats.org/officeDocument/2006/customXml" ds:itemID="{F1FF630F-8364-465F-ADE2-1B4E47FB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c9a90-ce33-4621-b585-823809e223e1"/>
    <ds:schemaRef ds:uri="d4794453-8fde-48a7-b2a2-9e30ee2e8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7DF6D-1208-4F22-BDD2-456C9B087E1A}">
  <ds:schemaRefs>
    <ds:schemaRef ds:uri="http://schemas.microsoft.com/sharepoint/v3/contenttype/forms"/>
  </ds:schemaRefs>
</ds:datastoreItem>
</file>

<file path=customXml/itemProps3.xml><?xml version="1.0" encoding="utf-8"?>
<ds:datastoreItem xmlns:ds="http://schemas.openxmlformats.org/officeDocument/2006/customXml" ds:itemID="{78F7A3C6-B7E7-4078-9447-45030982C619}">
  <ds:schemaRef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4794453-8fde-48a7-b2a2-9e30ee2e8c37"/>
    <ds:schemaRef ds:uri="cddc9a90-ce33-4621-b585-823809e223e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2402</Words>
  <Characters>14547</Characters>
  <Application>Microsoft Office Word</Application>
  <DocSecurity>0</DocSecurity>
  <Lines>469</Lines>
  <Paragraphs>211</Paragraphs>
  <ScaleCrop>false</ScaleCrop>
  <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 Coltman</dc:creator>
  <cp:keywords/>
  <dc:description/>
  <cp:lastModifiedBy>Anne E. Coltman</cp:lastModifiedBy>
  <cp:revision>17</cp:revision>
  <dcterms:created xsi:type="dcterms:W3CDTF">2024-04-15T16:44:00Z</dcterms:created>
  <dcterms:modified xsi:type="dcterms:W3CDTF">2024-05-07T13:07:00Z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0x010100685A3FCDEFE1E845988F8F8D411E2B66</vt:lpwstr>
  </property>
  <property fmtid="{D5CDD505-2E9C-101B-9397-08002B2CF9AE}" pid="3" name="MediaServiceImageTags">
    <vt:lpwstr/>
  </property>
  <property fmtid="{D5CDD505-2E9C-101B-9397-08002B2CF9AE}" pid="4" name="GrammarlyDocumentId">
    <vt:lpwstr>9190faced355f8701adb2e8008a085ee7327831ebac4cde1221ea052db329432</vt:lpwstr>
  </property>
</Properties>
</file>