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EA505" w14:textId="77777777" w:rsidR="004D000A" w:rsidRPr="006A0FFD" w:rsidRDefault="004D000A" w:rsidP="004D000A">
      <w:pPr>
        <w:rPr>
          <w:rFonts w:ascii="Arial" w:hAnsi="Arial" w:cs="Arial"/>
          <w:b/>
          <w:bCs/>
        </w:rPr>
      </w:pPr>
      <w:r w:rsidRPr="006A0FFD">
        <w:rPr>
          <w:rFonts w:ascii="Arial" w:hAnsi="Arial" w:cs="Arial"/>
          <w:b/>
          <w:bCs/>
        </w:rPr>
        <w:t>Section 4.3.4 Validity Testing Results</w:t>
      </w:r>
    </w:p>
    <w:p w14:paraId="11EAF67C" w14:textId="77777777" w:rsidR="004D000A" w:rsidRDefault="004D000A" w:rsidP="004D000A">
      <w:pPr>
        <w:rPr>
          <w:rFonts w:ascii="Aptos" w:hAnsi="Aptos"/>
          <w:b/>
          <w:bCs/>
        </w:rPr>
      </w:pPr>
    </w:p>
    <w:p w14:paraId="07D7D57D" w14:textId="1303C00A" w:rsidR="004D000A" w:rsidRPr="004D000A" w:rsidRDefault="004D000A" w:rsidP="004D000A">
      <w:pPr>
        <w:rPr>
          <w:rFonts w:ascii="Arial" w:hAnsi="Arial" w:cs="Arial"/>
        </w:rPr>
      </w:pPr>
      <w:r w:rsidRPr="004D000A">
        <w:rPr>
          <w:rFonts w:ascii="Arial" w:hAnsi="Arial" w:cs="Arial"/>
          <w:b/>
          <w:bCs/>
        </w:rPr>
        <w:t>Table 13.</w:t>
      </w:r>
      <w:r w:rsidRPr="004D000A">
        <w:rPr>
          <w:rFonts w:ascii="Arial" w:hAnsi="Arial" w:cs="Arial"/>
        </w:rPr>
        <w:t xml:space="preserve"> Comparison of empiric antibiotic assessment for UM HMS manually abstracted data (gold standard) to UM eCQM in 540 CAP patients.</w:t>
      </w:r>
    </w:p>
    <w:tbl>
      <w:tblPr>
        <w:tblStyle w:val="TableGrid"/>
        <w:tblpPr w:leftFromText="180" w:rightFromText="180" w:vertAnchor="text" w:horzAnchor="margin" w:tblpY="224"/>
        <w:tblW w:w="0" w:type="auto"/>
        <w:tblLook w:val="04A0" w:firstRow="1" w:lastRow="0" w:firstColumn="1" w:lastColumn="0" w:noHBand="0" w:noVBand="1"/>
        <w:tblCaption w:val="Table 13. Comparison of empiric antibiotic assessment for UM HMS manually abstracted (gold standard ) to UM eCQM in 540 CAP patients"/>
        <w:tblDescription w:val="Compared to UM HMS manually abstracted data (gold standard), the eCQM accurately assessed empiric antibiotics (no anti-MRSA/Pseudomonal, only anti-MRSA, only anti-Pseudomonal, and both anti-MRSA/Pseudomonal) in 96.7% (522/540) of patients."/>
      </w:tblPr>
      <w:tblGrid>
        <w:gridCol w:w="1921"/>
        <w:gridCol w:w="2571"/>
        <w:gridCol w:w="1393"/>
        <w:gridCol w:w="2084"/>
        <w:gridCol w:w="2461"/>
      </w:tblGrid>
      <w:tr w:rsidR="004D000A" w:rsidRPr="004D000A" w14:paraId="3EA114AE" w14:textId="77777777" w:rsidTr="001B5711">
        <w:trPr>
          <w:cantSplit/>
          <w:trHeight w:val="150"/>
          <w:tblHeader/>
        </w:trPr>
        <w:tc>
          <w:tcPr>
            <w:tcW w:w="1921" w:type="dxa"/>
            <w:vAlign w:val="center"/>
          </w:tcPr>
          <w:p w14:paraId="0639F777" w14:textId="1FF3858A" w:rsidR="004D000A" w:rsidRPr="004D000A" w:rsidRDefault="001B5711" w:rsidP="001B5711">
            <w:pPr>
              <w:rPr>
                <w:rFonts w:ascii="Arial" w:hAnsi="Arial" w:cs="Arial"/>
              </w:rPr>
            </w:pPr>
            <w:r>
              <w:rPr>
                <w:rFonts w:ascii="Arial" w:hAnsi="Arial" w:cs="Arial"/>
              </w:rPr>
              <w:t>*</w:t>
            </w:r>
          </w:p>
        </w:tc>
        <w:tc>
          <w:tcPr>
            <w:tcW w:w="0" w:type="auto"/>
            <w:vAlign w:val="center"/>
          </w:tcPr>
          <w:p w14:paraId="623AC76E" w14:textId="77777777" w:rsidR="004D000A" w:rsidRDefault="004D000A" w:rsidP="005D3606">
            <w:pPr>
              <w:jc w:val="center"/>
              <w:rPr>
                <w:rFonts w:ascii="Arial" w:hAnsi="Arial" w:cs="Arial"/>
              </w:rPr>
            </w:pPr>
            <w:r>
              <w:rPr>
                <w:rFonts w:ascii="Arial" w:hAnsi="Arial" w:cs="Arial"/>
              </w:rPr>
              <w:t xml:space="preserve"> UM HMS</w:t>
            </w:r>
          </w:p>
          <w:p w14:paraId="78D75576" w14:textId="0401C119" w:rsidR="004D000A" w:rsidRPr="004D000A" w:rsidRDefault="004D000A" w:rsidP="005D3606">
            <w:pPr>
              <w:jc w:val="center"/>
              <w:rPr>
                <w:rFonts w:ascii="Arial" w:hAnsi="Arial" w:cs="Arial"/>
              </w:rPr>
            </w:pPr>
            <w:r w:rsidRPr="004D000A">
              <w:rPr>
                <w:rFonts w:ascii="Arial" w:hAnsi="Arial" w:cs="Arial"/>
              </w:rPr>
              <w:t>Neither MRSA/</w:t>
            </w:r>
            <w:r>
              <w:rPr>
                <w:rFonts w:ascii="Arial" w:hAnsi="Arial" w:cs="Arial"/>
              </w:rPr>
              <w:t xml:space="preserve"> </w:t>
            </w:r>
            <w:r w:rsidRPr="004D000A">
              <w:rPr>
                <w:rFonts w:ascii="Arial" w:hAnsi="Arial" w:cs="Arial"/>
                <w:i/>
                <w:iCs/>
              </w:rPr>
              <w:t>Pseudomonal</w:t>
            </w:r>
            <w:r w:rsidRPr="004D000A">
              <w:rPr>
                <w:rFonts w:ascii="Arial" w:hAnsi="Arial" w:cs="Arial"/>
              </w:rPr>
              <w:t xml:space="preserve"> (n=234)</w:t>
            </w:r>
          </w:p>
        </w:tc>
        <w:tc>
          <w:tcPr>
            <w:tcW w:w="0" w:type="auto"/>
            <w:vAlign w:val="center"/>
          </w:tcPr>
          <w:p w14:paraId="3383FCDE" w14:textId="77777777" w:rsidR="004D000A" w:rsidRDefault="004D000A" w:rsidP="005D3606">
            <w:pPr>
              <w:jc w:val="center"/>
              <w:rPr>
                <w:rFonts w:ascii="Arial" w:hAnsi="Arial" w:cs="Arial"/>
              </w:rPr>
            </w:pPr>
            <w:r>
              <w:rPr>
                <w:rFonts w:ascii="Arial" w:hAnsi="Arial" w:cs="Arial"/>
              </w:rPr>
              <w:t xml:space="preserve"> UM HMS</w:t>
            </w:r>
          </w:p>
          <w:p w14:paraId="77F689C6" w14:textId="26054710" w:rsidR="004D000A" w:rsidRPr="004D000A" w:rsidRDefault="004D000A" w:rsidP="005D3606">
            <w:pPr>
              <w:jc w:val="center"/>
              <w:rPr>
                <w:rFonts w:ascii="Arial" w:hAnsi="Arial" w:cs="Arial"/>
              </w:rPr>
            </w:pPr>
            <w:r w:rsidRPr="004D000A">
              <w:rPr>
                <w:rFonts w:ascii="Arial" w:hAnsi="Arial" w:cs="Arial"/>
              </w:rPr>
              <w:t>Only MRSA (n=8)</w:t>
            </w:r>
          </w:p>
        </w:tc>
        <w:tc>
          <w:tcPr>
            <w:tcW w:w="0" w:type="auto"/>
            <w:vAlign w:val="center"/>
          </w:tcPr>
          <w:p w14:paraId="275C34A7" w14:textId="77777777" w:rsidR="004D000A" w:rsidRDefault="004D000A" w:rsidP="005D3606">
            <w:pPr>
              <w:jc w:val="center"/>
              <w:rPr>
                <w:rFonts w:ascii="Arial" w:hAnsi="Arial" w:cs="Arial"/>
              </w:rPr>
            </w:pPr>
            <w:r>
              <w:rPr>
                <w:rFonts w:ascii="Arial" w:hAnsi="Arial" w:cs="Arial"/>
              </w:rPr>
              <w:t>UM HMS</w:t>
            </w:r>
          </w:p>
          <w:p w14:paraId="48105F26" w14:textId="724A4C40" w:rsidR="004D000A" w:rsidRPr="004D000A" w:rsidRDefault="004D000A" w:rsidP="005D3606">
            <w:pPr>
              <w:jc w:val="center"/>
              <w:rPr>
                <w:rFonts w:ascii="Arial" w:hAnsi="Arial" w:cs="Arial"/>
              </w:rPr>
            </w:pPr>
            <w:r w:rsidRPr="004D000A">
              <w:rPr>
                <w:rFonts w:ascii="Arial" w:hAnsi="Arial" w:cs="Arial"/>
              </w:rPr>
              <w:t xml:space="preserve">Only </w:t>
            </w:r>
            <w:r w:rsidRPr="004D000A">
              <w:rPr>
                <w:rFonts w:ascii="Arial" w:hAnsi="Arial" w:cs="Arial"/>
                <w:i/>
                <w:iCs/>
              </w:rPr>
              <w:t xml:space="preserve">Pseudomonal </w:t>
            </w:r>
            <w:r w:rsidRPr="004D000A">
              <w:rPr>
                <w:rFonts w:ascii="Arial" w:hAnsi="Arial" w:cs="Arial"/>
              </w:rPr>
              <w:t>(n=54)</w:t>
            </w:r>
          </w:p>
        </w:tc>
        <w:tc>
          <w:tcPr>
            <w:tcW w:w="0" w:type="auto"/>
            <w:vAlign w:val="center"/>
          </w:tcPr>
          <w:p w14:paraId="3AA8C9CF" w14:textId="77777777" w:rsidR="004D000A" w:rsidRDefault="004D000A" w:rsidP="005D3606">
            <w:pPr>
              <w:jc w:val="center"/>
              <w:rPr>
                <w:rFonts w:ascii="Arial" w:hAnsi="Arial" w:cs="Arial"/>
              </w:rPr>
            </w:pPr>
            <w:r>
              <w:rPr>
                <w:rFonts w:ascii="Arial" w:hAnsi="Arial" w:cs="Arial"/>
              </w:rPr>
              <w:t>UM HMS</w:t>
            </w:r>
          </w:p>
          <w:p w14:paraId="371F1623" w14:textId="0270C100" w:rsidR="004D000A" w:rsidRPr="004D000A" w:rsidRDefault="004D000A" w:rsidP="005D3606">
            <w:pPr>
              <w:jc w:val="center"/>
              <w:rPr>
                <w:rFonts w:ascii="Arial" w:hAnsi="Arial" w:cs="Arial"/>
              </w:rPr>
            </w:pPr>
            <w:r w:rsidRPr="004D000A">
              <w:rPr>
                <w:rFonts w:ascii="Arial" w:hAnsi="Arial" w:cs="Arial"/>
              </w:rPr>
              <w:t>Both MRSA/</w:t>
            </w:r>
            <w:r>
              <w:rPr>
                <w:rFonts w:ascii="Arial" w:hAnsi="Arial" w:cs="Arial"/>
              </w:rPr>
              <w:t xml:space="preserve"> </w:t>
            </w:r>
            <w:r w:rsidRPr="004D000A">
              <w:rPr>
                <w:rFonts w:ascii="Arial" w:hAnsi="Arial" w:cs="Arial"/>
                <w:i/>
                <w:iCs/>
              </w:rPr>
              <w:t xml:space="preserve">Pseudomonal </w:t>
            </w:r>
            <w:r w:rsidRPr="004D000A">
              <w:rPr>
                <w:rFonts w:ascii="Arial" w:hAnsi="Arial" w:cs="Arial"/>
              </w:rPr>
              <w:t>(n=244)</w:t>
            </w:r>
          </w:p>
        </w:tc>
      </w:tr>
      <w:tr w:rsidR="004D000A" w:rsidRPr="004D000A" w14:paraId="6394F5FA" w14:textId="77777777" w:rsidTr="001B5711">
        <w:trPr>
          <w:cantSplit/>
          <w:trHeight w:val="150"/>
          <w:tblHeader/>
        </w:trPr>
        <w:tc>
          <w:tcPr>
            <w:tcW w:w="1921" w:type="dxa"/>
            <w:vAlign w:val="center"/>
          </w:tcPr>
          <w:p w14:paraId="4507C119" w14:textId="6C839F77" w:rsidR="004D000A" w:rsidRPr="004D000A" w:rsidRDefault="004D000A" w:rsidP="001B5711">
            <w:pPr>
              <w:rPr>
                <w:rFonts w:ascii="Arial" w:hAnsi="Arial" w:cs="Arial"/>
              </w:rPr>
            </w:pPr>
            <w:r>
              <w:rPr>
                <w:rFonts w:ascii="Arial" w:hAnsi="Arial" w:cs="Arial"/>
              </w:rPr>
              <w:t xml:space="preserve">UM eCQM </w:t>
            </w:r>
            <w:r w:rsidRPr="004D000A">
              <w:rPr>
                <w:rFonts w:ascii="Arial" w:hAnsi="Arial" w:cs="Arial"/>
              </w:rPr>
              <w:t>Neither</w:t>
            </w:r>
          </w:p>
        </w:tc>
        <w:tc>
          <w:tcPr>
            <w:tcW w:w="0" w:type="auto"/>
            <w:shd w:val="clear" w:color="auto" w:fill="8DD873" w:themeFill="accent6" w:themeFillTint="99"/>
            <w:vAlign w:val="center"/>
          </w:tcPr>
          <w:p w14:paraId="5587C74E" w14:textId="77777777" w:rsidR="004D000A" w:rsidRPr="004D000A" w:rsidRDefault="004D000A" w:rsidP="005D3606">
            <w:pPr>
              <w:jc w:val="center"/>
              <w:rPr>
                <w:rFonts w:ascii="Arial" w:hAnsi="Arial" w:cs="Arial"/>
              </w:rPr>
            </w:pPr>
            <w:r w:rsidRPr="004D000A">
              <w:rPr>
                <w:rFonts w:ascii="Arial" w:hAnsi="Arial" w:cs="Arial"/>
              </w:rPr>
              <w:t>233 (99.6%)</w:t>
            </w:r>
          </w:p>
        </w:tc>
        <w:tc>
          <w:tcPr>
            <w:tcW w:w="0" w:type="auto"/>
            <w:shd w:val="clear" w:color="auto" w:fill="auto"/>
            <w:vAlign w:val="center"/>
          </w:tcPr>
          <w:p w14:paraId="54F5D267" w14:textId="77777777" w:rsidR="004D000A" w:rsidRPr="004D000A" w:rsidRDefault="004D000A" w:rsidP="005D3606">
            <w:pPr>
              <w:jc w:val="center"/>
              <w:rPr>
                <w:rFonts w:ascii="Arial" w:hAnsi="Arial" w:cs="Arial"/>
              </w:rPr>
            </w:pPr>
            <w:r w:rsidRPr="004D000A">
              <w:rPr>
                <w:rFonts w:ascii="Arial" w:hAnsi="Arial" w:cs="Arial"/>
              </w:rPr>
              <w:t>3 (37.5%)</w:t>
            </w:r>
          </w:p>
        </w:tc>
        <w:tc>
          <w:tcPr>
            <w:tcW w:w="0" w:type="auto"/>
            <w:shd w:val="clear" w:color="auto" w:fill="auto"/>
            <w:vAlign w:val="center"/>
          </w:tcPr>
          <w:p w14:paraId="759595CD" w14:textId="77777777" w:rsidR="004D000A" w:rsidRPr="004D000A" w:rsidRDefault="004D000A" w:rsidP="005D3606">
            <w:pPr>
              <w:jc w:val="center"/>
              <w:rPr>
                <w:rFonts w:ascii="Arial" w:hAnsi="Arial" w:cs="Arial"/>
              </w:rPr>
            </w:pPr>
            <w:r w:rsidRPr="004D000A">
              <w:rPr>
                <w:rFonts w:ascii="Arial" w:hAnsi="Arial" w:cs="Arial"/>
              </w:rPr>
              <w:t>8 (14.8%)</w:t>
            </w:r>
          </w:p>
        </w:tc>
        <w:tc>
          <w:tcPr>
            <w:tcW w:w="0" w:type="auto"/>
            <w:shd w:val="clear" w:color="auto" w:fill="auto"/>
            <w:vAlign w:val="center"/>
          </w:tcPr>
          <w:p w14:paraId="06A0D841" w14:textId="77777777" w:rsidR="004D000A" w:rsidRPr="004D000A" w:rsidRDefault="004D000A" w:rsidP="005D3606">
            <w:pPr>
              <w:jc w:val="center"/>
              <w:rPr>
                <w:rFonts w:ascii="Arial" w:hAnsi="Arial" w:cs="Arial"/>
              </w:rPr>
            </w:pPr>
            <w:r w:rsidRPr="004D000A">
              <w:rPr>
                <w:rFonts w:ascii="Arial" w:hAnsi="Arial" w:cs="Arial"/>
              </w:rPr>
              <w:t>2 (0.8%)</w:t>
            </w:r>
          </w:p>
        </w:tc>
      </w:tr>
      <w:tr w:rsidR="004D000A" w:rsidRPr="004D000A" w14:paraId="221D9412" w14:textId="77777777" w:rsidTr="001B5711">
        <w:trPr>
          <w:cantSplit/>
          <w:trHeight w:val="150"/>
          <w:tblHeader/>
        </w:trPr>
        <w:tc>
          <w:tcPr>
            <w:tcW w:w="1921" w:type="dxa"/>
          </w:tcPr>
          <w:p w14:paraId="79836306" w14:textId="77777777" w:rsidR="004D000A" w:rsidRDefault="004D000A" w:rsidP="005D3606">
            <w:pPr>
              <w:rPr>
                <w:rFonts w:ascii="Arial" w:hAnsi="Arial" w:cs="Arial"/>
              </w:rPr>
            </w:pPr>
            <w:r>
              <w:rPr>
                <w:rFonts w:ascii="Arial" w:hAnsi="Arial" w:cs="Arial"/>
              </w:rPr>
              <w:t xml:space="preserve">UM eCQM </w:t>
            </w:r>
          </w:p>
          <w:p w14:paraId="684DB020" w14:textId="55355179" w:rsidR="004D000A" w:rsidRPr="004D000A" w:rsidRDefault="004D000A" w:rsidP="005D3606">
            <w:pPr>
              <w:rPr>
                <w:rFonts w:ascii="Arial" w:hAnsi="Arial" w:cs="Arial"/>
              </w:rPr>
            </w:pPr>
            <w:r w:rsidRPr="004D000A">
              <w:rPr>
                <w:rFonts w:ascii="Arial" w:hAnsi="Arial" w:cs="Arial"/>
              </w:rPr>
              <w:t>Only anti-MRSA</w:t>
            </w:r>
          </w:p>
        </w:tc>
        <w:tc>
          <w:tcPr>
            <w:tcW w:w="0" w:type="auto"/>
            <w:shd w:val="clear" w:color="auto" w:fill="auto"/>
            <w:vAlign w:val="center"/>
          </w:tcPr>
          <w:p w14:paraId="076AA3EE" w14:textId="77777777" w:rsidR="004D000A" w:rsidRPr="004D000A" w:rsidRDefault="004D000A" w:rsidP="005D3606">
            <w:pPr>
              <w:jc w:val="center"/>
              <w:rPr>
                <w:rFonts w:ascii="Arial" w:hAnsi="Arial" w:cs="Arial"/>
              </w:rPr>
            </w:pPr>
            <w:r w:rsidRPr="004D000A">
              <w:rPr>
                <w:rFonts w:ascii="Arial" w:hAnsi="Arial" w:cs="Arial"/>
              </w:rPr>
              <w:t>1 (0.4%)</w:t>
            </w:r>
          </w:p>
        </w:tc>
        <w:tc>
          <w:tcPr>
            <w:tcW w:w="0" w:type="auto"/>
            <w:shd w:val="clear" w:color="auto" w:fill="8DD873" w:themeFill="accent6" w:themeFillTint="99"/>
            <w:vAlign w:val="center"/>
          </w:tcPr>
          <w:p w14:paraId="211F8EF2" w14:textId="77777777" w:rsidR="004D000A" w:rsidRPr="004D000A" w:rsidRDefault="004D000A" w:rsidP="005D3606">
            <w:pPr>
              <w:jc w:val="center"/>
              <w:rPr>
                <w:rFonts w:ascii="Arial" w:hAnsi="Arial" w:cs="Arial"/>
              </w:rPr>
            </w:pPr>
            <w:r w:rsidRPr="004D000A">
              <w:rPr>
                <w:rFonts w:ascii="Arial" w:hAnsi="Arial" w:cs="Arial"/>
              </w:rPr>
              <w:t>5 (62.5%)</w:t>
            </w:r>
          </w:p>
        </w:tc>
        <w:tc>
          <w:tcPr>
            <w:tcW w:w="0" w:type="auto"/>
            <w:shd w:val="clear" w:color="auto" w:fill="auto"/>
            <w:vAlign w:val="center"/>
          </w:tcPr>
          <w:p w14:paraId="52BB9734" w14:textId="77777777" w:rsidR="004D000A" w:rsidRPr="004D000A" w:rsidRDefault="004D000A" w:rsidP="005D3606">
            <w:pPr>
              <w:jc w:val="center"/>
              <w:rPr>
                <w:rFonts w:ascii="Arial" w:hAnsi="Arial" w:cs="Arial"/>
              </w:rPr>
            </w:pPr>
            <w:r w:rsidRPr="004D000A">
              <w:rPr>
                <w:rFonts w:ascii="Arial" w:hAnsi="Arial" w:cs="Arial"/>
              </w:rPr>
              <w:t>0</w:t>
            </w:r>
          </w:p>
        </w:tc>
        <w:tc>
          <w:tcPr>
            <w:tcW w:w="0" w:type="auto"/>
            <w:shd w:val="clear" w:color="auto" w:fill="auto"/>
            <w:vAlign w:val="center"/>
          </w:tcPr>
          <w:p w14:paraId="01A49610" w14:textId="77777777" w:rsidR="004D000A" w:rsidRPr="004D000A" w:rsidRDefault="004D000A" w:rsidP="005D3606">
            <w:pPr>
              <w:jc w:val="center"/>
              <w:rPr>
                <w:rFonts w:ascii="Arial" w:hAnsi="Arial" w:cs="Arial"/>
              </w:rPr>
            </w:pPr>
            <w:r w:rsidRPr="004D000A">
              <w:rPr>
                <w:rFonts w:ascii="Arial" w:hAnsi="Arial" w:cs="Arial"/>
              </w:rPr>
              <w:t>0</w:t>
            </w:r>
          </w:p>
        </w:tc>
      </w:tr>
      <w:tr w:rsidR="004D000A" w:rsidRPr="004D000A" w14:paraId="116C133D" w14:textId="77777777" w:rsidTr="001B5711">
        <w:trPr>
          <w:cantSplit/>
          <w:trHeight w:val="150"/>
          <w:tblHeader/>
        </w:trPr>
        <w:tc>
          <w:tcPr>
            <w:tcW w:w="1921" w:type="dxa"/>
          </w:tcPr>
          <w:p w14:paraId="28A175EA" w14:textId="77777777" w:rsidR="004D000A" w:rsidRDefault="004D000A" w:rsidP="005D3606">
            <w:pPr>
              <w:rPr>
                <w:rFonts w:ascii="Arial" w:hAnsi="Arial" w:cs="Arial"/>
              </w:rPr>
            </w:pPr>
            <w:r>
              <w:rPr>
                <w:rFonts w:ascii="Arial" w:hAnsi="Arial" w:cs="Arial"/>
              </w:rPr>
              <w:t>UM eCQM</w:t>
            </w:r>
          </w:p>
          <w:p w14:paraId="44243A2E" w14:textId="3ED91257" w:rsidR="004D000A" w:rsidRPr="004D000A" w:rsidRDefault="004D000A" w:rsidP="005D3606">
            <w:pPr>
              <w:rPr>
                <w:rFonts w:ascii="Arial" w:hAnsi="Arial" w:cs="Arial"/>
              </w:rPr>
            </w:pPr>
            <w:r w:rsidRPr="004D000A">
              <w:rPr>
                <w:rFonts w:ascii="Arial" w:hAnsi="Arial" w:cs="Arial"/>
              </w:rPr>
              <w:t>Only anti-Pseudomonal</w:t>
            </w:r>
          </w:p>
        </w:tc>
        <w:tc>
          <w:tcPr>
            <w:tcW w:w="0" w:type="auto"/>
            <w:shd w:val="clear" w:color="auto" w:fill="auto"/>
            <w:vAlign w:val="center"/>
          </w:tcPr>
          <w:p w14:paraId="3CD8C370" w14:textId="77777777" w:rsidR="004D000A" w:rsidRPr="004D000A" w:rsidRDefault="004D000A" w:rsidP="005D3606">
            <w:pPr>
              <w:jc w:val="center"/>
              <w:rPr>
                <w:rFonts w:ascii="Arial" w:hAnsi="Arial" w:cs="Arial"/>
              </w:rPr>
            </w:pPr>
            <w:r w:rsidRPr="004D000A">
              <w:rPr>
                <w:rFonts w:ascii="Arial" w:hAnsi="Arial" w:cs="Arial"/>
              </w:rPr>
              <w:t>0</w:t>
            </w:r>
          </w:p>
        </w:tc>
        <w:tc>
          <w:tcPr>
            <w:tcW w:w="0" w:type="auto"/>
            <w:shd w:val="clear" w:color="auto" w:fill="auto"/>
            <w:vAlign w:val="center"/>
          </w:tcPr>
          <w:p w14:paraId="62CE7986" w14:textId="77777777" w:rsidR="004D000A" w:rsidRPr="004D000A" w:rsidRDefault="004D000A" w:rsidP="005D3606">
            <w:pPr>
              <w:jc w:val="center"/>
              <w:rPr>
                <w:rFonts w:ascii="Arial" w:hAnsi="Arial" w:cs="Arial"/>
              </w:rPr>
            </w:pPr>
            <w:r w:rsidRPr="004D000A">
              <w:rPr>
                <w:rFonts w:ascii="Arial" w:hAnsi="Arial" w:cs="Arial"/>
              </w:rPr>
              <w:t>0</w:t>
            </w:r>
          </w:p>
        </w:tc>
        <w:tc>
          <w:tcPr>
            <w:tcW w:w="0" w:type="auto"/>
            <w:shd w:val="clear" w:color="auto" w:fill="8DD873" w:themeFill="accent6" w:themeFillTint="99"/>
            <w:vAlign w:val="center"/>
          </w:tcPr>
          <w:p w14:paraId="261901B7" w14:textId="77777777" w:rsidR="004D000A" w:rsidRPr="004D000A" w:rsidRDefault="004D000A" w:rsidP="005D3606">
            <w:pPr>
              <w:jc w:val="center"/>
              <w:rPr>
                <w:rFonts w:ascii="Arial" w:hAnsi="Arial" w:cs="Arial"/>
              </w:rPr>
            </w:pPr>
            <w:r w:rsidRPr="004D000A">
              <w:rPr>
                <w:rFonts w:ascii="Arial" w:hAnsi="Arial" w:cs="Arial"/>
              </w:rPr>
              <w:t>46 (85.2%)</w:t>
            </w:r>
          </w:p>
        </w:tc>
        <w:tc>
          <w:tcPr>
            <w:tcW w:w="0" w:type="auto"/>
            <w:shd w:val="clear" w:color="auto" w:fill="auto"/>
            <w:vAlign w:val="center"/>
          </w:tcPr>
          <w:p w14:paraId="2863A2DF" w14:textId="77777777" w:rsidR="004D000A" w:rsidRPr="004D000A" w:rsidRDefault="004D000A" w:rsidP="005D3606">
            <w:pPr>
              <w:jc w:val="center"/>
              <w:rPr>
                <w:rFonts w:ascii="Arial" w:hAnsi="Arial" w:cs="Arial"/>
              </w:rPr>
            </w:pPr>
            <w:r w:rsidRPr="004D000A">
              <w:rPr>
                <w:rFonts w:ascii="Arial" w:hAnsi="Arial" w:cs="Arial"/>
              </w:rPr>
              <w:t>4 (1.6%)</w:t>
            </w:r>
          </w:p>
        </w:tc>
      </w:tr>
      <w:tr w:rsidR="004D000A" w:rsidRPr="004D000A" w14:paraId="1717F6F3" w14:textId="77777777" w:rsidTr="001B5711">
        <w:trPr>
          <w:cantSplit/>
          <w:trHeight w:val="150"/>
          <w:tblHeader/>
        </w:trPr>
        <w:tc>
          <w:tcPr>
            <w:tcW w:w="1921" w:type="dxa"/>
          </w:tcPr>
          <w:p w14:paraId="1138CC9B" w14:textId="77777777" w:rsidR="004D000A" w:rsidRDefault="004D000A" w:rsidP="005D3606">
            <w:pPr>
              <w:rPr>
                <w:rFonts w:ascii="Arial" w:hAnsi="Arial" w:cs="Arial"/>
              </w:rPr>
            </w:pPr>
            <w:r>
              <w:rPr>
                <w:rFonts w:ascii="Arial" w:hAnsi="Arial" w:cs="Arial"/>
              </w:rPr>
              <w:t>UM eCQM</w:t>
            </w:r>
          </w:p>
          <w:p w14:paraId="58839AFC" w14:textId="042B6E72" w:rsidR="004D000A" w:rsidRPr="004D000A" w:rsidRDefault="004D000A" w:rsidP="005D3606">
            <w:pPr>
              <w:rPr>
                <w:rFonts w:ascii="Arial" w:hAnsi="Arial" w:cs="Arial"/>
              </w:rPr>
            </w:pPr>
            <w:r w:rsidRPr="004D000A">
              <w:rPr>
                <w:rFonts w:ascii="Arial" w:hAnsi="Arial" w:cs="Arial"/>
              </w:rPr>
              <w:t>Both</w:t>
            </w:r>
          </w:p>
        </w:tc>
        <w:tc>
          <w:tcPr>
            <w:tcW w:w="0" w:type="auto"/>
            <w:shd w:val="clear" w:color="auto" w:fill="auto"/>
            <w:vAlign w:val="center"/>
          </w:tcPr>
          <w:p w14:paraId="4BDD9694" w14:textId="77777777" w:rsidR="004D000A" w:rsidRPr="004D000A" w:rsidRDefault="004D000A" w:rsidP="005D3606">
            <w:pPr>
              <w:jc w:val="center"/>
              <w:rPr>
                <w:rFonts w:ascii="Arial" w:hAnsi="Arial" w:cs="Arial"/>
              </w:rPr>
            </w:pPr>
            <w:r w:rsidRPr="004D000A">
              <w:rPr>
                <w:rFonts w:ascii="Arial" w:hAnsi="Arial" w:cs="Arial"/>
              </w:rPr>
              <w:t>0</w:t>
            </w:r>
          </w:p>
        </w:tc>
        <w:tc>
          <w:tcPr>
            <w:tcW w:w="0" w:type="auto"/>
            <w:shd w:val="clear" w:color="auto" w:fill="auto"/>
            <w:vAlign w:val="center"/>
          </w:tcPr>
          <w:p w14:paraId="0EE68E3A" w14:textId="77777777" w:rsidR="004D000A" w:rsidRPr="004D000A" w:rsidRDefault="004D000A" w:rsidP="005D3606">
            <w:pPr>
              <w:jc w:val="center"/>
              <w:rPr>
                <w:rFonts w:ascii="Arial" w:hAnsi="Arial" w:cs="Arial"/>
              </w:rPr>
            </w:pPr>
            <w:r w:rsidRPr="004D000A">
              <w:rPr>
                <w:rFonts w:ascii="Arial" w:hAnsi="Arial" w:cs="Arial"/>
              </w:rPr>
              <w:t>0</w:t>
            </w:r>
          </w:p>
        </w:tc>
        <w:tc>
          <w:tcPr>
            <w:tcW w:w="0" w:type="auto"/>
            <w:shd w:val="clear" w:color="auto" w:fill="auto"/>
            <w:vAlign w:val="center"/>
          </w:tcPr>
          <w:p w14:paraId="3DEAEE1C" w14:textId="77777777" w:rsidR="004D000A" w:rsidRPr="004D000A" w:rsidRDefault="004D000A" w:rsidP="005D3606">
            <w:pPr>
              <w:jc w:val="center"/>
              <w:rPr>
                <w:rFonts w:ascii="Arial" w:hAnsi="Arial" w:cs="Arial"/>
              </w:rPr>
            </w:pPr>
            <w:r w:rsidRPr="004D000A">
              <w:rPr>
                <w:rFonts w:ascii="Arial" w:hAnsi="Arial" w:cs="Arial"/>
              </w:rPr>
              <w:t>0</w:t>
            </w:r>
          </w:p>
        </w:tc>
        <w:tc>
          <w:tcPr>
            <w:tcW w:w="0" w:type="auto"/>
            <w:shd w:val="clear" w:color="auto" w:fill="8DD873" w:themeFill="accent6" w:themeFillTint="99"/>
            <w:vAlign w:val="center"/>
          </w:tcPr>
          <w:p w14:paraId="78BD73FF" w14:textId="77777777" w:rsidR="004D000A" w:rsidRPr="004D000A" w:rsidRDefault="004D000A" w:rsidP="005D3606">
            <w:pPr>
              <w:jc w:val="center"/>
              <w:rPr>
                <w:rFonts w:ascii="Arial" w:hAnsi="Arial" w:cs="Arial"/>
              </w:rPr>
            </w:pPr>
            <w:r w:rsidRPr="004D000A">
              <w:rPr>
                <w:rFonts w:ascii="Arial" w:hAnsi="Arial" w:cs="Arial"/>
              </w:rPr>
              <w:t>238 (97.5%)</w:t>
            </w:r>
          </w:p>
        </w:tc>
      </w:tr>
    </w:tbl>
    <w:p w14:paraId="0E0CA9B0" w14:textId="77777777" w:rsidR="00FD68BB" w:rsidRDefault="00FD68BB">
      <w:pPr>
        <w:rPr>
          <w:rFonts w:ascii="Arial" w:hAnsi="Arial" w:cs="Arial"/>
        </w:rPr>
      </w:pPr>
    </w:p>
    <w:p w14:paraId="6F69D8E4" w14:textId="6F5F7463" w:rsidR="0025493A" w:rsidRPr="00FB693F" w:rsidRDefault="0025493A" w:rsidP="0025493A">
      <w:pPr>
        <w:spacing w:after="0" w:line="264" w:lineRule="auto"/>
        <w:rPr>
          <w:rFonts w:ascii="Arial" w:hAnsi="Arial" w:cs="Arial"/>
          <w:sz w:val="18"/>
          <w:szCs w:val="18"/>
        </w:rPr>
      </w:pPr>
      <w:bookmarkStart w:id="0" w:name="_Hlk181170381"/>
      <w:r>
        <w:rPr>
          <w:rFonts w:ascii="Arial" w:hAnsi="Arial" w:cs="Arial"/>
          <w:sz w:val="18"/>
          <w:szCs w:val="18"/>
        </w:rPr>
        <w:t xml:space="preserve">Abbreviations: CAP, community-acquired pneumonia; UM, </w:t>
      </w:r>
      <w:r w:rsidRPr="00FB693F">
        <w:rPr>
          <w:rFonts w:ascii="Arial" w:hAnsi="Arial" w:cs="Arial"/>
          <w:sz w:val="18"/>
          <w:szCs w:val="18"/>
        </w:rPr>
        <w:t>University of Michigan</w:t>
      </w:r>
      <w:r>
        <w:rPr>
          <w:rFonts w:ascii="Arial" w:hAnsi="Arial" w:cs="Arial"/>
          <w:sz w:val="18"/>
          <w:szCs w:val="18"/>
        </w:rPr>
        <w:t>; HMS,</w:t>
      </w:r>
      <w:r w:rsidRPr="00FB693F">
        <w:rPr>
          <w:rFonts w:ascii="Arial" w:hAnsi="Arial" w:cs="Arial"/>
          <w:sz w:val="18"/>
          <w:szCs w:val="18"/>
        </w:rPr>
        <w:t xml:space="preserve"> Michigan Hospital Medicine Safety Consortium</w:t>
      </w:r>
      <w:r>
        <w:rPr>
          <w:rFonts w:ascii="Arial" w:hAnsi="Arial" w:cs="Arial"/>
          <w:sz w:val="18"/>
          <w:szCs w:val="18"/>
        </w:rPr>
        <w:t xml:space="preserve">; MRSA, methicillin-resistant </w:t>
      </w:r>
      <w:r w:rsidRPr="0025493A">
        <w:rPr>
          <w:rFonts w:ascii="Arial" w:hAnsi="Arial" w:cs="Arial"/>
          <w:i/>
          <w:iCs/>
          <w:sz w:val="18"/>
          <w:szCs w:val="18"/>
        </w:rPr>
        <w:t>Staphylococcus aureus</w:t>
      </w:r>
      <w:r w:rsidRPr="00FB693F">
        <w:rPr>
          <w:rFonts w:ascii="Arial" w:hAnsi="Arial" w:cs="Arial"/>
          <w:sz w:val="18"/>
          <w:szCs w:val="18"/>
        </w:rPr>
        <w:t xml:space="preserve"> </w:t>
      </w:r>
    </w:p>
    <w:p w14:paraId="78744335" w14:textId="77777777" w:rsidR="001B5711" w:rsidRDefault="001B5711" w:rsidP="001B5711">
      <w:pPr>
        <w:rPr>
          <w:rFonts w:ascii="Aptos" w:hAnsi="Aptos"/>
        </w:rPr>
      </w:pPr>
    </w:p>
    <w:p w14:paraId="356D21C8" w14:textId="77777777" w:rsidR="0025493A" w:rsidRDefault="0025493A" w:rsidP="001B5711">
      <w:pPr>
        <w:rPr>
          <w:rFonts w:ascii="Aptos" w:hAnsi="Aptos"/>
        </w:rPr>
      </w:pPr>
    </w:p>
    <w:p w14:paraId="7079821E" w14:textId="29DAB2EC" w:rsidR="001B5711" w:rsidRPr="00917DED" w:rsidRDefault="001B5711" w:rsidP="001B5711">
      <w:pPr>
        <w:rPr>
          <w:rFonts w:ascii="Arial" w:hAnsi="Arial" w:cs="Arial"/>
        </w:rPr>
      </w:pPr>
      <w:r w:rsidRPr="00917DED">
        <w:rPr>
          <w:rFonts w:ascii="Arial" w:hAnsi="Arial" w:cs="Arial"/>
          <w:b/>
          <w:bCs/>
        </w:rPr>
        <w:t>Table 1</w:t>
      </w:r>
      <w:r>
        <w:rPr>
          <w:rFonts w:ascii="Arial" w:hAnsi="Arial" w:cs="Arial"/>
          <w:b/>
          <w:bCs/>
        </w:rPr>
        <w:t>4</w:t>
      </w:r>
      <w:r w:rsidRPr="00917DED">
        <w:rPr>
          <w:rFonts w:ascii="Arial" w:hAnsi="Arial" w:cs="Arial"/>
          <w:b/>
          <w:bCs/>
        </w:rPr>
        <w:t>.</w:t>
      </w:r>
      <w:r w:rsidRPr="00917DED">
        <w:rPr>
          <w:rFonts w:ascii="Arial" w:hAnsi="Arial" w:cs="Arial"/>
        </w:rPr>
        <w:t xml:space="preserve"> Sensitivity and Specificity</w:t>
      </w:r>
      <w:r>
        <w:rPr>
          <w:rFonts w:ascii="Arial" w:hAnsi="Arial" w:cs="Arial"/>
        </w:rPr>
        <w:t xml:space="preserve"> of the eCQM in assessing </w:t>
      </w:r>
      <w:r>
        <w:rPr>
          <w:rFonts w:ascii="Arial" w:hAnsi="Arial" w:cs="Arial"/>
        </w:rPr>
        <w:t>inappropriate anti-MRSA or anti-Pseudomonal</w:t>
      </w:r>
      <w:r w:rsidRPr="00917DED">
        <w:rPr>
          <w:rFonts w:ascii="Arial" w:hAnsi="Arial" w:cs="Arial"/>
        </w:rPr>
        <w:t xml:space="preserve"> </w:t>
      </w:r>
    </w:p>
    <w:tbl>
      <w:tblPr>
        <w:tblStyle w:val="TableGrid"/>
        <w:tblW w:w="5000" w:type="pct"/>
        <w:tblLook w:val="04A0" w:firstRow="1" w:lastRow="0" w:firstColumn="1" w:lastColumn="0" w:noHBand="0" w:noVBand="1"/>
      </w:tblPr>
      <w:tblGrid>
        <w:gridCol w:w="2081"/>
        <w:gridCol w:w="2078"/>
        <w:gridCol w:w="2111"/>
        <w:gridCol w:w="2080"/>
        <w:gridCol w:w="2080"/>
      </w:tblGrid>
      <w:tr w:rsidR="001B5711" w:rsidRPr="00AE2A13" w14:paraId="4B79827A" w14:textId="77777777" w:rsidTr="001B5711">
        <w:tc>
          <w:tcPr>
            <w:tcW w:w="998" w:type="pct"/>
            <w:shd w:val="clear" w:color="auto" w:fill="auto"/>
            <w:vAlign w:val="center"/>
          </w:tcPr>
          <w:p w14:paraId="4715810A" w14:textId="77777777" w:rsidR="001B5711" w:rsidRPr="001B5711" w:rsidRDefault="001B5711" w:rsidP="005D3606">
            <w:pPr>
              <w:rPr>
                <w:rFonts w:ascii="Arial" w:hAnsi="Arial" w:cs="Arial"/>
              </w:rPr>
            </w:pPr>
            <w:r w:rsidRPr="001B5711">
              <w:rPr>
                <w:rFonts w:ascii="Arial" w:hAnsi="Arial" w:cs="Arial"/>
              </w:rPr>
              <w:t>n=540 patients</w:t>
            </w:r>
          </w:p>
        </w:tc>
        <w:tc>
          <w:tcPr>
            <w:tcW w:w="996" w:type="pct"/>
            <w:shd w:val="clear" w:color="auto" w:fill="auto"/>
            <w:vAlign w:val="center"/>
          </w:tcPr>
          <w:p w14:paraId="1F043FEA" w14:textId="77777777" w:rsidR="001B5711" w:rsidRPr="001B5711" w:rsidRDefault="001B5711" w:rsidP="001B5711">
            <w:pPr>
              <w:jc w:val="center"/>
              <w:rPr>
                <w:rFonts w:ascii="Arial" w:hAnsi="Arial" w:cs="Arial"/>
              </w:rPr>
            </w:pPr>
            <w:r w:rsidRPr="001B5711">
              <w:rPr>
                <w:rFonts w:ascii="Arial" w:hAnsi="Arial" w:cs="Arial"/>
              </w:rPr>
              <w:t>UM eCQM (electronic) n (%)</w:t>
            </w:r>
          </w:p>
        </w:tc>
        <w:tc>
          <w:tcPr>
            <w:tcW w:w="1012" w:type="pct"/>
            <w:shd w:val="clear" w:color="auto" w:fill="auto"/>
            <w:vAlign w:val="center"/>
          </w:tcPr>
          <w:p w14:paraId="0114C157" w14:textId="77777777" w:rsidR="001B5711" w:rsidRPr="001B5711" w:rsidRDefault="001B5711" w:rsidP="001B5711">
            <w:pPr>
              <w:pStyle w:val="ListParagraph"/>
              <w:ind w:left="0"/>
              <w:jc w:val="center"/>
              <w:rPr>
                <w:rFonts w:ascii="Arial" w:hAnsi="Arial" w:cs="Arial"/>
              </w:rPr>
            </w:pPr>
            <w:r w:rsidRPr="001B5711">
              <w:rPr>
                <w:rFonts w:ascii="Arial" w:hAnsi="Arial" w:cs="Arial"/>
              </w:rPr>
              <w:t>UM HMS data (chart review) n (%)</w:t>
            </w:r>
          </w:p>
        </w:tc>
        <w:tc>
          <w:tcPr>
            <w:tcW w:w="997" w:type="pct"/>
            <w:shd w:val="clear" w:color="auto" w:fill="auto"/>
            <w:vAlign w:val="center"/>
          </w:tcPr>
          <w:p w14:paraId="1449C51B" w14:textId="77777777" w:rsidR="001B5711" w:rsidRPr="001B5711" w:rsidRDefault="001B5711" w:rsidP="001B5711">
            <w:pPr>
              <w:jc w:val="center"/>
              <w:rPr>
                <w:rFonts w:ascii="Arial" w:hAnsi="Arial" w:cs="Arial"/>
              </w:rPr>
            </w:pPr>
            <w:r w:rsidRPr="001B5711">
              <w:rPr>
                <w:rFonts w:ascii="Arial" w:hAnsi="Arial" w:cs="Arial"/>
              </w:rPr>
              <w:t>Sensitivity of UM eCQM (vs. UM HMS chart review)</w:t>
            </w:r>
          </w:p>
        </w:tc>
        <w:tc>
          <w:tcPr>
            <w:tcW w:w="997" w:type="pct"/>
            <w:shd w:val="clear" w:color="auto" w:fill="auto"/>
            <w:vAlign w:val="center"/>
          </w:tcPr>
          <w:p w14:paraId="6D1B4D83" w14:textId="24E62E07" w:rsidR="001B5711" w:rsidRPr="001B5711" w:rsidRDefault="0025493A" w:rsidP="001B5711">
            <w:pPr>
              <w:jc w:val="center"/>
              <w:rPr>
                <w:rFonts w:ascii="Arial" w:hAnsi="Arial" w:cs="Arial"/>
              </w:rPr>
            </w:pPr>
            <w:r w:rsidRPr="00AE2A13">
              <w:rPr>
                <w:rFonts w:ascii="Aptos" w:hAnsi="Aptos" w:cs="Arial"/>
              </w:rPr>
              <w:t xml:space="preserve">Specificity of UM eCQM </w:t>
            </w:r>
            <w:r>
              <w:rPr>
                <w:rFonts w:ascii="Aptos" w:hAnsi="Aptos" w:cs="Arial"/>
              </w:rPr>
              <w:t>(vs. UM HMS chart review)</w:t>
            </w:r>
          </w:p>
        </w:tc>
      </w:tr>
      <w:tr w:rsidR="001B5711" w:rsidRPr="00AE2A13" w14:paraId="3489A028" w14:textId="77777777" w:rsidTr="001B5711">
        <w:tc>
          <w:tcPr>
            <w:tcW w:w="998" w:type="pct"/>
            <w:shd w:val="clear" w:color="auto" w:fill="auto"/>
          </w:tcPr>
          <w:p w14:paraId="0F8F6980" w14:textId="3FA96759" w:rsidR="001B5711" w:rsidRPr="001B5711" w:rsidRDefault="001B5711" w:rsidP="005D3606">
            <w:pPr>
              <w:rPr>
                <w:rFonts w:ascii="Arial" w:hAnsi="Arial" w:cs="Arial"/>
              </w:rPr>
            </w:pPr>
            <w:r w:rsidRPr="001B5711">
              <w:rPr>
                <w:rFonts w:ascii="Arial" w:hAnsi="Arial" w:cs="Arial"/>
              </w:rPr>
              <w:t>Have inappropriate anti-MRSA OR anti-</w:t>
            </w:r>
            <w:r w:rsidRPr="001B5711">
              <w:rPr>
                <w:rFonts w:ascii="Arial" w:hAnsi="Arial" w:cs="Arial"/>
                <w:i/>
                <w:iCs/>
              </w:rPr>
              <w:t>P</w:t>
            </w:r>
            <w:r w:rsidRPr="001B5711">
              <w:rPr>
                <w:rFonts w:ascii="Arial" w:hAnsi="Arial" w:cs="Arial"/>
                <w:i/>
                <w:iCs/>
              </w:rPr>
              <w:t>seudomonal</w:t>
            </w:r>
            <w:r w:rsidRPr="001B5711">
              <w:rPr>
                <w:rFonts w:ascii="Arial" w:hAnsi="Arial" w:cs="Arial"/>
              </w:rPr>
              <w:t xml:space="preserve"> therapy</w:t>
            </w:r>
          </w:p>
        </w:tc>
        <w:tc>
          <w:tcPr>
            <w:tcW w:w="996" w:type="pct"/>
            <w:shd w:val="clear" w:color="auto" w:fill="auto"/>
            <w:vAlign w:val="center"/>
          </w:tcPr>
          <w:p w14:paraId="50D4D47E" w14:textId="428E66D5" w:rsidR="001B5711" w:rsidRPr="001B5711" w:rsidRDefault="001B5711" w:rsidP="001B5711">
            <w:pPr>
              <w:jc w:val="center"/>
              <w:rPr>
                <w:rFonts w:ascii="Arial" w:hAnsi="Arial" w:cs="Arial"/>
              </w:rPr>
            </w:pPr>
            <w:r w:rsidRPr="001B5711">
              <w:rPr>
                <w:rFonts w:ascii="Arial" w:hAnsi="Arial" w:cs="Arial"/>
              </w:rPr>
              <w:t>294 (54.4%)</w:t>
            </w:r>
          </w:p>
        </w:tc>
        <w:tc>
          <w:tcPr>
            <w:tcW w:w="1012" w:type="pct"/>
            <w:shd w:val="clear" w:color="auto" w:fill="auto"/>
            <w:vAlign w:val="center"/>
          </w:tcPr>
          <w:p w14:paraId="0FE8CADB" w14:textId="77777777" w:rsidR="001B5711" w:rsidRPr="001B5711" w:rsidRDefault="001B5711" w:rsidP="001B5711">
            <w:pPr>
              <w:jc w:val="center"/>
              <w:rPr>
                <w:rFonts w:ascii="Arial" w:hAnsi="Arial" w:cs="Arial"/>
              </w:rPr>
            </w:pPr>
            <w:r w:rsidRPr="001B5711">
              <w:rPr>
                <w:rFonts w:ascii="Arial" w:hAnsi="Arial" w:cs="Arial"/>
              </w:rPr>
              <w:t>286 (53.0%)</w:t>
            </w:r>
          </w:p>
        </w:tc>
        <w:tc>
          <w:tcPr>
            <w:tcW w:w="997" w:type="pct"/>
            <w:shd w:val="clear" w:color="auto" w:fill="auto"/>
            <w:vAlign w:val="center"/>
          </w:tcPr>
          <w:p w14:paraId="70BAE84E" w14:textId="77777777" w:rsidR="001B5711" w:rsidRPr="001B5711" w:rsidRDefault="001B5711" w:rsidP="001B5711">
            <w:pPr>
              <w:jc w:val="center"/>
              <w:rPr>
                <w:rFonts w:ascii="Arial" w:hAnsi="Arial" w:cs="Arial"/>
              </w:rPr>
            </w:pPr>
            <w:r w:rsidRPr="001B5711">
              <w:rPr>
                <w:rFonts w:ascii="Arial" w:hAnsi="Arial" w:cs="Arial"/>
              </w:rPr>
              <w:t>95.8% (274/286)</w:t>
            </w:r>
          </w:p>
        </w:tc>
        <w:tc>
          <w:tcPr>
            <w:tcW w:w="997" w:type="pct"/>
            <w:shd w:val="clear" w:color="auto" w:fill="auto"/>
            <w:vAlign w:val="center"/>
          </w:tcPr>
          <w:p w14:paraId="4D6EF3BE" w14:textId="77777777" w:rsidR="001B5711" w:rsidRPr="001B5711" w:rsidRDefault="001B5711" w:rsidP="001B5711">
            <w:pPr>
              <w:jc w:val="center"/>
              <w:rPr>
                <w:rFonts w:ascii="Arial" w:hAnsi="Arial" w:cs="Arial"/>
              </w:rPr>
            </w:pPr>
            <w:r w:rsidRPr="001B5711">
              <w:rPr>
                <w:rFonts w:ascii="Arial" w:hAnsi="Arial" w:cs="Arial"/>
              </w:rPr>
              <w:t>92.1% (234/254)</w:t>
            </w:r>
          </w:p>
        </w:tc>
      </w:tr>
    </w:tbl>
    <w:bookmarkEnd w:id="0"/>
    <w:p w14:paraId="0F8705B4" w14:textId="77777777" w:rsidR="0025493A" w:rsidRPr="00FB693F" w:rsidRDefault="0025493A" w:rsidP="0025493A">
      <w:pPr>
        <w:spacing w:after="0" w:line="264" w:lineRule="auto"/>
        <w:rPr>
          <w:rFonts w:ascii="Arial" w:hAnsi="Arial" w:cs="Arial"/>
          <w:sz w:val="18"/>
          <w:szCs w:val="18"/>
        </w:rPr>
      </w:pPr>
      <w:r>
        <w:rPr>
          <w:rFonts w:ascii="Arial" w:hAnsi="Arial" w:cs="Arial"/>
          <w:sz w:val="18"/>
          <w:szCs w:val="18"/>
        </w:rPr>
        <w:t xml:space="preserve">Abbreviations: CAP, community-acquired pneumonia; UM, </w:t>
      </w:r>
      <w:r w:rsidRPr="00FB693F">
        <w:rPr>
          <w:rFonts w:ascii="Arial" w:hAnsi="Arial" w:cs="Arial"/>
          <w:sz w:val="18"/>
          <w:szCs w:val="18"/>
        </w:rPr>
        <w:t>University of Michigan</w:t>
      </w:r>
      <w:r>
        <w:rPr>
          <w:rFonts w:ascii="Arial" w:hAnsi="Arial" w:cs="Arial"/>
          <w:sz w:val="18"/>
          <w:szCs w:val="18"/>
        </w:rPr>
        <w:t>; HMS,</w:t>
      </w:r>
      <w:r w:rsidRPr="00FB693F">
        <w:rPr>
          <w:rFonts w:ascii="Arial" w:hAnsi="Arial" w:cs="Arial"/>
          <w:sz w:val="18"/>
          <w:szCs w:val="18"/>
        </w:rPr>
        <w:t xml:space="preserve"> Michigan Hospital Medicine Safety Consortium</w:t>
      </w:r>
      <w:r>
        <w:rPr>
          <w:rFonts w:ascii="Arial" w:hAnsi="Arial" w:cs="Arial"/>
          <w:sz w:val="18"/>
          <w:szCs w:val="18"/>
        </w:rPr>
        <w:t xml:space="preserve">; MRSA, methicillin-resistant </w:t>
      </w:r>
      <w:r w:rsidRPr="0025493A">
        <w:rPr>
          <w:rFonts w:ascii="Arial" w:hAnsi="Arial" w:cs="Arial"/>
          <w:i/>
          <w:iCs/>
          <w:sz w:val="18"/>
          <w:szCs w:val="18"/>
        </w:rPr>
        <w:t>Staphylococcus aureus</w:t>
      </w:r>
      <w:r w:rsidRPr="00FB693F">
        <w:rPr>
          <w:rFonts w:ascii="Arial" w:hAnsi="Arial" w:cs="Arial"/>
          <w:sz w:val="18"/>
          <w:szCs w:val="18"/>
        </w:rPr>
        <w:t xml:space="preserve"> </w:t>
      </w:r>
    </w:p>
    <w:p w14:paraId="49F274BA" w14:textId="77777777" w:rsidR="0025493A" w:rsidRDefault="0025493A" w:rsidP="0025493A">
      <w:pPr>
        <w:rPr>
          <w:rFonts w:ascii="Aptos" w:hAnsi="Aptos"/>
        </w:rPr>
      </w:pPr>
    </w:p>
    <w:p w14:paraId="1B3815D0" w14:textId="77777777" w:rsidR="00330A53" w:rsidRDefault="00330A53">
      <w:pPr>
        <w:spacing w:line="278" w:lineRule="auto"/>
        <w:rPr>
          <w:rFonts w:ascii="Aptos" w:eastAsia="Calibri" w:hAnsi="Aptos" w:cs="Times New Roman"/>
          <w:b/>
          <w:bCs/>
          <w:highlight w:val="green"/>
        </w:rPr>
      </w:pPr>
      <w:bookmarkStart w:id="1" w:name="_Hlk181171392"/>
      <w:r>
        <w:rPr>
          <w:rFonts w:ascii="Aptos" w:eastAsia="Calibri" w:hAnsi="Aptos" w:cs="Times New Roman"/>
          <w:b/>
          <w:bCs/>
          <w:highlight w:val="green"/>
        </w:rPr>
        <w:br w:type="page"/>
      </w:r>
    </w:p>
    <w:p w14:paraId="3D5FB5F9" w14:textId="77777777" w:rsidR="008863E5" w:rsidRPr="008815A7" w:rsidRDefault="00D35A0D" w:rsidP="008863E5">
      <w:pPr>
        <w:spacing w:after="120" w:line="264" w:lineRule="auto"/>
        <w:rPr>
          <w:rFonts w:ascii="Arial" w:eastAsia="Calibri" w:hAnsi="Arial" w:cs="Arial"/>
        </w:rPr>
      </w:pPr>
      <w:r w:rsidRPr="008863E5">
        <w:rPr>
          <w:rFonts w:ascii="Arial" w:eastAsia="Calibri" w:hAnsi="Arial" w:cs="Arial"/>
          <w:b/>
          <w:bCs/>
        </w:rPr>
        <w:lastRenderedPageBreak/>
        <w:t>Table 15</w:t>
      </w:r>
      <w:r w:rsidRPr="008863E5">
        <w:rPr>
          <w:rFonts w:ascii="Arial" w:eastAsia="Calibri" w:hAnsi="Arial" w:cs="Arial"/>
        </w:rPr>
        <w:t xml:space="preserve">. </w:t>
      </w:r>
      <w:r w:rsidR="008863E5">
        <w:rPr>
          <w:rFonts w:ascii="Arial" w:eastAsia="Calibri" w:hAnsi="Arial" w:cs="Arial"/>
        </w:rPr>
        <w:t>Denominator e</w:t>
      </w:r>
      <w:r w:rsidR="008863E5" w:rsidRPr="008815A7">
        <w:rPr>
          <w:rFonts w:ascii="Arial" w:eastAsia="Calibri" w:hAnsi="Arial" w:cs="Arial"/>
        </w:rPr>
        <w:t xml:space="preserve">xclusions to </w:t>
      </w:r>
      <w:r w:rsidR="008863E5">
        <w:rPr>
          <w:rFonts w:ascii="Arial" w:eastAsia="Calibri" w:hAnsi="Arial" w:cs="Arial"/>
        </w:rPr>
        <w:t>d</w:t>
      </w:r>
      <w:r w:rsidR="008863E5" w:rsidRPr="008815A7">
        <w:rPr>
          <w:rFonts w:ascii="Arial" w:eastAsia="Calibri" w:hAnsi="Arial" w:cs="Arial"/>
        </w:rPr>
        <w:t xml:space="preserve">efine the </w:t>
      </w:r>
      <w:r w:rsidR="008863E5">
        <w:rPr>
          <w:rFonts w:ascii="Arial" w:eastAsia="Calibri" w:hAnsi="Arial" w:cs="Arial"/>
        </w:rPr>
        <w:t>p</w:t>
      </w:r>
      <w:r w:rsidR="008863E5" w:rsidRPr="008815A7">
        <w:rPr>
          <w:rFonts w:ascii="Arial" w:eastAsia="Calibri" w:hAnsi="Arial" w:cs="Arial"/>
        </w:rPr>
        <w:t>opulation</w:t>
      </w:r>
      <w:r w:rsidR="008863E5">
        <w:rPr>
          <w:rFonts w:ascii="Arial" w:eastAsia="Calibri" w:hAnsi="Arial" w:cs="Arial"/>
        </w:rPr>
        <w:t xml:space="preserve">: </w:t>
      </w:r>
      <w:r w:rsidR="008863E5" w:rsidRPr="008815A7">
        <w:rPr>
          <w:rFonts w:ascii="Arial" w:eastAsia="Calibri" w:hAnsi="Arial" w:cs="Arial"/>
        </w:rPr>
        <w:t xml:space="preserve">Hospitalized non-ICU </w:t>
      </w:r>
      <w:r w:rsidR="008863E5">
        <w:rPr>
          <w:rFonts w:ascii="Arial" w:eastAsia="Calibri" w:hAnsi="Arial" w:cs="Arial"/>
        </w:rPr>
        <w:t>a</w:t>
      </w:r>
      <w:r w:rsidR="008863E5" w:rsidRPr="008815A7">
        <w:rPr>
          <w:rFonts w:ascii="Arial" w:eastAsia="Calibri" w:hAnsi="Arial" w:cs="Arial"/>
        </w:rPr>
        <w:t>dults with CAP</w:t>
      </w:r>
      <w:r w:rsidR="008863E5">
        <w:rPr>
          <w:rFonts w:ascii="Arial" w:eastAsia="Calibri" w:hAnsi="Arial" w:cs="Arial"/>
        </w:rPr>
        <w:t xml:space="preserve">; </w:t>
      </w:r>
      <w:r w:rsidR="008863E5" w:rsidRPr="008815A7">
        <w:rPr>
          <w:rFonts w:ascii="Arial" w:eastAsia="Calibri" w:hAnsi="Arial" w:cs="Arial"/>
        </w:rPr>
        <w:t>comparison of measured entities</w:t>
      </w:r>
    </w:p>
    <w:tbl>
      <w:tblPr>
        <w:tblStyle w:val="TableGrid"/>
        <w:tblW w:w="4700" w:type="pct"/>
        <w:tblLayout w:type="fixed"/>
        <w:tblLook w:val="04A0" w:firstRow="1" w:lastRow="0" w:firstColumn="1" w:lastColumn="0" w:noHBand="0" w:noVBand="1"/>
        <w:tblCaption w:val="Table 17. Denominator exclusions to define the population: hospitalized non-ICU adults with CAP; comparison of measured entities"/>
        <w:tblDescription w:val="This table compares University of Michigan, University of Utah, and VA health care systems data for denominator exclusions that define the hospitalized non-ICU adults with CAP. "/>
      </w:tblPr>
      <w:tblGrid>
        <w:gridCol w:w="4225"/>
        <w:gridCol w:w="1859"/>
        <w:gridCol w:w="1859"/>
        <w:gridCol w:w="1861"/>
      </w:tblGrid>
      <w:tr w:rsidR="008863E5" w:rsidRPr="008815A7" w14:paraId="58E3A146" w14:textId="77777777" w:rsidTr="005D3606">
        <w:trPr>
          <w:cantSplit/>
          <w:tblHeader/>
        </w:trPr>
        <w:tc>
          <w:tcPr>
            <w:tcW w:w="2155" w:type="pct"/>
            <w:vAlign w:val="center"/>
          </w:tcPr>
          <w:p w14:paraId="44F1D234" w14:textId="77777777" w:rsidR="008863E5" w:rsidRPr="008815A7" w:rsidRDefault="008863E5" w:rsidP="005D3606">
            <w:pPr>
              <w:spacing w:line="264" w:lineRule="auto"/>
              <w:rPr>
                <w:rFonts w:ascii="Arial" w:eastAsia="Calibri" w:hAnsi="Arial" w:cs="Arial"/>
                <w:b/>
                <w:bCs/>
              </w:rPr>
            </w:pPr>
            <w:r w:rsidRPr="008815A7">
              <w:rPr>
                <w:rFonts w:ascii="Arial" w:eastAsia="Calibri" w:hAnsi="Arial" w:cs="Arial"/>
                <w:b/>
                <w:bCs/>
              </w:rPr>
              <w:t>Exclusion</w:t>
            </w:r>
          </w:p>
        </w:tc>
        <w:tc>
          <w:tcPr>
            <w:tcW w:w="948" w:type="pct"/>
            <w:vAlign w:val="center"/>
          </w:tcPr>
          <w:p w14:paraId="0C19DBB4" w14:textId="77777777" w:rsidR="008863E5" w:rsidRPr="008815A7" w:rsidRDefault="008863E5" w:rsidP="005D3606">
            <w:pPr>
              <w:spacing w:line="264" w:lineRule="auto"/>
              <w:jc w:val="center"/>
              <w:rPr>
                <w:rFonts w:ascii="Arial" w:eastAsia="Calibri" w:hAnsi="Arial" w:cs="Arial"/>
                <w:b/>
                <w:bCs/>
              </w:rPr>
            </w:pPr>
            <w:r w:rsidRPr="008815A7">
              <w:rPr>
                <w:rFonts w:ascii="Arial" w:eastAsia="Calibri" w:hAnsi="Arial" w:cs="Arial"/>
                <w:b/>
                <w:bCs/>
              </w:rPr>
              <w:t>Michigan</w:t>
            </w:r>
          </w:p>
          <w:p w14:paraId="570E2E74" w14:textId="77777777" w:rsidR="008863E5" w:rsidRPr="008815A7" w:rsidRDefault="008863E5" w:rsidP="005D3606">
            <w:pPr>
              <w:spacing w:line="264" w:lineRule="auto"/>
              <w:jc w:val="center"/>
              <w:rPr>
                <w:rFonts w:ascii="Arial" w:eastAsia="Calibri" w:hAnsi="Arial" w:cs="Arial"/>
                <w:b/>
                <w:bCs/>
              </w:rPr>
            </w:pPr>
            <w:r w:rsidRPr="008815A7">
              <w:rPr>
                <w:rFonts w:ascii="Arial" w:eastAsia="Calibri" w:hAnsi="Arial" w:cs="Arial"/>
                <w:b/>
                <w:bCs/>
              </w:rPr>
              <w:t>(n=49,205)</w:t>
            </w:r>
          </w:p>
        </w:tc>
        <w:tc>
          <w:tcPr>
            <w:tcW w:w="948" w:type="pct"/>
            <w:vAlign w:val="center"/>
          </w:tcPr>
          <w:p w14:paraId="5618FC78" w14:textId="77777777" w:rsidR="008863E5" w:rsidRPr="008815A7" w:rsidRDefault="008863E5" w:rsidP="005D3606">
            <w:pPr>
              <w:spacing w:line="264" w:lineRule="auto"/>
              <w:jc w:val="center"/>
              <w:rPr>
                <w:rFonts w:ascii="Arial" w:eastAsia="Calibri" w:hAnsi="Arial" w:cs="Arial"/>
                <w:b/>
                <w:bCs/>
              </w:rPr>
            </w:pPr>
            <w:r w:rsidRPr="008815A7">
              <w:rPr>
                <w:rFonts w:ascii="Arial" w:eastAsia="Calibri" w:hAnsi="Arial" w:cs="Arial"/>
                <w:b/>
                <w:bCs/>
              </w:rPr>
              <w:t>Utah</w:t>
            </w:r>
          </w:p>
          <w:p w14:paraId="179A69C1" w14:textId="77777777" w:rsidR="008863E5" w:rsidRPr="008815A7" w:rsidRDefault="008863E5" w:rsidP="005D3606">
            <w:pPr>
              <w:spacing w:line="264" w:lineRule="auto"/>
              <w:jc w:val="center"/>
              <w:rPr>
                <w:rFonts w:ascii="Arial" w:eastAsia="Calibri" w:hAnsi="Arial" w:cs="Arial"/>
                <w:b/>
                <w:bCs/>
              </w:rPr>
            </w:pPr>
            <w:r w:rsidRPr="008815A7">
              <w:rPr>
                <w:rFonts w:ascii="Arial" w:eastAsia="Calibri" w:hAnsi="Arial" w:cs="Arial"/>
                <w:b/>
                <w:bCs/>
              </w:rPr>
              <w:t>(n=5,909)</w:t>
            </w:r>
          </w:p>
        </w:tc>
        <w:tc>
          <w:tcPr>
            <w:tcW w:w="949" w:type="pct"/>
            <w:vAlign w:val="center"/>
          </w:tcPr>
          <w:p w14:paraId="19D7C2A5" w14:textId="77777777" w:rsidR="008863E5" w:rsidRPr="008815A7" w:rsidRDefault="008863E5" w:rsidP="005D3606">
            <w:pPr>
              <w:spacing w:line="264" w:lineRule="auto"/>
              <w:jc w:val="center"/>
              <w:rPr>
                <w:rFonts w:ascii="Arial" w:eastAsia="Calibri" w:hAnsi="Arial" w:cs="Arial"/>
                <w:b/>
                <w:bCs/>
              </w:rPr>
            </w:pPr>
            <w:r w:rsidRPr="008815A7">
              <w:rPr>
                <w:rFonts w:ascii="Arial" w:eastAsia="Calibri" w:hAnsi="Arial" w:cs="Arial"/>
                <w:b/>
                <w:bCs/>
              </w:rPr>
              <w:t>VA</w:t>
            </w:r>
          </w:p>
          <w:p w14:paraId="0552E9E5" w14:textId="77777777" w:rsidR="008863E5" w:rsidRPr="008815A7" w:rsidRDefault="008863E5" w:rsidP="005D3606">
            <w:pPr>
              <w:spacing w:line="264" w:lineRule="auto"/>
              <w:jc w:val="center"/>
              <w:rPr>
                <w:rFonts w:ascii="Arial" w:eastAsia="Calibri" w:hAnsi="Arial" w:cs="Arial"/>
                <w:b/>
                <w:bCs/>
              </w:rPr>
            </w:pPr>
            <w:r w:rsidRPr="008815A7">
              <w:rPr>
                <w:rFonts w:ascii="Arial" w:eastAsia="Calibri" w:hAnsi="Arial" w:cs="Arial"/>
                <w:b/>
                <w:bCs/>
              </w:rPr>
              <w:t>(n=102,416)</w:t>
            </w:r>
          </w:p>
        </w:tc>
      </w:tr>
      <w:tr w:rsidR="008863E5" w:rsidRPr="008815A7" w14:paraId="693656CA" w14:textId="77777777" w:rsidTr="005D3606">
        <w:trPr>
          <w:cantSplit/>
        </w:trPr>
        <w:tc>
          <w:tcPr>
            <w:tcW w:w="2155" w:type="pct"/>
            <w:vAlign w:val="center"/>
          </w:tcPr>
          <w:p w14:paraId="2FAEE547" w14:textId="77777777" w:rsidR="008863E5" w:rsidRPr="008815A7" w:rsidRDefault="008863E5" w:rsidP="005D3606">
            <w:pPr>
              <w:spacing w:line="264" w:lineRule="auto"/>
              <w:rPr>
                <w:rFonts w:ascii="Arial" w:eastAsia="Calibri" w:hAnsi="Arial" w:cs="Arial"/>
              </w:rPr>
            </w:pPr>
            <w:r w:rsidRPr="008815A7">
              <w:rPr>
                <w:rFonts w:ascii="Arial" w:eastAsia="Calibri" w:hAnsi="Arial" w:cs="Arial"/>
              </w:rPr>
              <w:t>Under 18 on admission</w:t>
            </w:r>
          </w:p>
        </w:tc>
        <w:tc>
          <w:tcPr>
            <w:tcW w:w="948" w:type="pct"/>
            <w:vAlign w:val="center"/>
          </w:tcPr>
          <w:p w14:paraId="639EAF61" w14:textId="77777777" w:rsidR="008863E5" w:rsidRPr="008815A7" w:rsidRDefault="008863E5" w:rsidP="005D3606">
            <w:pPr>
              <w:spacing w:line="264" w:lineRule="auto"/>
              <w:jc w:val="center"/>
              <w:rPr>
                <w:rFonts w:ascii="Arial" w:eastAsia="Calibri" w:hAnsi="Arial" w:cs="Arial"/>
              </w:rPr>
            </w:pPr>
            <w:r w:rsidRPr="008815A7">
              <w:rPr>
                <w:rFonts w:ascii="Arial" w:eastAsia="Calibri" w:hAnsi="Arial" w:cs="Arial"/>
              </w:rPr>
              <w:t>8,905 (18.1%)</w:t>
            </w:r>
          </w:p>
        </w:tc>
        <w:tc>
          <w:tcPr>
            <w:tcW w:w="948" w:type="pct"/>
            <w:vAlign w:val="center"/>
          </w:tcPr>
          <w:p w14:paraId="59BB0D3B" w14:textId="77777777" w:rsidR="008863E5" w:rsidRPr="008815A7" w:rsidRDefault="008863E5" w:rsidP="005D3606">
            <w:pPr>
              <w:spacing w:line="264" w:lineRule="auto"/>
              <w:jc w:val="center"/>
              <w:rPr>
                <w:rFonts w:ascii="Arial" w:eastAsia="Calibri" w:hAnsi="Arial" w:cs="Arial"/>
              </w:rPr>
            </w:pPr>
            <w:r>
              <w:rPr>
                <w:rFonts w:ascii="Arial" w:eastAsia="Calibri" w:hAnsi="Arial" w:cs="Arial"/>
              </w:rPr>
              <w:t>0</w:t>
            </w:r>
          </w:p>
        </w:tc>
        <w:tc>
          <w:tcPr>
            <w:tcW w:w="949" w:type="pct"/>
            <w:vAlign w:val="center"/>
          </w:tcPr>
          <w:p w14:paraId="77F766F9" w14:textId="77777777" w:rsidR="008863E5" w:rsidRPr="008815A7" w:rsidRDefault="008863E5" w:rsidP="005D3606">
            <w:pPr>
              <w:spacing w:line="264" w:lineRule="auto"/>
              <w:jc w:val="center"/>
              <w:rPr>
                <w:rFonts w:ascii="Arial" w:eastAsia="Calibri" w:hAnsi="Arial" w:cs="Arial"/>
              </w:rPr>
            </w:pPr>
            <w:r w:rsidRPr="008815A7">
              <w:rPr>
                <w:rFonts w:ascii="Arial" w:eastAsia="Calibri" w:hAnsi="Arial" w:cs="Arial"/>
              </w:rPr>
              <w:t>0</w:t>
            </w:r>
          </w:p>
        </w:tc>
      </w:tr>
      <w:tr w:rsidR="008863E5" w:rsidRPr="008815A7" w14:paraId="4D63F106" w14:textId="77777777" w:rsidTr="005D3606">
        <w:trPr>
          <w:cantSplit/>
        </w:trPr>
        <w:tc>
          <w:tcPr>
            <w:tcW w:w="2155" w:type="pct"/>
            <w:vAlign w:val="center"/>
          </w:tcPr>
          <w:p w14:paraId="64AC78CB" w14:textId="77777777" w:rsidR="008863E5" w:rsidRPr="008815A7" w:rsidRDefault="008863E5" w:rsidP="005D3606">
            <w:pPr>
              <w:spacing w:line="264" w:lineRule="auto"/>
              <w:rPr>
                <w:rFonts w:ascii="Arial" w:eastAsia="Calibri" w:hAnsi="Arial" w:cs="Arial"/>
              </w:rPr>
            </w:pPr>
            <w:r w:rsidRPr="008815A7">
              <w:rPr>
                <w:rFonts w:ascii="Arial" w:eastAsia="Calibri" w:hAnsi="Arial" w:cs="Arial"/>
              </w:rPr>
              <w:t>Patient class NOT inpatient or observation</w:t>
            </w:r>
          </w:p>
        </w:tc>
        <w:tc>
          <w:tcPr>
            <w:tcW w:w="948" w:type="pct"/>
            <w:vAlign w:val="center"/>
          </w:tcPr>
          <w:p w14:paraId="47A2F5C9" w14:textId="77777777" w:rsidR="008863E5" w:rsidRPr="008815A7" w:rsidRDefault="008863E5" w:rsidP="005D3606">
            <w:pPr>
              <w:spacing w:line="264" w:lineRule="auto"/>
              <w:jc w:val="center"/>
              <w:rPr>
                <w:rFonts w:ascii="Arial" w:eastAsia="Calibri" w:hAnsi="Arial" w:cs="Arial"/>
              </w:rPr>
            </w:pPr>
            <w:r w:rsidRPr="008815A7">
              <w:rPr>
                <w:rFonts w:ascii="Arial" w:eastAsia="Calibri" w:hAnsi="Arial" w:cs="Arial"/>
              </w:rPr>
              <w:t>4,289 (8.7%)</w:t>
            </w:r>
          </w:p>
        </w:tc>
        <w:tc>
          <w:tcPr>
            <w:tcW w:w="948" w:type="pct"/>
            <w:vAlign w:val="center"/>
          </w:tcPr>
          <w:p w14:paraId="51BC0B64" w14:textId="77777777" w:rsidR="008863E5" w:rsidRPr="008815A7" w:rsidRDefault="008863E5" w:rsidP="005D3606">
            <w:pPr>
              <w:spacing w:line="264" w:lineRule="auto"/>
              <w:jc w:val="center"/>
              <w:rPr>
                <w:rFonts w:ascii="Arial" w:eastAsia="Calibri" w:hAnsi="Arial" w:cs="Arial"/>
              </w:rPr>
            </w:pPr>
            <w:r w:rsidRPr="008815A7">
              <w:rPr>
                <w:rFonts w:ascii="Arial" w:eastAsia="Calibri" w:hAnsi="Arial" w:cs="Arial"/>
              </w:rPr>
              <w:t>908 (15.4%)</w:t>
            </w:r>
          </w:p>
        </w:tc>
        <w:tc>
          <w:tcPr>
            <w:tcW w:w="949" w:type="pct"/>
            <w:vAlign w:val="center"/>
          </w:tcPr>
          <w:p w14:paraId="360DE055" w14:textId="77777777" w:rsidR="008863E5" w:rsidRPr="008815A7" w:rsidRDefault="008863E5" w:rsidP="005D3606">
            <w:pPr>
              <w:spacing w:line="264" w:lineRule="auto"/>
              <w:jc w:val="center"/>
              <w:rPr>
                <w:rFonts w:ascii="Arial" w:eastAsia="Calibri" w:hAnsi="Arial" w:cs="Arial"/>
              </w:rPr>
            </w:pPr>
            <w:r w:rsidRPr="008815A7">
              <w:rPr>
                <w:rFonts w:ascii="Arial" w:eastAsia="Calibri" w:hAnsi="Arial" w:cs="Arial"/>
              </w:rPr>
              <w:t>NA</w:t>
            </w:r>
          </w:p>
        </w:tc>
      </w:tr>
      <w:tr w:rsidR="008863E5" w:rsidRPr="008815A7" w14:paraId="56CAA088" w14:textId="77777777" w:rsidTr="005D3606">
        <w:trPr>
          <w:cantSplit/>
        </w:trPr>
        <w:tc>
          <w:tcPr>
            <w:tcW w:w="2155" w:type="pct"/>
            <w:vAlign w:val="center"/>
          </w:tcPr>
          <w:p w14:paraId="0E224C59" w14:textId="77777777" w:rsidR="008863E5" w:rsidRPr="008815A7" w:rsidRDefault="008863E5" w:rsidP="005D3606">
            <w:pPr>
              <w:spacing w:line="264" w:lineRule="auto"/>
              <w:rPr>
                <w:rFonts w:ascii="Arial" w:eastAsia="Calibri" w:hAnsi="Arial" w:cs="Arial"/>
              </w:rPr>
            </w:pPr>
            <w:r w:rsidRPr="008815A7">
              <w:rPr>
                <w:rFonts w:ascii="Arial" w:eastAsia="Calibri" w:hAnsi="Arial" w:cs="Arial"/>
              </w:rPr>
              <w:t>Died in the first 48 hours of hospitalization</w:t>
            </w:r>
          </w:p>
        </w:tc>
        <w:tc>
          <w:tcPr>
            <w:tcW w:w="948" w:type="pct"/>
            <w:vAlign w:val="center"/>
          </w:tcPr>
          <w:p w14:paraId="54D7ABA7" w14:textId="77777777" w:rsidR="008863E5" w:rsidRPr="008815A7" w:rsidRDefault="008863E5" w:rsidP="005D3606">
            <w:pPr>
              <w:spacing w:line="264" w:lineRule="auto"/>
              <w:jc w:val="center"/>
              <w:rPr>
                <w:rFonts w:ascii="Arial" w:eastAsia="Calibri" w:hAnsi="Arial" w:cs="Arial"/>
              </w:rPr>
            </w:pPr>
            <w:r w:rsidRPr="008815A7">
              <w:rPr>
                <w:rFonts w:ascii="Arial" w:eastAsia="Calibri" w:hAnsi="Arial" w:cs="Arial"/>
              </w:rPr>
              <w:t>709 (1.4%)</w:t>
            </w:r>
          </w:p>
        </w:tc>
        <w:tc>
          <w:tcPr>
            <w:tcW w:w="948" w:type="pct"/>
            <w:vAlign w:val="center"/>
          </w:tcPr>
          <w:p w14:paraId="70E0FDC8" w14:textId="77777777" w:rsidR="008863E5" w:rsidRPr="008815A7" w:rsidRDefault="008863E5" w:rsidP="005D3606">
            <w:pPr>
              <w:spacing w:line="264" w:lineRule="auto"/>
              <w:jc w:val="center"/>
              <w:rPr>
                <w:rFonts w:ascii="Arial" w:eastAsia="Calibri" w:hAnsi="Arial" w:cs="Arial"/>
              </w:rPr>
            </w:pPr>
            <w:r w:rsidRPr="008815A7">
              <w:rPr>
                <w:rFonts w:ascii="Arial" w:eastAsia="Calibri" w:hAnsi="Arial" w:cs="Arial"/>
              </w:rPr>
              <w:t>133 (2.3%)</w:t>
            </w:r>
          </w:p>
        </w:tc>
        <w:tc>
          <w:tcPr>
            <w:tcW w:w="949" w:type="pct"/>
            <w:vAlign w:val="center"/>
          </w:tcPr>
          <w:p w14:paraId="0274D2E1" w14:textId="77777777" w:rsidR="008863E5" w:rsidRPr="008815A7" w:rsidRDefault="008863E5" w:rsidP="005D3606">
            <w:pPr>
              <w:spacing w:line="264" w:lineRule="auto"/>
              <w:jc w:val="center"/>
              <w:rPr>
                <w:rFonts w:ascii="Arial" w:eastAsia="Calibri" w:hAnsi="Arial" w:cs="Arial"/>
              </w:rPr>
            </w:pPr>
            <w:r w:rsidRPr="008815A7">
              <w:rPr>
                <w:rFonts w:ascii="Arial" w:eastAsia="Calibri" w:hAnsi="Arial" w:cs="Arial"/>
              </w:rPr>
              <w:t>418 (0.4%)</w:t>
            </w:r>
          </w:p>
        </w:tc>
      </w:tr>
      <w:tr w:rsidR="008863E5" w:rsidRPr="008815A7" w14:paraId="1CC028FF" w14:textId="77777777" w:rsidTr="005D3606">
        <w:trPr>
          <w:cantSplit/>
        </w:trPr>
        <w:tc>
          <w:tcPr>
            <w:tcW w:w="2155" w:type="pct"/>
            <w:vAlign w:val="center"/>
          </w:tcPr>
          <w:p w14:paraId="367D7459" w14:textId="77777777" w:rsidR="008863E5" w:rsidRPr="008815A7" w:rsidRDefault="008863E5" w:rsidP="005D3606">
            <w:pPr>
              <w:spacing w:line="264" w:lineRule="auto"/>
              <w:rPr>
                <w:rFonts w:ascii="Arial" w:eastAsia="Calibri" w:hAnsi="Arial" w:cs="Arial"/>
              </w:rPr>
            </w:pPr>
            <w:r w:rsidRPr="008815A7">
              <w:rPr>
                <w:rFonts w:ascii="Arial" w:eastAsia="Calibri" w:hAnsi="Arial" w:cs="Arial"/>
              </w:rPr>
              <w:t>Any time in ICU in the first 48 hours of hospitalization</w:t>
            </w:r>
          </w:p>
        </w:tc>
        <w:tc>
          <w:tcPr>
            <w:tcW w:w="948" w:type="pct"/>
            <w:vAlign w:val="center"/>
          </w:tcPr>
          <w:p w14:paraId="05E55D3E" w14:textId="77777777" w:rsidR="008863E5" w:rsidRPr="008815A7" w:rsidRDefault="008863E5" w:rsidP="005D3606">
            <w:pPr>
              <w:spacing w:line="264" w:lineRule="auto"/>
              <w:jc w:val="center"/>
              <w:rPr>
                <w:rFonts w:ascii="Arial" w:eastAsia="Calibri" w:hAnsi="Arial" w:cs="Arial"/>
              </w:rPr>
            </w:pPr>
            <w:r w:rsidRPr="008815A7">
              <w:rPr>
                <w:rFonts w:ascii="Arial" w:eastAsia="Calibri" w:hAnsi="Arial" w:cs="Arial"/>
              </w:rPr>
              <w:t>10,910 (22.2%)</w:t>
            </w:r>
          </w:p>
        </w:tc>
        <w:tc>
          <w:tcPr>
            <w:tcW w:w="948" w:type="pct"/>
            <w:vAlign w:val="center"/>
          </w:tcPr>
          <w:p w14:paraId="4B36BE02" w14:textId="77777777" w:rsidR="008863E5" w:rsidRPr="008815A7" w:rsidRDefault="008863E5" w:rsidP="005D3606">
            <w:pPr>
              <w:spacing w:line="264" w:lineRule="auto"/>
              <w:jc w:val="center"/>
              <w:rPr>
                <w:rFonts w:ascii="Arial" w:eastAsia="Calibri" w:hAnsi="Arial" w:cs="Arial"/>
              </w:rPr>
            </w:pPr>
            <w:r w:rsidRPr="008815A7">
              <w:rPr>
                <w:rFonts w:ascii="Arial" w:eastAsia="Calibri" w:hAnsi="Arial" w:cs="Arial"/>
              </w:rPr>
              <w:t>2391 (40.5%)</w:t>
            </w:r>
          </w:p>
        </w:tc>
        <w:tc>
          <w:tcPr>
            <w:tcW w:w="949" w:type="pct"/>
            <w:vAlign w:val="center"/>
          </w:tcPr>
          <w:p w14:paraId="0E242C32" w14:textId="77777777" w:rsidR="008863E5" w:rsidRPr="008815A7" w:rsidRDefault="008863E5" w:rsidP="005D3606">
            <w:pPr>
              <w:spacing w:line="264" w:lineRule="auto"/>
              <w:jc w:val="center"/>
              <w:rPr>
                <w:rFonts w:ascii="Arial" w:eastAsia="Calibri" w:hAnsi="Arial" w:cs="Arial"/>
              </w:rPr>
            </w:pPr>
            <w:r w:rsidRPr="008815A7">
              <w:rPr>
                <w:rFonts w:ascii="Arial" w:eastAsia="Calibri" w:hAnsi="Arial" w:cs="Arial"/>
              </w:rPr>
              <w:t>17512 (17.1%)</w:t>
            </w:r>
          </w:p>
        </w:tc>
      </w:tr>
      <w:tr w:rsidR="008863E5" w:rsidRPr="008815A7" w14:paraId="3D7E71A2" w14:textId="77777777" w:rsidTr="005D3606">
        <w:trPr>
          <w:cantSplit/>
        </w:trPr>
        <w:tc>
          <w:tcPr>
            <w:tcW w:w="2155" w:type="pct"/>
            <w:vAlign w:val="center"/>
          </w:tcPr>
          <w:p w14:paraId="12F18645" w14:textId="77777777" w:rsidR="008863E5" w:rsidRPr="008815A7" w:rsidRDefault="008863E5" w:rsidP="005D3606">
            <w:pPr>
              <w:spacing w:line="264" w:lineRule="auto"/>
              <w:rPr>
                <w:rFonts w:ascii="Arial" w:eastAsia="Calibri" w:hAnsi="Arial" w:cs="Arial"/>
              </w:rPr>
            </w:pPr>
            <w:r w:rsidRPr="008815A7">
              <w:rPr>
                <w:rFonts w:ascii="Arial" w:eastAsia="Calibri" w:hAnsi="Arial" w:cs="Arial"/>
              </w:rPr>
              <w:t>Admitted from another hospital or long-term acute care facility</w:t>
            </w:r>
          </w:p>
        </w:tc>
        <w:tc>
          <w:tcPr>
            <w:tcW w:w="948" w:type="pct"/>
            <w:vAlign w:val="center"/>
          </w:tcPr>
          <w:p w14:paraId="56B8D16B" w14:textId="77777777" w:rsidR="008863E5" w:rsidRPr="008815A7" w:rsidRDefault="008863E5" w:rsidP="005D3606">
            <w:pPr>
              <w:spacing w:line="264" w:lineRule="auto"/>
              <w:jc w:val="center"/>
              <w:rPr>
                <w:rFonts w:ascii="Arial" w:eastAsia="Calibri" w:hAnsi="Arial" w:cs="Arial"/>
              </w:rPr>
            </w:pPr>
            <w:r w:rsidRPr="008815A7">
              <w:rPr>
                <w:rFonts w:ascii="Arial" w:eastAsia="Calibri" w:hAnsi="Arial" w:cs="Arial"/>
              </w:rPr>
              <w:t>1,272 (2.6%)</w:t>
            </w:r>
          </w:p>
        </w:tc>
        <w:tc>
          <w:tcPr>
            <w:tcW w:w="948" w:type="pct"/>
            <w:vAlign w:val="center"/>
          </w:tcPr>
          <w:p w14:paraId="0B46D33C" w14:textId="77777777" w:rsidR="008863E5" w:rsidRPr="008815A7" w:rsidRDefault="008863E5" w:rsidP="005D3606">
            <w:pPr>
              <w:spacing w:line="264" w:lineRule="auto"/>
              <w:jc w:val="center"/>
              <w:rPr>
                <w:rFonts w:ascii="Arial" w:eastAsia="Calibri" w:hAnsi="Arial" w:cs="Arial"/>
              </w:rPr>
            </w:pPr>
            <w:r w:rsidRPr="008815A7">
              <w:rPr>
                <w:rFonts w:ascii="Arial" w:eastAsia="Calibri" w:hAnsi="Arial" w:cs="Arial"/>
              </w:rPr>
              <w:t>1,506 (25.5%)</w:t>
            </w:r>
          </w:p>
        </w:tc>
        <w:tc>
          <w:tcPr>
            <w:tcW w:w="949" w:type="pct"/>
            <w:vAlign w:val="center"/>
          </w:tcPr>
          <w:p w14:paraId="372264B6" w14:textId="77777777" w:rsidR="008863E5" w:rsidRPr="008815A7" w:rsidRDefault="008863E5" w:rsidP="005D3606">
            <w:pPr>
              <w:spacing w:line="264" w:lineRule="auto"/>
              <w:jc w:val="center"/>
              <w:rPr>
                <w:rFonts w:ascii="Arial" w:eastAsia="Calibri" w:hAnsi="Arial" w:cs="Arial"/>
              </w:rPr>
            </w:pPr>
            <w:r w:rsidRPr="008815A7">
              <w:rPr>
                <w:rFonts w:ascii="Arial" w:eastAsia="Calibri" w:hAnsi="Arial" w:cs="Arial"/>
              </w:rPr>
              <w:t>7153 (7.0%)</w:t>
            </w:r>
          </w:p>
        </w:tc>
      </w:tr>
      <w:tr w:rsidR="008863E5" w:rsidRPr="008815A7" w14:paraId="69BC00AA" w14:textId="77777777" w:rsidTr="005D3606">
        <w:trPr>
          <w:cantSplit/>
        </w:trPr>
        <w:tc>
          <w:tcPr>
            <w:tcW w:w="2155" w:type="pct"/>
            <w:vAlign w:val="center"/>
          </w:tcPr>
          <w:p w14:paraId="36DA33B0" w14:textId="77777777" w:rsidR="008863E5" w:rsidRPr="008815A7" w:rsidRDefault="008863E5" w:rsidP="005D3606">
            <w:pPr>
              <w:spacing w:line="264" w:lineRule="auto"/>
              <w:rPr>
                <w:rFonts w:ascii="Arial" w:eastAsia="Calibri" w:hAnsi="Arial" w:cs="Arial"/>
              </w:rPr>
            </w:pPr>
            <w:r w:rsidRPr="008815A7">
              <w:rPr>
                <w:rFonts w:ascii="Arial" w:eastAsia="Calibri" w:hAnsi="Arial" w:cs="Arial"/>
                <w:color w:val="000000"/>
              </w:rPr>
              <w:t>Concurrent infection by ICD10</w:t>
            </w:r>
          </w:p>
        </w:tc>
        <w:tc>
          <w:tcPr>
            <w:tcW w:w="948" w:type="pct"/>
            <w:vAlign w:val="center"/>
          </w:tcPr>
          <w:p w14:paraId="6BFDA6A0" w14:textId="77777777" w:rsidR="008863E5" w:rsidRPr="008815A7" w:rsidRDefault="008863E5" w:rsidP="005D3606">
            <w:pPr>
              <w:spacing w:line="264" w:lineRule="auto"/>
              <w:jc w:val="center"/>
              <w:rPr>
                <w:rFonts w:ascii="Arial" w:eastAsia="Calibri" w:hAnsi="Arial" w:cs="Arial"/>
                <w:b/>
                <w:bCs/>
              </w:rPr>
            </w:pPr>
            <w:r w:rsidRPr="008815A7">
              <w:rPr>
                <w:rFonts w:ascii="Arial" w:eastAsia="Calibri" w:hAnsi="Arial" w:cs="Arial"/>
              </w:rPr>
              <w:t>7,903 (16.1%)</w:t>
            </w:r>
          </w:p>
        </w:tc>
        <w:tc>
          <w:tcPr>
            <w:tcW w:w="948" w:type="pct"/>
            <w:vAlign w:val="center"/>
          </w:tcPr>
          <w:p w14:paraId="7CEE3119" w14:textId="77777777" w:rsidR="008863E5" w:rsidRPr="008815A7" w:rsidRDefault="008863E5" w:rsidP="005D3606">
            <w:pPr>
              <w:spacing w:line="264" w:lineRule="auto"/>
              <w:jc w:val="center"/>
              <w:rPr>
                <w:rFonts w:ascii="Arial" w:eastAsia="Calibri" w:hAnsi="Arial" w:cs="Arial"/>
                <w:b/>
                <w:bCs/>
              </w:rPr>
            </w:pPr>
            <w:r w:rsidRPr="008815A7">
              <w:rPr>
                <w:rFonts w:ascii="Arial" w:eastAsia="Calibri" w:hAnsi="Arial" w:cs="Arial"/>
              </w:rPr>
              <w:t>2,424 (41.0%)</w:t>
            </w:r>
          </w:p>
        </w:tc>
        <w:tc>
          <w:tcPr>
            <w:tcW w:w="949" w:type="pct"/>
            <w:vAlign w:val="center"/>
          </w:tcPr>
          <w:p w14:paraId="58DE785A" w14:textId="77777777" w:rsidR="008863E5" w:rsidRPr="008815A7" w:rsidRDefault="008863E5" w:rsidP="005D3606">
            <w:pPr>
              <w:spacing w:line="264" w:lineRule="auto"/>
              <w:jc w:val="center"/>
              <w:rPr>
                <w:rFonts w:ascii="Arial" w:eastAsia="Calibri" w:hAnsi="Arial" w:cs="Arial"/>
              </w:rPr>
            </w:pPr>
            <w:r w:rsidRPr="008815A7">
              <w:rPr>
                <w:rFonts w:ascii="Arial" w:eastAsia="Calibri" w:hAnsi="Arial" w:cs="Arial"/>
              </w:rPr>
              <w:t>24719 (24.1%)</w:t>
            </w:r>
          </w:p>
        </w:tc>
      </w:tr>
      <w:tr w:rsidR="008863E5" w:rsidRPr="008815A7" w14:paraId="0C96EEF6" w14:textId="77777777" w:rsidTr="005D3606">
        <w:trPr>
          <w:cantSplit/>
        </w:trPr>
        <w:tc>
          <w:tcPr>
            <w:tcW w:w="2155" w:type="pct"/>
            <w:vAlign w:val="center"/>
          </w:tcPr>
          <w:p w14:paraId="6C727024" w14:textId="77777777" w:rsidR="008863E5" w:rsidRPr="008815A7" w:rsidRDefault="008863E5" w:rsidP="005D3606">
            <w:pPr>
              <w:spacing w:line="264" w:lineRule="auto"/>
              <w:rPr>
                <w:rFonts w:ascii="Arial" w:eastAsia="Calibri" w:hAnsi="Arial" w:cs="Arial"/>
              </w:rPr>
            </w:pPr>
            <w:r w:rsidRPr="008815A7">
              <w:rPr>
                <w:rFonts w:ascii="Arial" w:eastAsia="Calibri" w:hAnsi="Arial" w:cs="Arial"/>
              </w:rPr>
              <w:t>Chest imaging required (day -3 to day 3 of admission)</w:t>
            </w:r>
          </w:p>
        </w:tc>
        <w:tc>
          <w:tcPr>
            <w:tcW w:w="948" w:type="pct"/>
            <w:vAlign w:val="center"/>
          </w:tcPr>
          <w:p w14:paraId="7D4514FA" w14:textId="77777777" w:rsidR="008863E5" w:rsidRPr="008815A7" w:rsidRDefault="008863E5" w:rsidP="005D3606">
            <w:pPr>
              <w:spacing w:line="264" w:lineRule="auto"/>
              <w:jc w:val="center"/>
              <w:rPr>
                <w:rFonts w:ascii="Arial" w:eastAsia="Calibri" w:hAnsi="Arial" w:cs="Arial"/>
              </w:rPr>
            </w:pPr>
            <w:r w:rsidRPr="008815A7">
              <w:rPr>
                <w:rFonts w:ascii="Arial" w:eastAsia="Calibri" w:hAnsi="Arial" w:cs="Arial"/>
              </w:rPr>
              <w:t>465 (0.9%)</w:t>
            </w:r>
          </w:p>
        </w:tc>
        <w:tc>
          <w:tcPr>
            <w:tcW w:w="948" w:type="pct"/>
            <w:vAlign w:val="center"/>
          </w:tcPr>
          <w:p w14:paraId="5E42BD6B" w14:textId="77777777" w:rsidR="008863E5" w:rsidRPr="008815A7" w:rsidRDefault="008863E5" w:rsidP="005D3606">
            <w:pPr>
              <w:spacing w:line="264" w:lineRule="auto"/>
              <w:jc w:val="center"/>
              <w:rPr>
                <w:rFonts w:ascii="Arial" w:eastAsia="Calibri" w:hAnsi="Arial" w:cs="Arial"/>
              </w:rPr>
            </w:pPr>
            <w:r w:rsidRPr="008815A7">
              <w:rPr>
                <w:rFonts w:ascii="Arial" w:eastAsia="Calibri" w:hAnsi="Arial" w:cs="Arial"/>
              </w:rPr>
              <w:t>726 (12.3%)</w:t>
            </w:r>
          </w:p>
        </w:tc>
        <w:tc>
          <w:tcPr>
            <w:tcW w:w="949" w:type="pct"/>
            <w:vAlign w:val="center"/>
          </w:tcPr>
          <w:p w14:paraId="4169A2CA" w14:textId="77777777" w:rsidR="008863E5" w:rsidRPr="008815A7" w:rsidRDefault="008863E5" w:rsidP="005D3606">
            <w:pPr>
              <w:spacing w:line="264" w:lineRule="auto"/>
              <w:jc w:val="center"/>
              <w:rPr>
                <w:rFonts w:ascii="Arial" w:eastAsia="Calibri" w:hAnsi="Arial" w:cs="Arial"/>
              </w:rPr>
            </w:pPr>
            <w:r w:rsidRPr="008815A7">
              <w:rPr>
                <w:rFonts w:ascii="Arial" w:eastAsia="Calibri" w:hAnsi="Arial" w:cs="Arial"/>
              </w:rPr>
              <w:t>2189 (2.1%)</w:t>
            </w:r>
          </w:p>
        </w:tc>
      </w:tr>
      <w:tr w:rsidR="008863E5" w:rsidRPr="008815A7" w14:paraId="032ABC99" w14:textId="77777777" w:rsidTr="005D3606">
        <w:trPr>
          <w:cantSplit/>
        </w:trPr>
        <w:tc>
          <w:tcPr>
            <w:tcW w:w="2155" w:type="pct"/>
            <w:vAlign w:val="center"/>
          </w:tcPr>
          <w:p w14:paraId="155A0319" w14:textId="77777777" w:rsidR="008863E5" w:rsidRPr="008815A7" w:rsidRDefault="008863E5" w:rsidP="005D3606">
            <w:pPr>
              <w:spacing w:line="264" w:lineRule="auto"/>
              <w:rPr>
                <w:rFonts w:ascii="Arial" w:eastAsia="Calibri" w:hAnsi="Arial" w:cs="Arial"/>
                <w:b/>
                <w:bCs/>
              </w:rPr>
            </w:pPr>
            <w:r w:rsidRPr="008815A7">
              <w:rPr>
                <w:rFonts w:ascii="Arial" w:eastAsia="Calibri" w:hAnsi="Arial" w:cs="Arial"/>
                <w:b/>
                <w:bCs/>
              </w:rPr>
              <w:t xml:space="preserve">Ending population </w:t>
            </w:r>
          </w:p>
        </w:tc>
        <w:tc>
          <w:tcPr>
            <w:tcW w:w="948" w:type="pct"/>
            <w:vAlign w:val="center"/>
          </w:tcPr>
          <w:p w14:paraId="3935A49C" w14:textId="77777777" w:rsidR="008863E5" w:rsidRPr="008815A7" w:rsidRDefault="008863E5" w:rsidP="005D3606">
            <w:pPr>
              <w:spacing w:line="264" w:lineRule="auto"/>
              <w:jc w:val="center"/>
              <w:rPr>
                <w:rFonts w:ascii="Arial" w:eastAsia="Calibri" w:hAnsi="Arial" w:cs="Arial"/>
                <w:b/>
                <w:bCs/>
              </w:rPr>
            </w:pPr>
            <w:r w:rsidRPr="008815A7">
              <w:rPr>
                <w:rFonts w:ascii="Arial" w:eastAsia="Calibri" w:hAnsi="Arial" w:cs="Arial"/>
                <w:b/>
                <w:bCs/>
              </w:rPr>
              <w:t>10,366 (21.1%)</w:t>
            </w:r>
          </w:p>
        </w:tc>
        <w:tc>
          <w:tcPr>
            <w:tcW w:w="948" w:type="pct"/>
            <w:vAlign w:val="center"/>
          </w:tcPr>
          <w:p w14:paraId="59F8B5EF" w14:textId="77777777" w:rsidR="008863E5" w:rsidRPr="008815A7" w:rsidRDefault="008863E5" w:rsidP="005D3606">
            <w:pPr>
              <w:spacing w:line="264" w:lineRule="auto"/>
              <w:jc w:val="center"/>
              <w:rPr>
                <w:rFonts w:ascii="Arial" w:eastAsia="Calibri" w:hAnsi="Arial" w:cs="Arial"/>
                <w:b/>
                <w:bCs/>
              </w:rPr>
            </w:pPr>
            <w:r w:rsidRPr="008815A7">
              <w:rPr>
                <w:rFonts w:ascii="Arial" w:eastAsia="Calibri" w:hAnsi="Arial" w:cs="Arial"/>
                <w:b/>
                <w:bCs/>
              </w:rPr>
              <w:t>1049 (17.8%)</w:t>
            </w:r>
          </w:p>
        </w:tc>
        <w:tc>
          <w:tcPr>
            <w:tcW w:w="949" w:type="pct"/>
            <w:vAlign w:val="center"/>
          </w:tcPr>
          <w:p w14:paraId="356873AE" w14:textId="77777777" w:rsidR="008863E5" w:rsidRPr="008815A7" w:rsidRDefault="008863E5" w:rsidP="005D3606">
            <w:pPr>
              <w:spacing w:line="264" w:lineRule="auto"/>
              <w:jc w:val="center"/>
              <w:rPr>
                <w:rFonts w:ascii="Arial" w:eastAsia="Calibri" w:hAnsi="Arial" w:cs="Arial"/>
                <w:b/>
                <w:bCs/>
              </w:rPr>
            </w:pPr>
            <w:r w:rsidRPr="008815A7">
              <w:rPr>
                <w:rFonts w:ascii="Arial" w:eastAsia="Calibri" w:hAnsi="Arial" w:cs="Arial"/>
                <w:b/>
                <w:bCs/>
              </w:rPr>
              <w:t>60,943 (59.5%)</w:t>
            </w:r>
          </w:p>
        </w:tc>
      </w:tr>
    </w:tbl>
    <w:p w14:paraId="5399CB3C" w14:textId="77777777" w:rsidR="008863E5" w:rsidRDefault="008863E5" w:rsidP="008863E5">
      <w:pPr>
        <w:rPr>
          <w:rFonts w:ascii="Arial" w:eastAsia="Calibri" w:hAnsi="Arial" w:cs="Arial"/>
          <w:b/>
          <w:bCs/>
        </w:rPr>
      </w:pPr>
      <w:bookmarkStart w:id="2" w:name="_Hlk180067744"/>
    </w:p>
    <w:p w14:paraId="348497EB" w14:textId="579FEEB7" w:rsidR="008863E5" w:rsidRPr="00A664D4" w:rsidRDefault="008863E5" w:rsidP="008863E5">
      <w:pPr>
        <w:rPr>
          <w:rFonts w:ascii="Arial" w:eastAsia="Calibri" w:hAnsi="Arial" w:cs="Arial"/>
        </w:rPr>
      </w:pPr>
      <w:r w:rsidRPr="00A664D4">
        <w:rPr>
          <w:rFonts w:ascii="Arial" w:eastAsia="Calibri" w:hAnsi="Arial" w:cs="Arial"/>
          <w:b/>
          <w:bCs/>
        </w:rPr>
        <w:t>Table 1</w:t>
      </w:r>
      <w:r>
        <w:rPr>
          <w:rFonts w:ascii="Arial" w:eastAsia="Calibri" w:hAnsi="Arial" w:cs="Arial"/>
          <w:b/>
          <w:bCs/>
        </w:rPr>
        <w:t>6</w:t>
      </w:r>
      <w:r w:rsidRPr="00A664D4">
        <w:rPr>
          <w:rFonts w:ascii="Arial" w:eastAsia="Calibri" w:hAnsi="Arial" w:cs="Arial"/>
          <w:b/>
          <w:bCs/>
        </w:rPr>
        <w:t xml:space="preserve">. </w:t>
      </w:r>
      <w:r w:rsidRPr="00A664D4">
        <w:rPr>
          <w:rFonts w:ascii="Arial" w:eastAsia="Calibri" w:hAnsi="Arial" w:cs="Arial"/>
        </w:rPr>
        <w:t>Exclusions to Narrow Population to Uncomplicated CAP</w:t>
      </w:r>
    </w:p>
    <w:tbl>
      <w:tblPr>
        <w:tblStyle w:val="TableGrid"/>
        <w:tblW w:w="4700" w:type="pct"/>
        <w:tblLook w:val="04A0" w:firstRow="1" w:lastRow="0" w:firstColumn="1" w:lastColumn="0" w:noHBand="0" w:noVBand="1"/>
        <w:tblCaption w:val="Table 18. Exclusions to narrow population to uncomplicated CAP"/>
        <w:tblDescription w:val="This table compares University of Michigan, University of Utah, and VA health care systems data for denominator exclusions that narrow  the adult hospitalized non-ICU patients with CAP to those with uncomplicated CAP. "/>
      </w:tblPr>
      <w:tblGrid>
        <w:gridCol w:w="4044"/>
        <w:gridCol w:w="1920"/>
        <w:gridCol w:w="1920"/>
        <w:gridCol w:w="1920"/>
      </w:tblGrid>
      <w:tr w:rsidR="008863E5" w:rsidRPr="00A664D4" w14:paraId="3A88B808" w14:textId="77777777" w:rsidTr="005D3606">
        <w:trPr>
          <w:cantSplit/>
          <w:tblHeader/>
        </w:trPr>
        <w:tc>
          <w:tcPr>
            <w:tcW w:w="2063" w:type="pct"/>
            <w:vAlign w:val="center"/>
          </w:tcPr>
          <w:p w14:paraId="5DC4DC06" w14:textId="77777777" w:rsidR="008863E5" w:rsidRPr="00A664D4" w:rsidRDefault="008863E5" w:rsidP="005D3606">
            <w:pPr>
              <w:rPr>
                <w:rFonts w:ascii="Arial" w:eastAsia="Calibri" w:hAnsi="Arial" w:cs="Arial"/>
                <w:b/>
                <w:bCs/>
              </w:rPr>
            </w:pPr>
            <w:r w:rsidRPr="00A664D4">
              <w:rPr>
                <w:rFonts w:ascii="Arial" w:eastAsia="Calibri" w:hAnsi="Arial" w:cs="Arial"/>
                <w:b/>
                <w:bCs/>
              </w:rPr>
              <w:t>Exclusion</w:t>
            </w:r>
          </w:p>
        </w:tc>
        <w:tc>
          <w:tcPr>
            <w:tcW w:w="979" w:type="pct"/>
            <w:vAlign w:val="center"/>
          </w:tcPr>
          <w:p w14:paraId="6439C139" w14:textId="77777777" w:rsidR="008863E5" w:rsidRPr="00A664D4" w:rsidRDefault="008863E5" w:rsidP="005D3606">
            <w:pPr>
              <w:jc w:val="center"/>
              <w:rPr>
                <w:rFonts w:ascii="Arial" w:eastAsia="Calibri" w:hAnsi="Arial" w:cs="Arial"/>
                <w:b/>
                <w:bCs/>
              </w:rPr>
            </w:pPr>
            <w:r w:rsidRPr="00A664D4">
              <w:rPr>
                <w:rFonts w:ascii="Arial" w:eastAsia="Calibri" w:hAnsi="Arial" w:cs="Arial"/>
                <w:b/>
                <w:bCs/>
              </w:rPr>
              <w:t>Michigan (n=10,366)</w:t>
            </w:r>
          </w:p>
        </w:tc>
        <w:tc>
          <w:tcPr>
            <w:tcW w:w="979" w:type="pct"/>
            <w:vAlign w:val="center"/>
          </w:tcPr>
          <w:p w14:paraId="16B688E4" w14:textId="77777777" w:rsidR="008863E5" w:rsidRPr="00A664D4" w:rsidRDefault="008863E5" w:rsidP="005D3606">
            <w:pPr>
              <w:jc w:val="center"/>
              <w:rPr>
                <w:rFonts w:ascii="Arial" w:eastAsia="Calibri" w:hAnsi="Arial" w:cs="Arial"/>
                <w:b/>
                <w:bCs/>
              </w:rPr>
            </w:pPr>
            <w:r w:rsidRPr="00A664D4">
              <w:rPr>
                <w:rFonts w:ascii="Arial" w:eastAsia="Calibri" w:hAnsi="Arial" w:cs="Arial"/>
                <w:b/>
                <w:bCs/>
              </w:rPr>
              <w:t>Utah</w:t>
            </w:r>
          </w:p>
          <w:p w14:paraId="73AE5CDB" w14:textId="77777777" w:rsidR="008863E5" w:rsidRPr="00A664D4" w:rsidRDefault="008863E5" w:rsidP="005D3606">
            <w:pPr>
              <w:jc w:val="center"/>
              <w:rPr>
                <w:rFonts w:ascii="Arial" w:eastAsia="Calibri" w:hAnsi="Arial" w:cs="Arial"/>
                <w:b/>
                <w:bCs/>
              </w:rPr>
            </w:pPr>
            <w:r w:rsidRPr="00A664D4">
              <w:rPr>
                <w:rFonts w:ascii="Arial" w:eastAsia="Calibri" w:hAnsi="Arial" w:cs="Arial"/>
                <w:b/>
                <w:bCs/>
              </w:rPr>
              <w:t>(n=1049)</w:t>
            </w:r>
          </w:p>
        </w:tc>
        <w:tc>
          <w:tcPr>
            <w:tcW w:w="979" w:type="pct"/>
            <w:vAlign w:val="center"/>
          </w:tcPr>
          <w:p w14:paraId="032D2916" w14:textId="77777777" w:rsidR="008863E5" w:rsidRPr="00A664D4" w:rsidRDefault="008863E5" w:rsidP="005D3606">
            <w:pPr>
              <w:jc w:val="center"/>
              <w:rPr>
                <w:rFonts w:ascii="Arial" w:eastAsia="Calibri" w:hAnsi="Arial" w:cs="Arial"/>
                <w:b/>
                <w:bCs/>
              </w:rPr>
            </w:pPr>
            <w:r w:rsidRPr="00A664D4">
              <w:rPr>
                <w:rFonts w:ascii="Arial" w:eastAsia="Calibri" w:hAnsi="Arial" w:cs="Arial"/>
                <w:b/>
                <w:bCs/>
              </w:rPr>
              <w:t>VA</w:t>
            </w:r>
          </w:p>
          <w:p w14:paraId="768DD747" w14:textId="77777777" w:rsidR="008863E5" w:rsidRPr="00A664D4" w:rsidRDefault="008863E5" w:rsidP="005D3606">
            <w:pPr>
              <w:jc w:val="center"/>
              <w:rPr>
                <w:rFonts w:ascii="Arial" w:eastAsia="Calibri" w:hAnsi="Arial" w:cs="Arial"/>
                <w:b/>
                <w:bCs/>
              </w:rPr>
            </w:pPr>
            <w:r w:rsidRPr="00A664D4">
              <w:rPr>
                <w:rFonts w:ascii="Arial" w:eastAsia="Calibri" w:hAnsi="Arial" w:cs="Arial"/>
                <w:b/>
                <w:bCs/>
              </w:rPr>
              <w:t>(n=60,943)</w:t>
            </w:r>
          </w:p>
        </w:tc>
      </w:tr>
      <w:tr w:rsidR="008863E5" w:rsidRPr="00A664D4" w14:paraId="36E6DA6E" w14:textId="77777777" w:rsidTr="005D3606">
        <w:trPr>
          <w:cantSplit/>
        </w:trPr>
        <w:tc>
          <w:tcPr>
            <w:tcW w:w="2063" w:type="pct"/>
            <w:vAlign w:val="center"/>
          </w:tcPr>
          <w:p w14:paraId="2A08D16A" w14:textId="77777777" w:rsidR="008863E5" w:rsidRPr="00A664D4" w:rsidRDefault="008863E5" w:rsidP="005D3606">
            <w:pPr>
              <w:rPr>
                <w:rFonts w:ascii="Arial" w:eastAsia="Calibri" w:hAnsi="Arial" w:cs="Arial"/>
              </w:rPr>
            </w:pPr>
            <w:r w:rsidRPr="00A664D4">
              <w:rPr>
                <w:rFonts w:ascii="Arial" w:eastAsia="Calibri" w:hAnsi="Arial" w:cs="Arial"/>
              </w:rPr>
              <w:t>Cystic Fibrosis</w:t>
            </w:r>
          </w:p>
        </w:tc>
        <w:tc>
          <w:tcPr>
            <w:tcW w:w="979" w:type="pct"/>
            <w:vAlign w:val="center"/>
          </w:tcPr>
          <w:p w14:paraId="2F56A66D" w14:textId="77777777" w:rsidR="008863E5" w:rsidRPr="00A664D4" w:rsidRDefault="008863E5" w:rsidP="005D3606">
            <w:pPr>
              <w:jc w:val="center"/>
              <w:rPr>
                <w:rFonts w:ascii="Arial" w:eastAsia="Calibri" w:hAnsi="Arial" w:cs="Arial"/>
              </w:rPr>
            </w:pPr>
            <w:r w:rsidRPr="00A664D4">
              <w:rPr>
                <w:rFonts w:ascii="Arial" w:eastAsia="Calibri" w:hAnsi="Arial" w:cs="Arial"/>
              </w:rPr>
              <w:t>286 (2.8%)</w:t>
            </w:r>
          </w:p>
        </w:tc>
        <w:tc>
          <w:tcPr>
            <w:tcW w:w="979" w:type="pct"/>
            <w:vAlign w:val="center"/>
          </w:tcPr>
          <w:p w14:paraId="2A3B720D" w14:textId="77777777" w:rsidR="008863E5" w:rsidRPr="00A664D4" w:rsidRDefault="008863E5" w:rsidP="005D3606">
            <w:pPr>
              <w:jc w:val="center"/>
              <w:rPr>
                <w:rFonts w:ascii="Arial" w:eastAsia="Calibri" w:hAnsi="Arial" w:cs="Arial"/>
              </w:rPr>
            </w:pPr>
            <w:r w:rsidRPr="00A664D4">
              <w:rPr>
                <w:rFonts w:ascii="Arial" w:eastAsia="Calibri" w:hAnsi="Arial" w:cs="Arial"/>
              </w:rPr>
              <w:t>19 (1.8%)</w:t>
            </w:r>
          </w:p>
        </w:tc>
        <w:tc>
          <w:tcPr>
            <w:tcW w:w="979" w:type="pct"/>
            <w:vAlign w:val="center"/>
          </w:tcPr>
          <w:p w14:paraId="45931704" w14:textId="77777777" w:rsidR="008863E5" w:rsidRPr="00A664D4" w:rsidRDefault="008863E5" w:rsidP="005D3606">
            <w:pPr>
              <w:jc w:val="center"/>
              <w:rPr>
                <w:rFonts w:ascii="Arial" w:eastAsia="Calibri" w:hAnsi="Arial" w:cs="Arial"/>
              </w:rPr>
            </w:pPr>
            <w:r w:rsidRPr="00A664D4">
              <w:rPr>
                <w:rFonts w:ascii="Arial" w:eastAsia="Calibri" w:hAnsi="Arial" w:cs="Arial"/>
              </w:rPr>
              <w:t>18 (0.0%)</w:t>
            </w:r>
          </w:p>
        </w:tc>
      </w:tr>
      <w:tr w:rsidR="008863E5" w:rsidRPr="00A664D4" w14:paraId="433866BF" w14:textId="77777777" w:rsidTr="005D3606">
        <w:trPr>
          <w:cantSplit/>
        </w:trPr>
        <w:tc>
          <w:tcPr>
            <w:tcW w:w="2063" w:type="pct"/>
            <w:vAlign w:val="center"/>
          </w:tcPr>
          <w:p w14:paraId="51568FF7" w14:textId="77777777" w:rsidR="008863E5" w:rsidRPr="00A664D4" w:rsidRDefault="008863E5" w:rsidP="005D3606">
            <w:pPr>
              <w:rPr>
                <w:rFonts w:ascii="Arial" w:eastAsia="Calibri" w:hAnsi="Arial" w:cs="Arial"/>
              </w:rPr>
            </w:pPr>
            <w:r w:rsidRPr="00A664D4">
              <w:rPr>
                <w:rFonts w:ascii="Arial" w:eastAsia="Calibri" w:hAnsi="Arial" w:cs="Arial"/>
              </w:rPr>
              <w:t>On mechanical ventilation in first 48 hours of hospitalization</w:t>
            </w:r>
          </w:p>
        </w:tc>
        <w:tc>
          <w:tcPr>
            <w:tcW w:w="979" w:type="pct"/>
            <w:vAlign w:val="center"/>
          </w:tcPr>
          <w:p w14:paraId="00DDE70D" w14:textId="77777777" w:rsidR="008863E5" w:rsidRPr="00A664D4" w:rsidRDefault="008863E5" w:rsidP="005D3606">
            <w:pPr>
              <w:jc w:val="center"/>
              <w:rPr>
                <w:rFonts w:ascii="Arial" w:eastAsia="Calibri" w:hAnsi="Arial" w:cs="Arial"/>
              </w:rPr>
            </w:pPr>
            <w:r w:rsidRPr="00A664D4">
              <w:rPr>
                <w:rFonts w:ascii="Arial" w:eastAsia="Calibri" w:hAnsi="Arial" w:cs="Arial"/>
              </w:rPr>
              <w:t>690 (6.7%)</w:t>
            </w:r>
          </w:p>
        </w:tc>
        <w:tc>
          <w:tcPr>
            <w:tcW w:w="979" w:type="pct"/>
            <w:vAlign w:val="center"/>
          </w:tcPr>
          <w:p w14:paraId="5BF59BE9" w14:textId="77777777" w:rsidR="008863E5" w:rsidRPr="00A664D4" w:rsidRDefault="008863E5" w:rsidP="005D3606">
            <w:pPr>
              <w:jc w:val="center"/>
              <w:rPr>
                <w:rFonts w:ascii="Arial" w:eastAsia="Calibri" w:hAnsi="Arial" w:cs="Arial"/>
              </w:rPr>
            </w:pPr>
            <w:r w:rsidRPr="00A664D4">
              <w:rPr>
                <w:rFonts w:ascii="Arial" w:eastAsia="Calibri" w:hAnsi="Arial" w:cs="Arial"/>
              </w:rPr>
              <w:t>46 (4.4%)</w:t>
            </w:r>
          </w:p>
        </w:tc>
        <w:tc>
          <w:tcPr>
            <w:tcW w:w="979" w:type="pct"/>
            <w:vAlign w:val="center"/>
          </w:tcPr>
          <w:p w14:paraId="786B30B4" w14:textId="77777777" w:rsidR="008863E5" w:rsidRPr="00A664D4" w:rsidRDefault="008863E5" w:rsidP="005D3606">
            <w:pPr>
              <w:jc w:val="center"/>
              <w:rPr>
                <w:rFonts w:ascii="Arial" w:eastAsia="Calibri" w:hAnsi="Arial" w:cs="Arial"/>
              </w:rPr>
            </w:pPr>
            <w:r w:rsidRPr="00A664D4">
              <w:rPr>
                <w:rFonts w:ascii="Arial" w:eastAsia="Calibri" w:hAnsi="Arial" w:cs="Arial"/>
              </w:rPr>
              <w:t>NA</w:t>
            </w:r>
          </w:p>
        </w:tc>
      </w:tr>
      <w:tr w:rsidR="008863E5" w:rsidRPr="00A664D4" w14:paraId="116A9534" w14:textId="77777777" w:rsidTr="005D3606">
        <w:trPr>
          <w:cantSplit/>
        </w:trPr>
        <w:tc>
          <w:tcPr>
            <w:tcW w:w="2063" w:type="pct"/>
            <w:vAlign w:val="center"/>
          </w:tcPr>
          <w:p w14:paraId="65CA82E1" w14:textId="77777777" w:rsidR="008863E5" w:rsidRPr="00A664D4" w:rsidRDefault="008863E5" w:rsidP="005D3606">
            <w:pPr>
              <w:pStyle w:val="BodyText"/>
              <w:rPr>
                <w:sz w:val="22"/>
                <w:szCs w:val="22"/>
              </w:rPr>
            </w:pPr>
            <w:r w:rsidRPr="00A664D4">
              <w:rPr>
                <w:sz w:val="22"/>
                <w:szCs w:val="22"/>
              </w:rPr>
              <w:t>Absolute neutrophil count &lt;500 cells/uL</w:t>
            </w:r>
          </w:p>
          <w:p w14:paraId="250BD53F" w14:textId="77777777" w:rsidR="008863E5" w:rsidRPr="00A664D4" w:rsidRDefault="008863E5" w:rsidP="005D3606">
            <w:pPr>
              <w:rPr>
                <w:rFonts w:ascii="Arial" w:eastAsia="Calibri" w:hAnsi="Arial" w:cs="Arial"/>
              </w:rPr>
            </w:pPr>
          </w:p>
        </w:tc>
        <w:tc>
          <w:tcPr>
            <w:tcW w:w="979" w:type="pct"/>
            <w:vAlign w:val="center"/>
          </w:tcPr>
          <w:p w14:paraId="52008DC1" w14:textId="77777777" w:rsidR="008863E5" w:rsidRPr="00A664D4" w:rsidRDefault="008863E5" w:rsidP="005D3606">
            <w:pPr>
              <w:jc w:val="center"/>
              <w:rPr>
                <w:rFonts w:ascii="Arial" w:eastAsia="Calibri" w:hAnsi="Arial" w:cs="Arial"/>
              </w:rPr>
            </w:pPr>
            <w:r w:rsidRPr="00A664D4">
              <w:rPr>
                <w:rFonts w:ascii="Arial" w:eastAsia="Calibri" w:hAnsi="Arial" w:cs="Arial"/>
              </w:rPr>
              <w:t>443 (4.3%)</w:t>
            </w:r>
          </w:p>
        </w:tc>
        <w:tc>
          <w:tcPr>
            <w:tcW w:w="979" w:type="pct"/>
            <w:vAlign w:val="center"/>
          </w:tcPr>
          <w:p w14:paraId="7A4B03F8" w14:textId="77777777" w:rsidR="008863E5" w:rsidRPr="00A664D4" w:rsidRDefault="008863E5" w:rsidP="005D3606">
            <w:pPr>
              <w:jc w:val="center"/>
              <w:rPr>
                <w:rFonts w:ascii="Arial" w:eastAsia="Calibri" w:hAnsi="Arial" w:cs="Arial"/>
              </w:rPr>
            </w:pPr>
            <w:r w:rsidRPr="00A664D4">
              <w:rPr>
                <w:rFonts w:ascii="Arial" w:eastAsia="Calibri" w:hAnsi="Arial" w:cs="Arial"/>
              </w:rPr>
              <w:t>81 (7.7%)</w:t>
            </w:r>
          </w:p>
        </w:tc>
        <w:tc>
          <w:tcPr>
            <w:tcW w:w="979" w:type="pct"/>
            <w:vAlign w:val="center"/>
          </w:tcPr>
          <w:p w14:paraId="2AE43FA6" w14:textId="77777777" w:rsidR="008863E5" w:rsidRPr="00A664D4" w:rsidRDefault="008863E5" w:rsidP="005D3606">
            <w:pPr>
              <w:jc w:val="center"/>
              <w:rPr>
                <w:rFonts w:ascii="Arial" w:eastAsia="Calibri" w:hAnsi="Arial" w:cs="Arial"/>
              </w:rPr>
            </w:pPr>
            <w:r w:rsidRPr="00A664D4">
              <w:rPr>
                <w:rFonts w:ascii="Arial" w:eastAsia="Calibri" w:hAnsi="Arial" w:cs="Arial"/>
              </w:rPr>
              <w:t>111 (0.2%)</w:t>
            </w:r>
          </w:p>
        </w:tc>
      </w:tr>
      <w:tr w:rsidR="008863E5" w:rsidRPr="00A664D4" w14:paraId="0244E82E" w14:textId="77777777" w:rsidTr="005D3606">
        <w:trPr>
          <w:cantSplit/>
        </w:trPr>
        <w:tc>
          <w:tcPr>
            <w:tcW w:w="2063" w:type="pct"/>
            <w:vAlign w:val="center"/>
          </w:tcPr>
          <w:p w14:paraId="40EAB3D2" w14:textId="77777777" w:rsidR="008863E5" w:rsidRPr="00A664D4" w:rsidRDefault="008863E5" w:rsidP="005D3606">
            <w:pPr>
              <w:rPr>
                <w:rFonts w:ascii="Arial" w:eastAsia="Calibri" w:hAnsi="Arial" w:cs="Arial"/>
              </w:rPr>
            </w:pPr>
            <w:r w:rsidRPr="00A664D4">
              <w:rPr>
                <w:rFonts w:ascii="Arial" w:eastAsia="Calibri" w:hAnsi="Arial" w:cs="Arial"/>
              </w:rPr>
              <w:t>Bronchiectasis</w:t>
            </w:r>
          </w:p>
        </w:tc>
        <w:tc>
          <w:tcPr>
            <w:tcW w:w="979" w:type="pct"/>
            <w:vAlign w:val="center"/>
          </w:tcPr>
          <w:p w14:paraId="07016785" w14:textId="77777777" w:rsidR="008863E5" w:rsidRPr="00A664D4" w:rsidRDefault="008863E5" w:rsidP="005D3606">
            <w:pPr>
              <w:jc w:val="center"/>
              <w:rPr>
                <w:rFonts w:ascii="Arial" w:eastAsia="Calibri" w:hAnsi="Arial" w:cs="Arial"/>
              </w:rPr>
            </w:pPr>
            <w:r w:rsidRPr="00A664D4">
              <w:rPr>
                <w:rFonts w:ascii="Arial" w:eastAsia="Calibri" w:hAnsi="Arial" w:cs="Arial"/>
              </w:rPr>
              <w:t>791 (7.6%)</w:t>
            </w:r>
          </w:p>
        </w:tc>
        <w:tc>
          <w:tcPr>
            <w:tcW w:w="979" w:type="pct"/>
            <w:vAlign w:val="center"/>
          </w:tcPr>
          <w:p w14:paraId="5BECFFD4" w14:textId="77777777" w:rsidR="008863E5" w:rsidRPr="00A664D4" w:rsidRDefault="008863E5" w:rsidP="005D3606">
            <w:pPr>
              <w:jc w:val="center"/>
              <w:rPr>
                <w:rFonts w:ascii="Arial" w:eastAsia="Calibri" w:hAnsi="Arial" w:cs="Arial"/>
              </w:rPr>
            </w:pPr>
            <w:r w:rsidRPr="00A664D4">
              <w:rPr>
                <w:rFonts w:ascii="Arial" w:eastAsia="Calibri" w:hAnsi="Arial" w:cs="Arial"/>
              </w:rPr>
              <w:t>58 (5.5%)</w:t>
            </w:r>
          </w:p>
        </w:tc>
        <w:tc>
          <w:tcPr>
            <w:tcW w:w="979" w:type="pct"/>
            <w:vAlign w:val="center"/>
          </w:tcPr>
          <w:p w14:paraId="2E1F4FCB" w14:textId="77777777" w:rsidR="008863E5" w:rsidRPr="00A664D4" w:rsidRDefault="008863E5" w:rsidP="005D3606">
            <w:pPr>
              <w:jc w:val="center"/>
              <w:rPr>
                <w:rFonts w:ascii="Arial" w:eastAsia="Calibri" w:hAnsi="Arial" w:cs="Arial"/>
              </w:rPr>
            </w:pPr>
            <w:r w:rsidRPr="00A664D4">
              <w:rPr>
                <w:rFonts w:ascii="Arial" w:eastAsia="Calibri" w:hAnsi="Arial" w:cs="Arial"/>
              </w:rPr>
              <w:t>2803 (4.6%)</w:t>
            </w:r>
          </w:p>
        </w:tc>
      </w:tr>
      <w:tr w:rsidR="008863E5" w:rsidRPr="00A664D4" w14:paraId="78ADFFCB" w14:textId="77777777" w:rsidTr="005D3606">
        <w:trPr>
          <w:cantSplit/>
          <w:trHeight w:val="70"/>
        </w:trPr>
        <w:tc>
          <w:tcPr>
            <w:tcW w:w="2063" w:type="pct"/>
            <w:vAlign w:val="center"/>
          </w:tcPr>
          <w:p w14:paraId="288BE07D" w14:textId="77777777" w:rsidR="008863E5" w:rsidRPr="00A664D4" w:rsidRDefault="008863E5" w:rsidP="005D3606">
            <w:pPr>
              <w:rPr>
                <w:rFonts w:ascii="Arial" w:eastAsia="Calibri" w:hAnsi="Arial" w:cs="Arial"/>
              </w:rPr>
            </w:pPr>
            <w:r w:rsidRPr="00A664D4">
              <w:rPr>
                <w:rFonts w:ascii="Arial" w:eastAsia="Calibri" w:hAnsi="Arial" w:cs="Arial"/>
              </w:rPr>
              <w:t>HIV (irrespective of CD4)</w:t>
            </w:r>
          </w:p>
        </w:tc>
        <w:tc>
          <w:tcPr>
            <w:tcW w:w="979" w:type="pct"/>
            <w:vAlign w:val="center"/>
          </w:tcPr>
          <w:p w14:paraId="192FE299" w14:textId="77777777" w:rsidR="008863E5" w:rsidRPr="00A664D4" w:rsidRDefault="008863E5" w:rsidP="005D3606">
            <w:pPr>
              <w:jc w:val="center"/>
              <w:rPr>
                <w:rFonts w:ascii="Arial" w:eastAsia="Calibri" w:hAnsi="Arial" w:cs="Arial"/>
              </w:rPr>
            </w:pPr>
            <w:r w:rsidRPr="00A664D4">
              <w:rPr>
                <w:rFonts w:ascii="Arial" w:eastAsia="Calibri" w:hAnsi="Arial" w:cs="Arial"/>
              </w:rPr>
              <w:t>52 (0.5%)</w:t>
            </w:r>
          </w:p>
        </w:tc>
        <w:tc>
          <w:tcPr>
            <w:tcW w:w="979" w:type="pct"/>
            <w:vAlign w:val="center"/>
          </w:tcPr>
          <w:p w14:paraId="5D14C120" w14:textId="77777777" w:rsidR="008863E5" w:rsidRPr="00A664D4" w:rsidRDefault="008863E5" w:rsidP="005D3606">
            <w:pPr>
              <w:jc w:val="center"/>
              <w:rPr>
                <w:rFonts w:ascii="Arial" w:eastAsia="Calibri" w:hAnsi="Arial" w:cs="Arial"/>
              </w:rPr>
            </w:pPr>
            <w:r w:rsidRPr="00A664D4">
              <w:rPr>
                <w:rFonts w:ascii="Arial" w:eastAsia="Calibri" w:hAnsi="Arial" w:cs="Arial"/>
              </w:rPr>
              <w:t>26 (2.5%)</w:t>
            </w:r>
          </w:p>
        </w:tc>
        <w:tc>
          <w:tcPr>
            <w:tcW w:w="979" w:type="pct"/>
            <w:vAlign w:val="center"/>
          </w:tcPr>
          <w:p w14:paraId="0041D5A6" w14:textId="77777777" w:rsidR="008863E5" w:rsidRPr="00A664D4" w:rsidRDefault="008863E5" w:rsidP="005D3606">
            <w:pPr>
              <w:jc w:val="center"/>
              <w:rPr>
                <w:rFonts w:ascii="Arial" w:eastAsia="Calibri" w:hAnsi="Arial" w:cs="Arial"/>
              </w:rPr>
            </w:pPr>
            <w:r w:rsidRPr="00A664D4">
              <w:rPr>
                <w:rFonts w:ascii="Arial" w:eastAsia="Calibri" w:hAnsi="Arial" w:cs="Arial"/>
              </w:rPr>
              <w:t>978 (1.6%)</w:t>
            </w:r>
          </w:p>
        </w:tc>
      </w:tr>
      <w:tr w:rsidR="008863E5" w:rsidRPr="00A664D4" w14:paraId="0D5B548C" w14:textId="77777777" w:rsidTr="005D3606">
        <w:trPr>
          <w:cantSplit/>
        </w:trPr>
        <w:tc>
          <w:tcPr>
            <w:tcW w:w="2063" w:type="pct"/>
            <w:vAlign w:val="center"/>
          </w:tcPr>
          <w:p w14:paraId="463AFB52" w14:textId="77777777" w:rsidR="008863E5" w:rsidRPr="00A664D4" w:rsidRDefault="008863E5" w:rsidP="005D3606">
            <w:pPr>
              <w:rPr>
                <w:rFonts w:ascii="Arial" w:eastAsia="Calibri" w:hAnsi="Arial" w:cs="Arial"/>
              </w:rPr>
            </w:pPr>
            <w:r w:rsidRPr="00A664D4">
              <w:rPr>
                <w:rFonts w:ascii="Arial" w:eastAsia="Calibri" w:hAnsi="Arial" w:cs="Arial"/>
              </w:rPr>
              <w:t>Tracheostomy</w:t>
            </w:r>
          </w:p>
        </w:tc>
        <w:tc>
          <w:tcPr>
            <w:tcW w:w="979" w:type="pct"/>
            <w:vAlign w:val="center"/>
          </w:tcPr>
          <w:p w14:paraId="5FC8424B" w14:textId="77777777" w:rsidR="008863E5" w:rsidRPr="00A664D4" w:rsidRDefault="008863E5" w:rsidP="005D3606">
            <w:pPr>
              <w:jc w:val="center"/>
              <w:rPr>
                <w:rFonts w:ascii="Arial" w:eastAsia="Calibri" w:hAnsi="Arial" w:cs="Arial"/>
              </w:rPr>
            </w:pPr>
            <w:r w:rsidRPr="00A664D4">
              <w:rPr>
                <w:rFonts w:ascii="Arial" w:eastAsia="Calibri" w:hAnsi="Arial" w:cs="Arial"/>
              </w:rPr>
              <w:t>384 (3.7%)</w:t>
            </w:r>
          </w:p>
        </w:tc>
        <w:tc>
          <w:tcPr>
            <w:tcW w:w="979" w:type="pct"/>
            <w:vAlign w:val="center"/>
          </w:tcPr>
          <w:p w14:paraId="20A4185B" w14:textId="77777777" w:rsidR="008863E5" w:rsidRPr="00A664D4" w:rsidRDefault="008863E5" w:rsidP="005D3606">
            <w:pPr>
              <w:jc w:val="center"/>
              <w:rPr>
                <w:rFonts w:ascii="Arial" w:eastAsia="Calibri" w:hAnsi="Arial" w:cs="Arial"/>
              </w:rPr>
            </w:pPr>
            <w:r w:rsidRPr="00A664D4">
              <w:rPr>
                <w:rFonts w:ascii="Arial" w:eastAsia="Calibri" w:hAnsi="Arial" w:cs="Arial"/>
              </w:rPr>
              <w:t>20 (1.9%)</w:t>
            </w:r>
          </w:p>
        </w:tc>
        <w:tc>
          <w:tcPr>
            <w:tcW w:w="979" w:type="pct"/>
            <w:vAlign w:val="center"/>
          </w:tcPr>
          <w:p w14:paraId="52471E1E" w14:textId="77777777" w:rsidR="008863E5" w:rsidRPr="00A664D4" w:rsidRDefault="008863E5" w:rsidP="005D3606">
            <w:pPr>
              <w:jc w:val="center"/>
              <w:rPr>
                <w:rFonts w:ascii="Arial" w:eastAsia="Calibri" w:hAnsi="Arial" w:cs="Arial"/>
              </w:rPr>
            </w:pPr>
            <w:r w:rsidRPr="00A664D4">
              <w:rPr>
                <w:rFonts w:ascii="Arial" w:eastAsia="Calibri" w:hAnsi="Arial" w:cs="Arial"/>
              </w:rPr>
              <w:t>633 (1.0%)</w:t>
            </w:r>
          </w:p>
        </w:tc>
      </w:tr>
      <w:tr w:rsidR="008863E5" w:rsidRPr="00A664D4" w14:paraId="2A9BE3C1" w14:textId="77777777" w:rsidTr="005D3606">
        <w:trPr>
          <w:cantSplit/>
        </w:trPr>
        <w:tc>
          <w:tcPr>
            <w:tcW w:w="2063" w:type="pct"/>
            <w:vAlign w:val="center"/>
          </w:tcPr>
          <w:p w14:paraId="03C724B4" w14:textId="77777777" w:rsidR="008863E5" w:rsidRPr="00A664D4" w:rsidRDefault="008863E5" w:rsidP="005D3606">
            <w:pPr>
              <w:rPr>
                <w:rFonts w:ascii="Arial" w:eastAsia="Calibri" w:hAnsi="Arial" w:cs="Arial"/>
              </w:rPr>
            </w:pPr>
            <w:r w:rsidRPr="00A664D4">
              <w:rPr>
                <w:rFonts w:ascii="Arial" w:eastAsia="Calibri" w:hAnsi="Arial" w:cs="Arial"/>
              </w:rPr>
              <w:t>Transplant in prior year</w:t>
            </w:r>
          </w:p>
        </w:tc>
        <w:tc>
          <w:tcPr>
            <w:tcW w:w="979" w:type="pct"/>
            <w:vAlign w:val="center"/>
          </w:tcPr>
          <w:p w14:paraId="09D7B674" w14:textId="77777777" w:rsidR="008863E5" w:rsidRPr="00A664D4" w:rsidRDefault="008863E5" w:rsidP="005D3606">
            <w:pPr>
              <w:jc w:val="center"/>
              <w:rPr>
                <w:rFonts w:ascii="Arial" w:eastAsia="Calibri" w:hAnsi="Arial" w:cs="Arial"/>
              </w:rPr>
            </w:pPr>
            <w:r w:rsidRPr="00A664D4">
              <w:rPr>
                <w:rFonts w:ascii="Arial" w:eastAsia="Calibri" w:hAnsi="Arial" w:cs="Arial"/>
              </w:rPr>
              <w:t>1522 (14.7%)</w:t>
            </w:r>
          </w:p>
        </w:tc>
        <w:tc>
          <w:tcPr>
            <w:tcW w:w="979" w:type="pct"/>
            <w:vAlign w:val="center"/>
          </w:tcPr>
          <w:p w14:paraId="337F484C" w14:textId="77777777" w:rsidR="008863E5" w:rsidRPr="00A664D4" w:rsidRDefault="008863E5" w:rsidP="005D3606">
            <w:pPr>
              <w:jc w:val="center"/>
              <w:rPr>
                <w:rFonts w:ascii="Arial" w:eastAsia="Calibri" w:hAnsi="Arial" w:cs="Arial"/>
              </w:rPr>
            </w:pPr>
            <w:r w:rsidRPr="00A664D4">
              <w:rPr>
                <w:rFonts w:ascii="Arial" w:eastAsia="Calibri" w:hAnsi="Arial" w:cs="Arial"/>
              </w:rPr>
              <w:t>150 (14.3%)</w:t>
            </w:r>
          </w:p>
        </w:tc>
        <w:tc>
          <w:tcPr>
            <w:tcW w:w="979" w:type="pct"/>
            <w:vAlign w:val="center"/>
          </w:tcPr>
          <w:p w14:paraId="35056261" w14:textId="77777777" w:rsidR="008863E5" w:rsidRPr="00A664D4" w:rsidRDefault="008863E5" w:rsidP="005D3606">
            <w:pPr>
              <w:jc w:val="center"/>
              <w:rPr>
                <w:rFonts w:ascii="Arial" w:eastAsia="Calibri" w:hAnsi="Arial" w:cs="Arial"/>
              </w:rPr>
            </w:pPr>
            <w:r w:rsidRPr="00A664D4">
              <w:rPr>
                <w:rFonts w:ascii="Arial" w:eastAsia="Calibri" w:hAnsi="Arial" w:cs="Arial"/>
              </w:rPr>
              <w:t>1478 (2.4%)</w:t>
            </w:r>
          </w:p>
        </w:tc>
      </w:tr>
      <w:tr w:rsidR="008863E5" w:rsidRPr="00A664D4" w14:paraId="5E339A24" w14:textId="77777777" w:rsidTr="005D3606">
        <w:trPr>
          <w:cantSplit/>
        </w:trPr>
        <w:tc>
          <w:tcPr>
            <w:tcW w:w="2063" w:type="pct"/>
            <w:vAlign w:val="center"/>
          </w:tcPr>
          <w:p w14:paraId="397D25A6" w14:textId="77777777" w:rsidR="008863E5" w:rsidRPr="00A664D4" w:rsidRDefault="008863E5" w:rsidP="005D3606">
            <w:pPr>
              <w:rPr>
                <w:rFonts w:ascii="Arial" w:eastAsia="Calibri" w:hAnsi="Arial" w:cs="Arial"/>
              </w:rPr>
            </w:pPr>
            <w:r w:rsidRPr="00A664D4">
              <w:rPr>
                <w:rFonts w:ascii="Arial" w:eastAsia="Calibri" w:hAnsi="Arial" w:cs="Arial"/>
              </w:rPr>
              <w:t>Hematologic malignancy</w:t>
            </w:r>
          </w:p>
        </w:tc>
        <w:tc>
          <w:tcPr>
            <w:tcW w:w="979" w:type="pct"/>
            <w:vAlign w:val="center"/>
          </w:tcPr>
          <w:p w14:paraId="111A3689" w14:textId="77777777" w:rsidR="008863E5" w:rsidRPr="00A664D4" w:rsidRDefault="008863E5" w:rsidP="005D3606">
            <w:pPr>
              <w:jc w:val="center"/>
              <w:rPr>
                <w:rFonts w:ascii="Arial" w:eastAsia="Calibri" w:hAnsi="Arial" w:cs="Arial"/>
              </w:rPr>
            </w:pPr>
            <w:r w:rsidRPr="00A664D4">
              <w:rPr>
                <w:rFonts w:ascii="Arial" w:eastAsia="Calibri" w:hAnsi="Arial" w:cs="Arial"/>
              </w:rPr>
              <w:t>1461 (14.1%)</w:t>
            </w:r>
          </w:p>
        </w:tc>
        <w:tc>
          <w:tcPr>
            <w:tcW w:w="979" w:type="pct"/>
            <w:vAlign w:val="center"/>
          </w:tcPr>
          <w:p w14:paraId="35AAE875" w14:textId="77777777" w:rsidR="008863E5" w:rsidRPr="00A664D4" w:rsidRDefault="008863E5" w:rsidP="005D3606">
            <w:pPr>
              <w:jc w:val="center"/>
              <w:rPr>
                <w:rFonts w:ascii="Arial" w:eastAsia="Calibri" w:hAnsi="Arial" w:cs="Arial"/>
              </w:rPr>
            </w:pPr>
            <w:r w:rsidRPr="00A664D4">
              <w:rPr>
                <w:rFonts w:ascii="Arial" w:eastAsia="Calibri" w:hAnsi="Arial" w:cs="Arial"/>
              </w:rPr>
              <w:t>180 (17.2%)</w:t>
            </w:r>
          </w:p>
        </w:tc>
        <w:tc>
          <w:tcPr>
            <w:tcW w:w="979" w:type="pct"/>
            <w:vAlign w:val="center"/>
          </w:tcPr>
          <w:p w14:paraId="78A49D4D" w14:textId="77777777" w:rsidR="008863E5" w:rsidRPr="00A664D4" w:rsidRDefault="008863E5" w:rsidP="005D3606">
            <w:pPr>
              <w:jc w:val="center"/>
              <w:rPr>
                <w:rFonts w:ascii="Arial" w:eastAsia="Calibri" w:hAnsi="Arial" w:cs="Arial"/>
              </w:rPr>
            </w:pPr>
            <w:r w:rsidRPr="00A664D4">
              <w:rPr>
                <w:rFonts w:ascii="Arial" w:eastAsia="Calibri" w:hAnsi="Arial" w:cs="Arial"/>
              </w:rPr>
              <w:t>4762 (7.8%)</w:t>
            </w:r>
          </w:p>
        </w:tc>
      </w:tr>
      <w:tr w:rsidR="008863E5" w:rsidRPr="00A664D4" w14:paraId="127963C0" w14:textId="77777777" w:rsidTr="005D3606">
        <w:trPr>
          <w:cantSplit/>
        </w:trPr>
        <w:tc>
          <w:tcPr>
            <w:tcW w:w="2063" w:type="pct"/>
            <w:vAlign w:val="center"/>
          </w:tcPr>
          <w:p w14:paraId="7CAD4AFD" w14:textId="77777777" w:rsidR="008863E5" w:rsidRPr="00A664D4" w:rsidRDefault="008863E5" w:rsidP="005D3606">
            <w:pPr>
              <w:rPr>
                <w:rFonts w:ascii="Arial" w:eastAsia="Calibri" w:hAnsi="Arial" w:cs="Arial"/>
              </w:rPr>
            </w:pPr>
            <w:r w:rsidRPr="00A664D4">
              <w:rPr>
                <w:rFonts w:ascii="Arial" w:eastAsia="Calibri" w:hAnsi="Arial" w:cs="Arial"/>
              </w:rPr>
              <w:t xml:space="preserve">Pulmonary complication: </w:t>
            </w:r>
          </w:p>
        </w:tc>
        <w:tc>
          <w:tcPr>
            <w:tcW w:w="979" w:type="pct"/>
            <w:vAlign w:val="center"/>
          </w:tcPr>
          <w:p w14:paraId="1F22CC0A" w14:textId="77777777" w:rsidR="008863E5" w:rsidRPr="00A664D4" w:rsidRDefault="008863E5" w:rsidP="005D3606">
            <w:pPr>
              <w:jc w:val="center"/>
              <w:rPr>
                <w:rFonts w:ascii="Arial" w:eastAsia="Calibri" w:hAnsi="Arial" w:cs="Arial"/>
              </w:rPr>
            </w:pPr>
            <w:r w:rsidRPr="00A664D4">
              <w:rPr>
                <w:rFonts w:ascii="Arial" w:eastAsia="Calibri" w:hAnsi="Arial" w:cs="Arial"/>
              </w:rPr>
              <w:t>263 (2.5%)</w:t>
            </w:r>
          </w:p>
        </w:tc>
        <w:tc>
          <w:tcPr>
            <w:tcW w:w="979" w:type="pct"/>
            <w:vAlign w:val="center"/>
          </w:tcPr>
          <w:p w14:paraId="14FA667D" w14:textId="77777777" w:rsidR="008863E5" w:rsidRPr="00A664D4" w:rsidRDefault="008863E5" w:rsidP="005D3606">
            <w:pPr>
              <w:jc w:val="center"/>
              <w:rPr>
                <w:rFonts w:ascii="Arial" w:eastAsia="Calibri" w:hAnsi="Arial" w:cs="Arial"/>
              </w:rPr>
            </w:pPr>
            <w:r w:rsidRPr="00A664D4">
              <w:rPr>
                <w:rFonts w:ascii="Arial" w:eastAsia="Calibri" w:hAnsi="Arial" w:cs="Arial"/>
              </w:rPr>
              <w:t>38 (3.6%)</w:t>
            </w:r>
          </w:p>
        </w:tc>
        <w:tc>
          <w:tcPr>
            <w:tcW w:w="979" w:type="pct"/>
            <w:vAlign w:val="center"/>
          </w:tcPr>
          <w:p w14:paraId="653A8E7E" w14:textId="77777777" w:rsidR="008863E5" w:rsidRPr="00A664D4" w:rsidRDefault="008863E5" w:rsidP="005D3606">
            <w:pPr>
              <w:jc w:val="center"/>
              <w:rPr>
                <w:rFonts w:ascii="Arial" w:eastAsia="Calibri" w:hAnsi="Arial" w:cs="Arial"/>
              </w:rPr>
            </w:pPr>
            <w:r w:rsidRPr="00A664D4">
              <w:rPr>
                <w:rFonts w:ascii="Arial" w:eastAsia="Calibri" w:hAnsi="Arial" w:cs="Arial"/>
              </w:rPr>
              <w:t>1698 (2.8%)</w:t>
            </w:r>
          </w:p>
        </w:tc>
      </w:tr>
      <w:tr w:rsidR="008863E5" w:rsidRPr="00A664D4" w14:paraId="55FD0EB6" w14:textId="77777777" w:rsidTr="005D3606">
        <w:trPr>
          <w:cantSplit/>
        </w:trPr>
        <w:tc>
          <w:tcPr>
            <w:tcW w:w="2063" w:type="pct"/>
            <w:vAlign w:val="center"/>
          </w:tcPr>
          <w:p w14:paraId="55F46669" w14:textId="77777777" w:rsidR="008863E5" w:rsidRPr="00A664D4" w:rsidRDefault="008863E5" w:rsidP="005D3606">
            <w:pPr>
              <w:rPr>
                <w:rFonts w:ascii="Arial" w:eastAsia="Calibri" w:hAnsi="Arial" w:cs="Arial"/>
                <w:b/>
                <w:bCs/>
              </w:rPr>
            </w:pPr>
            <w:r w:rsidRPr="00A664D4">
              <w:rPr>
                <w:rFonts w:ascii="Arial" w:eastAsia="Calibri" w:hAnsi="Arial" w:cs="Arial"/>
                <w:b/>
                <w:bCs/>
              </w:rPr>
              <w:t>Ending population</w:t>
            </w:r>
          </w:p>
        </w:tc>
        <w:tc>
          <w:tcPr>
            <w:tcW w:w="979" w:type="pct"/>
            <w:vAlign w:val="center"/>
          </w:tcPr>
          <w:p w14:paraId="1C09A3B0" w14:textId="77777777" w:rsidR="008863E5" w:rsidRPr="00A664D4" w:rsidRDefault="008863E5" w:rsidP="005D3606">
            <w:pPr>
              <w:jc w:val="center"/>
              <w:rPr>
                <w:rFonts w:ascii="Arial" w:eastAsia="Calibri" w:hAnsi="Arial" w:cs="Arial"/>
                <w:b/>
                <w:bCs/>
              </w:rPr>
            </w:pPr>
            <w:r w:rsidRPr="00A664D4">
              <w:rPr>
                <w:rFonts w:ascii="Arial" w:eastAsia="Calibri" w:hAnsi="Arial" w:cs="Arial"/>
                <w:b/>
                <w:bCs/>
              </w:rPr>
              <w:t>6,285 (60.6%)</w:t>
            </w:r>
          </w:p>
        </w:tc>
        <w:tc>
          <w:tcPr>
            <w:tcW w:w="979" w:type="pct"/>
            <w:vAlign w:val="center"/>
          </w:tcPr>
          <w:p w14:paraId="38D94CBD" w14:textId="77777777" w:rsidR="008863E5" w:rsidRPr="00A664D4" w:rsidRDefault="008863E5" w:rsidP="005D3606">
            <w:pPr>
              <w:jc w:val="center"/>
              <w:rPr>
                <w:rFonts w:ascii="Arial" w:eastAsia="Calibri" w:hAnsi="Arial" w:cs="Arial"/>
                <w:b/>
                <w:bCs/>
              </w:rPr>
            </w:pPr>
            <w:r w:rsidRPr="00A664D4">
              <w:rPr>
                <w:rFonts w:ascii="Arial" w:eastAsia="Calibri" w:hAnsi="Arial" w:cs="Arial"/>
                <w:b/>
                <w:bCs/>
              </w:rPr>
              <w:t>655 (62.4%)</w:t>
            </w:r>
          </w:p>
        </w:tc>
        <w:tc>
          <w:tcPr>
            <w:tcW w:w="979" w:type="pct"/>
            <w:vAlign w:val="center"/>
          </w:tcPr>
          <w:p w14:paraId="0361B22D" w14:textId="77777777" w:rsidR="008863E5" w:rsidRPr="00A664D4" w:rsidRDefault="008863E5" w:rsidP="005D3606">
            <w:pPr>
              <w:jc w:val="center"/>
              <w:rPr>
                <w:rFonts w:ascii="Arial" w:eastAsia="Calibri" w:hAnsi="Arial" w:cs="Arial"/>
                <w:b/>
                <w:bCs/>
              </w:rPr>
            </w:pPr>
            <w:r w:rsidRPr="00A664D4">
              <w:rPr>
                <w:rFonts w:ascii="Arial" w:eastAsia="Calibri" w:hAnsi="Arial" w:cs="Arial"/>
                <w:b/>
                <w:bCs/>
              </w:rPr>
              <w:t>49,774 (81.7%)</w:t>
            </w:r>
          </w:p>
        </w:tc>
      </w:tr>
    </w:tbl>
    <w:p w14:paraId="682A35F4" w14:textId="77777777" w:rsidR="008863E5" w:rsidRPr="001E511D" w:rsidRDefault="008863E5" w:rsidP="008863E5">
      <w:pPr>
        <w:rPr>
          <w:rFonts w:ascii="Aptos" w:hAnsi="Aptos"/>
        </w:rPr>
      </w:pPr>
    </w:p>
    <w:p w14:paraId="7250A6E2" w14:textId="77777777" w:rsidR="00330A53" w:rsidRPr="008863E5" w:rsidRDefault="00330A53">
      <w:pPr>
        <w:spacing w:line="278" w:lineRule="auto"/>
        <w:rPr>
          <w:rFonts w:ascii="Arial" w:eastAsia="Calibri" w:hAnsi="Arial" w:cs="Arial"/>
          <w:b/>
          <w:bCs/>
          <w:highlight w:val="green"/>
        </w:rPr>
      </w:pPr>
      <w:r w:rsidRPr="008863E5">
        <w:rPr>
          <w:rFonts w:ascii="Arial" w:eastAsia="Calibri" w:hAnsi="Arial" w:cs="Arial"/>
          <w:b/>
          <w:bCs/>
          <w:highlight w:val="green"/>
        </w:rPr>
        <w:br w:type="page"/>
      </w:r>
    </w:p>
    <w:p w14:paraId="1D31E5F2" w14:textId="51A9989D" w:rsidR="00D35A0D" w:rsidRPr="008863E5" w:rsidRDefault="00D35A0D" w:rsidP="00D35A0D">
      <w:pPr>
        <w:rPr>
          <w:rFonts w:ascii="Arial" w:eastAsia="Calibri" w:hAnsi="Arial" w:cs="Arial"/>
          <w:b/>
          <w:bCs/>
        </w:rPr>
      </w:pPr>
      <w:r w:rsidRPr="00254D61">
        <w:rPr>
          <w:rFonts w:ascii="Arial" w:eastAsia="Calibri" w:hAnsi="Arial" w:cs="Arial"/>
          <w:b/>
          <w:bCs/>
        </w:rPr>
        <w:lastRenderedPageBreak/>
        <w:t>Table 17.</w:t>
      </w:r>
      <w:r w:rsidRPr="008863E5">
        <w:rPr>
          <w:rFonts w:ascii="Arial" w:eastAsia="Calibri" w:hAnsi="Arial" w:cs="Arial"/>
          <w:b/>
          <w:bCs/>
        </w:rPr>
        <w:t xml:space="preserve"> </w:t>
      </w:r>
      <w:r w:rsidRPr="008863E5">
        <w:rPr>
          <w:rFonts w:ascii="Arial" w:eastAsia="Calibri" w:hAnsi="Arial" w:cs="Arial"/>
        </w:rPr>
        <w:t>Additional Exclusions Specific to Empiric Measure</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7. Additional exclusions specific to empiric measure"/>
        <w:tblDescription w:val="This table compares University of Michigan, University of Utah, and VA health care systems data for denominator exclusions that are specific to determining empiric selection of broad-spectrum antibiotics."/>
      </w:tblPr>
      <w:tblGrid>
        <w:gridCol w:w="4675"/>
        <w:gridCol w:w="1800"/>
        <w:gridCol w:w="1920"/>
        <w:gridCol w:w="1860"/>
      </w:tblGrid>
      <w:tr w:rsidR="00254D61" w:rsidRPr="008863E5" w14:paraId="451E7DBC" w14:textId="77777777" w:rsidTr="0037116F">
        <w:trPr>
          <w:cantSplit/>
          <w:trHeight w:val="615"/>
          <w:tblHeader/>
        </w:trPr>
        <w:tc>
          <w:tcPr>
            <w:tcW w:w="4675" w:type="dxa"/>
            <w:shd w:val="clear" w:color="auto" w:fill="auto"/>
            <w:vAlign w:val="center"/>
          </w:tcPr>
          <w:bookmarkEnd w:id="2"/>
          <w:p w14:paraId="1E4F24A5" w14:textId="77777777" w:rsidR="00254D61" w:rsidRPr="008863E5" w:rsidRDefault="00254D61" w:rsidP="005D3606">
            <w:pPr>
              <w:spacing w:after="0" w:line="240" w:lineRule="auto"/>
              <w:rPr>
                <w:rFonts w:ascii="Arial" w:eastAsia="Times New Roman" w:hAnsi="Arial" w:cs="Arial"/>
                <w:color w:val="000000"/>
                <w:kern w:val="0"/>
                <w14:ligatures w14:val="none"/>
              </w:rPr>
            </w:pPr>
            <w:r w:rsidRPr="008863E5">
              <w:rPr>
                <w:rFonts w:ascii="Arial" w:eastAsia="Calibri" w:hAnsi="Arial" w:cs="Arial"/>
                <w:b/>
                <w:bCs/>
                <w:kern w:val="0"/>
                <w14:ligatures w14:val="none"/>
              </w:rPr>
              <w:t>Exclusion</w:t>
            </w:r>
          </w:p>
        </w:tc>
        <w:tc>
          <w:tcPr>
            <w:tcW w:w="1800" w:type="dxa"/>
            <w:shd w:val="clear" w:color="auto" w:fill="auto"/>
            <w:vAlign w:val="center"/>
          </w:tcPr>
          <w:p w14:paraId="5D3D9C77" w14:textId="77777777" w:rsidR="00254D61" w:rsidRPr="008863E5" w:rsidRDefault="00254D61" w:rsidP="005D3606">
            <w:pPr>
              <w:spacing w:after="0" w:line="240" w:lineRule="auto"/>
              <w:jc w:val="center"/>
              <w:rPr>
                <w:rFonts w:ascii="Arial" w:eastAsia="Times New Roman" w:hAnsi="Arial" w:cs="Arial"/>
                <w:b/>
                <w:bCs/>
                <w:color w:val="000000"/>
                <w:kern w:val="0"/>
                <w14:ligatures w14:val="none"/>
              </w:rPr>
            </w:pPr>
            <w:r w:rsidRPr="008863E5">
              <w:rPr>
                <w:rFonts w:ascii="Arial" w:eastAsia="Calibri" w:hAnsi="Arial" w:cs="Arial"/>
                <w:b/>
                <w:bCs/>
                <w:kern w:val="0"/>
                <w14:ligatures w14:val="none"/>
              </w:rPr>
              <w:t xml:space="preserve">Michigan </w:t>
            </w:r>
            <w:r w:rsidRPr="008863E5">
              <w:rPr>
                <w:rFonts w:ascii="Arial" w:eastAsia="Calibri" w:hAnsi="Arial" w:cs="Arial"/>
                <w:b/>
                <w:bCs/>
              </w:rPr>
              <w:t>(n=6,285)</w:t>
            </w:r>
          </w:p>
        </w:tc>
        <w:tc>
          <w:tcPr>
            <w:tcW w:w="1920" w:type="dxa"/>
            <w:shd w:val="clear" w:color="auto" w:fill="auto"/>
            <w:vAlign w:val="center"/>
          </w:tcPr>
          <w:p w14:paraId="1ACB7B6B" w14:textId="77777777" w:rsidR="00254D61" w:rsidRPr="008863E5" w:rsidRDefault="00254D61" w:rsidP="005D3606">
            <w:pPr>
              <w:spacing w:after="0" w:line="240" w:lineRule="auto"/>
              <w:jc w:val="center"/>
              <w:rPr>
                <w:rFonts w:ascii="Arial" w:eastAsia="Calibri" w:hAnsi="Arial" w:cs="Arial"/>
                <w:b/>
                <w:bCs/>
                <w:kern w:val="0"/>
                <w14:ligatures w14:val="none"/>
              </w:rPr>
            </w:pPr>
            <w:r w:rsidRPr="008863E5">
              <w:rPr>
                <w:rFonts w:ascii="Arial" w:eastAsia="Calibri" w:hAnsi="Arial" w:cs="Arial"/>
                <w:b/>
                <w:bCs/>
                <w:kern w:val="0"/>
                <w14:ligatures w14:val="none"/>
              </w:rPr>
              <w:t>Utah</w:t>
            </w:r>
          </w:p>
          <w:p w14:paraId="0B4A73E4" w14:textId="77777777" w:rsidR="00254D61" w:rsidRPr="008863E5" w:rsidRDefault="00254D61" w:rsidP="005D3606">
            <w:pPr>
              <w:spacing w:after="0" w:line="240" w:lineRule="auto"/>
              <w:jc w:val="center"/>
              <w:rPr>
                <w:rFonts w:ascii="Arial" w:eastAsia="Times New Roman" w:hAnsi="Arial" w:cs="Arial"/>
                <w:b/>
                <w:bCs/>
                <w:color w:val="000000"/>
                <w:kern w:val="0"/>
                <w14:ligatures w14:val="none"/>
              </w:rPr>
            </w:pPr>
            <w:r w:rsidRPr="008863E5">
              <w:rPr>
                <w:rFonts w:ascii="Arial" w:eastAsia="Calibri" w:hAnsi="Arial" w:cs="Arial"/>
                <w:b/>
                <w:bCs/>
              </w:rPr>
              <w:t>(n=</w:t>
            </w:r>
            <w:r w:rsidRPr="008863E5">
              <w:rPr>
                <w:rFonts w:ascii="Arial" w:eastAsia="Calibri" w:hAnsi="Arial" w:cs="Arial"/>
                <w:b/>
                <w:bCs/>
                <w:kern w:val="0"/>
                <w14:ligatures w14:val="none"/>
              </w:rPr>
              <w:t>655</w:t>
            </w:r>
            <w:r w:rsidRPr="008863E5">
              <w:rPr>
                <w:rFonts w:ascii="Arial" w:eastAsia="Calibri" w:hAnsi="Arial" w:cs="Arial"/>
                <w:b/>
                <w:bCs/>
              </w:rPr>
              <w:t>)</w:t>
            </w:r>
          </w:p>
        </w:tc>
        <w:tc>
          <w:tcPr>
            <w:tcW w:w="1860" w:type="dxa"/>
            <w:shd w:val="clear" w:color="auto" w:fill="auto"/>
            <w:vAlign w:val="center"/>
          </w:tcPr>
          <w:p w14:paraId="1445B24B" w14:textId="77777777" w:rsidR="00254D61" w:rsidRPr="008863E5" w:rsidRDefault="00254D61" w:rsidP="005D3606">
            <w:pPr>
              <w:spacing w:after="0" w:line="240" w:lineRule="auto"/>
              <w:jc w:val="center"/>
              <w:rPr>
                <w:rFonts w:ascii="Arial" w:eastAsia="Calibri" w:hAnsi="Arial" w:cs="Arial"/>
                <w:b/>
                <w:bCs/>
              </w:rPr>
            </w:pPr>
            <w:r w:rsidRPr="008863E5">
              <w:rPr>
                <w:rFonts w:ascii="Arial" w:eastAsia="Calibri" w:hAnsi="Arial" w:cs="Arial"/>
                <w:b/>
                <w:bCs/>
                <w:kern w:val="0"/>
                <w14:ligatures w14:val="none"/>
              </w:rPr>
              <w:t>VA</w:t>
            </w:r>
          </w:p>
          <w:p w14:paraId="50D59374" w14:textId="77777777" w:rsidR="00254D61" w:rsidRPr="008863E5" w:rsidRDefault="00254D61" w:rsidP="005D3606">
            <w:pPr>
              <w:spacing w:after="0" w:line="240" w:lineRule="auto"/>
              <w:jc w:val="center"/>
              <w:rPr>
                <w:rFonts w:ascii="Arial" w:eastAsia="Times New Roman" w:hAnsi="Arial" w:cs="Arial"/>
                <w:b/>
                <w:bCs/>
                <w:color w:val="000000"/>
                <w:kern w:val="0"/>
                <w14:ligatures w14:val="none"/>
              </w:rPr>
            </w:pPr>
            <w:r w:rsidRPr="008863E5">
              <w:rPr>
                <w:rFonts w:ascii="Arial" w:eastAsia="Calibri" w:hAnsi="Arial" w:cs="Arial"/>
                <w:b/>
                <w:bCs/>
              </w:rPr>
              <w:t>(n=</w:t>
            </w:r>
            <w:r w:rsidRPr="008863E5">
              <w:rPr>
                <w:rFonts w:ascii="Arial" w:eastAsia="Calibri" w:hAnsi="Arial" w:cs="Arial"/>
                <w:b/>
                <w:bCs/>
                <w:kern w:val="0"/>
                <w14:ligatures w14:val="none"/>
              </w:rPr>
              <w:t>51,760</w:t>
            </w:r>
            <w:r w:rsidRPr="008863E5">
              <w:rPr>
                <w:rFonts w:ascii="Arial" w:eastAsia="Calibri" w:hAnsi="Arial" w:cs="Arial"/>
                <w:b/>
                <w:bCs/>
              </w:rPr>
              <w:t>)</w:t>
            </w:r>
          </w:p>
        </w:tc>
      </w:tr>
      <w:tr w:rsidR="00254D61" w:rsidRPr="008863E5" w14:paraId="088661F1" w14:textId="77777777" w:rsidTr="00254D61">
        <w:trPr>
          <w:cantSplit/>
          <w:trHeight w:val="615"/>
        </w:trPr>
        <w:tc>
          <w:tcPr>
            <w:tcW w:w="4675" w:type="dxa"/>
            <w:shd w:val="clear" w:color="auto" w:fill="CAEDFB" w:themeFill="accent4" w:themeFillTint="33"/>
            <w:vAlign w:val="center"/>
          </w:tcPr>
          <w:p w14:paraId="3DCA658C" w14:textId="77777777" w:rsidR="00254D61" w:rsidRPr="008863E5" w:rsidRDefault="00254D61" w:rsidP="005D3606">
            <w:pPr>
              <w:spacing w:after="0" w:line="240" w:lineRule="auto"/>
              <w:rPr>
                <w:rFonts w:ascii="Arial" w:eastAsia="Times New Roman" w:hAnsi="Arial" w:cs="Arial"/>
                <w:b/>
                <w:bCs/>
                <w:color w:val="000000"/>
                <w:kern w:val="0"/>
                <w14:ligatures w14:val="none"/>
              </w:rPr>
            </w:pPr>
            <w:r w:rsidRPr="008863E5">
              <w:rPr>
                <w:rFonts w:ascii="Arial" w:eastAsia="Times New Roman" w:hAnsi="Arial" w:cs="Arial"/>
                <w:b/>
                <w:bCs/>
                <w:color w:val="000000"/>
                <w:kern w:val="0"/>
                <w14:ligatures w14:val="none"/>
              </w:rPr>
              <w:t>Risk factors for MRSA/</w:t>
            </w:r>
            <w:r w:rsidRPr="008863E5">
              <w:rPr>
                <w:rFonts w:ascii="Arial" w:eastAsia="Times New Roman" w:hAnsi="Arial" w:cs="Arial"/>
                <w:b/>
                <w:bCs/>
                <w:i/>
                <w:iCs/>
                <w:color w:val="000000"/>
                <w:kern w:val="0"/>
                <w14:ligatures w14:val="none"/>
              </w:rPr>
              <w:t>Pseudomonas aeruginosa</w:t>
            </w:r>
            <w:r w:rsidRPr="008863E5">
              <w:rPr>
                <w:rFonts w:ascii="Arial" w:eastAsia="Times New Roman" w:hAnsi="Arial" w:cs="Arial"/>
                <w:b/>
                <w:bCs/>
                <w:color w:val="000000"/>
                <w:kern w:val="0"/>
                <w14:ligatures w14:val="none"/>
              </w:rPr>
              <w:t xml:space="preserve"> from prior cultures; culture data from year prior</w:t>
            </w:r>
          </w:p>
        </w:tc>
        <w:tc>
          <w:tcPr>
            <w:tcW w:w="1800" w:type="dxa"/>
            <w:shd w:val="clear" w:color="auto" w:fill="CAEDFB" w:themeFill="accent4" w:themeFillTint="33"/>
            <w:vAlign w:val="center"/>
          </w:tcPr>
          <w:p w14:paraId="18A673F1" w14:textId="3178BE38" w:rsidR="00254D61" w:rsidRPr="008863E5" w:rsidRDefault="00254D61" w:rsidP="005D360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w:t>
            </w:r>
          </w:p>
        </w:tc>
        <w:tc>
          <w:tcPr>
            <w:tcW w:w="1920" w:type="dxa"/>
            <w:shd w:val="clear" w:color="auto" w:fill="CAEDFB" w:themeFill="accent4" w:themeFillTint="33"/>
            <w:vAlign w:val="center"/>
          </w:tcPr>
          <w:p w14:paraId="49A5A554" w14:textId="002642D7" w:rsidR="00254D61" w:rsidRPr="008863E5" w:rsidRDefault="00254D61" w:rsidP="005D360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w:t>
            </w:r>
          </w:p>
        </w:tc>
        <w:tc>
          <w:tcPr>
            <w:tcW w:w="1860" w:type="dxa"/>
            <w:shd w:val="clear" w:color="auto" w:fill="CAEDFB" w:themeFill="accent4" w:themeFillTint="33"/>
            <w:vAlign w:val="center"/>
          </w:tcPr>
          <w:p w14:paraId="750B1861" w14:textId="56DED313" w:rsidR="00254D61" w:rsidRPr="008863E5" w:rsidRDefault="00254D61" w:rsidP="005D3606">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w:t>
            </w:r>
          </w:p>
        </w:tc>
      </w:tr>
      <w:tr w:rsidR="00254D61" w:rsidRPr="008863E5" w14:paraId="4FFEB770" w14:textId="77777777" w:rsidTr="00254D61">
        <w:trPr>
          <w:cantSplit/>
          <w:trHeight w:val="548"/>
        </w:trPr>
        <w:tc>
          <w:tcPr>
            <w:tcW w:w="4675" w:type="dxa"/>
            <w:shd w:val="clear" w:color="auto" w:fill="auto"/>
            <w:vAlign w:val="center"/>
            <w:hideMark/>
          </w:tcPr>
          <w:p w14:paraId="2667FEF8" w14:textId="77777777" w:rsidR="00254D61" w:rsidRPr="008863E5" w:rsidRDefault="00254D61" w:rsidP="005D3606">
            <w:pPr>
              <w:spacing w:after="0" w:line="240" w:lineRule="auto"/>
              <w:ind w:left="155"/>
              <w:rPr>
                <w:rFonts w:ascii="Arial" w:eastAsia="Times New Roman" w:hAnsi="Arial" w:cs="Arial"/>
                <w:color w:val="000000"/>
                <w:kern w:val="0"/>
                <w14:ligatures w14:val="none"/>
              </w:rPr>
            </w:pPr>
            <w:r w:rsidRPr="008863E5">
              <w:rPr>
                <w:rFonts w:ascii="Arial" w:eastAsia="Times New Roman" w:hAnsi="Arial" w:cs="Arial"/>
                <w:color w:val="000000"/>
                <w:kern w:val="0"/>
                <w14:ligatures w14:val="none"/>
              </w:rPr>
              <w:t xml:space="preserve">Positive respiratory culture for </w:t>
            </w:r>
            <w:r w:rsidRPr="008863E5">
              <w:rPr>
                <w:rFonts w:ascii="Arial" w:eastAsia="Times New Roman" w:hAnsi="Arial" w:cs="Arial"/>
                <w:i/>
                <w:iCs/>
                <w:color w:val="000000"/>
                <w:kern w:val="0"/>
                <w14:ligatures w14:val="none"/>
              </w:rPr>
              <w:t>Pseudomonas</w:t>
            </w:r>
            <w:r w:rsidRPr="008863E5">
              <w:rPr>
                <w:rFonts w:ascii="Arial" w:eastAsia="Times New Roman" w:hAnsi="Arial" w:cs="Arial"/>
                <w:color w:val="000000"/>
                <w:kern w:val="0"/>
                <w14:ligatures w14:val="none"/>
              </w:rPr>
              <w:t xml:space="preserve"> aeruginosa in prior year </w:t>
            </w:r>
          </w:p>
        </w:tc>
        <w:tc>
          <w:tcPr>
            <w:tcW w:w="1800" w:type="dxa"/>
            <w:shd w:val="clear" w:color="auto" w:fill="auto"/>
            <w:vAlign w:val="center"/>
            <w:hideMark/>
          </w:tcPr>
          <w:p w14:paraId="7EAD2E35" w14:textId="2CF12601" w:rsidR="00254D61" w:rsidRPr="008863E5" w:rsidRDefault="00254D61" w:rsidP="005D3606">
            <w:pPr>
              <w:spacing w:after="0" w:line="240" w:lineRule="auto"/>
              <w:jc w:val="center"/>
              <w:rPr>
                <w:rFonts w:ascii="Arial" w:eastAsia="Times New Roman" w:hAnsi="Arial" w:cs="Arial"/>
                <w:color w:val="000000"/>
                <w:kern w:val="0"/>
                <w14:ligatures w14:val="none"/>
              </w:rPr>
            </w:pPr>
            <w:r w:rsidRPr="008863E5">
              <w:rPr>
                <w:rFonts w:ascii="Arial" w:eastAsia="Times New Roman" w:hAnsi="Arial" w:cs="Arial"/>
                <w:color w:val="000000"/>
                <w:kern w:val="0"/>
                <w14:ligatures w14:val="none"/>
              </w:rPr>
              <w:t>68</w:t>
            </w:r>
            <w:r>
              <w:rPr>
                <w:rFonts w:ascii="Arial" w:eastAsia="Times New Roman" w:hAnsi="Arial" w:cs="Arial"/>
                <w:color w:val="000000"/>
                <w:kern w:val="0"/>
                <w14:ligatures w14:val="none"/>
              </w:rPr>
              <w:t xml:space="preserve"> (1.1%)</w:t>
            </w:r>
          </w:p>
        </w:tc>
        <w:tc>
          <w:tcPr>
            <w:tcW w:w="1920" w:type="dxa"/>
            <w:shd w:val="clear" w:color="auto" w:fill="auto"/>
            <w:vAlign w:val="center"/>
            <w:hideMark/>
          </w:tcPr>
          <w:p w14:paraId="2E0500FB" w14:textId="77777777" w:rsidR="00254D61" w:rsidRPr="008863E5" w:rsidRDefault="00254D61" w:rsidP="005D3606">
            <w:pPr>
              <w:spacing w:after="0" w:line="240" w:lineRule="auto"/>
              <w:jc w:val="center"/>
              <w:rPr>
                <w:rFonts w:ascii="Arial" w:eastAsia="Times New Roman" w:hAnsi="Arial" w:cs="Arial"/>
                <w:color w:val="000000"/>
                <w:kern w:val="0"/>
                <w14:ligatures w14:val="none"/>
              </w:rPr>
            </w:pPr>
            <w:r w:rsidRPr="008863E5">
              <w:rPr>
                <w:rFonts w:ascii="Arial" w:eastAsia="Times New Roman" w:hAnsi="Arial" w:cs="Arial"/>
                <w:color w:val="000000"/>
                <w:kern w:val="0"/>
                <w14:ligatures w14:val="none"/>
              </w:rPr>
              <w:t>0</w:t>
            </w:r>
          </w:p>
        </w:tc>
        <w:tc>
          <w:tcPr>
            <w:tcW w:w="1860" w:type="dxa"/>
            <w:shd w:val="clear" w:color="auto" w:fill="auto"/>
            <w:vAlign w:val="center"/>
            <w:hideMark/>
          </w:tcPr>
          <w:p w14:paraId="4D758D4A" w14:textId="4E278781" w:rsidR="00254D61" w:rsidRPr="008863E5" w:rsidRDefault="00254D61" w:rsidP="005D3606">
            <w:pPr>
              <w:spacing w:after="0" w:line="240" w:lineRule="auto"/>
              <w:jc w:val="center"/>
              <w:rPr>
                <w:rFonts w:ascii="Arial" w:eastAsia="Times New Roman" w:hAnsi="Arial" w:cs="Arial"/>
                <w:color w:val="000000"/>
                <w:kern w:val="0"/>
                <w14:ligatures w14:val="none"/>
              </w:rPr>
            </w:pPr>
            <w:r w:rsidRPr="008863E5">
              <w:rPr>
                <w:rFonts w:ascii="Arial" w:eastAsia="Times New Roman" w:hAnsi="Arial" w:cs="Arial"/>
                <w:color w:val="000000"/>
                <w:kern w:val="0"/>
                <w14:ligatures w14:val="none"/>
              </w:rPr>
              <w:t>695</w:t>
            </w:r>
            <w:r>
              <w:rPr>
                <w:rFonts w:ascii="Arial" w:eastAsia="Times New Roman" w:hAnsi="Arial" w:cs="Arial"/>
                <w:color w:val="000000"/>
                <w:kern w:val="0"/>
                <w14:ligatures w14:val="none"/>
              </w:rPr>
              <w:t xml:space="preserve"> (1.3%)</w:t>
            </w:r>
          </w:p>
        </w:tc>
      </w:tr>
      <w:tr w:rsidR="00254D61" w:rsidRPr="008863E5" w14:paraId="0729C4C5" w14:textId="77777777" w:rsidTr="00254D61">
        <w:trPr>
          <w:cantSplit/>
          <w:trHeight w:val="611"/>
        </w:trPr>
        <w:tc>
          <w:tcPr>
            <w:tcW w:w="4675" w:type="dxa"/>
            <w:shd w:val="clear" w:color="auto" w:fill="auto"/>
            <w:vAlign w:val="center"/>
            <w:hideMark/>
          </w:tcPr>
          <w:p w14:paraId="79D01176" w14:textId="77777777" w:rsidR="00254D61" w:rsidRPr="008863E5" w:rsidRDefault="00254D61" w:rsidP="005D3606">
            <w:pPr>
              <w:spacing w:after="0" w:line="240" w:lineRule="auto"/>
              <w:ind w:left="155"/>
              <w:rPr>
                <w:rFonts w:ascii="Arial" w:eastAsia="Times New Roman" w:hAnsi="Arial" w:cs="Arial"/>
                <w:color w:val="000000"/>
                <w:kern w:val="0"/>
                <w14:ligatures w14:val="none"/>
              </w:rPr>
            </w:pPr>
            <w:bookmarkStart w:id="3" w:name="_Hlk180067727"/>
            <w:r w:rsidRPr="008863E5">
              <w:rPr>
                <w:rFonts w:ascii="Arial" w:eastAsia="Times New Roman" w:hAnsi="Arial" w:cs="Arial"/>
                <w:color w:val="000000"/>
                <w:kern w:val="0"/>
                <w14:ligatures w14:val="none"/>
              </w:rPr>
              <w:t>Positive respiratory culture for MRSA in prior year</w:t>
            </w:r>
            <w:bookmarkEnd w:id="3"/>
          </w:p>
        </w:tc>
        <w:tc>
          <w:tcPr>
            <w:tcW w:w="1800" w:type="dxa"/>
            <w:shd w:val="clear" w:color="auto" w:fill="auto"/>
            <w:vAlign w:val="center"/>
            <w:hideMark/>
          </w:tcPr>
          <w:p w14:paraId="3E3ACA89" w14:textId="21782621" w:rsidR="00254D61" w:rsidRPr="008863E5" w:rsidRDefault="00254D61" w:rsidP="005D3606">
            <w:pPr>
              <w:spacing w:after="0" w:line="240" w:lineRule="auto"/>
              <w:jc w:val="center"/>
              <w:rPr>
                <w:rFonts w:ascii="Arial" w:eastAsia="Times New Roman" w:hAnsi="Arial" w:cs="Arial"/>
                <w:color w:val="000000"/>
                <w:kern w:val="0"/>
                <w14:ligatures w14:val="none"/>
              </w:rPr>
            </w:pPr>
            <w:r w:rsidRPr="008863E5">
              <w:rPr>
                <w:rFonts w:ascii="Arial" w:eastAsia="Times New Roman" w:hAnsi="Arial" w:cs="Arial"/>
                <w:color w:val="000000"/>
                <w:kern w:val="0"/>
                <w14:ligatures w14:val="none"/>
              </w:rPr>
              <w:t>39</w:t>
            </w:r>
            <w:r>
              <w:rPr>
                <w:rFonts w:ascii="Arial" w:eastAsia="Times New Roman" w:hAnsi="Arial" w:cs="Arial"/>
                <w:color w:val="000000"/>
                <w:kern w:val="0"/>
                <w14:ligatures w14:val="none"/>
              </w:rPr>
              <w:t xml:space="preserve"> (0.6%)</w:t>
            </w:r>
          </w:p>
        </w:tc>
        <w:tc>
          <w:tcPr>
            <w:tcW w:w="1920" w:type="dxa"/>
            <w:shd w:val="clear" w:color="auto" w:fill="auto"/>
            <w:vAlign w:val="center"/>
            <w:hideMark/>
          </w:tcPr>
          <w:p w14:paraId="6598B676" w14:textId="77777777" w:rsidR="00254D61" w:rsidRPr="008863E5" w:rsidRDefault="00254D61" w:rsidP="005D3606">
            <w:pPr>
              <w:spacing w:after="0" w:line="240" w:lineRule="auto"/>
              <w:jc w:val="center"/>
              <w:rPr>
                <w:rFonts w:ascii="Arial" w:eastAsia="Times New Roman" w:hAnsi="Arial" w:cs="Arial"/>
                <w:kern w:val="0"/>
                <w14:ligatures w14:val="none"/>
              </w:rPr>
            </w:pPr>
            <w:r w:rsidRPr="008863E5">
              <w:rPr>
                <w:rFonts w:ascii="Arial" w:eastAsia="Times New Roman" w:hAnsi="Arial" w:cs="Arial"/>
                <w:kern w:val="0"/>
                <w14:ligatures w14:val="none"/>
              </w:rPr>
              <w:t>0</w:t>
            </w:r>
          </w:p>
        </w:tc>
        <w:tc>
          <w:tcPr>
            <w:tcW w:w="1860" w:type="dxa"/>
            <w:shd w:val="clear" w:color="auto" w:fill="auto"/>
            <w:vAlign w:val="center"/>
            <w:hideMark/>
          </w:tcPr>
          <w:p w14:paraId="4C74AB40" w14:textId="25C24C1C" w:rsidR="00254D61" w:rsidRPr="008863E5" w:rsidRDefault="00254D61" w:rsidP="005D3606">
            <w:pPr>
              <w:spacing w:after="0" w:line="240" w:lineRule="auto"/>
              <w:jc w:val="center"/>
              <w:rPr>
                <w:rFonts w:ascii="Arial" w:eastAsia="Times New Roman" w:hAnsi="Arial" w:cs="Arial"/>
                <w:color w:val="000000"/>
                <w:kern w:val="0"/>
                <w14:ligatures w14:val="none"/>
              </w:rPr>
            </w:pPr>
            <w:r w:rsidRPr="008863E5">
              <w:rPr>
                <w:rFonts w:ascii="Arial" w:eastAsia="Times New Roman" w:hAnsi="Arial" w:cs="Arial"/>
                <w:color w:val="000000"/>
                <w:kern w:val="0"/>
                <w14:ligatures w14:val="none"/>
              </w:rPr>
              <w:t>294</w:t>
            </w:r>
            <w:r>
              <w:rPr>
                <w:rFonts w:ascii="Arial" w:eastAsia="Times New Roman" w:hAnsi="Arial" w:cs="Arial"/>
                <w:color w:val="000000"/>
                <w:kern w:val="0"/>
                <w14:ligatures w14:val="none"/>
              </w:rPr>
              <w:t xml:space="preserve"> (0.6%)</w:t>
            </w:r>
          </w:p>
        </w:tc>
      </w:tr>
      <w:tr w:rsidR="00254D61" w:rsidRPr="008863E5" w14:paraId="37926F60" w14:textId="77777777" w:rsidTr="00254D61">
        <w:trPr>
          <w:cantSplit/>
          <w:trHeight w:val="539"/>
        </w:trPr>
        <w:tc>
          <w:tcPr>
            <w:tcW w:w="4675" w:type="dxa"/>
            <w:shd w:val="clear" w:color="auto" w:fill="CAEDFB" w:themeFill="accent4" w:themeFillTint="33"/>
            <w:vAlign w:val="center"/>
          </w:tcPr>
          <w:p w14:paraId="686E7907" w14:textId="77777777" w:rsidR="00254D61" w:rsidRPr="008863E5" w:rsidRDefault="00254D61" w:rsidP="00254D61">
            <w:pPr>
              <w:spacing w:after="0" w:line="240" w:lineRule="auto"/>
              <w:rPr>
                <w:rFonts w:ascii="Arial" w:eastAsia="Times New Roman" w:hAnsi="Arial" w:cs="Arial"/>
                <w:color w:val="000000"/>
                <w:kern w:val="0"/>
                <w14:ligatures w14:val="none"/>
              </w:rPr>
            </w:pPr>
            <w:r w:rsidRPr="008863E5">
              <w:rPr>
                <w:rFonts w:ascii="Arial" w:eastAsia="Times New Roman" w:hAnsi="Arial" w:cs="Arial"/>
                <w:b/>
                <w:bCs/>
                <w:color w:val="000000"/>
                <w:kern w:val="0"/>
                <w14:ligatures w14:val="none"/>
              </w:rPr>
              <w:t>Patients with severe pneumonia (see definition below)</w:t>
            </w:r>
          </w:p>
        </w:tc>
        <w:tc>
          <w:tcPr>
            <w:tcW w:w="1800" w:type="dxa"/>
            <w:shd w:val="clear" w:color="auto" w:fill="CAEDFB" w:themeFill="accent4" w:themeFillTint="33"/>
            <w:vAlign w:val="center"/>
          </w:tcPr>
          <w:p w14:paraId="7125FBF9" w14:textId="47625147" w:rsidR="00254D61" w:rsidRPr="008863E5" w:rsidRDefault="00254D61" w:rsidP="00254D61">
            <w:pPr>
              <w:spacing w:after="0" w:line="240" w:lineRule="auto"/>
              <w:jc w:val="center"/>
              <w:rPr>
                <w:rFonts w:ascii="Arial" w:eastAsia="Times New Roman" w:hAnsi="Arial" w:cs="Arial"/>
                <w:color w:val="000000"/>
                <w:kern w:val="0"/>
                <w14:ligatures w14:val="none"/>
              </w:rPr>
            </w:pPr>
            <w:r>
              <w:rPr>
                <w:rFonts w:ascii="Arial" w:eastAsia="Times New Roman" w:hAnsi="Arial" w:cs="Arial"/>
                <w:b/>
                <w:bCs/>
                <w:color w:val="000000"/>
                <w:kern w:val="0"/>
                <w14:ligatures w14:val="none"/>
              </w:rPr>
              <w:t>*</w:t>
            </w:r>
          </w:p>
        </w:tc>
        <w:tc>
          <w:tcPr>
            <w:tcW w:w="1920" w:type="dxa"/>
            <w:shd w:val="clear" w:color="auto" w:fill="CAEDFB" w:themeFill="accent4" w:themeFillTint="33"/>
            <w:vAlign w:val="center"/>
          </w:tcPr>
          <w:p w14:paraId="19491556" w14:textId="21D4ECBB" w:rsidR="00254D61" w:rsidRPr="008863E5" w:rsidRDefault="00254D61" w:rsidP="00254D61">
            <w:pPr>
              <w:spacing w:after="0" w:line="240" w:lineRule="auto"/>
              <w:jc w:val="center"/>
              <w:rPr>
                <w:rFonts w:ascii="Arial" w:eastAsia="Times New Roman" w:hAnsi="Arial" w:cs="Arial"/>
                <w:kern w:val="0"/>
                <w14:ligatures w14:val="none"/>
              </w:rPr>
            </w:pPr>
            <w:r>
              <w:rPr>
                <w:rFonts w:ascii="Arial" w:eastAsia="Times New Roman" w:hAnsi="Arial" w:cs="Arial"/>
                <w:b/>
                <w:bCs/>
                <w:color w:val="000000"/>
                <w:kern w:val="0"/>
                <w14:ligatures w14:val="none"/>
              </w:rPr>
              <w:t>*</w:t>
            </w:r>
          </w:p>
        </w:tc>
        <w:tc>
          <w:tcPr>
            <w:tcW w:w="1860" w:type="dxa"/>
            <w:shd w:val="clear" w:color="auto" w:fill="CAEDFB" w:themeFill="accent4" w:themeFillTint="33"/>
            <w:vAlign w:val="center"/>
          </w:tcPr>
          <w:p w14:paraId="3A55371C" w14:textId="008A96E8" w:rsidR="00254D61" w:rsidRPr="008863E5" w:rsidRDefault="00254D61" w:rsidP="00254D61">
            <w:pPr>
              <w:spacing w:after="0" w:line="240" w:lineRule="auto"/>
              <w:jc w:val="center"/>
              <w:rPr>
                <w:rFonts w:ascii="Arial" w:eastAsia="Times New Roman" w:hAnsi="Arial" w:cs="Arial"/>
                <w:color w:val="000000"/>
                <w:kern w:val="0"/>
                <w14:ligatures w14:val="none"/>
              </w:rPr>
            </w:pPr>
            <w:r>
              <w:rPr>
                <w:rFonts w:ascii="Arial" w:eastAsia="Times New Roman" w:hAnsi="Arial" w:cs="Arial"/>
                <w:b/>
                <w:bCs/>
                <w:color w:val="000000"/>
                <w:kern w:val="0"/>
                <w14:ligatures w14:val="none"/>
              </w:rPr>
              <w:t>*</w:t>
            </w:r>
          </w:p>
        </w:tc>
      </w:tr>
      <w:tr w:rsidR="00254D61" w:rsidRPr="008863E5" w14:paraId="64BF9B7D" w14:textId="77777777" w:rsidTr="00254D61">
        <w:trPr>
          <w:cantSplit/>
          <w:trHeight w:val="169"/>
        </w:trPr>
        <w:tc>
          <w:tcPr>
            <w:tcW w:w="4675" w:type="dxa"/>
            <w:shd w:val="clear" w:color="auto" w:fill="auto"/>
            <w:vAlign w:val="center"/>
            <w:hideMark/>
          </w:tcPr>
          <w:p w14:paraId="07C782FB" w14:textId="77777777" w:rsidR="00254D61" w:rsidRPr="008863E5" w:rsidRDefault="00254D61" w:rsidP="005D3606">
            <w:pPr>
              <w:spacing w:after="0" w:line="240" w:lineRule="auto"/>
              <w:ind w:left="155"/>
              <w:rPr>
                <w:rFonts w:ascii="Arial" w:eastAsia="Times New Roman" w:hAnsi="Arial" w:cs="Arial"/>
                <w:color w:val="000000"/>
                <w:kern w:val="0"/>
                <w14:ligatures w14:val="none"/>
              </w:rPr>
            </w:pPr>
            <w:r w:rsidRPr="008863E5">
              <w:rPr>
                <w:rFonts w:ascii="Arial" w:eastAsia="Times New Roman" w:hAnsi="Arial" w:cs="Arial"/>
                <w:color w:val="000000"/>
                <w:kern w:val="0"/>
                <w14:ligatures w14:val="none"/>
              </w:rPr>
              <w:t>Severe pneumonia + prior hospitalization with IV antibiotic in prior 3 months</w:t>
            </w:r>
          </w:p>
        </w:tc>
        <w:tc>
          <w:tcPr>
            <w:tcW w:w="1800" w:type="dxa"/>
            <w:shd w:val="clear" w:color="auto" w:fill="auto"/>
            <w:vAlign w:val="center"/>
            <w:hideMark/>
          </w:tcPr>
          <w:p w14:paraId="0BF88724" w14:textId="771DE138" w:rsidR="00254D61" w:rsidRPr="008863E5" w:rsidRDefault="00254D61" w:rsidP="005D3606">
            <w:pPr>
              <w:spacing w:after="0" w:line="240" w:lineRule="auto"/>
              <w:jc w:val="center"/>
              <w:rPr>
                <w:rFonts w:ascii="Arial" w:eastAsia="Times New Roman" w:hAnsi="Arial" w:cs="Arial"/>
                <w:color w:val="000000"/>
                <w:kern w:val="0"/>
                <w14:ligatures w14:val="none"/>
              </w:rPr>
            </w:pPr>
            <w:r w:rsidRPr="008863E5">
              <w:rPr>
                <w:rFonts w:ascii="Arial" w:eastAsia="Times New Roman" w:hAnsi="Arial" w:cs="Arial"/>
                <w:color w:val="000000"/>
                <w:kern w:val="0"/>
                <w14:ligatures w14:val="none"/>
              </w:rPr>
              <w:t>677</w:t>
            </w:r>
            <w:r>
              <w:rPr>
                <w:rFonts w:ascii="Arial" w:eastAsia="Times New Roman" w:hAnsi="Arial" w:cs="Arial"/>
                <w:color w:val="000000"/>
                <w:kern w:val="0"/>
                <w14:ligatures w14:val="none"/>
              </w:rPr>
              <w:t xml:space="preserve"> (10.8%)</w:t>
            </w:r>
          </w:p>
        </w:tc>
        <w:tc>
          <w:tcPr>
            <w:tcW w:w="1920" w:type="dxa"/>
            <w:shd w:val="clear" w:color="auto" w:fill="auto"/>
            <w:vAlign w:val="center"/>
            <w:hideMark/>
          </w:tcPr>
          <w:p w14:paraId="3C81BFB4" w14:textId="6F8B6F62" w:rsidR="00254D61" w:rsidRPr="008863E5" w:rsidRDefault="00254D61" w:rsidP="005D3606">
            <w:pPr>
              <w:spacing w:after="0" w:line="240" w:lineRule="auto"/>
              <w:jc w:val="center"/>
              <w:rPr>
                <w:rFonts w:ascii="Arial" w:eastAsia="Times New Roman" w:hAnsi="Arial" w:cs="Arial"/>
                <w:color w:val="000000"/>
                <w:kern w:val="0"/>
                <w14:ligatures w14:val="none"/>
              </w:rPr>
            </w:pPr>
            <w:r w:rsidRPr="008863E5">
              <w:rPr>
                <w:rFonts w:ascii="Arial" w:eastAsia="Times New Roman" w:hAnsi="Arial" w:cs="Arial"/>
                <w:color w:val="000000"/>
                <w:kern w:val="0"/>
                <w14:ligatures w14:val="none"/>
              </w:rPr>
              <w:t>36</w:t>
            </w:r>
            <w:r>
              <w:rPr>
                <w:rFonts w:ascii="Arial" w:eastAsia="Times New Roman" w:hAnsi="Arial" w:cs="Arial"/>
                <w:color w:val="000000"/>
                <w:kern w:val="0"/>
                <w14:ligatures w14:val="none"/>
              </w:rPr>
              <w:t xml:space="preserve"> (5.5%)</w:t>
            </w:r>
          </w:p>
        </w:tc>
        <w:tc>
          <w:tcPr>
            <w:tcW w:w="1860" w:type="dxa"/>
            <w:shd w:val="clear" w:color="auto" w:fill="auto"/>
            <w:vAlign w:val="center"/>
            <w:hideMark/>
          </w:tcPr>
          <w:p w14:paraId="301FF754" w14:textId="246A932E" w:rsidR="00254D61" w:rsidRPr="008863E5" w:rsidRDefault="00254D61" w:rsidP="005D3606">
            <w:pPr>
              <w:spacing w:after="0" w:line="240" w:lineRule="auto"/>
              <w:jc w:val="center"/>
              <w:rPr>
                <w:rFonts w:ascii="Arial" w:eastAsia="Times New Roman" w:hAnsi="Arial" w:cs="Arial"/>
                <w:color w:val="000000"/>
                <w:kern w:val="0"/>
                <w14:ligatures w14:val="none"/>
              </w:rPr>
            </w:pPr>
            <w:r w:rsidRPr="008863E5">
              <w:rPr>
                <w:rFonts w:ascii="Arial" w:eastAsia="Times New Roman" w:hAnsi="Arial" w:cs="Arial"/>
                <w:color w:val="000000"/>
                <w:kern w:val="0"/>
                <w14:ligatures w14:val="none"/>
              </w:rPr>
              <w:t>2233</w:t>
            </w:r>
            <w:r>
              <w:rPr>
                <w:rFonts w:ascii="Arial" w:eastAsia="Times New Roman" w:hAnsi="Arial" w:cs="Arial"/>
                <w:color w:val="000000"/>
                <w:kern w:val="0"/>
                <w14:ligatures w14:val="none"/>
              </w:rPr>
              <w:t xml:space="preserve"> (4.3%)</w:t>
            </w:r>
          </w:p>
        </w:tc>
      </w:tr>
      <w:tr w:rsidR="00254D61" w:rsidRPr="008863E5" w14:paraId="34769B96" w14:textId="77777777" w:rsidTr="00254D61">
        <w:trPr>
          <w:cantSplit/>
          <w:trHeight w:val="300"/>
        </w:trPr>
        <w:tc>
          <w:tcPr>
            <w:tcW w:w="4675" w:type="dxa"/>
            <w:shd w:val="clear" w:color="auto" w:fill="auto"/>
            <w:vAlign w:val="center"/>
            <w:hideMark/>
          </w:tcPr>
          <w:p w14:paraId="25BCF4E3" w14:textId="77777777" w:rsidR="00254D61" w:rsidRPr="008863E5" w:rsidRDefault="00254D61" w:rsidP="005D3606">
            <w:pPr>
              <w:spacing w:after="0" w:line="240" w:lineRule="auto"/>
              <w:rPr>
                <w:rFonts w:ascii="Arial" w:eastAsia="Times New Roman" w:hAnsi="Arial" w:cs="Arial"/>
                <w:b/>
                <w:bCs/>
                <w:color w:val="000000"/>
                <w:kern w:val="0"/>
                <w14:ligatures w14:val="none"/>
              </w:rPr>
            </w:pPr>
            <w:r w:rsidRPr="008863E5">
              <w:rPr>
                <w:rFonts w:ascii="Arial" w:eastAsia="Times New Roman" w:hAnsi="Arial" w:cs="Arial"/>
                <w:b/>
                <w:bCs/>
                <w:color w:val="000000"/>
                <w:kern w:val="0"/>
                <w14:ligatures w14:val="none"/>
              </w:rPr>
              <w:t>Ending population</w:t>
            </w:r>
          </w:p>
        </w:tc>
        <w:tc>
          <w:tcPr>
            <w:tcW w:w="1800" w:type="dxa"/>
            <w:shd w:val="clear" w:color="auto" w:fill="auto"/>
            <w:vAlign w:val="center"/>
          </w:tcPr>
          <w:p w14:paraId="5D0B6036" w14:textId="380C7BFC" w:rsidR="00254D61" w:rsidRPr="008863E5" w:rsidRDefault="00254D61" w:rsidP="005D3606">
            <w:pPr>
              <w:spacing w:after="0" w:line="240" w:lineRule="auto"/>
              <w:jc w:val="center"/>
              <w:rPr>
                <w:rFonts w:ascii="Arial" w:eastAsia="Times New Roman" w:hAnsi="Arial" w:cs="Arial"/>
                <w:b/>
                <w:bCs/>
                <w:color w:val="000000"/>
                <w:kern w:val="0"/>
                <w14:ligatures w14:val="none"/>
              </w:rPr>
            </w:pPr>
            <w:r w:rsidRPr="008863E5">
              <w:rPr>
                <w:rFonts w:ascii="Arial" w:eastAsia="Times New Roman" w:hAnsi="Arial" w:cs="Arial"/>
                <w:b/>
                <w:bCs/>
                <w:color w:val="000000"/>
                <w:kern w:val="0"/>
                <w14:ligatures w14:val="none"/>
              </w:rPr>
              <w:t>5,553</w:t>
            </w:r>
            <w:r>
              <w:rPr>
                <w:rFonts w:ascii="Arial" w:eastAsia="Times New Roman" w:hAnsi="Arial" w:cs="Arial"/>
                <w:b/>
                <w:bCs/>
                <w:color w:val="000000"/>
                <w:kern w:val="0"/>
                <w14:ligatures w14:val="none"/>
              </w:rPr>
              <w:t xml:space="preserve"> (88.4%)</w:t>
            </w:r>
          </w:p>
        </w:tc>
        <w:tc>
          <w:tcPr>
            <w:tcW w:w="1920" w:type="dxa"/>
            <w:shd w:val="clear" w:color="auto" w:fill="auto"/>
            <w:noWrap/>
            <w:vAlign w:val="center"/>
            <w:hideMark/>
          </w:tcPr>
          <w:p w14:paraId="221D3DDE" w14:textId="6F578CE6" w:rsidR="00254D61" w:rsidRPr="008863E5" w:rsidRDefault="00254D61" w:rsidP="005D3606">
            <w:pPr>
              <w:spacing w:after="0" w:line="240" w:lineRule="auto"/>
              <w:jc w:val="center"/>
              <w:rPr>
                <w:rFonts w:ascii="Arial" w:eastAsia="Times New Roman" w:hAnsi="Arial" w:cs="Arial"/>
                <w:b/>
                <w:bCs/>
                <w:kern w:val="0"/>
                <w14:ligatures w14:val="none"/>
              </w:rPr>
            </w:pPr>
            <w:r w:rsidRPr="008863E5">
              <w:rPr>
                <w:rFonts w:ascii="Arial" w:eastAsia="Times New Roman" w:hAnsi="Arial" w:cs="Arial"/>
                <w:b/>
                <w:bCs/>
                <w:kern w:val="0"/>
                <w14:ligatures w14:val="none"/>
              </w:rPr>
              <w:t>619</w:t>
            </w:r>
            <w:r>
              <w:rPr>
                <w:rFonts w:ascii="Arial" w:eastAsia="Times New Roman" w:hAnsi="Arial" w:cs="Arial"/>
                <w:b/>
                <w:bCs/>
                <w:kern w:val="0"/>
                <w14:ligatures w14:val="none"/>
              </w:rPr>
              <w:t xml:space="preserve"> (94.5%)</w:t>
            </w:r>
          </w:p>
        </w:tc>
        <w:tc>
          <w:tcPr>
            <w:tcW w:w="1860" w:type="dxa"/>
            <w:shd w:val="clear" w:color="auto" w:fill="auto"/>
            <w:noWrap/>
            <w:vAlign w:val="center"/>
            <w:hideMark/>
          </w:tcPr>
          <w:p w14:paraId="3108497C" w14:textId="3CCFD280" w:rsidR="00254D61" w:rsidRPr="008863E5" w:rsidRDefault="00254D61" w:rsidP="005D3606">
            <w:pPr>
              <w:spacing w:after="0" w:line="240" w:lineRule="auto"/>
              <w:jc w:val="center"/>
              <w:rPr>
                <w:rFonts w:ascii="Arial" w:eastAsia="Times New Roman" w:hAnsi="Arial" w:cs="Arial"/>
                <w:b/>
                <w:bCs/>
                <w:color w:val="000000"/>
                <w:kern w:val="0"/>
                <w14:ligatures w14:val="none"/>
              </w:rPr>
            </w:pPr>
            <w:r w:rsidRPr="008863E5">
              <w:rPr>
                <w:rFonts w:ascii="Arial" w:eastAsia="Times New Roman" w:hAnsi="Arial" w:cs="Arial"/>
                <w:b/>
                <w:bCs/>
                <w:color w:val="000000"/>
                <w:kern w:val="0"/>
                <w14:ligatures w14:val="none"/>
              </w:rPr>
              <w:t>48742</w:t>
            </w:r>
            <w:r>
              <w:rPr>
                <w:rFonts w:ascii="Arial" w:eastAsia="Times New Roman" w:hAnsi="Arial" w:cs="Arial"/>
                <w:b/>
                <w:bCs/>
                <w:color w:val="000000"/>
                <w:kern w:val="0"/>
                <w14:ligatures w14:val="none"/>
              </w:rPr>
              <w:t xml:space="preserve"> (94.2%)</w:t>
            </w:r>
          </w:p>
        </w:tc>
      </w:tr>
    </w:tbl>
    <w:p w14:paraId="381EBC2F" w14:textId="77777777" w:rsidR="00254D61" w:rsidRDefault="00254D61" w:rsidP="00254D61">
      <w:pPr>
        <w:rPr>
          <w:rFonts w:ascii="Arial" w:hAnsi="Arial" w:cs="Arial"/>
          <w:sz w:val="20"/>
          <w:szCs w:val="20"/>
        </w:rPr>
      </w:pPr>
      <w:r>
        <w:rPr>
          <w:rFonts w:ascii="Arial" w:hAnsi="Arial" w:cs="Arial"/>
          <w:sz w:val="20"/>
          <w:szCs w:val="20"/>
        </w:rPr>
        <w:t>*cell intentionally left empty</w:t>
      </w:r>
    </w:p>
    <w:p w14:paraId="453B97CB" w14:textId="77777777" w:rsidR="00D35A0D" w:rsidRDefault="00D35A0D" w:rsidP="00D35A0D">
      <w:pPr>
        <w:spacing w:after="0"/>
        <w:rPr>
          <w:rFonts w:ascii="Arial" w:hAnsi="Arial" w:cs="Arial"/>
        </w:rPr>
      </w:pPr>
    </w:p>
    <w:p w14:paraId="2E999AA6" w14:textId="77777777" w:rsidR="00254D61" w:rsidRPr="008863E5" w:rsidRDefault="00254D61" w:rsidP="00D35A0D">
      <w:pPr>
        <w:spacing w:after="0"/>
        <w:rPr>
          <w:rFonts w:ascii="Arial" w:hAnsi="Arial" w:cs="Arial"/>
        </w:rPr>
      </w:pPr>
    </w:p>
    <w:bookmarkEnd w:id="1"/>
    <w:p w14:paraId="1A3B1978" w14:textId="77777777" w:rsidR="00D35A0D" w:rsidRPr="008863E5" w:rsidRDefault="00D35A0D" w:rsidP="00D35A0D">
      <w:pPr>
        <w:spacing w:after="0"/>
        <w:rPr>
          <w:rFonts w:ascii="Arial" w:hAnsi="Arial" w:cs="Arial"/>
        </w:rPr>
      </w:pPr>
    </w:p>
    <w:p w14:paraId="6A4A1BE0" w14:textId="77777777" w:rsidR="00254D61" w:rsidRDefault="00D35A0D" w:rsidP="00254D61">
      <w:pPr>
        <w:spacing w:after="0"/>
        <w:rPr>
          <w:rFonts w:ascii="Arial" w:hAnsi="Arial" w:cs="Arial"/>
        </w:rPr>
      </w:pPr>
      <w:bookmarkStart w:id="4" w:name="_Hlk181171852"/>
      <w:r w:rsidRPr="00254D61">
        <w:rPr>
          <w:rFonts w:ascii="Arial" w:hAnsi="Arial" w:cs="Arial"/>
          <w:b/>
          <w:bCs/>
        </w:rPr>
        <w:t>Table 18.</w:t>
      </w:r>
      <w:r w:rsidRPr="008863E5">
        <w:rPr>
          <w:rFonts w:ascii="Arial" w:hAnsi="Arial" w:cs="Arial"/>
          <w:b/>
          <w:bCs/>
        </w:rPr>
        <w:t xml:space="preserve"> </w:t>
      </w:r>
      <w:r w:rsidR="00254D61" w:rsidRPr="0058381B">
        <w:rPr>
          <w:rFonts w:ascii="Arial" w:hAnsi="Arial" w:cs="Arial"/>
        </w:rPr>
        <w:t>Sensitivity/Specificity of Exclusion Criteria Comparing eCQM and Chart Review (UM, n=592)</w:t>
      </w:r>
    </w:p>
    <w:p w14:paraId="44527245" w14:textId="77777777" w:rsidR="0037116F" w:rsidRPr="0058381B" w:rsidRDefault="0037116F" w:rsidP="00254D61">
      <w:pPr>
        <w:spacing w:after="0"/>
        <w:rPr>
          <w:rFonts w:ascii="Arial" w:hAnsi="Arial" w:cs="Arial"/>
        </w:rPr>
      </w:pPr>
    </w:p>
    <w:tbl>
      <w:tblPr>
        <w:tblStyle w:val="TableGrid"/>
        <w:tblW w:w="5000" w:type="pct"/>
        <w:tblLayout w:type="fixed"/>
        <w:tblLook w:val="04A0" w:firstRow="1" w:lastRow="0" w:firstColumn="1" w:lastColumn="0" w:noHBand="0" w:noVBand="1"/>
        <w:tblCaption w:val="Table 18. Sensitivity/Specificity of exclusion criteria comparing eCQM and chart review"/>
        <w:tblDescription w:val="eCQM and chart review data were compared to determine sensitivity and specificity for duration-specific denominator exclusions. Sensitivity for time to clinical stability was low (29%) but specifity was high (98%). Sensitivity and specificity for all other duration-specific exclusions was high (88%-100%)"/>
      </w:tblPr>
      <w:tblGrid>
        <w:gridCol w:w="3146"/>
        <w:gridCol w:w="1320"/>
        <w:gridCol w:w="1988"/>
        <w:gridCol w:w="1988"/>
        <w:gridCol w:w="1988"/>
      </w:tblGrid>
      <w:tr w:rsidR="00254D61" w:rsidRPr="008863E5" w14:paraId="446B4BB5" w14:textId="77777777" w:rsidTr="00DA17D3">
        <w:trPr>
          <w:cantSplit/>
          <w:tblHeader/>
        </w:trPr>
        <w:tc>
          <w:tcPr>
            <w:tcW w:w="1508" w:type="pct"/>
            <w:vAlign w:val="center"/>
          </w:tcPr>
          <w:p w14:paraId="67189508" w14:textId="7DDB68C7" w:rsidR="00254D61" w:rsidRPr="0037116F" w:rsidRDefault="00254D61" w:rsidP="00254D61">
            <w:pPr>
              <w:pStyle w:val="ListParagraph"/>
              <w:ind w:left="0"/>
              <w:rPr>
                <w:rFonts w:ascii="Arial" w:hAnsi="Arial" w:cs="Arial"/>
                <w:b/>
                <w:bCs/>
                <w:sz w:val="20"/>
                <w:szCs w:val="20"/>
              </w:rPr>
            </w:pPr>
            <w:r w:rsidRPr="0037116F">
              <w:rPr>
                <w:rFonts w:ascii="Arial" w:hAnsi="Arial" w:cs="Arial"/>
                <w:b/>
                <w:bCs/>
                <w:sz w:val="20"/>
                <w:szCs w:val="20"/>
              </w:rPr>
              <w:t>*</w:t>
            </w:r>
          </w:p>
        </w:tc>
        <w:tc>
          <w:tcPr>
            <w:tcW w:w="633" w:type="pct"/>
            <w:vAlign w:val="center"/>
          </w:tcPr>
          <w:p w14:paraId="351A4B45" w14:textId="37714822" w:rsidR="00254D61" w:rsidRPr="0037116F" w:rsidRDefault="00254D61" w:rsidP="00254D61">
            <w:pPr>
              <w:pStyle w:val="ListParagraph"/>
              <w:ind w:left="0"/>
              <w:jc w:val="center"/>
              <w:rPr>
                <w:rFonts w:ascii="Arial" w:hAnsi="Arial" w:cs="Arial"/>
                <w:sz w:val="20"/>
                <w:szCs w:val="20"/>
              </w:rPr>
            </w:pPr>
            <w:r w:rsidRPr="0037116F">
              <w:rPr>
                <w:rFonts w:ascii="Arial" w:hAnsi="Arial" w:cs="Arial"/>
                <w:sz w:val="20"/>
                <w:szCs w:val="20"/>
              </w:rPr>
              <w:t>UM eCQM data (electronic) n (%)</w:t>
            </w:r>
          </w:p>
        </w:tc>
        <w:tc>
          <w:tcPr>
            <w:tcW w:w="953" w:type="pct"/>
            <w:vAlign w:val="center"/>
          </w:tcPr>
          <w:p w14:paraId="700873C2" w14:textId="79D2DBAC" w:rsidR="00254D61" w:rsidRPr="0037116F" w:rsidRDefault="00254D61" w:rsidP="00254D61">
            <w:pPr>
              <w:pStyle w:val="ListParagraph"/>
              <w:ind w:left="0"/>
              <w:jc w:val="center"/>
              <w:rPr>
                <w:rFonts w:ascii="Arial" w:hAnsi="Arial" w:cs="Arial"/>
                <w:sz w:val="20"/>
                <w:szCs w:val="20"/>
              </w:rPr>
            </w:pPr>
            <w:r w:rsidRPr="0037116F">
              <w:rPr>
                <w:rFonts w:ascii="Arial" w:hAnsi="Arial" w:cs="Arial"/>
                <w:sz w:val="20"/>
                <w:szCs w:val="20"/>
              </w:rPr>
              <w:t>UM HMS data (chart review) n (%)</w:t>
            </w:r>
          </w:p>
        </w:tc>
        <w:tc>
          <w:tcPr>
            <w:tcW w:w="953" w:type="pct"/>
            <w:shd w:val="clear" w:color="auto" w:fill="auto"/>
            <w:vAlign w:val="center"/>
          </w:tcPr>
          <w:p w14:paraId="0F4DC839" w14:textId="6F5A0411" w:rsidR="00254D61" w:rsidRPr="0037116F" w:rsidRDefault="00254D61" w:rsidP="00254D61">
            <w:pPr>
              <w:pStyle w:val="ListParagraph"/>
              <w:ind w:left="0"/>
              <w:jc w:val="center"/>
              <w:rPr>
                <w:rFonts w:ascii="Arial" w:hAnsi="Arial" w:cs="Arial"/>
                <w:sz w:val="20"/>
                <w:szCs w:val="20"/>
              </w:rPr>
            </w:pPr>
            <w:r w:rsidRPr="0037116F">
              <w:rPr>
                <w:rFonts w:ascii="Arial" w:hAnsi="Arial" w:cs="Arial"/>
                <w:sz w:val="20"/>
                <w:szCs w:val="20"/>
              </w:rPr>
              <w:t>Sensitivity of UM eCQM (vs. UM HMS chart review)</w:t>
            </w:r>
          </w:p>
        </w:tc>
        <w:tc>
          <w:tcPr>
            <w:tcW w:w="953" w:type="pct"/>
            <w:shd w:val="clear" w:color="auto" w:fill="auto"/>
            <w:vAlign w:val="center"/>
          </w:tcPr>
          <w:p w14:paraId="3606F82B" w14:textId="1A3C1CD1" w:rsidR="00254D61" w:rsidRPr="0037116F" w:rsidRDefault="00254D61" w:rsidP="00254D61">
            <w:pPr>
              <w:pStyle w:val="ListParagraph"/>
              <w:ind w:left="0"/>
              <w:jc w:val="center"/>
              <w:rPr>
                <w:rFonts w:ascii="Arial" w:hAnsi="Arial" w:cs="Arial"/>
                <w:sz w:val="20"/>
                <w:szCs w:val="20"/>
              </w:rPr>
            </w:pPr>
            <w:r w:rsidRPr="0037116F">
              <w:rPr>
                <w:rFonts w:ascii="Arial" w:hAnsi="Arial" w:cs="Arial"/>
                <w:sz w:val="20"/>
                <w:szCs w:val="20"/>
              </w:rPr>
              <w:t xml:space="preserve">Specificity of UM eCQM (vs. UM HMS chart review) </w:t>
            </w:r>
          </w:p>
        </w:tc>
      </w:tr>
      <w:tr w:rsidR="00D35A0D" w:rsidRPr="008863E5" w14:paraId="66C16D8C" w14:textId="77777777" w:rsidTr="00DA17D3">
        <w:trPr>
          <w:cantSplit/>
          <w:trHeight w:val="350"/>
        </w:trPr>
        <w:tc>
          <w:tcPr>
            <w:tcW w:w="1508" w:type="pct"/>
            <w:shd w:val="clear" w:color="auto" w:fill="C1E4F5" w:themeFill="accent1" w:themeFillTint="33"/>
          </w:tcPr>
          <w:p w14:paraId="63444089" w14:textId="77777777" w:rsidR="00D35A0D" w:rsidRPr="0037116F" w:rsidRDefault="00D35A0D" w:rsidP="005D3606">
            <w:pPr>
              <w:pStyle w:val="ListParagraph"/>
              <w:ind w:left="0"/>
              <w:rPr>
                <w:rFonts w:ascii="Arial" w:hAnsi="Arial" w:cs="Arial"/>
                <w:sz w:val="20"/>
                <w:szCs w:val="20"/>
              </w:rPr>
            </w:pPr>
            <w:r w:rsidRPr="0037116F">
              <w:rPr>
                <w:rFonts w:ascii="Arial" w:hAnsi="Arial" w:cs="Arial"/>
                <w:b/>
                <w:bCs/>
                <w:sz w:val="20"/>
                <w:szCs w:val="20"/>
              </w:rPr>
              <w:t>Empiric-specific Exclusions</w:t>
            </w:r>
          </w:p>
        </w:tc>
        <w:tc>
          <w:tcPr>
            <w:tcW w:w="633" w:type="pct"/>
            <w:shd w:val="clear" w:color="auto" w:fill="C1E4F5" w:themeFill="accent1" w:themeFillTint="33"/>
            <w:vAlign w:val="center"/>
          </w:tcPr>
          <w:p w14:paraId="4C6CA32E" w14:textId="77777777" w:rsidR="00D35A0D" w:rsidRPr="0037116F" w:rsidRDefault="00D35A0D" w:rsidP="0037116F">
            <w:pPr>
              <w:pStyle w:val="ListParagraph"/>
              <w:ind w:left="0"/>
              <w:jc w:val="center"/>
              <w:rPr>
                <w:rFonts w:ascii="Arial" w:hAnsi="Arial" w:cs="Arial"/>
                <w:sz w:val="20"/>
                <w:szCs w:val="20"/>
              </w:rPr>
            </w:pPr>
            <w:r w:rsidRPr="0037116F">
              <w:rPr>
                <w:rFonts w:ascii="Arial" w:hAnsi="Arial" w:cs="Arial"/>
                <w:sz w:val="20"/>
                <w:szCs w:val="20"/>
              </w:rPr>
              <w:t>n=592</w:t>
            </w:r>
          </w:p>
        </w:tc>
        <w:tc>
          <w:tcPr>
            <w:tcW w:w="953" w:type="pct"/>
            <w:shd w:val="clear" w:color="auto" w:fill="C1E4F5" w:themeFill="accent1" w:themeFillTint="33"/>
            <w:vAlign w:val="center"/>
          </w:tcPr>
          <w:p w14:paraId="7EBD0CA0" w14:textId="77777777" w:rsidR="00D35A0D" w:rsidRPr="0037116F" w:rsidRDefault="00D35A0D" w:rsidP="0037116F">
            <w:pPr>
              <w:pStyle w:val="ListParagraph"/>
              <w:ind w:left="0"/>
              <w:jc w:val="center"/>
              <w:rPr>
                <w:rFonts w:ascii="Arial" w:hAnsi="Arial" w:cs="Arial"/>
                <w:sz w:val="20"/>
                <w:szCs w:val="20"/>
              </w:rPr>
            </w:pPr>
            <w:r w:rsidRPr="0037116F">
              <w:rPr>
                <w:rFonts w:ascii="Arial" w:hAnsi="Arial" w:cs="Arial"/>
                <w:sz w:val="20"/>
                <w:szCs w:val="20"/>
              </w:rPr>
              <w:t>n=592</w:t>
            </w:r>
          </w:p>
        </w:tc>
        <w:tc>
          <w:tcPr>
            <w:tcW w:w="953" w:type="pct"/>
            <w:shd w:val="clear" w:color="auto" w:fill="C1E4F5" w:themeFill="accent1" w:themeFillTint="33"/>
            <w:vAlign w:val="center"/>
          </w:tcPr>
          <w:p w14:paraId="359A4C10" w14:textId="4B9FA573" w:rsidR="00D35A0D" w:rsidRPr="0037116F" w:rsidRDefault="0037116F" w:rsidP="0037116F">
            <w:pPr>
              <w:pStyle w:val="ListParagraph"/>
              <w:ind w:left="0"/>
              <w:jc w:val="center"/>
              <w:rPr>
                <w:rFonts w:ascii="Arial" w:hAnsi="Arial" w:cs="Arial"/>
                <w:sz w:val="20"/>
                <w:szCs w:val="20"/>
              </w:rPr>
            </w:pPr>
            <w:r w:rsidRPr="0037116F">
              <w:rPr>
                <w:rFonts w:ascii="Arial" w:hAnsi="Arial" w:cs="Arial"/>
                <w:sz w:val="20"/>
                <w:szCs w:val="20"/>
              </w:rPr>
              <w:t>n=592</w:t>
            </w:r>
          </w:p>
        </w:tc>
        <w:tc>
          <w:tcPr>
            <w:tcW w:w="953" w:type="pct"/>
            <w:shd w:val="clear" w:color="auto" w:fill="C1E4F5" w:themeFill="accent1" w:themeFillTint="33"/>
            <w:vAlign w:val="center"/>
          </w:tcPr>
          <w:p w14:paraId="7B64D80D" w14:textId="469B045E" w:rsidR="00D35A0D" w:rsidRPr="0037116F" w:rsidRDefault="0037116F" w:rsidP="0037116F">
            <w:pPr>
              <w:pStyle w:val="ListParagraph"/>
              <w:ind w:left="0"/>
              <w:jc w:val="center"/>
              <w:rPr>
                <w:rFonts w:ascii="Arial" w:hAnsi="Arial" w:cs="Arial"/>
                <w:sz w:val="20"/>
                <w:szCs w:val="20"/>
              </w:rPr>
            </w:pPr>
            <w:r w:rsidRPr="0037116F">
              <w:rPr>
                <w:rFonts w:ascii="Arial" w:hAnsi="Arial" w:cs="Arial"/>
                <w:sz w:val="20"/>
                <w:szCs w:val="20"/>
              </w:rPr>
              <w:t>n=592</w:t>
            </w:r>
          </w:p>
        </w:tc>
      </w:tr>
      <w:tr w:rsidR="00D35A0D" w:rsidRPr="008863E5" w14:paraId="295AE013" w14:textId="77777777" w:rsidTr="00DA17D3">
        <w:trPr>
          <w:cantSplit/>
          <w:trHeight w:val="350"/>
        </w:trPr>
        <w:tc>
          <w:tcPr>
            <w:tcW w:w="1508" w:type="pct"/>
          </w:tcPr>
          <w:p w14:paraId="25947365" w14:textId="77777777" w:rsidR="00D35A0D" w:rsidRPr="0037116F" w:rsidRDefault="00D35A0D" w:rsidP="005D3606">
            <w:pPr>
              <w:pStyle w:val="ListParagraph"/>
              <w:ind w:left="0"/>
              <w:rPr>
                <w:rFonts w:ascii="Arial" w:hAnsi="Arial" w:cs="Arial"/>
                <w:sz w:val="20"/>
                <w:szCs w:val="20"/>
              </w:rPr>
            </w:pPr>
            <w:r w:rsidRPr="0037116F">
              <w:rPr>
                <w:rFonts w:ascii="Arial" w:hAnsi="Arial" w:cs="Arial"/>
                <w:color w:val="000000"/>
                <w:sz w:val="20"/>
                <w:szCs w:val="20"/>
              </w:rPr>
              <w:t xml:space="preserve">Positive respiratory culture for </w:t>
            </w:r>
            <w:r w:rsidRPr="0037116F">
              <w:rPr>
                <w:rFonts w:ascii="Arial" w:hAnsi="Arial" w:cs="Arial"/>
                <w:i/>
                <w:iCs/>
                <w:color w:val="000000"/>
                <w:sz w:val="20"/>
                <w:szCs w:val="20"/>
              </w:rPr>
              <w:t>Pseudomonas aeruginosa</w:t>
            </w:r>
            <w:r w:rsidRPr="0037116F">
              <w:rPr>
                <w:rFonts w:ascii="Arial" w:hAnsi="Arial" w:cs="Arial"/>
                <w:color w:val="000000"/>
                <w:sz w:val="20"/>
                <w:szCs w:val="20"/>
              </w:rPr>
              <w:t xml:space="preserve"> in prior year </w:t>
            </w:r>
          </w:p>
        </w:tc>
        <w:tc>
          <w:tcPr>
            <w:tcW w:w="633" w:type="pct"/>
            <w:vAlign w:val="center"/>
          </w:tcPr>
          <w:p w14:paraId="4B1BB3DF" w14:textId="77777777" w:rsidR="00D35A0D" w:rsidRPr="0037116F" w:rsidRDefault="00D35A0D" w:rsidP="0037116F">
            <w:pPr>
              <w:pStyle w:val="ListParagraph"/>
              <w:ind w:left="0"/>
              <w:jc w:val="center"/>
              <w:rPr>
                <w:rFonts w:ascii="Arial" w:hAnsi="Arial" w:cs="Arial"/>
                <w:sz w:val="20"/>
                <w:szCs w:val="20"/>
              </w:rPr>
            </w:pPr>
            <w:r w:rsidRPr="0037116F">
              <w:rPr>
                <w:rFonts w:ascii="Arial" w:hAnsi="Arial" w:cs="Arial"/>
                <w:sz w:val="20"/>
                <w:szCs w:val="20"/>
              </w:rPr>
              <w:t>10 (1.7%)</w:t>
            </w:r>
          </w:p>
        </w:tc>
        <w:tc>
          <w:tcPr>
            <w:tcW w:w="953" w:type="pct"/>
            <w:vAlign w:val="center"/>
          </w:tcPr>
          <w:p w14:paraId="00D0451D" w14:textId="77777777" w:rsidR="00D35A0D" w:rsidRPr="0037116F" w:rsidRDefault="00D35A0D" w:rsidP="0037116F">
            <w:pPr>
              <w:pStyle w:val="ListParagraph"/>
              <w:ind w:left="0"/>
              <w:jc w:val="center"/>
              <w:rPr>
                <w:rFonts w:ascii="Arial" w:hAnsi="Arial" w:cs="Arial"/>
                <w:sz w:val="20"/>
                <w:szCs w:val="20"/>
              </w:rPr>
            </w:pPr>
            <w:r w:rsidRPr="0037116F">
              <w:rPr>
                <w:rFonts w:ascii="Arial" w:hAnsi="Arial" w:cs="Arial"/>
                <w:sz w:val="20"/>
                <w:szCs w:val="20"/>
              </w:rPr>
              <w:t>8 (1.4%)</w:t>
            </w:r>
          </w:p>
        </w:tc>
        <w:tc>
          <w:tcPr>
            <w:tcW w:w="953" w:type="pct"/>
            <w:vAlign w:val="center"/>
          </w:tcPr>
          <w:p w14:paraId="50F80781" w14:textId="77777777" w:rsidR="00D35A0D" w:rsidRPr="0037116F" w:rsidRDefault="00D35A0D" w:rsidP="0037116F">
            <w:pPr>
              <w:pStyle w:val="ListParagraph"/>
              <w:ind w:left="0"/>
              <w:jc w:val="center"/>
              <w:rPr>
                <w:rFonts w:ascii="Arial" w:hAnsi="Arial" w:cs="Arial"/>
                <w:sz w:val="20"/>
                <w:szCs w:val="20"/>
              </w:rPr>
            </w:pPr>
            <w:r w:rsidRPr="0037116F">
              <w:rPr>
                <w:rFonts w:ascii="Arial" w:hAnsi="Arial" w:cs="Arial"/>
                <w:sz w:val="20"/>
                <w:szCs w:val="20"/>
              </w:rPr>
              <w:t>75.0% (6/8)</w:t>
            </w:r>
          </w:p>
        </w:tc>
        <w:tc>
          <w:tcPr>
            <w:tcW w:w="953" w:type="pct"/>
            <w:vAlign w:val="center"/>
          </w:tcPr>
          <w:p w14:paraId="5644D2E1" w14:textId="77777777" w:rsidR="00D35A0D" w:rsidRPr="0037116F" w:rsidRDefault="00D35A0D" w:rsidP="0037116F">
            <w:pPr>
              <w:pStyle w:val="ListParagraph"/>
              <w:ind w:left="0"/>
              <w:jc w:val="center"/>
              <w:rPr>
                <w:rFonts w:ascii="Arial" w:hAnsi="Arial" w:cs="Arial"/>
                <w:sz w:val="20"/>
                <w:szCs w:val="20"/>
              </w:rPr>
            </w:pPr>
            <w:r w:rsidRPr="0037116F">
              <w:rPr>
                <w:rFonts w:ascii="Arial" w:hAnsi="Arial" w:cs="Arial"/>
                <w:sz w:val="20"/>
                <w:szCs w:val="20"/>
              </w:rPr>
              <w:t>99.3% (580/584)</w:t>
            </w:r>
          </w:p>
        </w:tc>
      </w:tr>
      <w:tr w:rsidR="00D35A0D" w:rsidRPr="008863E5" w14:paraId="64DBC2F7" w14:textId="77777777" w:rsidTr="00DA17D3">
        <w:trPr>
          <w:cantSplit/>
          <w:trHeight w:val="350"/>
        </w:trPr>
        <w:tc>
          <w:tcPr>
            <w:tcW w:w="1508" w:type="pct"/>
          </w:tcPr>
          <w:p w14:paraId="1E5306AE" w14:textId="77777777" w:rsidR="00D35A0D" w:rsidRPr="0037116F" w:rsidRDefault="00D35A0D" w:rsidP="005D3606">
            <w:pPr>
              <w:pStyle w:val="ListParagraph"/>
              <w:ind w:left="0"/>
              <w:rPr>
                <w:rFonts w:ascii="Arial" w:hAnsi="Arial" w:cs="Arial"/>
                <w:sz w:val="20"/>
                <w:szCs w:val="20"/>
              </w:rPr>
            </w:pPr>
            <w:r w:rsidRPr="0037116F">
              <w:rPr>
                <w:rFonts w:ascii="Arial" w:hAnsi="Arial" w:cs="Arial"/>
                <w:bCs/>
                <w:sz w:val="20"/>
                <w:szCs w:val="20"/>
              </w:rPr>
              <w:t>Positive respiratory culture for MRSA in prior year</w:t>
            </w:r>
          </w:p>
        </w:tc>
        <w:tc>
          <w:tcPr>
            <w:tcW w:w="633" w:type="pct"/>
            <w:vAlign w:val="center"/>
          </w:tcPr>
          <w:p w14:paraId="72340984" w14:textId="77777777" w:rsidR="00D35A0D" w:rsidRPr="0037116F" w:rsidRDefault="00D35A0D" w:rsidP="0037116F">
            <w:pPr>
              <w:pStyle w:val="ListParagraph"/>
              <w:ind w:left="0"/>
              <w:jc w:val="center"/>
              <w:rPr>
                <w:rFonts w:ascii="Arial" w:hAnsi="Arial" w:cs="Arial"/>
                <w:sz w:val="20"/>
                <w:szCs w:val="20"/>
              </w:rPr>
            </w:pPr>
            <w:r w:rsidRPr="0037116F">
              <w:rPr>
                <w:rFonts w:ascii="Arial" w:hAnsi="Arial" w:cs="Arial"/>
                <w:sz w:val="20"/>
                <w:szCs w:val="20"/>
              </w:rPr>
              <w:t>9 (1.5%)</w:t>
            </w:r>
          </w:p>
        </w:tc>
        <w:tc>
          <w:tcPr>
            <w:tcW w:w="953" w:type="pct"/>
            <w:vAlign w:val="center"/>
          </w:tcPr>
          <w:p w14:paraId="515DF1A8" w14:textId="77777777" w:rsidR="00D35A0D" w:rsidRPr="0037116F" w:rsidRDefault="00D35A0D" w:rsidP="0037116F">
            <w:pPr>
              <w:pStyle w:val="ListParagraph"/>
              <w:ind w:left="0"/>
              <w:jc w:val="center"/>
              <w:rPr>
                <w:rFonts w:ascii="Arial" w:hAnsi="Arial" w:cs="Arial"/>
                <w:sz w:val="20"/>
                <w:szCs w:val="20"/>
              </w:rPr>
            </w:pPr>
            <w:r w:rsidRPr="0037116F">
              <w:rPr>
                <w:rFonts w:ascii="Arial" w:hAnsi="Arial" w:cs="Arial"/>
                <w:sz w:val="20"/>
                <w:szCs w:val="20"/>
              </w:rPr>
              <w:t>4 (0.7%)</w:t>
            </w:r>
          </w:p>
        </w:tc>
        <w:tc>
          <w:tcPr>
            <w:tcW w:w="953" w:type="pct"/>
            <w:vAlign w:val="center"/>
          </w:tcPr>
          <w:p w14:paraId="1C0C98AB" w14:textId="77777777" w:rsidR="00D35A0D" w:rsidRPr="0037116F" w:rsidRDefault="00D35A0D" w:rsidP="0037116F">
            <w:pPr>
              <w:pStyle w:val="ListParagraph"/>
              <w:ind w:left="0"/>
              <w:jc w:val="center"/>
              <w:rPr>
                <w:rFonts w:ascii="Arial" w:hAnsi="Arial" w:cs="Arial"/>
                <w:sz w:val="20"/>
                <w:szCs w:val="20"/>
              </w:rPr>
            </w:pPr>
            <w:r w:rsidRPr="0037116F">
              <w:rPr>
                <w:rFonts w:ascii="Arial" w:hAnsi="Arial" w:cs="Arial"/>
                <w:sz w:val="20"/>
                <w:szCs w:val="20"/>
              </w:rPr>
              <w:t>100.0% (4/4)</w:t>
            </w:r>
          </w:p>
        </w:tc>
        <w:tc>
          <w:tcPr>
            <w:tcW w:w="953" w:type="pct"/>
            <w:vAlign w:val="center"/>
          </w:tcPr>
          <w:p w14:paraId="2A499B69" w14:textId="77777777" w:rsidR="00D35A0D" w:rsidRPr="0037116F" w:rsidRDefault="00D35A0D" w:rsidP="0037116F">
            <w:pPr>
              <w:pStyle w:val="ListParagraph"/>
              <w:ind w:left="0"/>
              <w:jc w:val="center"/>
              <w:rPr>
                <w:rFonts w:ascii="Arial" w:hAnsi="Arial" w:cs="Arial"/>
                <w:sz w:val="20"/>
                <w:szCs w:val="20"/>
              </w:rPr>
            </w:pPr>
            <w:r w:rsidRPr="0037116F">
              <w:rPr>
                <w:rFonts w:ascii="Arial" w:hAnsi="Arial" w:cs="Arial"/>
                <w:sz w:val="20"/>
                <w:szCs w:val="20"/>
              </w:rPr>
              <w:t>99.2% (583/588)</w:t>
            </w:r>
          </w:p>
        </w:tc>
      </w:tr>
      <w:tr w:rsidR="00D35A0D" w:rsidRPr="008863E5" w14:paraId="2F785EBC" w14:textId="77777777" w:rsidTr="00DA17D3">
        <w:trPr>
          <w:cantSplit/>
          <w:trHeight w:val="350"/>
        </w:trPr>
        <w:tc>
          <w:tcPr>
            <w:tcW w:w="1508" w:type="pct"/>
          </w:tcPr>
          <w:p w14:paraId="5DD363EE" w14:textId="77777777" w:rsidR="00D35A0D" w:rsidRPr="0037116F" w:rsidRDefault="00D35A0D" w:rsidP="005D3606">
            <w:pPr>
              <w:pStyle w:val="ListParagraph"/>
              <w:ind w:left="0"/>
              <w:rPr>
                <w:rFonts w:ascii="Arial" w:hAnsi="Arial" w:cs="Arial"/>
                <w:sz w:val="20"/>
                <w:szCs w:val="20"/>
              </w:rPr>
            </w:pPr>
            <w:r w:rsidRPr="0037116F">
              <w:rPr>
                <w:rFonts w:ascii="Arial" w:hAnsi="Arial" w:cs="Arial"/>
                <w:sz w:val="20"/>
                <w:szCs w:val="20"/>
              </w:rPr>
              <w:t>Both severe pneumonia</w:t>
            </w:r>
            <w:r w:rsidRPr="0037116F">
              <w:rPr>
                <w:rFonts w:ascii="Arial" w:hAnsi="Arial" w:cs="Arial"/>
                <w:sz w:val="20"/>
                <w:szCs w:val="20"/>
                <w:vertAlign w:val="superscript"/>
              </w:rPr>
              <w:t>1</w:t>
            </w:r>
            <w:r w:rsidRPr="0037116F">
              <w:rPr>
                <w:rFonts w:ascii="Arial" w:hAnsi="Arial" w:cs="Arial"/>
                <w:sz w:val="20"/>
                <w:szCs w:val="20"/>
              </w:rPr>
              <w:t xml:space="preserve"> AND prior hospitalization with IV antibiotic in prior 3 months</w:t>
            </w:r>
          </w:p>
        </w:tc>
        <w:tc>
          <w:tcPr>
            <w:tcW w:w="633" w:type="pct"/>
            <w:vAlign w:val="center"/>
          </w:tcPr>
          <w:p w14:paraId="11AD9860" w14:textId="77777777" w:rsidR="00D35A0D" w:rsidRPr="0037116F" w:rsidRDefault="00D35A0D" w:rsidP="0037116F">
            <w:pPr>
              <w:pStyle w:val="ListParagraph"/>
              <w:ind w:left="0"/>
              <w:jc w:val="center"/>
              <w:rPr>
                <w:rFonts w:ascii="Arial" w:hAnsi="Arial" w:cs="Arial"/>
                <w:sz w:val="20"/>
                <w:szCs w:val="20"/>
              </w:rPr>
            </w:pPr>
            <w:r w:rsidRPr="0037116F">
              <w:rPr>
                <w:rFonts w:ascii="Arial" w:hAnsi="Arial" w:cs="Arial"/>
                <w:sz w:val="20"/>
                <w:szCs w:val="20"/>
              </w:rPr>
              <w:t>43 (7.3%)</w:t>
            </w:r>
          </w:p>
        </w:tc>
        <w:tc>
          <w:tcPr>
            <w:tcW w:w="953" w:type="pct"/>
            <w:vAlign w:val="center"/>
          </w:tcPr>
          <w:p w14:paraId="4BBB5877" w14:textId="77777777" w:rsidR="00D35A0D" w:rsidRPr="0037116F" w:rsidRDefault="00D35A0D" w:rsidP="0037116F">
            <w:pPr>
              <w:pStyle w:val="ListParagraph"/>
              <w:ind w:left="0"/>
              <w:jc w:val="center"/>
              <w:rPr>
                <w:rFonts w:ascii="Arial" w:hAnsi="Arial" w:cs="Arial"/>
                <w:sz w:val="20"/>
                <w:szCs w:val="20"/>
              </w:rPr>
            </w:pPr>
            <w:r w:rsidRPr="0037116F">
              <w:rPr>
                <w:rFonts w:ascii="Arial" w:hAnsi="Arial" w:cs="Arial"/>
                <w:sz w:val="20"/>
                <w:szCs w:val="20"/>
              </w:rPr>
              <w:t>30 (5.1%)</w:t>
            </w:r>
          </w:p>
        </w:tc>
        <w:tc>
          <w:tcPr>
            <w:tcW w:w="953" w:type="pct"/>
            <w:vAlign w:val="center"/>
          </w:tcPr>
          <w:p w14:paraId="6D3DB2E8" w14:textId="77777777" w:rsidR="00D35A0D" w:rsidRPr="0037116F" w:rsidRDefault="00D35A0D" w:rsidP="0037116F">
            <w:pPr>
              <w:pStyle w:val="ListParagraph"/>
              <w:ind w:left="0"/>
              <w:jc w:val="center"/>
              <w:rPr>
                <w:rFonts w:ascii="Arial" w:hAnsi="Arial" w:cs="Arial"/>
                <w:sz w:val="20"/>
                <w:szCs w:val="20"/>
              </w:rPr>
            </w:pPr>
            <w:r w:rsidRPr="0037116F">
              <w:rPr>
                <w:rFonts w:ascii="Arial" w:hAnsi="Arial" w:cs="Arial"/>
                <w:sz w:val="20"/>
                <w:szCs w:val="20"/>
              </w:rPr>
              <w:t>60.0% (18/30)</w:t>
            </w:r>
          </w:p>
        </w:tc>
        <w:tc>
          <w:tcPr>
            <w:tcW w:w="953" w:type="pct"/>
            <w:vAlign w:val="center"/>
          </w:tcPr>
          <w:p w14:paraId="73055AC6" w14:textId="77777777" w:rsidR="00D35A0D" w:rsidRPr="0037116F" w:rsidRDefault="00D35A0D" w:rsidP="0037116F">
            <w:pPr>
              <w:pStyle w:val="ListParagraph"/>
              <w:ind w:left="0"/>
              <w:jc w:val="center"/>
              <w:rPr>
                <w:rFonts w:ascii="Arial" w:hAnsi="Arial" w:cs="Arial"/>
                <w:sz w:val="20"/>
                <w:szCs w:val="20"/>
              </w:rPr>
            </w:pPr>
            <w:r w:rsidRPr="0037116F">
              <w:rPr>
                <w:rFonts w:ascii="Arial" w:hAnsi="Arial" w:cs="Arial"/>
                <w:sz w:val="20"/>
                <w:szCs w:val="20"/>
              </w:rPr>
              <w:t>95.6% (537/562)</w:t>
            </w:r>
          </w:p>
        </w:tc>
      </w:tr>
      <w:tr w:rsidR="00D35A0D" w:rsidRPr="008863E5" w14:paraId="3BC61DB5" w14:textId="77777777" w:rsidTr="00DA17D3">
        <w:trPr>
          <w:cantSplit/>
          <w:trHeight w:val="350"/>
        </w:trPr>
        <w:tc>
          <w:tcPr>
            <w:tcW w:w="1508" w:type="pct"/>
          </w:tcPr>
          <w:p w14:paraId="37D70F11" w14:textId="77777777" w:rsidR="00D35A0D" w:rsidRPr="0037116F" w:rsidRDefault="00D35A0D" w:rsidP="005D3606">
            <w:pPr>
              <w:pStyle w:val="ListParagraph"/>
              <w:ind w:left="334"/>
              <w:rPr>
                <w:rFonts w:ascii="Arial" w:hAnsi="Arial" w:cs="Arial"/>
                <w:sz w:val="20"/>
                <w:szCs w:val="20"/>
              </w:rPr>
            </w:pPr>
            <w:r w:rsidRPr="0037116F">
              <w:rPr>
                <w:rFonts w:ascii="Arial" w:hAnsi="Arial" w:cs="Arial"/>
                <w:sz w:val="20"/>
                <w:szCs w:val="20"/>
              </w:rPr>
              <w:t>Prior admission with IV antibiotics (alone)</w:t>
            </w:r>
          </w:p>
        </w:tc>
        <w:tc>
          <w:tcPr>
            <w:tcW w:w="633" w:type="pct"/>
            <w:vAlign w:val="center"/>
          </w:tcPr>
          <w:p w14:paraId="5069BE90" w14:textId="77777777" w:rsidR="00D35A0D" w:rsidRPr="0037116F" w:rsidRDefault="00D35A0D" w:rsidP="0037116F">
            <w:pPr>
              <w:pStyle w:val="ListParagraph"/>
              <w:ind w:left="0"/>
              <w:jc w:val="center"/>
              <w:rPr>
                <w:rFonts w:ascii="Arial" w:hAnsi="Arial" w:cs="Arial"/>
                <w:sz w:val="20"/>
                <w:szCs w:val="20"/>
              </w:rPr>
            </w:pPr>
            <w:r w:rsidRPr="0037116F">
              <w:rPr>
                <w:rFonts w:ascii="Arial" w:hAnsi="Arial" w:cs="Arial"/>
                <w:sz w:val="20"/>
                <w:szCs w:val="20"/>
              </w:rPr>
              <w:t>101 (17.1%)</w:t>
            </w:r>
          </w:p>
        </w:tc>
        <w:tc>
          <w:tcPr>
            <w:tcW w:w="953" w:type="pct"/>
            <w:vAlign w:val="center"/>
          </w:tcPr>
          <w:p w14:paraId="03C08DC8" w14:textId="77777777" w:rsidR="00D35A0D" w:rsidRPr="0037116F" w:rsidRDefault="00D35A0D" w:rsidP="0037116F">
            <w:pPr>
              <w:pStyle w:val="ListParagraph"/>
              <w:ind w:left="0"/>
              <w:jc w:val="center"/>
              <w:rPr>
                <w:rFonts w:ascii="Arial" w:hAnsi="Arial" w:cs="Arial"/>
                <w:sz w:val="20"/>
                <w:szCs w:val="20"/>
              </w:rPr>
            </w:pPr>
            <w:r w:rsidRPr="0037116F">
              <w:rPr>
                <w:rFonts w:ascii="Arial" w:hAnsi="Arial" w:cs="Arial"/>
                <w:sz w:val="20"/>
                <w:szCs w:val="20"/>
              </w:rPr>
              <w:t>114 (19.3%)</w:t>
            </w:r>
          </w:p>
        </w:tc>
        <w:tc>
          <w:tcPr>
            <w:tcW w:w="953" w:type="pct"/>
            <w:vAlign w:val="center"/>
          </w:tcPr>
          <w:p w14:paraId="0D0BE19D" w14:textId="77777777" w:rsidR="00D35A0D" w:rsidRPr="0037116F" w:rsidRDefault="00D35A0D" w:rsidP="0037116F">
            <w:pPr>
              <w:pStyle w:val="ListParagraph"/>
              <w:ind w:left="0"/>
              <w:jc w:val="center"/>
              <w:rPr>
                <w:rFonts w:ascii="Arial" w:hAnsi="Arial" w:cs="Arial"/>
                <w:sz w:val="20"/>
                <w:szCs w:val="20"/>
              </w:rPr>
            </w:pPr>
            <w:r w:rsidRPr="0037116F">
              <w:rPr>
                <w:rFonts w:ascii="Arial" w:hAnsi="Arial" w:cs="Arial"/>
                <w:sz w:val="20"/>
                <w:szCs w:val="20"/>
              </w:rPr>
              <w:t>70.2% (80/114)</w:t>
            </w:r>
          </w:p>
        </w:tc>
        <w:tc>
          <w:tcPr>
            <w:tcW w:w="953" w:type="pct"/>
            <w:vAlign w:val="center"/>
          </w:tcPr>
          <w:p w14:paraId="1BDB011B" w14:textId="77777777" w:rsidR="00D35A0D" w:rsidRPr="0037116F" w:rsidRDefault="00D35A0D" w:rsidP="0037116F">
            <w:pPr>
              <w:pStyle w:val="ListParagraph"/>
              <w:ind w:left="0"/>
              <w:jc w:val="center"/>
              <w:rPr>
                <w:rFonts w:ascii="Arial" w:hAnsi="Arial" w:cs="Arial"/>
                <w:sz w:val="20"/>
                <w:szCs w:val="20"/>
              </w:rPr>
            </w:pPr>
            <w:r w:rsidRPr="0037116F">
              <w:rPr>
                <w:rFonts w:ascii="Arial" w:hAnsi="Arial" w:cs="Arial"/>
                <w:sz w:val="20"/>
                <w:szCs w:val="20"/>
              </w:rPr>
              <w:t>95.6% (457/478)</w:t>
            </w:r>
          </w:p>
        </w:tc>
      </w:tr>
      <w:tr w:rsidR="00D35A0D" w:rsidRPr="008863E5" w14:paraId="799E5E4E" w14:textId="77777777" w:rsidTr="00DA17D3">
        <w:trPr>
          <w:cantSplit/>
          <w:trHeight w:val="350"/>
        </w:trPr>
        <w:tc>
          <w:tcPr>
            <w:tcW w:w="1508" w:type="pct"/>
          </w:tcPr>
          <w:p w14:paraId="3A6E8BBC" w14:textId="06391557" w:rsidR="00D35A0D" w:rsidRPr="0037116F" w:rsidRDefault="00D35A0D" w:rsidP="005D3606">
            <w:pPr>
              <w:pStyle w:val="ListParagraph"/>
              <w:ind w:left="334"/>
              <w:rPr>
                <w:rFonts w:ascii="Arial" w:hAnsi="Arial" w:cs="Arial"/>
                <w:sz w:val="20"/>
                <w:szCs w:val="20"/>
              </w:rPr>
            </w:pPr>
            <w:r w:rsidRPr="0037116F">
              <w:rPr>
                <w:rFonts w:ascii="Arial" w:hAnsi="Arial" w:cs="Arial"/>
                <w:sz w:val="20"/>
                <w:szCs w:val="20"/>
              </w:rPr>
              <w:t>Severe pneumonia (alone)</w:t>
            </w:r>
          </w:p>
        </w:tc>
        <w:tc>
          <w:tcPr>
            <w:tcW w:w="633" w:type="pct"/>
            <w:vAlign w:val="center"/>
          </w:tcPr>
          <w:p w14:paraId="3DF3831D" w14:textId="77777777" w:rsidR="00D35A0D" w:rsidRPr="0037116F" w:rsidRDefault="00D35A0D" w:rsidP="0037116F">
            <w:pPr>
              <w:pStyle w:val="ListParagraph"/>
              <w:ind w:left="0"/>
              <w:jc w:val="center"/>
              <w:rPr>
                <w:rFonts w:ascii="Arial" w:hAnsi="Arial" w:cs="Arial"/>
                <w:sz w:val="20"/>
                <w:szCs w:val="20"/>
              </w:rPr>
            </w:pPr>
            <w:r w:rsidRPr="0037116F">
              <w:rPr>
                <w:rFonts w:ascii="Arial" w:hAnsi="Arial" w:cs="Arial"/>
                <w:sz w:val="20"/>
                <w:szCs w:val="20"/>
              </w:rPr>
              <w:t>210 (35.5%)</w:t>
            </w:r>
          </w:p>
        </w:tc>
        <w:tc>
          <w:tcPr>
            <w:tcW w:w="953" w:type="pct"/>
            <w:vAlign w:val="center"/>
          </w:tcPr>
          <w:p w14:paraId="41F9C4E1" w14:textId="77777777" w:rsidR="00D35A0D" w:rsidRPr="0037116F" w:rsidRDefault="00D35A0D" w:rsidP="0037116F">
            <w:pPr>
              <w:pStyle w:val="ListParagraph"/>
              <w:ind w:left="0"/>
              <w:jc w:val="center"/>
              <w:rPr>
                <w:rFonts w:ascii="Arial" w:hAnsi="Arial" w:cs="Arial"/>
                <w:sz w:val="20"/>
                <w:szCs w:val="20"/>
              </w:rPr>
            </w:pPr>
            <w:r w:rsidRPr="0037116F">
              <w:rPr>
                <w:rFonts w:ascii="Arial" w:hAnsi="Arial" w:cs="Arial"/>
                <w:sz w:val="20"/>
                <w:szCs w:val="20"/>
              </w:rPr>
              <w:t>122 (20.6%)</w:t>
            </w:r>
          </w:p>
        </w:tc>
        <w:tc>
          <w:tcPr>
            <w:tcW w:w="953" w:type="pct"/>
            <w:vAlign w:val="center"/>
          </w:tcPr>
          <w:p w14:paraId="2602C14F" w14:textId="77777777" w:rsidR="00D35A0D" w:rsidRPr="0037116F" w:rsidRDefault="00D35A0D" w:rsidP="0037116F">
            <w:pPr>
              <w:pStyle w:val="ListParagraph"/>
              <w:ind w:left="0"/>
              <w:jc w:val="center"/>
              <w:rPr>
                <w:rFonts w:ascii="Arial" w:hAnsi="Arial" w:cs="Arial"/>
                <w:sz w:val="20"/>
                <w:szCs w:val="20"/>
              </w:rPr>
            </w:pPr>
            <w:r w:rsidRPr="0037116F">
              <w:rPr>
                <w:rFonts w:ascii="Arial" w:hAnsi="Arial" w:cs="Arial"/>
                <w:sz w:val="20"/>
                <w:szCs w:val="20"/>
              </w:rPr>
              <w:t>86.9% (106/122)</w:t>
            </w:r>
          </w:p>
        </w:tc>
        <w:tc>
          <w:tcPr>
            <w:tcW w:w="953" w:type="pct"/>
            <w:vAlign w:val="center"/>
          </w:tcPr>
          <w:p w14:paraId="52BEB7CF" w14:textId="77777777" w:rsidR="00D35A0D" w:rsidRPr="0037116F" w:rsidRDefault="00D35A0D" w:rsidP="0037116F">
            <w:pPr>
              <w:pStyle w:val="ListParagraph"/>
              <w:ind w:left="0"/>
              <w:jc w:val="center"/>
              <w:rPr>
                <w:rFonts w:ascii="Arial" w:hAnsi="Arial" w:cs="Arial"/>
                <w:sz w:val="20"/>
                <w:szCs w:val="20"/>
              </w:rPr>
            </w:pPr>
            <w:r w:rsidRPr="0037116F">
              <w:rPr>
                <w:rFonts w:ascii="Arial" w:hAnsi="Arial" w:cs="Arial"/>
                <w:sz w:val="20"/>
                <w:szCs w:val="20"/>
              </w:rPr>
              <w:t>77.9% (366/470)</w:t>
            </w:r>
          </w:p>
        </w:tc>
      </w:tr>
    </w:tbl>
    <w:p w14:paraId="16789903" w14:textId="77777777" w:rsidR="00254D61" w:rsidRPr="00254D61" w:rsidRDefault="00254D61" w:rsidP="00254D61">
      <w:pPr>
        <w:rPr>
          <w:rFonts w:ascii="Arial" w:hAnsi="Arial" w:cs="Arial"/>
          <w:sz w:val="18"/>
          <w:szCs w:val="18"/>
        </w:rPr>
      </w:pPr>
      <w:r w:rsidRPr="00254D61">
        <w:rPr>
          <w:rFonts w:ascii="Arial" w:hAnsi="Arial" w:cs="Arial"/>
          <w:sz w:val="18"/>
          <w:szCs w:val="18"/>
        </w:rPr>
        <w:t>*cell intentionally left empty</w:t>
      </w:r>
    </w:p>
    <w:p w14:paraId="4B94DBEF" w14:textId="570F5FE6" w:rsidR="00D35A0D" w:rsidRPr="00254D61" w:rsidRDefault="00D35A0D" w:rsidP="00D35A0D">
      <w:pPr>
        <w:rPr>
          <w:rFonts w:ascii="Arial" w:hAnsi="Arial" w:cs="Arial"/>
          <w:sz w:val="18"/>
          <w:szCs w:val="18"/>
        </w:rPr>
      </w:pPr>
      <w:r w:rsidRPr="00254D61">
        <w:rPr>
          <w:rFonts w:ascii="Arial" w:hAnsi="Arial" w:cs="Arial"/>
          <w:sz w:val="18"/>
          <w:szCs w:val="18"/>
          <w:vertAlign w:val="superscript"/>
        </w:rPr>
        <w:t>1</w:t>
      </w:r>
      <w:r w:rsidRPr="00254D61">
        <w:rPr>
          <w:rFonts w:ascii="Arial" w:hAnsi="Arial" w:cs="Arial"/>
          <w:sz w:val="18"/>
          <w:szCs w:val="18"/>
        </w:rPr>
        <w:t xml:space="preserve"> Here, we compare the eCQM’s modified severity criteria (≥2 minor criteria on a single day in the first 48 hours of encounter) to the original ATS criteria which required 1 major or ≥3 minor criteria. The modified severity criteria are much more feasibility for the 3 hospitals the eCQM was tested within (see feasibility section for more details).</w:t>
      </w:r>
    </w:p>
    <w:bookmarkEnd w:id="4"/>
    <w:p w14:paraId="14894E61" w14:textId="77777777" w:rsidR="00330A53" w:rsidRDefault="00330A53">
      <w:pPr>
        <w:spacing w:line="278" w:lineRule="auto"/>
        <w:rPr>
          <w:rFonts w:ascii="Arial" w:hAnsi="Arial" w:cs="Arial"/>
          <w:b/>
          <w:bCs/>
        </w:rPr>
      </w:pPr>
      <w:r>
        <w:rPr>
          <w:rFonts w:ascii="Arial" w:hAnsi="Arial" w:cs="Arial"/>
          <w:b/>
          <w:bCs/>
        </w:rPr>
        <w:br w:type="page"/>
      </w:r>
    </w:p>
    <w:p w14:paraId="59F91A46" w14:textId="1B1F22DE" w:rsidR="00D35A0D" w:rsidRPr="00330A53" w:rsidRDefault="00D35A0D" w:rsidP="00D35A0D">
      <w:pPr>
        <w:rPr>
          <w:rFonts w:ascii="Arial" w:hAnsi="Arial" w:cs="Arial"/>
        </w:rPr>
      </w:pPr>
      <w:r w:rsidRPr="00330A53">
        <w:rPr>
          <w:rFonts w:ascii="Arial" w:hAnsi="Arial" w:cs="Arial"/>
          <w:b/>
          <w:bCs/>
        </w:rPr>
        <w:lastRenderedPageBreak/>
        <w:t xml:space="preserve">Figure </w:t>
      </w:r>
      <w:r w:rsidRPr="00330A53">
        <w:rPr>
          <w:rFonts w:ascii="Arial" w:hAnsi="Arial" w:cs="Arial"/>
          <w:b/>
          <w:bCs/>
        </w:rPr>
        <w:t>4</w:t>
      </w:r>
      <w:r w:rsidRPr="00330A53">
        <w:rPr>
          <w:rFonts w:ascii="Arial" w:hAnsi="Arial" w:cs="Arial"/>
          <w:b/>
          <w:bCs/>
        </w:rPr>
        <w:t xml:space="preserve">. </w:t>
      </w:r>
      <w:r w:rsidRPr="00330A53">
        <w:rPr>
          <w:rFonts w:ascii="Arial" w:hAnsi="Arial" w:cs="Arial"/>
        </w:rPr>
        <w:t>Relationship between excess antibiotic duration and inappropriately broad empiric antibiotic use.</w:t>
      </w:r>
    </w:p>
    <w:p w14:paraId="4471C5BF" w14:textId="77777777" w:rsidR="00D35A0D" w:rsidRDefault="00D35A0D" w:rsidP="00D35A0D">
      <w:pPr>
        <w:rPr>
          <w:rFonts w:ascii="Aptos" w:hAnsi="Aptos"/>
          <w:b/>
          <w:bCs/>
        </w:rPr>
      </w:pPr>
      <w:bookmarkStart w:id="5" w:name="_Hlk181169403"/>
      <w:r>
        <w:rPr>
          <w:noProof/>
        </w:rPr>
        <w:drawing>
          <wp:inline distT="0" distB="0" distL="0" distR="0" wp14:anchorId="54CCD8B0" wp14:editId="51A1AD48">
            <wp:extent cx="5112385" cy="3407862"/>
            <wp:effectExtent l="0" t="0" r="0" b="2540"/>
            <wp:docPr id="1371175721" name="Picture 1" descr="This is a scatter diagram plotting non-indicated empiric MDRO antibiotic use on the x-axis against excess antibiotic duration (&gt;=7 days). There is a weak positive correlation, R=0.3, p&lt;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75721" name="Picture 1" descr="This is a scatter diagram plotting non-indicated empiric MDRO antibiotic use on the x-axis against excess antibiotic duration (&gt;=7 days). There is a weak positive correlation, R=0.3, p&lt;0.0014."/>
                    <pic:cNvPicPr/>
                  </pic:nvPicPr>
                  <pic:blipFill>
                    <a:blip r:embed="rId4"/>
                    <a:stretch>
                      <a:fillRect/>
                    </a:stretch>
                  </pic:blipFill>
                  <pic:spPr>
                    <a:xfrm>
                      <a:off x="0" y="0"/>
                      <a:ext cx="5130445" cy="3419901"/>
                    </a:xfrm>
                    <a:prstGeom prst="rect">
                      <a:avLst/>
                    </a:prstGeom>
                  </pic:spPr>
                </pic:pic>
              </a:graphicData>
            </a:graphic>
          </wp:inline>
        </w:drawing>
      </w:r>
    </w:p>
    <w:p w14:paraId="5BBC13D1" w14:textId="77777777" w:rsidR="00D35A0D" w:rsidRPr="00330A53" w:rsidRDefault="00D35A0D" w:rsidP="00330A53">
      <w:pPr>
        <w:spacing w:after="0" w:line="264" w:lineRule="auto"/>
        <w:rPr>
          <w:rFonts w:ascii="Aptos" w:hAnsi="Aptos"/>
          <w:sz w:val="20"/>
          <w:szCs w:val="20"/>
        </w:rPr>
      </w:pPr>
      <w:bookmarkStart w:id="6" w:name="_Hlk180593287"/>
      <w:r w:rsidRPr="00330A53">
        <w:rPr>
          <w:rFonts w:ascii="Aptos" w:hAnsi="Aptos"/>
          <w:sz w:val="20"/>
          <w:szCs w:val="20"/>
        </w:rPr>
        <w:t>MDRO= Multi-Drug-Resistant Organisms</w:t>
      </w:r>
    </w:p>
    <w:p w14:paraId="59511430" w14:textId="77777777" w:rsidR="00D35A0D" w:rsidRDefault="00D35A0D" w:rsidP="00330A53">
      <w:pPr>
        <w:spacing w:after="0" w:line="264" w:lineRule="auto"/>
        <w:rPr>
          <w:rFonts w:ascii="Aptos" w:hAnsi="Aptos"/>
          <w:sz w:val="20"/>
          <w:szCs w:val="20"/>
        </w:rPr>
      </w:pPr>
      <w:r w:rsidRPr="00330A53">
        <w:rPr>
          <w:rFonts w:ascii="Aptos" w:hAnsi="Aptos"/>
          <w:sz w:val="20"/>
          <w:szCs w:val="20"/>
        </w:rPr>
        <w:t xml:space="preserve">Patient data from 109 VA hospitals between January 1, 2022 and June 30, 2024. </w:t>
      </w:r>
      <w:bookmarkStart w:id="7" w:name="_Hlk180668325"/>
      <w:r w:rsidRPr="00330A53">
        <w:rPr>
          <w:rFonts w:ascii="Aptos" w:hAnsi="Aptos"/>
          <w:sz w:val="20"/>
          <w:szCs w:val="20"/>
        </w:rPr>
        <w:t>Each hospital is represented as a dot with larger hospitals having larger dots.</w:t>
      </w:r>
    </w:p>
    <w:p w14:paraId="550F1846" w14:textId="77777777" w:rsidR="003A28A8" w:rsidRDefault="003A28A8" w:rsidP="00330A53">
      <w:pPr>
        <w:spacing w:after="0" w:line="264" w:lineRule="auto"/>
        <w:rPr>
          <w:rFonts w:ascii="Aptos" w:hAnsi="Aptos"/>
          <w:sz w:val="20"/>
          <w:szCs w:val="20"/>
        </w:rPr>
      </w:pPr>
    </w:p>
    <w:p w14:paraId="16656F79" w14:textId="77777777" w:rsidR="003A28A8" w:rsidRPr="003A28A8" w:rsidRDefault="003A28A8" w:rsidP="003A28A8">
      <w:pPr>
        <w:rPr>
          <w:rFonts w:ascii="Arial" w:hAnsi="Arial" w:cs="Arial"/>
          <w:b/>
          <w:bCs/>
        </w:rPr>
      </w:pPr>
      <w:r w:rsidRPr="003A28A8">
        <w:rPr>
          <w:rFonts w:ascii="Arial" w:hAnsi="Arial" w:cs="Arial"/>
          <w:b/>
          <w:bCs/>
        </w:rPr>
        <w:t>TEP Survey results:</w:t>
      </w:r>
    </w:p>
    <w:p w14:paraId="4C7231F3" w14:textId="77777777" w:rsidR="003A28A8" w:rsidRPr="003A28A8" w:rsidRDefault="003A28A8" w:rsidP="003A28A8">
      <w:pPr>
        <w:rPr>
          <w:rFonts w:ascii="Arial" w:hAnsi="Arial" w:cs="Arial"/>
        </w:rPr>
      </w:pPr>
      <w:r w:rsidRPr="003A28A8">
        <w:rPr>
          <w:rFonts w:ascii="Arial" w:hAnsi="Arial" w:cs="Arial"/>
        </w:rPr>
        <w:t>Seven TEP members responded to the question, “</w:t>
      </w:r>
      <w:r w:rsidRPr="003A28A8">
        <w:rPr>
          <w:rFonts w:ascii="Arial" w:hAnsi="Arial" w:cs="Arial"/>
          <w:i/>
          <w:iCs/>
        </w:rPr>
        <w:t>How much do you agree with the following statement? The measure, as specified can be used to distinguish between better and worse performing hospitals</w:t>
      </w:r>
      <w:r w:rsidRPr="003A28A8">
        <w:rPr>
          <w:rFonts w:ascii="Arial" w:hAnsi="Arial" w:cs="Arial"/>
        </w:rPr>
        <w:t xml:space="preserve">,” with 1/7 (14.3%) reporting “Strongly agree”, 4/7 (57.1%) reporting “Agree”, and 2/7 (28.6%) reporting “Neutral.” </w:t>
      </w:r>
    </w:p>
    <w:p w14:paraId="53F30B92" w14:textId="77777777" w:rsidR="003A28A8" w:rsidRPr="003A28A8" w:rsidRDefault="003A28A8" w:rsidP="003A28A8">
      <w:pPr>
        <w:spacing w:after="0" w:line="240" w:lineRule="auto"/>
        <w:rPr>
          <w:rFonts w:ascii="Arial" w:hAnsi="Arial" w:cs="Arial"/>
          <w:noProof/>
        </w:rPr>
      </w:pPr>
      <w:r w:rsidRPr="003A28A8">
        <w:rPr>
          <w:rFonts w:ascii="Arial" w:hAnsi="Arial" w:cs="Arial"/>
        </w:rPr>
        <w:t>We also asked the TEP: “</w:t>
      </w:r>
      <w:r w:rsidRPr="003A28A8">
        <w:rPr>
          <w:rFonts w:ascii="Arial" w:hAnsi="Arial" w:cs="Arial"/>
          <w:i/>
          <w:iCs/>
        </w:rPr>
        <w:t xml:space="preserve">Are there any key data elements you believe are missed or not appropriately used in the </w:t>
      </w:r>
      <w:r w:rsidRPr="003A28A8">
        <w:rPr>
          <w:rFonts w:ascii="Arial" w:hAnsi="Arial" w:cs="Arial"/>
          <w:i/>
          <w:iCs/>
          <w:noProof/>
        </w:rPr>
        <w:t>determination as to whether therapy for MDRO is justified</w:t>
      </w:r>
      <w:r w:rsidRPr="003A28A8">
        <w:rPr>
          <w:rFonts w:ascii="Arial" w:hAnsi="Arial" w:cs="Arial"/>
          <w:noProof/>
        </w:rPr>
        <w:t>?” Of the 5 responses to this free text question, four responded “no”, with one adding “always concern of outside data not available at time of admission- but that can't be avoided”, supporting face validity of the measure. The fifth response was:</w:t>
      </w:r>
    </w:p>
    <w:p w14:paraId="2E0FC724" w14:textId="77777777" w:rsidR="003A28A8" w:rsidRPr="003A28A8" w:rsidRDefault="003A28A8" w:rsidP="003A28A8">
      <w:pPr>
        <w:spacing w:after="0" w:line="240" w:lineRule="auto"/>
        <w:rPr>
          <w:rFonts w:ascii="Arial" w:hAnsi="Arial" w:cs="Arial"/>
          <w:noProof/>
        </w:rPr>
      </w:pPr>
    </w:p>
    <w:p w14:paraId="2E578785" w14:textId="77777777" w:rsidR="003A28A8" w:rsidRPr="003A28A8" w:rsidRDefault="003A28A8" w:rsidP="003A28A8">
      <w:pPr>
        <w:spacing w:after="0" w:line="240" w:lineRule="auto"/>
        <w:rPr>
          <w:rFonts w:ascii="Arial" w:hAnsi="Arial" w:cs="Arial"/>
          <w:noProof/>
        </w:rPr>
      </w:pPr>
      <w:r w:rsidRPr="003A28A8">
        <w:rPr>
          <w:rFonts w:ascii="Arial" w:hAnsi="Arial" w:cs="Arial"/>
          <w:noProof/>
        </w:rPr>
        <w:t>“I think pulling from the EHR is going to miss some people in whom MDRO therapy is justified because they have a history that is reported in text notes and is not retrievable in the EHR from prior medications and microbiology results. Diagnoses of bronchiectasis, severe COPD, other structural risk factors may also be missed if not coded during that hospitalization. We discussed the expectation that we don't think the measure should be 100%.” We agree that hospitals should not have 0% inappropriate broad spectrum antibiotic use as their goal to allow for incomplete data/appropriate variation.</w:t>
      </w:r>
    </w:p>
    <w:p w14:paraId="6EF6D22E" w14:textId="77777777" w:rsidR="003A28A8" w:rsidRPr="003A28A8" w:rsidRDefault="003A28A8" w:rsidP="003A28A8">
      <w:pPr>
        <w:spacing w:after="0" w:line="240" w:lineRule="auto"/>
        <w:rPr>
          <w:rFonts w:ascii="Arial" w:hAnsi="Arial" w:cs="Arial"/>
          <w:noProof/>
        </w:rPr>
      </w:pPr>
    </w:p>
    <w:p w14:paraId="0DEA18E3" w14:textId="77777777" w:rsidR="003A28A8" w:rsidRPr="003A28A8" w:rsidRDefault="003A28A8" w:rsidP="003A28A8">
      <w:pPr>
        <w:rPr>
          <w:rFonts w:ascii="Arial" w:hAnsi="Arial" w:cs="Arial"/>
        </w:rPr>
      </w:pPr>
      <w:r w:rsidRPr="003A28A8">
        <w:rPr>
          <w:rFonts w:ascii="Arial" w:hAnsi="Arial" w:cs="Arial"/>
        </w:rPr>
        <w:t>Two TEP members responded to the free text question: “</w:t>
      </w:r>
      <w:r w:rsidRPr="003A28A8">
        <w:rPr>
          <w:rFonts w:ascii="Arial" w:hAnsi="Arial" w:cs="Arial"/>
          <w:i/>
          <w:iCs/>
        </w:rPr>
        <w:t>Please use the space below to provide any additional comments or suggestions related to the proposed measure.</w:t>
      </w:r>
      <w:r w:rsidRPr="003A28A8">
        <w:rPr>
          <w:rFonts w:ascii="Arial" w:hAnsi="Arial" w:cs="Arial"/>
        </w:rPr>
        <w:t xml:space="preserve">” The first response was: “There is no perfect measure here but I think simplifying the measure by taking out those who qualify for MDRO treatment would make it cleaner &amp; more fair”.  In the final measure, </w:t>
      </w:r>
      <w:r w:rsidRPr="003A28A8">
        <w:rPr>
          <w:rFonts w:ascii="Arial" w:hAnsi="Arial" w:cs="Arial"/>
        </w:rPr>
        <w:t>We excluded patients with risk factors for broad spectrum therapy from the denominator</w:t>
      </w:r>
      <w:r w:rsidRPr="003A28A8">
        <w:rPr>
          <w:rFonts w:ascii="Arial" w:hAnsi="Arial" w:cs="Arial"/>
        </w:rPr>
        <w:t>.</w:t>
      </w:r>
    </w:p>
    <w:p w14:paraId="68C97EC6" w14:textId="327480B3" w:rsidR="003A28A8" w:rsidRDefault="003A28A8" w:rsidP="003A28A8">
      <w:pPr>
        <w:rPr>
          <w:rFonts w:ascii="Arial" w:hAnsi="Arial" w:cs="Arial"/>
        </w:rPr>
      </w:pPr>
      <w:r w:rsidRPr="003A28A8">
        <w:rPr>
          <w:rFonts w:ascii="Arial" w:hAnsi="Arial" w:cs="Arial"/>
        </w:rPr>
        <w:t>The second response was: “</w:t>
      </w:r>
      <w:r w:rsidRPr="003A28A8">
        <w:rPr>
          <w:rFonts w:ascii="Arial" w:hAnsi="Arial" w:cs="Arial"/>
        </w:rPr>
        <w:t>An unintended consequence of the 3 tiers could be that tier 2 could be perceived as also a bad thing and to avoid this tier, treatment could go from potentially justified undertreatment to use of anti-MRSA or anti-Pseudomonal to be in Tier 1</w:t>
      </w:r>
      <w:r w:rsidRPr="003A28A8">
        <w:rPr>
          <w:rFonts w:ascii="Arial" w:hAnsi="Arial" w:cs="Arial"/>
        </w:rPr>
        <w:t>”. The final measure was simplified by eliminating tiers.</w:t>
      </w:r>
    </w:p>
    <w:bookmarkEnd w:id="5"/>
    <w:bookmarkEnd w:id="6"/>
    <w:bookmarkEnd w:id="7"/>
    <w:p w14:paraId="7CC96E15" w14:textId="753F6A76" w:rsidR="00D35A0D" w:rsidRDefault="008350E4">
      <w:pPr>
        <w:spacing w:line="278" w:lineRule="auto"/>
        <w:rPr>
          <w:rFonts w:ascii="Arial" w:hAnsi="Arial" w:cs="Arial"/>
        </w:rPr>
      </w:pPr>
      <w:r w:rsidRPr="00BB5AFB">
        <w:rPr>
          <w:rFonts w:ascii="Arial" w:hAnsi="Arial" w:cs="Arial"/>
          <w:b/>
          <w:bCs/>
        </w:rPr>
        <w:lastRenderedPageBreak/>
        <w:t>Table 19.</w:t>
      </w:r>
      <w:r>
        <w:rPr>
          <w:rFonts w:ascii="Arial" w:hAnsi="Arial" w:cs="Arial"/>
        </w:rPr>
        <w:t xml:space="preserve"> Outcomes for patients hospitalized with CAP receiving standard empiric CAP treatment vs inappropriate empiric </w:t>
      </w:r>
      <w:r w:rsidR="00BB5AFB">
        <w:rPr>
          <w:rFonts w:ascii="Arial" w:hAnsi="Arial" w:cs="Arial"/>
        </w:rPr>
        <w:t xml:space="preserve">broad-spectrum antibiotic treatment </w:t>
      </w:r>
    </w:p>
    <w:tbl>
      <w:tblPr>
        <w:tblStyle w:val="TableGrid"/>
        <w:tblW w:w="0" w:type="auto"/>
        <w:tblLook w:val="04A0" w:firstRow="1" w:lastRow="0" w:firstColumn="1" w:lastColumn="0" w:noHBand="0" w:noVBand="1"/>
        <w:tblCaption w:val="Table 19. Outcomes for patients hospitalized with CAP receiving standard empiric CAP treatment vs inappropriate empiric broad-spectrum antibiotic treatment"/>
        <w:tblDescription w:val="This table compares outcomes for CAP patients with appropriate empiric CAP therapy vs. inappropriate empiric broad-spectrum antibiotic therapy. Outcomes include: 30-day post-discharge mortality, readmission, C. difficile infection, and adverse drug events; duration of hospitalization and transfer to the ICU., Statistical analysis shows, after adjustment, inappropriately broad empiric treatment was associated with higher 30-day readmissions, more transfers to ICU, longer hospitalizations, and more antibiotic-associated adverse events."/>
      </w:tblPr>
      <w:tblGrid>
        <w:gridCol w:w="2335"/>
        <w:gridCol w:w="1144"/>
        <w:gridCol w:w="1736"/>
        <w:gridCol w:w="1520"/>
        <w:gridCol w:w="1180"/>
        <w:gridCol w:w="1490"/>
        <w:gridCol w:w="1025"/>
      </w:tblGrid>
      <w:tr w:rsidR="00330A53" w14:paraId="7D5D2741" w14:textId="77777777" w:rsidTr="00330A53">
        <w:trPr>
          <w:cantSplit/>
          <w:tblHeader/>
        </w:trPr>
        <w:tc>
          <w:tcPr>
            <w:tcW w:w="2335" w:type="dxa"/>
            <w:vAlign w:val="center"/>
          </w:tcPr>
          <w:p w14:paraId="476848EB" w14:textId="03D6C2B0" w:rsidR="00D35A0D" w:rsidRPr="00330A53" w:rsidRDefault="00D35A0D" w:rsidP="007D2B29">
            <w:pPr>
              <w:spacing w:line="240" w:lineRule="auto"/>
              <w:rPr>
                <w:rFonts w:eastAsiaTheme="minorEastAsia" w:cs="Times New Roman"/>
                <w:bCs/>
                <w:sz w:val="18"/>
                <w:szCs w:val="18"/>
              </w:rPr>
            </w:pPr>
            <w:r w:rsidRPr="00330A53">
              <w:rPr>
                <w:rFonts w:eastAsiaTheme="minorEastAsia" w:cs="Times New Roman"/>
                <w:bCs/>
                <w:sz w:val="18"/>
                <w:szCs w:val="18"/>
              </w:rPr>
              <w:t>Outcome</w:t>
            </w:r>
          </w:p>
        </w:tc>
        <w:tc>
          <w:tcPr>
            <w:tcW w:w="1144" w:type="dxa"/>
            <w:vAlign w:val="center"/>
          </w:tcPr>
          <w:p w14:paraId="62986F9E" w14:textId="2BCBA61C" w:rsidR="00D35A0D" w:rsidRPr="00330A53" w:rsidRDefault="004571B4" w:rsidP="004571B4">
            <w:pPr>
              <w:jc w:val="center"/>
              <w:rPr>
                <w:rFonts w:eastAsiaTheme="minorEastAsia" w:cs="Times New Roman"/>
                <w:bCs/>
                <w:sz w:val="18"/>
                <w:szCs w:val="18"/>
              </w:rPr>
            </w:pPr>
            <w:r w:rsidRPr="00330A53">
              <w:rPr>
                <w:rFonts w:eastAsiaTheme="minorEastAsia" w:cs="Times New Roman"/>
                <w:bCs/>
                <w:sz w:val="18"/>
                <w:szCs w:val="18"/>
              </w:rPr>
              <w:t>CAP Coverage</w:t>
            </w:r>
            <w:r w:rsidR="00D35A0D" w:rsidRPr="00330A53">
              <w:rPr>
                <w:rFonts w:eastAsiaTheme="minorEastAsia" w:cs="Times New Roman"/>
                <w:bCs/>
                <w:sz w:val="18"/>
                <w:szCs w:val="18"/>
              </w:rPr>
              <w:t xml:space="preserve"> (n=</w:t>
            </w:r>
            <w:r w:rsidRPr="00330A53">
              <w:rPr>
                <w:rFonts w:eastAsiaTheme="minorEastAsia" w:cs="Times New Roman"/>
                <w:bCs/>
                <w:sz w:val="18"/>
                <w:szCs w:val="18"/>
              </w:rPr>
              <w:t>6071</w:t>
            </w:r>
            <w:r w:rsidR="00D35A0D" w:rsidRPr="00330A53">
              <w:rPr>
                <w:rFonts w:eastAsiaTheme="minorEastAsia" w:cs="Times New Roman"/>
                <w:bCs/>
                <w:sz w:val="18"/>
                <w:szCs w:val="18"/>
              </w:rPr>
              <w:t>)</w:t>
            </w:r>
          </w:p>
        </w:tc>
        <w:tc>
          <w:tcPr>
            <w:tcW w:w="1736" w:type="dxa"/>
            <w:vAlign w:val="center"/>
          </w:tcPr>
          <w:p w14:paraId="2A3A8E7C" w14:textId="4A28600B" w:rsidR="00D35A0D" w:rsidRPr="00330A53" w:rsidRDefault="004571B4" w:rsidP="004571B4">
            <w:pPr>
              <w:jc w:val="center"/>
              <w:rPr>
                <w:rFonts w:eastAsiaTheme="minorEastAsia" w:cs="Times New Roman"/>
                <w:bCs/>
                <w:sz w:val="18"/>
                <w:szCs w:val="18"/>
              </w:rPr>
            </w:pPr>
            <w:r w:rsidRPr="00330A53">
              <w:rPr>
                <w:rFonts w:eastAsiaTheme="minorEastAsia" w:cs="Times New Roman"/>
                <w:bCs/>
                <w:sz w:val="18"/>
                <w:szCs w:val="18"/>
              </w:rPr>
              <w:t>Inappropriate Empiric Broad-Spectrum Coverage</w:t>
            </w:r>
            <w:r w:rsidR="00D35A0D" w:rsidRPr="00330A53">
              <w:rPr>
                <w:rFonts w:eastAsiaTheme="minorEastAsia" w:cs="Times New Roman"/>
                <w:bCs/>
                <w:sz w:val="18"/>
                <w:szCs w:val="18"/>
              </w:rPr>
              <w:t xml:space="preserve"> (n=</w:t>
            </w:r>
            <w:r w:rsidRPr="00330A53">
              <w:rPr>
                <w:rFonts w:eastAsiaTheme="minorEastAsia" w:cs="Times New Roman"/>
                <w:bCs/>
                <w:sz w:val="18"/>
                <w:szCs w:val="18"/>
              </w:rPr>
              <w:t>2215</w:t>
            </w:r>
            <w:r w:rsidR="00D35A0D" w:rsidRPr="00330A53">
              <w:rPr>
                <w:rFonts w:eastAsiaTheme="minorEastAsia" w:cs="Times New Roman"/>
                <w:bCs/>
                <w:sz w:val="18"/>
                <w:szCs w:val="18"/>
              </w:rPr>
              <w:t>)</w:t>
            </w:r>
          </w:p>
        </w:tc>
        <w:tc>
          <w:tcPr>
            <w:tcW w:w="1520" w:type="dxa"/>
            <w:vAlign w:val="center"/>
          </w:tcPr>
          <w:p w14:paraId="23790257" w14:textId="10AE1B7A" w:rsidR="00D35A0D" w:rsidRPr="00330A53" w:rsidRDefault="00D35A0D" w:rsidP="005D3606">
            <w:pPr>
              <w:jc w:val="center"/>
              <w:rPr>
                <w:rFonts w:eastAsiaTheme="minorEastAsia" w:cs="Times New Roman"/>
                <w:bCs/>
                <w:sz w:val="18"/>
                <w:szCs w:val="18"/>
              </w:rPr>
            </w:pPr>
            <w:r w:rsidRPr="00330A53">
              <w:rPr>
                <w:rFonts w:eastAsiaTheme="minorEastAsia" w:cs="Times New Roman"/>
                <w:bCs/>
                <w:sz w:val="18"/>
                <w:szCs w:val="18"/>
              </w:rPr>
              <w:t xml:space="preserve">Unadjusted </w:t>
            </w:r>
            <w:r w:rsidR="004571B4" w:rsidRPr="00330A53">
              <w:rPr>
                <w:rFonts w:eastAsiaTheme="minorEastAsia" w:cs="Times New Roman"/>
                <w:bCs/>
                <w:sz w:val="18"/>
                <w:szCs w:val="18"/>
              </w:rPr>
              <w:t>Odds Ratio</w:t>
            </w:r>
          </w:p>
          <w:p w14:paraId="745B8E88" w14:textId="77777777" w:rsidR="00D35A0D" w:rsidRPr="00330A53" w:rsidRDefault="00D35A0D" w:rsidP="005D3606">
            <w:pPr>
              <w:spacing w:line="240" w:lineRule="auto"/>
              <w:jc w:val="center"/>
              <w:rPr>
                <w:rFonts w:eastAsiaTheme="minorEastAsia" w:cs="Times New Roman"/>
                <w:bCs/>
                <w:sz w:val="18"/>
                <w:szCs w:val="18"/>
              </w:rPr>
            </w:pPr>
            <w:r w:rsidRPr="00330A53">
              <w:rPr>
                <w:rFonts w:eastAsiaTheme="minorEastAsia" w:cs="Times New Roman"/>
                <w:bCs/>
                <w:sz w:val="18"/>
                <w:szCs w:val="18"/>
              </w:rPr>
              <w:t>(95% CI)</w:t>
            </w:r>
          </w:p>
        </w:tc>
        <w:tc>
          <w:tcPr>
            <w:tcW w:w="1180" w:type="dxa"/>
            <w:vAlign w:val="center"/>
          </w:tcPr>
          <w:p w14:paraId="7777E9D2" w14:textId="77777777" w:rsidR="00D35A0D" w:rsidRPr="00330A53" w:rsidRDefault="00D35A0D" w:rsidP="005D3606">
            <w:pPr>
              <w:spacing w:line="240" w:lineRule="auto"/>
              <w:jc w:val="center"/>
              <w:rPr>
                <w:rFonts w:eastAsiaTheme="minorEastAsia" w:cs="Times New Roman"/>
                <w:bCs/>
                <w:sz w:val="18"/>
                <w:szCs w:val="18"/>
              </w:rPr>
            </w:pPr>
            <w:r w:rsidRPr="00330A53">
              <w:rPr>
                <w:rFonts w:eastAsiaTheme="minorEastAsia" w:cs="Times New Roman"/>
                <w:bCs/>
                <w:sz w:val="18"/>
                <w:szCs w:val="18"/>
              </w:rPr>
              <w:t>Unadjusted P Values</w:t>
            </w:r>
          </w:p>
        </w:tc>
        <w:tc>
          <w:tcPr>
            <w:tcW w:w="1490" w:type="dxa"/>
            <w:vAlign w:val="center"/>
          </w:tcPr>
          <w:p w14:paraId="4E520537" w14:textId="27D469DF" w:rsidR="00D35A0D" w:rsidRPr="00330A53" w:rsidRDefault="00D35A0D" w:rsidP="005D3606">
            <w:pPr>
              <w:jc w:val="center"/>
              <w:rPr>
                <w:rFonts w:eastAsiaTheme="minorEastAsia" w:cs="Times New Roman"/>
                <w:bCs/>
                <w:sz w:val="18"/>
                <w:szCs w:val="18"/>
              </w:rPr>
            </w:pPr>
            <w:r w:rsidRPr="00330A53">
              <w:rPr>
                <w:rFonts w:eastAsiaTheme="minorEastAsia" w:cs="Times New Roman"/>
                <w:bCs/>
                <w:sz w:val="18"/>
                <w:szCs w:val="18"/>
              </w:rPr>
              <w:t xml:space="preserve">Adjusted </w:t>
            </w:r>
            <w:r w:rsidR="004571B4" w:rsidRPr="00330A53">
              <w:rPr>
                <w:rFonts w:eastAsiaTheme="minorEastAsia" w:cs="Times New Roman"/>
                <w:bCs/>
                <w:sz w:val="18"/>
                <w:szCs w:val="18"/>
              </w:rPr>
              <w:t>Odds Ratio</w:t>
            </w:r>
          </w:p>
          <w:p w14:paraId="3B9EE66C" w14:textId="77777777" w:rsidR="00D35A0D" w:rsidRPr="00330A53" w:rsidRDefault="00D35A0D" w:rsidP="005D3606">
            <w:pPr>
              <w:spacing w:line="240" w:lineRule="auto"/>
              <w:jc w:val="center"/>
              <w:rPr>
                <w:rFonts w:eastAsiaTheme="minorEastAsia" w:cs="Times New Roman"/>
                <w:bCs/>
                <w:sz w:val="18"/>
                <w:szCs w:val="18"/>
              </w:rPr>
            </w:pPr>
            <w:r w:rsidRPr="00330A53">
              <w:rPr>
                <w:rFonts w:eastAsiaTheme="minorEastAsia" w:cs="Times New Roman"/>
                <w:bCs/>
                <w:sz w:val="18"/>
                <w:szCs w:val="18"/>
              </w:rPr>
              <w:t>(95% CI)</w:t>
            </w:r>
          </w:p>
        </w:tc>
        <w:tc>
          <w:tcPr>
            <w:tcW w:w="1025" w:type="dxa"/>
            <w:vAlign w:val="center"/>
          </w:tcPr>
          <w:p w14:paraId="59FA9619" w14:textId="77777777" w:rsidR="00D35A0D" w:rsidRPr="00330A53" w:rsidRDefault="00D35A0D" w:rsidP="005D3606">
            <w:pPr>
              <w:spacing w:line="240" w:lineRule="auto"/>
              <w:jc w:val="center"/>
              <w:rPr>
                <w:rFonts w:eastAsiaTheme="minorEastAsia" w:cs="Times New Roman"/>
                <w:bCs/>
                <w:sz w:val="18"/>
                <w:szCs w:val="18"/>
              </w:rPr>
            </w:pPr>
            <w:r w:rsidRPr="00330A53">
              <w:rPr>
                <w:rFonts w:eastAsiaTheme="minorEastAsia" w:cs="Times New Roman"/>
                <w:bCs/>
                <w:sz w:val="18"/>
                <w:szCs w:val="18"/>
              </w:rPr>
              <w:t>Adjusted P Value</w:t>
            </w:r>
          </w:p>
        </w:tc>
      </w:tr>
      <w:tr w:rsidR="00330A53" w14:paraId="647B41AD" w14:textId="77777777" w:rsidTr="00330A53">
        <w:trPr>
          <w:cantSplit/>
        </w:trPr>
        <w:tc>
          <w:tcPr>
            <w:tcW w:w="2335" w:type="dxa"/>
            <w:vAlign w:val="center"/>
          </w:tcPr>
          <w:p w14:paraId="79B7D136" w14:textId="6E0BAE1A" w:rsidR="00D35A0D" w:rsidRPr="00E55A89" w:rsidRDefault="004571B4" w:rsidP="007D2B29">
            <w:pPr>
              <w:spacing w:line="240" w:lineRule="auto"/>
              <w:rPr>
                <w:rFonts w:eastAsiaTheme="minorEastAsia" w:cs="Times New Roman"/>
                <w:bCs/>
                <w:sz w:val="20"/>
                <w:szCs w:val="20"/>
              </w:rPr>
            </w:pPr>
            <w:r>
              <w:rPr>
                <w:rFonts w:eastAsiaTheme="minorEastAsia" w:cs="Times New Roman"/>
                <w:bCs/>
                <w:sz w:val="20"/>
                <w:szCs w:val="20"/>
              </w:rPr>
              <w:t>In-Hospital and 30-day Post-discharge mortality</w:t>
            </w:r>
          </w:p>
        </w:tc>
        <w:tc>
          <w:tcPr>
            <w:tcW w:w="1144" w:type="dxa"/>
            <w:vAlign w:val="center"/>
          </w:tcPr>
          <w:p w14:paraId="1BE1F456" w14:textId="674C56CC" w:rsidR="00D35A0D" w:rsidRPr="00AF4DB5" w:rsidRDefault="004571B4" w:rsidP="005D3606">
            <w:pPr>
              <w:spacing w:line="240" w:lineRule="auto"/>
              <w:jc w:val="center"/>
              <w:rPr>
                <w:rFonts w:eastAsiaTheme="minorEastAsia" w:cs="Times New Roman"/>
                <w:bCs/>
                <w:sz w:val="18"/>
                <w:szCs w:val="18"/>
              </w:rPr>
            </w:pPr>
            <w:r>
              <w:rPr>
                <w:rFonts w:eastAsiaTheme="minorEastAsia" w:cs="Times New Roman"/>
                <w:bCs/>
                <w:sz w:val="18"/>
                <w:szCs w:val="18"/>
              </w:rPr>
              <w:t>183 (3.0%)</w:t>
            </w:r>
          </w:p>
        </w:tc>
        <w:tc>
          <w:tcPr>
            <w:tcW w:w="1736" w:type="dxa"/>
            <w:vAlign w:val="center"/>
          </w:tcPr>
          <w:p w14:paraId="46675A7D" w14:textId="3254C8E7"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117 (5.3%)</w:t>
            </w:r>
          </w:p>
        </w:tc>
        <w:tc>
          <w:tcPr>
            <w:tcW w:w="1520" w:type="dxa"/>
            <w:vAlign w:val="center"/>
          </w:tcPr>
          <w:p w14:paraId="06073FAF" w14:textId="338A067A"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1.80 (1.42-2.29)</w:t>
            </w:r>
          </w:p>
        </w:tc>
        <w:tc>
          <w:tcPr>
            <w:tcW w:w="1180" w:type="dxa"/>
            <w:vAlign w:val="center"/>
          </w:tcPr>
          <w:p w14:paraId="5F22E0FB" w14:textId="546EBE2E"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&lt;.001</w:t>
            </w:r>
          </w:p>
        </w:tc>
        <w:tc>
          <w:tcPr>
            <w:tcW w:w="1490" w:type="dxa"/>
            <w:vAlign w:val="center"/>
          </w:tcPr>
          <w:p w14:paraId="581DF72A" w14:textId="08DA4D75"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1.02 (0.82-1.30)</w:t>
            </w:r>
          </w:p>
        </w:tc>
        <w:tc>
          <w:tcPr>
            <w:tcW w:w="1025" w:type="dxa"/>
            <w:vAlign w:val="center"/>
          </w:tcPr>
          <w:p w14:paraId="109FFB60" w14:textId="5C955471"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0.85</w:t>
            </w:r>
          </w:p>
        </w:tc>
      </w:tr>
      <w:tr w:rsidR="00330A53" w14:paraId="7A9755EE" w14:textId="77777777" w:rsidTr="00330A53">
        <w:trPr>
          <w:cantSplit/>
        </w:trPr>
        <w:tc>
          <w:tcPr>
            <w:tcW w:w="2335" w:type="dxa"/>
          </w:tcPr>
          <w:p w14:paraId="679385B4" w14:textId="49CBEDC8" w:rsidR="00D35A0D" w:rsidRPr="00E55A89" w:rsidRDefault="004571B4" w:rsidP="005D3606">
            <w:pPr>
              <w:spacing w:line="240" w:lineRule="auto"/>
              <w:rPr>
                <w:rFonts w:eastAsiaTheme="minorEastAsia" w:cs="Times New Roman"/>
                <w:bCs/>
                <w:sz w:val="20"/>
                <w:szCs w:val="20"/>
              </w:rPr>
            </w:pPr>
            <w:r>
              <w:rPr>
                <w:rFonts w:eastAsiaTheme="minorEastAsia" w:cs="Times New Roman"/>
                <w:bCs/>
                <w:sz w:val="20"/>
                <w:szCs w:val="20"/>
              </w:rPr>
              <w:t>30-day Post-discharge readmission</w:t>
            </w:r>
          </w:p>
        </w:tc>
        <w:tc>
          <w:tcPr>
            <w:tcW w:w="1144" w:type="dxa"/>
            <w:vAlign w:val="center"/>
          </w:tcPr>
          <w:p w14:paraId="217D2DE6" w14:textId="5E533574" w:rsidR="00D35A0D" w:rsidRPr="00AF4DB5" w:rsidRDefault="004571B4" w:rsidP="005D3606">
            <w:pPr>
              <w:spacing w:line="240" w:lineRule="auto"/>
              <w:jc w:val="center"/>
              <w:rPr>
                <w:rFonts w:eastAsiaTheme="minorEastAsia" w:cs="Times New Roman"/>
                <w:bCs/>
                <w:sz w:val="18"/>
                <w:szCs w:val="18"/>
              </w:rPr>
            </w:pPr>
            <w:r>
              <w:rPr>
                <w:rFonts w:eastAsiaTheme="minorEastAsia" w:cs="Times New Roman"/>
                <w:bCs/>
                <w:sz w:val="18"/>
                <w:szCs w:val="18"/>
              </w:rPr>
              <w:t>626 (10.4%)</w:t>
            </w:r>
          </w:p>
        </w:tc>
        <w:tc>
          <w:tcPr>
            <w:tcW w:w="1736" w:type="dxa"/>
            <w:vAlign w:val="center"/>
          </w:tcPr>
          <w:p w14:paraId="5A568C6C" w14:textId="234336FC"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344 (15.8%)</w:t>
            </w:r>
          </w:p>
        </w:tc>
        <w:tc>
          <w:tcPr>
            <w:tcW w:w="1520" w:type="dxa"/>
            <w:vAlign w:val="center"/>
          </w:tcPr>
          <w:p w14:paraId="4555EA18" w14:textId="7151DCBA"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1.63 (1.41-1.88)</w:t>
            </w:r>
          </w:p>
        </w:tc>
        <w:tc>
          <w:tcPr>
            <w:tcW w:w="1180" w:type="dxa"/>
            <w:vAlign w:val="center"/>
          </w:tcPr>
          <w:p w14:paraId="0C0272EA" w14:textId="0399B627"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&lt;.001</w:t>
            </w:r>
          </w:p>
        </w:tc>
        <w:tc>
          <w:tcPr>
            <w:tcW w:w="1490" w:type="dxa"/>
            <w:vAlign w:val="center"/>
          </w:tcPr>
          <w:p w14:paraId="54FF2677" w14:textId="5E06152E"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1.18 (1.03-1.35)</w:t>
            </w:r>
          </w:p>
        </w:tc>
        <w:tc>
          <w:tcPr>
            <w:tcW w:w="1025" w:type="dxa"/>
            <w:vAlign w:val="center"/>
          </w:tcPr>
          <w:p w14:paraId="5B738A8E" w14:textId="1838430C"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0.02</w:t>
            </w:r>
          </w:p>
        </w:tc>
      </w:tr>
      <w:tr w:rsidR="00330A53" w14:paraId="48AB9C31" w14:textId="77777777" w:rsidTr="00330A53">
        <w:trPr>
          <w:cantSplit/>
        </w:trPr>
        <w:tc>
          <w:tcPr>
            <w:tcW w:w="2335" w:type="dxa"/>
          </w:tcPr>
          <w:p w14:paraId="1AC87E54" w14:textId="24C571C5" w:rsidR="00D35A0D" w:rsidRPr="00E55A89" w:rsidRDefault="004571B4" w:rsidP="005D3606">
            <w:pPr>
              <w:spacing w:line="240" w:lineRule="auto"/>
              <w:rPr>
                <w:rFonts w:eastAsiaTheme="minorEastAsia" w:cs="Times New Roman"/>
                <w:bCs/>
                <w:sz w:val="20"/>
                <w:szCs w:val="20"/>
              </w:rPr>
            </w:pPr>
            <w:r>
              <w:rPr>
                <w:rFonts w:eastAsiaTheme="minorEastAsia" w:cs="Times New Roman"/>
                <w:bCs/>
                <w:sz w:val="20"/>
                <w:szCs w:val="20"/>
              </w:rPr>
              <w:t>30-day Post-discharge ED visit</w:t>
            </w:r>
          </w:p>
        </w:tc>
        <w:tc>
          <w:tcPr>
            <w:tcW w:w="1144" w:type="dxa"/>
            <w:vAlign w:val="center"/>
          </w:tcPr>
          <w:p w14:paraId="18A32187" w14:textId="49441B43" w:rsidR="00D35A0D" w:rsidRPr="00AF4DB5" w:rsidRDefault="004571B4" w:rsidP="005D3606">
            <w:pPr>
              <w:spacing w:line="240" w:lineRule="auto"/>
              <w:jc w:val="center"/>
              <w:rPr>
                <w:rFonts w:eastAsiaTheme="minorEastAsia" w:cs="Times New Roman"/>
                <w:bCs/>
                <w:sz w:val="18"/>
                <w:szCs w:val="18"/>
              </w:rPr>
            </w:pPr>
            <w:r>
              <w:rPr>
                <w:rFonts w:eastAsiaTheme="minorEastAsia" w:cs="Times New Roman"/>
                <w:bCs/>
                <w:sz w:val="18"/>
                <w:szCs w:val="18"/>
              </w:rPr>
              <w:t>548 (9.1%)</w:t>
            </w:r>
          </w:p>
        </w:tc>
        <w:tc>
          <w:tcPr>
            <w:tcW w:w="1736" w:type="dxa"/>
            <w:vAlign w:val="center"/>
          </w:tcPr>
          <w:p w14:paraId="4549F6AF" w14:textId="03376536"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236 (10.9%)</w:t>
            </w:r>
          </w:p>
        </w:tc>
        <w:tc>
          <w:tcPr>
            <w:tcW w:w="1520" w:type="dxa"/>
            <w:vAlign w:val="center"/>
          </w:tcPr>
          <w:p w14:paraId="41896BB8" w14:textId="0583ED66"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1.24 (1.05-1.46)</w:t>
            </w:r>
          </w:p>
        </w:tc>
        <w:tc>
          <w:tcPr>
            <w:tcW w:w="1180" w:type="dxa"/>
            <w:vAlign w:val="center"/>
          </w:tcPr>
          <w:p w14:paraId="4FF64B02" w14:textId="0CADF09E"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0.01</w:t>
            </w:r>
          </w:p>
        </w:tc>
        <w:tc>
          <w:tcPr>
            <w:tcW w:w="1490" w:type="dxa"/>
            <w:vAlign w:val="center"/>
          </w:tcPr>
          <w:p w14:paraId="36A86B69" w14:textId="00EB7D7F"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1.11 (0.95-1.29)</w:t>
            </w:r>
          </w:p>
        </w:tc>
        <w:tc>
          <w:tcPr>
            <w:tcW w:w="1025" w:type="dxa"/>
            <w:vAlign w:val="center"/>
          </w:tcPr>
          <w:p w14:paraId="762D7342" w14:textId="64F2CE5E"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0.18</w:t>
            </w:r>
          </w:p>
        </w:tc>
      </w:tr>
      <w:tr w:rsidR="00330A53" w14:paraId="694F8801" w14:textId="77777777" w:rsidTr="00330A53">
        <w:trPr>
          <w:cantSplit/>
        </w:trPr>
        <w:tc>
          <w:tcPr>
            <w:tcW w:w="2335" w:type="dxa"/>
          </w:tcPr>
          <w:p w14:paraId="7A93EF52" w14:textId="2D960206" w:rsidR="004571B4" w:rsidRPr="00E55A89" w:rsidRDefault="004571B4" w:rsidP="004571B4">
            <w:pPr>
              <w:spacing w:line="240" w:lineRule="auto"/>
              <w:rPr>
                <w:rFonts w:eastAsiaTheme="minorEastAsia" w:cs="Times New Roman"/>
                <w:bCs/>
                <w:sz w:val="20"/>
                <w:szCs w:val="20"/>
              </w:rPr>
            </w:pPr>
            <w:r>
              <w:rPr>
                <w:rFonts w:eastAsiaTheme="minorEastAsia" w:cs="Times New Roman"/>
                <w:bCs/>
                <w:sz w:val="20"/>
                <w:szCs w:val="20"/>
              </w:rPr>
              <w:t xml:space="preserve">In-Hospital and 30-day Post-discharge </w:t>
            </w:r>
            <w:r w:rsidRPr="004571B4">
              <w:rPr>
                <w:rFonts w:eastAsiaTheme="minorEastAsia" w:cs="Times New Roman"/>
                <w:bCs/>
                <w:i/>
                <w:iCs/>
                <w:sz w:val="20"/>
                <w:szCs w:val="20"/>
              </w:rPr>
              <w:t>C. difficile</w:t>
            </w:r>
            <w:r w:rsidRPr="00E55A89">
              <w:rPr>
                <w:rFonts w:eastAsiaTheme="minorEastAsia" w:cs="Times New Roman"/>
                <w:bCs/>
                <w:sz w:val="20"/>
                <w:szCs w:val="20"/>
              </w:rPr>
              <w:t xml:space="preserve"> infection</w:t>
            </w:r>
          </w:p>
        </w:tc>
        <w:tc>
          <w:tcPr>
            <w:tcW w:w="1144" w:type="dxa"/>
            <w:vAlign w:val="center"/>
          </w:tcPr>
          <w:p w14:paraId="18510FBB" w14:textId="1695FDBE" w:rsidR="004571B4" w:rsidRPr="00AF4DB5" w:rsidRDefault="004571B4" w:rsidP="004571B4">
            <w:pPr>
              <w:spacing w:line="240" w:lineRule="auto"/>
              <w:jc w:val="center"/>
              <w:rPr>
                <w:rFonts w:eastAsiaTheme="minorEastAsia" w:cs="Times New Roman"/>
                <w:bCs/>
                <w:sz w:val="18"/>
                <w:szCs w:val="18"/>
              </w:rPr>
            </w:pPr>
            <w:r>
              <w:rPr>
                <w:rFonts w:eastAsiaTheme="minorEastAsia" w:cs="Times New Roman"/>
                <w:bCs/>
                <w:sz w:val="18"/>
                <w:szCs w:val="18"/>
              </w:rPr>
              <w:t>15 (0.3%)</w:t>
            </w:r>
          </w:p>
        </w:tc>
        <w:tc>
          <w:tcPr>
            <w:tcW w:w="1736" w:type="dxa"/>
            <w:vAlign w:val="center"/>
          </w:tcPr>
          <w:p w14:paraId="78D544FC" w14:textId="063EF820" w:rsidR="004571B4" w:rsidRPr="00AF4DB5" w:rsidRDefault="007D2B29" w:rsidP="004571B4">
            <w:pPr>
              <w:spacing w:line="240" w:lineRule="auto"/>
              <w:jc w:val="center"/>
              <w:rPr>
                <w:rFonts w:eastAsiaTheme="minorEastAsia" w:cs="Times New Roman"/>
                <w:bCs/>
                <w:sz w:val="18"/>
                <w:szCs w:val="18"/>
              </w:rPr>
            </w:pPr>
            <w:r>
              <w:rPr>
                <w:rFonts w:eastAsiaTheme="minorEastAsia" w:cs="Times New Roman"/>
                <w:bCs/>
                <w:sz w:val="18"/>
                <w:szCs w:val="18"/>
              </w:rPr>
              <w:t>12 (0.5%)</w:t>
            </w:r>
          </w:p>
        </w:tc>
        <w:tc>
          <w:tcPr>
            <w:tcW w:w="1520" w:type="dxa"/>
            <w:vAlign w:val="center"/>
          </w:tcPr>
          <w:p w14:paraId="28C45F66" w14:textId="06FFA319" w:rsidR="004571B4" w:rsidRPr="00AF4DB5" w:rsidRDefault="007D2B29" w:rsidP="004571B4">
            <w:pPr>
              <w:spacing w:line="240" w:lineRule="auto"/>
              <w:jc w:val="center"/>
              <w:rPr>
                <w:rFonts w:eastAsiaTheme="minorEastAsia" w:cs="Times New Roman"/>
                <w:bCs/>
                <w:sz w:val="18"/>
                <w:szCs w:val="18"/>
              </w:rPr>
            </w:pPr>
            <w:r>
              <w:rPr>
                <w:rFonts w:eastAsiaTheme="minorEastAsia" w:cs="Times New Roman"/>
                <w:bCs/>
                <w:sz w:val="18"/>
                <w:szCs w:val="18"/>
              </w:rPr>
              <w:t>2.20 (1.03-4.71)</w:t>
            </w:r>
          </w:p>
        </w:tc>
        <w:tc>
          <w:tcPr>
            <w:tcW w:w="1180" w:type="dxa"/>
            <w:vAlign w:val="center"/>
          </w:tcPr>
          <w:p w14:paraId="108C9C9B" w14:textId="68FAEE05" w:rsidR="004571B4" w:rsidRPr="00AF4DB5" w:rsidRDefault="007D2B29" w:rsidP="004571B4">
            <w:pPr>
              <w:spacing w:line="240" w:lineRule="auto"/>
              <w:jc w:val="center"/>
              <w:rPr>
                <w:rFonts w:eastAsiaTheme="minorEastAsia" w:cs="Times New Roman"/>
                <w:bCs/>
                <w:sz w:val="18"/>
                <w:szCs w:val="18"/>
              </w:rPr>
            </w:pPr>
            <w:r>
              <w:rPr>
                <w:rFonts w:eastAsiaTheme="minorEastAsia" w:cs="Times New Roman"/>
                <w:bCs/>
                <w:sz w:val="18"/>
                <w:szCs w:val="18"/>
              </w:rPr>
              <w:t>0.04</w:t>
            </w:r>
          </w:p>
        </w:tc>
        <w:tc>
          <w:tcPr>
            <w:tcW w:w="1490" w:type="dxa"/>
            <w:vAlign w:val="center"/>
          </w:tcPr>
          <w:p w14:paraId="7D60A3E5" w14:textId="07396791" w:rsidR="004571B4" w:rsidRPr="00AF4DB5" w:rsidRDefault="007D2B29" w:rsidP="004571B4">
            <w:pPr>
              <w:spacing w:line="240" w:lineRule="auto"/>
              <w:jc w:val="center"/>
              <w:rPr>
                <w:rFonts w:eastAsiaTheme="minorEastAsia" w:cs="Times New Roman"/>
                <w:bCs/>
                <w:sz w:val="18"/>
                <w:szCs w:val="18"/>
              </w:rPr>
            </w:pPr>
            <w:r>
              <w:rPr>
                <w:rFonts w:eastAsiaTheme="minorEastAsia" w:cs="Times New Roman"/>
                <w:bCs/>
                <w:sz w:val="18"/>
                <w:szCs w:val="18"/>
              </w:rPr>
              <w:t>1.88 (0.85-4.16)</w:t>
            </w:r>
          </w:p>
        </w:tc>
        <w:tc>
          <w:tcPr>
            <w:tcW w:w="1025" w:type="dxa"/>
            <w:vAlign w:val="center"/>
          </w:tcPr>
          <w:p w14:paraId="7F7C943B" w14:textId="72D680CD" w:rsidR="004571B4" w:rsidRPr="00AF4DB5" w:rsidRDefault="007D2B29" w:rsidP="004571B4">
            <w:pPr>
              <w:spacing w:line="240" w:lineRule="auto"/>
              <w:jc w:val="center"/>
              <w:rPr>
                <w:rFonts w:eastAsiaTheme="minorEastAsia" w:cs="Times New Roman"/>
                <w:bCs/>
                <w:sz w:val="18"/>
                <w:szCs w:val="18"/>
              </w:rPr>
            </w:pPr>
            <w:r>
              <w:rPr>
                <w:rFonts w:eastAsiaTheme="minorEastAsia" w:cs="Times New Roman"/>
                <w:bCs/>
                <w:sz w:val="18"/>
                <w:szCs w:val="18"/>
              </w:rPr>
              <w:t>0.12</w:t>
            </w:r>
          </w:p>
        </w:tc>
      </w:tr>
      <w:tr w:rsidR="00330A53" w14:paraId="0914ABD5" w14:textId="77777777" w:rsidTr="00330A53">
        <w:trPr>
          <w:cantSplit/>
        </w:trPr>
        <w:tc>
          <w:tcPr>
            <w:tcW w:w="2335" w:type="dxa"/>
          </w:tcPr>
          <w:p w14:paraId="2B216FD9" w14:textId="6328DAD2" w:rsidR="004571B4" w:rsidRPr="00E55A89" w:rsidRDefault="004571B4" w:rsidP="004571B4">
            <w:pPr>
              <w:spacing w:line="240" w:lineRule="auto"/>
              <w:rPr>
                <w:rFonts w:eastAsiaTheme="minorEastAsia" w:cs="Times New Roman"/>
                <w:bCs/>
                <w:sz w:val="20"/>
                <w:szCs w:val="20"/>
              </w:rPr>
            </w:pPr>
            <w:r>
              <w:rPr>
                <w:rFonts w:eastAsiaTheme="minorEastAsia" w:cs="Times New Roman"/>
                <w:bCs/>
                <w:sz w:val="20"/>
                <w:szCs w:val="20"/>
              </w:rPr>
              <w:t>In-Hospital and 30-day Post-discharge</w:t>
            </w:r>
            <w:r>
              <w:rPr>
                <w:rFonts w:eastAsiaTheme="minorEastAsia" w:cs="Times New Roman"/>
                <w:bCs/>
                <w:sz w:val="20"/>
                <w:szCs w:val="20"/>
              </w:rPr>
              <w:t xml:space="preserve"> antibiotic-associated ADE</w:t>
            </w:r>
          </w:p>
        </w:tc>
        <w:tc>
          <w:tcPr>
            <w:tcW w:w="1144" w:type="dxa"/>
            <w:vAlign w:val="center"/>
          </w:tcPr>
          <w:p w14:paraId="3CCC975F" w14:textId="13342370" w:rsidR="004571B4" w:rsidRPr="00AF4DB5" w:rsidRDefault="004571B4" w:rsidP="004571B4">
            <w:pPr>
              <w:spacing w:line="240" w:lineRule="auto"/>
              <w:jc w:val="center"/>
              <w:rPr>
                <w:rFonts w:eastAsiaTheme="minorEastAsia" w:cs="Times New Roman"/>
                <w:bCs/>
                <w:sz w:val="18"/>
                <w:szCs w:val="18"/>
              </w:rPr>
            </w:pPr>
            <w:r>
              <w:rPr>
                <w:rFonts w:eastAsiaTheme="minorEastAsia" w:cs="Times New Roman"/>
                <w:bCs/>
                <w:sz w:val="18"/>
                <w:szCs w:val="18"/>
              </w:rPr>
              <w:t>139 (2.3%)</w:t>
            </w:r>
          </w:p>
        </w:tc>
        <w:tc>
          <w:tcPr>
            <w:tcW w:w="1736" w:type="dxa"/>
            <w:vAlign w:val="center"/>
          </w:tcPr>
          <w:p w14:paraId="0FD7F28E" w14:textId="4084FA7D" w:rsidR="004571B4" w:rsidRPr="00AF4DB5" w:rsidRDefault="007D2B29" w:rsidP="004571B4">
            <w:pPr>
              <w:spacing w:line="240" w:lineRule="auto"/>
              <w:jc w:val="center"/>
              <w:rPr>
                <w:rFonts w:eastAsiaTheme="minorEastAsia" w:cs="Times New Roman"/>
                <w:bCs/>
                <w:sz w:val="18"/>
                <w:szCs w:val="18"/>
              </w:rPr>
            </w:pPr>
            <w:r>
              <w:rPr>
                <w:rFonts w:eastAsiaTheme="minorEastAsia" w:cs="Times New Roman"/>
                <w:bCs/>
                <w:sz w:val="18"/>
                <w:szCs w:val="18"/>
              </w:rPr>
              <w:t>71 (3.2%)</w:t>
            </w:r>
          </w:p>
        </w:tc>
        <w:tc>
          <w:tcPr>
            <w:tcW w:w="1520" w:type="dxa"/>
            <w:vAlign w:val="center"/>
          </w:tcPr>
          <w:p w14:paraId="6A80D94C" w14:textId="6580AA35" w:rsidR="004571B4" w:rsidRPr="00AF4DB5" w:rsidRDefault="007D2B29" w:rsidP="004571B4">
            <w:pPr>
              <w:spacing w:line="240" w:lineRule="auto"/>
              <w:jc w:val="center"/>
              <w:rPr>
                <w:rFonts w:eastAsiaTheme="minorEastAsia" w:cs="Times New Roman"/>
                <w:bCs/>
                <w:sz w:val="18"/>
                <w:szCs w:val="18"/>
              </w:rPr>
            </w:pPr>
            <w:r>
              <w:rPr>
                <w:rFonts w:eastAsiaTheme="minorEastAsia" w:cs="Times New Roman"/>
                <w:bCs/>
                <w:sz w:val="18"/>
                <w:szCs w:val="18"/>
              </w:rPr>
              <w:t>1.46 (1.09-1.96)</w:t>
            </w:r>
          </w:p>
        </w:tc>
        <w:tc>
          <w:tcPr>
            <w:tcW w:w="1180" w:type="dxa"/>
            <w:vAlign w:val="center"/>
          </w:tcPr>
          <w:p w14:paraId="6C1D1CC9" w14:textId="09104267" w:rsidR="004571B4" w:rsidRPr="00AF4DB5" w:rsidRDefault="007D2B29" w:rsidP="004571B4">
            <w:pPr>
              <w:spacing w:line="240" w:lineRule="auto"/>
              <w:jc w:val="center"/>
              <w:rPr>
                <w:rFonts w:eastAsiaTheme="minorEastAsia" w:cs="Times New Roman"/>
                <w:bCs/>
                <w:sz w:val="18"/>
                <w:szCs w:val="18"/>
              </w:rPr>
            </w:pPr>
            <w:r>
              <w:rPr>
                <w:rFonts w:eastAsiaTheme="minorEastAsia" w:cs="Times New Roman"/>
                <w:bCs/>
                <w:sz w:val="18"/>
                <w:szCs w:val="18"/>
              </w:rPr>
              <w:t>0.01</w:t>
            </w:r>
          </w:p>
        </w:tc>
        <w:tc>
          <w:tcPr>
            <w:tcW w:w="1490" w:type="dxa"/>
            <w:vAlign w:val="center"/>
          </w:tcPr>
          <w:p w14:paraId="33E6459A" w14:textId="7E873344" w:rsidR="004571B4" w:rsidRPr="00AF4DB5" w:rsidRDefault="007D2B29" w:rsidP="004571B4">
            <w:pPr>
              <w:spacing w:line="240" w:lineRule="auto"/>
              <w:jc w:val="center"/>
              <w:rPr>
                <w:rFonts w:eastAsiaTheme="minorEastAsia" w:cs="Times New Roman"/>
                <w:bCs/>
                <w:sz w:val="18"/>
                <w:szCs w:val="18"/>
              </w:rPr>
            </w:pPr>
            <w:r>
              <w:rPr>
                <w:rFonts w:eastAsiaTheme="minorEastAsia" w:cs="Times New Roman"/>
                <w:bCs/>
                <w:sz w:val="18"/>
                <w:szCs w:val="18"/>
              </w:rPr>
              <w:t>1.73 (1.24-2.43)</w:t>
            </w:r>
          </w:p>
        </w:tc>
        <w:tc>
          <w:tcPr>
            <w:tcW w:w="1025" w:type="dxa"/>
            <w:vAlign w:val="center"/>
          </w:tcPr>
          <w:p w14:paraId="24090515" w14:textId="49D6E167" w:rsidR="004571B4" w:rsidRPr="00AF4DB5" w:rsidRDefault="007D2B29" w:rsidP="004571B4">
            <w:pPr>
              <w:spacing w:line="240" w:lineRule="auto"/>
              <w:jc w:val="center"/>
              <w:rPr>
                <w:rFonts w:eastAsiaTheme="minorEastAsia" w:cs="Times New Roman"/>
                <w:bCs/>
                <w:sz w:val="18"/>
                <w:szCs w:val="18"/>
              </w:rPr>
            </w:pPr>
            <w:r>
              <w:rPr>
                <w:rFonts w:eastAsiaTheme="minorEastAsia" w:cs="Times New Roman"/>
                <w:bCs/>
                <w:sz w:val="18"/>
                <w:szCs w:val="18"/>
              </w:rPr>
              <w:t>0.001</w:t>
            </w:r>
          </w:p>
        </w:tc>
      </w:tr>
      <w:tr w:rsidR="00330A53" w14:paraId="32EA8CE7" w14:textId="77777777" w:rsidTr="00330A53">
        <w:trPr>
          <w:cantSplit/>
        </w:trPr>
        <w:tc>
          <w:tcPr>
            <w:tcW w:w="2335" w:type="dxa"/>
          </w:tcPr>
          <w:p w14:paraId="7910BC81" w14:textId="3A262C2A" w:rsidR="00D35A0D" w:rsidRPr="00E55A89" w:rsidRDefault="004571B4" w:rsidP="004571B4">
            <w:pPr>
              <w:spacing w:line="240" w:lineRule="auto"/>
              <w:rPr>
                <w:rFonts w:eastAsiaTheme="minorEastAsia" w:cs="Times New Roman"/>
                <w:bCs/>
                <w:sz w:val="20"/>
                <w:szCs w:val="20"/>
              </w:rPr>
            </w:pPr>
            <w:r>
              <w:rPr>
                <w:rFonts w:eastAsiaTheme="minorEastAsia" w:cs="Times New Roman"/>
                <w:bCs/>
                <w:sz w:val="20"/>
                <w:szCs w:val="20"/>
              </w:rPr>
              <w:t>Duration of Hospitalization, median (IQR)</w:t>
            </w:r>
          </w:p>
        </w:tc>
        <w:tc>
          <w:tcPr>
            <w:tcW w:w="1144" w:type="dxa"/>
            <w:vAlign w:val="center"/>
          </w:tcPr>
          <w:p w14:paraId="121C8E90" w14:textId="7824949D" w:rsidR="00D35A0D" w:rsidRPr="00AF4DB5" w:rsidRDefault="004571B4" w:rsidP="005D3606">
            <w:pPr>
              <w:spacing w:line="240" w:lineRule="auto"/>
              <w:jc w:val="center"/>
              <w:rPr>
                <w:rFonts w:eastAsiaTheme="minorEastAsia" w:cs="Times New Roman"/>
                <w:bCs/>
                <w:sz w:val="18"/>
                <w:szCs w:val="18"/>
              </w:rPr>
            </w:pPr>
            <w:r>
              <w:rPr>
                <w:rFonts w:eastAsiaTheme="minorEastAsia" w:cs="Times New Roman"/>
                <w:bCs/>
                <w:sz w:val="18"/>
                <w:szCs w:val="18"/>
              </w:rPr>
              <w:t>4 (3-6)</w:t>
            </w:r>
          </w:p>
        </w:tc>
        <w:tc>
          <w:tcPr>
            <w:tcW w:w="1736" w:type="dxa"/>
            <w:vAlign w:val="center"/>
          </w:tcPr>
          <w:p w14:paraId="6C95DACA" w14:textId="5D8A3D36"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5 (4-7)</w:t>
            </w:r>
          </w:p>
        </w:tc>
        <w:tc>
          <w:tcPr>
            <w:tcW w:w="1520" w:type="dxa"/>
            <w:vAlign w:val="center"/>
          </w:tcPr>
          <w:p w14:paraId="4BF7653A" w14:textId="3911A816"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1.19 (1.16-1.21)</w:t>
            </w:r>
          </w:p>
        </w:tc>
        <w:tc>
          <w:tcPr>
            <w:tcW w:w="1180" w:type="dxa"/>
            <w:vAlign w:val="center"/>
          </w:tcPr>
          <w:p w14:paraId="6CF346FF" w14:textId="444414A7"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&lt;.001</w:t>
            </w:r>
          </w:p>
        </w:tc>
        <w:tc>
          <w:tcPr>
            <w:tcW w:w="1490" w:type="dxa"/>
            <w:vAlign w:val="center"/>
          </w:tcPr>
          <w:p w14:paraId="4BF7982D" w14:textId="508F2101"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1.11 (1.09-1.13)</w:t>
            </w:r>
          </w:p>
        </w:tc>
        <w:tc>
          <w:tcPr>
            <w:tcW w:w="1025" w:type="dxa"/>
            <w:vAlign w:val="center"/>
          </w:tcPr>
          <w:p w14:paraId="7495D3C8" w14:textId="12DEED5B"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&lt;.001</w:t>
            </w:r>
          </w:p>
        </w:tc>
      </w:tr>
      <w:tr w:rsidR="00330A53" w14:paraId="3513B298" w14:textId="77777777" w:rsidTr="00330A53">
        <w:trPr>
          <w:cantSplit/>
        </w:trPr>
        <w:tc>
          <w:tcPr>
            <w:tcW w:w="2335" w:type="dxa"/>
          </w:tcPr>
          <w:p w14:paraId="6B2C4D76" w14:textId="62E23D1C" w:rsidR="00D35A0D" w:rsidRPr="00E55A89" w:rsidRDefault="004571B4" w:rsidP="004571B4">
            <w:pPr>
              <w:spacing w:line="240" w:lineRule="auto"/>
              <w:rPr>
                <w:rFonts w:eastAsiaTheme="minorEastAsia" w:cs="Times New Roman"/>
                <w:bCs/>
                <w:sz w:val="20"/>
                <w:szCs w:val="20"/>
              </w:rPr>
            </w:pPr>
            <w:r>
              <w:rPr>
                <w:rFonts w:eastAsiaTheme="minorEastAsia" w:cs="Times New Roman"/>
                <w:bCs/>
                <w:sz w:val="20"/>
                <w:szCs w:val="20"/>
              </w:rPr>
              <w:t>Transfer to ICU</w:t>
            </w:r>
          </w:p>
        </w:tc>
        <w:tc>
          <w:tcPr>
            <w:tcW w:w="1144" w:type="dxa"/>
            <w:vAlign w:val="center"/>
          </w:tcPr>
          <w:p w14:paraId="1DA49604" w14:textId="76F92E72" w:rsidR="00D35A0D" w:rsidRPr="00AF4DB5" w:rsidRDefault="004571B4" w:rsidP="005D3606">
            <w:pPr>
              <w:spacing w:line="240" w:lineRule="auto"/>
              <w:jc w:val="center"/>
              <w:rPr>
                <w:rFonts w:eastAsiaTheme="minorEastAsia" w:cs="Times New Roman"/>
                <w:bCs/>
                <w:sz w:val="18"/>
                <w:szCs w:val="18"/>
              </w:rPr>
            </w:pPr>
            <w:r>
              <w:rPr>
                <w:rFonts w:eastAsiaTheme="minorEastAsia" w:cs="Times New Roman"/>
                <w:bCs/>
                <w:sz w:val="18"/>
                <w:szCs w:val="18"/>
              </w:rPr>
              <w:t>86 (1.4%)</w:t>
            </w:r>
          </w:p>
        </w:tc>
        <w:tc>
          <w:tcPr>
            <w:tcW w:w="1736" w:type="dxa"/>
            <w:vAlign w:val="center"/>
          </w:tcPr>
          <w:p w14:paraId="4E1BCB87" w14:textId="50F0C654"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60 (2.7%)</w:t>
            </w:r>
          </w:p>
        </w:tc>
        <w:tc>
          <w:tcPr>
            <w:tcW w:w="1520" w:type="dxa"/>
            <w:vAlign w:val="center"/>
          </w:tcPr>
          <w:p w14:paraId="1B5BDD1A" w14:textId="5FB719D1"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1.95 (1.39-2.75)</w:t>
            </w:r>
          </w:p>
        </w:tc>
        <w:tc>
          <w:tcPr>
            <w:tcW w:w="1180" w:type="dxa"/>
            <w:vAlign w:val="center"/>
          </w:tcPr>
          <w:p w14:paraId="2E3DE6DE" w14:textId="29A8039C"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&lt;.001</w:t>
            </w:r>
          </w:p>
        </w:tc>
        <w:tc>
          <w:tcPr>
            <w:tcW w:w="1490" w:type="dxa"/>
            <w:vAlign w:val="center"/>
          </w:tcPr>
          <w:p w14:paraId="17CEA3E0" w14:textId="26B431BC"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1.55 (1.10-2.19)</w:t>
            </w:r>
          </w:p>
        </w:tc>
        <w:tc>
          <w:tcPr>
            <w:tcW w:w="1025" w:type="dxa"/>
            <w:vAlign w:val="center"/>
          </w:tcPr>
          <w:p w14:paraId="6D7177F4" w14:textId="49AB8667" w:rsidR="00D35A0D" w:rsidRPr="00AF4DB5" w:rsidRDefault="007D2B29" w:rsidP="005D3606">
            <w:pPr>
              <w:spacing w:line="240" w:lineRule="auto"/>
              <w:jc w:val="center"/>
              <w:rPr>
                <w:rFonts w:eastAsiaTheme="minorEastAsia" w:cs="Times New Roman"/>
                <w:bCs/>
                <w:sz w:val="18"/>
                <w:szCs w:val="18"/>
              </w:rPr>
            </w:pPr>
            <w:r>
              <w:rPr>
                <w:rFonts w:eastAsiaTheme="minorEastAsia" w:cs="Times New Roman"/>
                <w:bCs/>
                <w:sz w:val="18"/>
                <w:szCs w:val="18"/>
              </w:rPr>
              <w:t>0.01</w:t>
            </w:r>
          </w:p>
        </w:tc>
      </w:tr>
    </w:tbl>
    <w:p w14:paraId="52EA4D10" w14:textId="77777777" w:rsidR="007D2B29" w:rsidRDefault="007D2B29" w:rsidP="00D35A0D">
      <w:pPr>
        <w:spacing w:after="0" w:line="240" w:lineRule="auto"/>
        <w:rPr>
          <w:rFonts w:cs="Times New Roman"/>
          <w:sz w:val="18"/>
          <w:szCs w:val="18"/>
        </w:rPr>
      </w:pPr>
    </w:p>
    <w:p w14:paraId="127AD39C" w14:textId="2D9F4A18" w:rsidR="00D35A0D" w:rsidRPr="00AF4DB5" w:rsidRDefault="004571B4" w:rsidP="00D35A0D">
      <w:pPr>
        <w:spacing w:after="0" w:line="240" w:lineRule="auto"/>
        <w:rPr>
          <w:rFonts w:cs="Times New Roman"/>
          <w:sz w:val="18"/>
          <w:szCs w:val="18"/>
        </w:rPr>
      </w:pPr>
      <w:r>
        <w:rPr>
          <w:rFonts w:cs="Times New Roman"/>
          <w:sz w:val="18"/>
          <w:szCs w:val="18"/>
        </w:rPr>
        <w:t>Abbreviations: CAP, community-acquired pneumonia; ED, emergency department; ADE, adverse drug event; IQR, interquartile range; ICU, intensive care unit</w:t>
      </w:r>
    </w:p>
    <w:p w14:paraId="1AA763D9" w14:textId="0D082584" w:rsidR="001B5711" w:rsidRPr="00330A53" w:rsidRDefault="00D35A0D" w:rsidP="00330A53">
      <w:pPr>
        <w:spacing w:after="0" w:line="240" w:lineRule="auto"/>
        <w:rPr>
          <w:sz w:val="18"/>
          <w:szCs w:val="18"/>
        </w:rPr>
      </w:pPr>
      <w:r w:rsidRPr="00AF4DB5">
        <w:rPr>
          <w:rFonts w:cs="Times New Roman"/>
          <w:sz w:val="18"/>
          <w:szCs w:val="18"/>
        </w:rPr>
        <w:t xml:space="preserve">Outcomes were </w:t>
      </w:r>
      <w:r w:rsidR="004571B4">
        <w:rPr>
          <w:rFonts w:cs="Times New Roman"/>
          <w:sz w:val="18"/>
          <w:szCs w:val="18"/>
        </w:rPr>
        <w:t>adjusted for patient variables found to be significant (P&lt;.05) and associated with treatment in the multivariate analysis as well as baseline characteristics know to be associated with each individual outcome.</w:t>
      </w:r>
    </w:p>
    <w:sectPr w:rsidR="001B5711" w:rsidRPr="00330A53" w:rsidSect="00FD68BB">
      <w:pgSz w:w="12240" w:h="15840"/>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BB"/>
    <w:rsid w:val="001B5711"/>
    <w:rsid w:val="0025493A"/>
    <w:rsid w:val="00254D61"/>
    <w:rsid w:val="00330A53"/>
    <w:rsid w:val="0037116F"/>
    <w:rsid w:val="003A28A8"/>
    <w:rsid w:val="004571B4"/>
    <w:rsid w:val="0049710A"/>
    <w:rsid w:val="004D000A"/>
    <w:rsid w:val="007D2B29"/>
    <w:rsid w:val="008350E4"/>
    <w:rsid w:val="008863E5"/>
    <w:rsid w:val="008B63B9"/>
    <w:rsid w:val="00BB5AFB"/>
    <w:rsid w:val="00D35A0D"/>
    <w:rsid w:val="00DA17D3"/>
    <w:rsid w:val="00FD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623E"/>
  <w15:chartTrackingRefBased/>
  <w15:docId w15:val="{36651600-C7B3-4A4B-B5E5-0C84B727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00A"/>
    <w:pPr>
      <w:spacing w:line="259" w:lineRule="auto"/>
    </w:pPr>
    <w:rPr>
      <w:sz w:val="22"/>
      <w:szCs w:val="22"/>
    </w:rPr>
  </w:style>
  <w:style w:type="paragraph" w:styleId="Heading1">
    <w:name w:val="heading 1"/>
    <w:basedOn w:val="Normal"/>
    <w:next w:val="Normal"/>
    <w:link w:val="Heading1Char"/>
    <w:uiPriority w:val="9"/>
    <w:qFormat/>
    <w:rsid w:val="00FD68B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8B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8B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8B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D68B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D68B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D68B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D68B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D68B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8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8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8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8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8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8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8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8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8BB"/>
    <w:rPr>
      <w:rFonts w:eastAsiaTheme="majorEastAsia" w:cstheme="majorBidi"/>
      <w:color w:val="272727" w:themeColor="text1" w:themeTint="D8"/>
    </w:rPr>
  </w:style>
  <w:style w:type="paragraph" w:styleId="Title">
    <w:name w:val="Title"/>
    <w:basedOn w:val="Normal"/>
    <w:next w:val="Normal"/>
    <w:link w:val="TitleChar"/>
    <w:uiPriority w:val="10"/>
    <w:qFormat/>
    <w:rsid w:val="00FD6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8B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8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8B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D68BB"/>
    <w:rPr>
      <w:i/>
      <w:iCs/>
      <w:color w:val="404040" w:themeColor="text1" w:themeTint="BF"/>
    </w:rPr>
  </w:style>
  <w:style w:type="paragraph" w:styleId="ListParagraph">
    <w:name w:val="List Paragraph"/>
    <w:basedOn w:val="Normal"/>
    <w:link w:val="ListParagraphChar"/>
    <w:uiPriority w:val="34"/>
    <w:qFormat/>
    <w:rsid w:val="00FD68BB"/>
    <w:pPr>
      <w:spacing w:line="278" w:lineRule="auto"/>
      <w:ind w:left="720"/>
      <w:contextualSpacing/>
    </w:pPr>
    <w:rPr>
      <w:sz w:val="24"/>
      <w:szCs w:val="24"/>
    </w:rPr>
  </w:style>
  <w:style w:type="character" w:styleId="IntenseEmphasis">
    <w:name w:val="Intense Emphasis"/>
    <w:basedOn w:val="DefaultParagraphFont"/>
    <w:uiPriority w:val="21"/>
    <w:qFormat/>
    <w:rsid w:val="00FD68BB"/>
    <w:rPr>
      <w:i/>
      <w:iCs/>
      <w:color w:val="0F4761" w:themeColor="accent1" w:themeShade="BF"/>
    </w:rPr>
  </w:style>
  <w:style w:type="paragraph" w:styleId="IntenseQuote">
    <w:name w:val="Intense Quote"/>
    <w:basedOn w:val="Normal"/>
    <w:next w:val="Normal"/>
    <w:link w:val="IntenseQuoteChar"/>
    <w:uiPriority w:val="30"/>
    <w:qFormat/>
    <w:rsid w:val="00FD68B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D68BB"/>
    <w:rPr>
      <w:i/>
      <w:iCs/>
      <w:color w:val="0F4761" w:themeColor="accent1" w:themeShade="BF"/>
    </w:rPr>
  </w:style>
  <w:style w:type="character" w:styleId="IntenseReference">
    <w:name w:val="Intense Reference"/>
    <w:basedOn w:val="DefaultParagraphFont"/>
    <w:uiPriority w:val="32"/>
    <w:qFormat/>
    <w:rsid w:val="00FD68BB"/>
    <w:rPr>
      <w:b/>
      <w:bCs/>
      <w:smallCaps/>
      <w:color w:val="0F4761" w:themeColor="accent1" w:themeShade="BF"/>
      <w:spacing w:val="5"/>
    </w:rPr>
  </w:style>
  <w:style w:type="character" w:styleId="CommentReference">
    <w:name w:val="annotation reference"/>
    <w:basedOn w:val="DefaultParagraphFont"/>
    <w:uiPriority w:val="99"/>
    <w:semiHidden/>
    <w:unhideWhenUsed/>
    <w:rsid w:val="004D000A"/>
    <w:rPr>
      <w:sz w:val="16"/>
      <w:szCs w:val="16"/>
    </w:rPr>
  </w:style>
  <w:style w:type="paragraph" w:styleId="CommentText">
    <w:name w:val="annotation text"/>
    <w:basedOn w:val="Normal"/>
    <w:link w:val="CommentTextChar"/>
    <w:uiPriority w:val="99"/>
    <w:unhideWhenUsed/>
    <w:rsid w:val="004D000A"/>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4D000A"/>
    <w:rPr>
      <w:rFonts w:ascii="Arial" w:eastAsia="Arial" w:hAnsi="Arial" w:cs="Arial"/>
      <w:kern w:val="0"/>
      <w:sz w:val="20"/>
      <w:szCs w:val="20"/>
      <w14:ligatures w14:val="none"/>
    </w:rPr>
  </w:style>
  <w:style w:type="table" w:styleId="TableGrid">
    <w:name w:val="Table Grid"/>
    <w:basedOn w:val="TableNormal"/>
    <w:uiPriority w:val="39"/>
    <w:rsid w:val="004D000A"/>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rsid w:val="001B5711"/>
  </w:style>
  <w:style w:type="paragraph" w:styleId="BodyText">
    <w:name w:val="Body Text"/>
    <w:basedOn w:val="Normal"/>
    <w:link w:val="BodyTextChar"/>
    <w:uiPriority w:val="1"/>
    <w:qFormat/>
    <w:rsid w:val="00D35A0D"/>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BodyTextChar">
    <w:name w:val="Body Text Char"/>
    <w:basedOn w:val="DefaultParagraphFont"/>
    <w:link w:val="BodyText"/>
    <w:uiPriority w:val="1"/>
    <w:rsid w:val="00D35A0D"/>
    <w:rPr>
      <w:rFonts w:ascii="Arial" w:eastAsia="Arial" w:hAnsi="Arial" w:cs="Arial"/>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1683</Words>
  <Characters>6951</Characters>
  <Application>Microsoft Office Word</Application>
  <DocSecurity>0</DocSecurity>
  <Lines>1737</Lines>
  <Paragraphs>1726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White</dc:creator>
  <cp:keywords/>
  <dc:description/>
  <cp:lastModifiedBy>Andrea White</cp:lastModifiedBy>
  <cp:revision>7</cp:revision>
  <dcterms:created xsi:type="dcterms:W3CDTF">2024-10-31T21:14:00Z</dcterms:created>
  <dcterms:modified xsi:type="dcterms:W3CDTF">2024-11-01T01:28:00Z</dcterms:modified>
</cp:coreProperties>
</file>