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0ECF5" w14:textId="77777777" w:rsidR="0062202B" w:rsidRPr="006A0FFD" w:rsidRDefault="0062202B" w:rsidP="0062202B">
      <w:pPr>
        <w:rPr>
          <w:rFonts w:ascii="Arial" w:hAnsi="Arial" w:cs="Arial"/>
          <w:b/>
          <w:bCs/>
        </w:rPr>
      </w:pPr>
      <w:r w:rsidRPr="006A0FFD">
        <w:rPr>
          <w:rFonts w:ascii="Arial" w:hAnsi="Arial" w:cs="Arial"/>
          <w:b/>
          <w:bCs/>
        </w:rPr>
        <w:t>Section 4.3.4 Validity Testing Results</w:t>
      </w:r>
    </w:p>
    <w:p w14:paraId="3514DECB" w14:textId="77777777" w:rsidR="00E752DD" w:rsidRDefault="00E752DD" w:rsidP="0062202B">
      <w:pPr>
        <w:rPr>
          <w:rFonts w:ascii="Arial" w:hAnsi="Arial" w:cs="Arial"/>
          <w:b/>
          <w:bCs/>
          <w:sz w:val="22"/>
          <w:szCs w:val="22"/>
        </w:rPr>
      </w:pPr>
    </w:p>
    <w:p w14:paraId="395F2A9A" w14:textId="659F8DEE" w:rsidR="0062202B" w:rsidRPr="006A0FFD" w:rsidRDefault="0062202B" w:rsidP="0062202B">
      <w:pPr>
        <w:rPr>
          <w:rFonts w:ascii="Arial" w:hAnsi="Arial" w:cs="Arial"/>
          <w:sz w:val="22"/>
          <w:szCs w:val="22"/>
        </w:rPr>
      </w:pPr>
      <w:r w:rsidRPr="006A0FFD">
        <w:rPr>
          <w:rFonts w:ascii="Arial" w:hAnsi="Arial" w:cs="Arial"/>
          <w:b/>
          <w:bCs/>
          <w:sz w:val="22"/>
          <w:szCs w:val="22"/>
        </w:rPr>
        <w:t>Table 13.</w:t>
      </w:r>
      <w:r w:rsidRPr="006A0FFD">
        <w:rPr>
          <w:rFonts w:ascii="Arial" w:hAnsi="Arial" w:cs="Arial"/>
          <w:sz w:val="22"/>
          <w:szCs w:val="22"/>
        </w:rPr>
        <w:t xml:space="preserve"> Total antibiotic duration comparison for UM HMS manually abstracted data (gold standard) to UM eCQM in 450 CAP patients </w:t>
      </w:r>
    </w:p>
    <w:tbl>
      <w:tblPr>
        <w:tblStyle w:val="TableGrid"/>
        <w:tblW w:w="4808" w:type="pct"/>
        <w:tblLayout w:type="fixed"/>
        <w:tblLook w:val="04A0" w:firstRow="1" w:lastRow="0" w:firstColumn="1" w:lastColumn="0" w:noHBand="0" w:noVBand="1"/>
        <w:tblCaption w:val="Table 13. Total antibiotic duration comparison for UM HMS manually abstracted data (gold standard) to UM eCQM in 450 CAP patients"/>
        <w:tblDescription w:val="Manually abstracted (UM HMS) data compared to eCQM data for total antibiotic duration (&lt;5 to &gt;8.5 days) in 450 patients hospitalized with uncomplicated CAP. Total duration accuracy within 1/2 day was 91.3%, and 96.4% for within 1.5 days."/>
      </w:tblPr>
      <w:tblGrid>
        <w:gridCol w:w="1736"/>
        <w:gridCol w:w="1383"/>
        <w:gridCol w:w="1382"/>
        <w:gridCol w:w="1382"/>
        <w:gridCol w:w="1382"/>
        <w:gridCol w:w="1382"/>
        <w:gridCol w:w="1382"/>
      </w:tblGrid>
      <w:tr w:rsidR="0062202B" w:rsidRPr="006A0FFD" w14:paraId="202CBC1D" w14:textId="77777777" w:rsidTr="00681EF2">
        <w:trPr>
          <w:cantSplit/>
          <w:tblHeader/>
        </w:trPr>
        <w:tc>
          <w:tcPr>
            <w:tcW w:w="865" w:type="pct"/>
          </w:tcPr>
          <w:p w14:paraId="12F2273F" w14:textId="77777777" w:rsidR="0062202B" w:rsidRPr="006A0FFD" w:rsidRDefault="0062202B" w:rsidP="005D3606">
            <w:pPr>
              <w:rPr>
                <w:rFonts w:ascii="Arial" w:hAnsi="Arial" w:cs="Arial"/>
                <w:sz w:val="20"/>
                <w:szCs w:val="20"/>
              </w:rPr>
            </w:pPr>
            <w:bookmarkStart w:id="0" w:name="_Hlk179981668"/>
            <w:r w:rsidRPr="006A0FFD">
              <w:rPr>
                <w:rFonts w:ascii="Arial" w:hAnsi="Arial" w:cs="Arial"/>
                <w:sz w:val="20"/>
                <w:szCs w:val="20"/>
              </w:rPr>
              <w:t>Total Duration</w:t>
            </w:r>
          </w:p>
        </w:tc>
        <w:tc>
          <w:tcPr>
            <w:tcW w:w="689" w:type="pct"/>
            <w:vAlign w:val="center"/>
          </w:tcPr>
          <w:p w14:paraId="6ED8526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7BDF4F27"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&lt;5 days</w:t>
            </w:r>
          </w:p>
        </w:tc>
        <w:tc>
          <w:tcPr>
            <w:tcW w:w="689" w:type="pct"/>
            <w:vAlign w:val="center"/>
          </w:tcPr>
          <w:p w14:paraId="40EC7B7C"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4B4A28AD"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5 days</w:t>
            </w:r>
          </w:p>
        </w:tc>
        <w:tc>
          <w:tcPr>
            <w:tcW w:w="689" w:type="pct"/>
            <w:vAlign w:val="center"/>
          </w:tcPr>
          <w:p w14:paraId="77074C8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6E0F2B5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6 days</w:t>
            </w:r>
          </w:p>
        </w:tc>
        <w:tc>
          <w:tcPr>
            <w:tcW w:w="689" w:type="pct"/>
            <w:vAlign w:val="center"/>
          </w:tcPr>
          <w:p w14:paraId="56FF464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1A390F1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7 days</w:t>
            </w:r>
          </w:p>
        </w:tc>
        <w:tc>
          <w:tcPr>
            <w:tcW w:w="689" w:type="pct"/>
            <w:vAlign w:val="center"/>
          </w:tcPr>
          <w:p w14:paraId="1A05407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568633B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8 days</w:t>
            </w:r>
          </w:p>
        </w:tc>
        <w:tc>
          <w:tcPr>
            <w:tcW w:w="689" w:type="pct"/>
            <w:vAlign w:val="center"/>
          </w:tcPr>
          <w:p w14:paraId="757C1A8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3512755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&gt;8 days</w:t>
            </w:r>
          </w:p>
        </w:tc>
      </w:tr>
      <w:tr w:rsidR="0062202B" w:rsidRPr="006A0FFD" w14:paraId="25793499" w14:textId="77777777" w:rsidTr="00754C0A">
        <w:trPr>
          <w:cantSplit/>
        </w:trPr>
        <w:tc>
          <w:tcPr>
            <w:tcW w:w="865" w:type="pct"/>
          </w:tcPr>
          <w:p w14:paraId="6F3963C6" w14:textId="77777777" w:rsidR="0062202B" w:rsidRPr="006A0FFD" w:rsidRDefault="0062202B" w:rsidP="005D3606">
            <w:pPr>
              <w:rPr>
                <w:rFonts w:ascii="Arial" w:hAnsi="Arial" w:cs="Arial"/>
                <w:sz w:val="20"/>
                <w:szCs w:val="20"/>
              </w:rPr>
            </w:pPr>
            <w:r w:rsidRPr="006A0FFD">
              <w:rPr>
                <w:rFonts w:ascii="Arial" w:hAnsi="Arial" w:cs="Arial"/>
                <w:sz w:val="20"/>
                <w:szCs w:val="20"/>
              </w:rPr>
              <w:t xml:space="preserve">UM eCQM </w:t>
            </w:r>
          </w:p>
          <w:p w14:paraId="07B58876" w14:textId="77777777" w:rsidR="0062202B" w:rsidRPr="006A0FFD" w:rsidRDefault="0062202B" w:rsidP="005D3606">
            <w:pPr>
              <w:rPr>
                <w:rFonts w:ascii="Arial" w:hAnsi="Arial" w:cs="Arial"/>
                <w:sz w:val="20"/>
                <w:szCs w:val="20"/>
              </w:rPr>
            </w:pPr>
            <w:r w:rsidRPr="006A0FFD">
              <w:rPr>
                <w:rFonts w:ascii="Arial" w:hAnsi="Arial" w:cs="Arial"/>
                <w:sz w:val="20"/>
                <w:szCs w:val="20"/>
              </w:rPr>
              <w:t>&lt;5 days</w:t>
            </w:r>
          </w:p>
        </w:tc>
        <w:tc>
          <w:tcPr>
            <w:tcW w:w="689" w:type="pct"/>
            <w:shd w:val="clear" w:color="auto" w:fill="4EA72E" w:themeFill="accent6"/>
            <w:vAlign w:val="center"/>
          </w:tcPr>
          <w:p w14:paraId="5A40CF2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14 (3.1%)</w:t>
            </w:r>
          </w:p>
        </w:tc>
        <w:tc>
          <w:tcPr>
            <w:tcW w:w="689" w:type="pct"/>
            <w:shd w:val="clear" w:color="auto" w:fill="FFFF99"/>
            <w:vAlign w:val="center"/>
          </w:tcPr>
          <w:p w14:paraId="03575B5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4958DCF8"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7121FC4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vAlign w:val="center"/>
          </w:tcPr>
          <w:p w14:paraId="3FD8C028"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7950A28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2 (0.4%</w:t>
            </w:r>
          </w:p>
        </w:tc>
      </w:tr>
      <w:tr w:rsidR="0062202B" w:rsidRPr="006A0FFD" w14:paraId="4D290DE1" w14:textId="77777777" w:rsidTr="00754C0A">
        <w:trPr>
          <w:cantSplit/>
        </w:trPr>
        <w:tc>
          <w:tcPr>
            <w:tcW w:w="865" w:type="pct"/>
          </w:tcPr>
          <w:p w14:paraId="35E393BF" w14:textId="77777777" w:rsidR="0062202B" w:rsidRPr="006A0FFD" w:rsidRDefault="0062202B" w:rsidP="005D3606">
            <w:pPr>
              <w:rPr>
                <w:rFonts w:ascii="Arial" w:hAnsi="Arial" w:cs="Arial"/>
                <w:sz w:val="20"/>
                <w:szCs w:val="20"/>
              </w:rPr>
            </w:pPr>
            <w:r w:rsidRPr="006A0FFD">
              <w:rPr>
                <w:rFonts w:ascii="Arial" w:hAnsi="Arial" w:cs="Arial"/>
                <w:sz w:val="20"/>
                <w:szCs w:val="20"/>
              </w:rPr>
              <w:t xml:space="preserve">UM eCQM </w:t>
            </w:r>
          </w:p>
          <w:p w14:paraId="76A7C8C5" w14:textId="77777777" w:rsidR="0062202B" w:rsidRPr="006A0FFD" w:rsidRDefault="0062202B" w:rsidP="005D3606">
            <w:pPr>
              <w:rPr>
                <w:rFonts w:ascii="Arial" w:hAnsi="Arial" w:cs="Arial"/>
                <w:sz w:val="20"/>
                <w:szCs w:val="20"/>
              </w:rPr>
            </w:pPr>
            <w:r w:rsidRPr="006A0FFD">
              <w:rPr>
                <w:rFonts w:ascii="Arial" w:hAnsi="Arial" w:cs="Arial"/>
                <w:sz w:val="20"/>
                <w:szCs w:val="20"/>
              </w:rPr>
              <w:t>5-5.5 days</w:t>
            </w:r>
          </w:p>
        </w:tc>
        <w:tc>
          <w:tcPr>
            <w:tcW w:w="689" w:type="pct"/>
            <w:shd w:val="clear" w:color="auto" w:fill="FFFF99"/>
            <w:vAlign w:val="center"/>
          </w:tcPr>
          <w:p w14:paraId="1DCE2B3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shd w:val="clear" w:color="auto" w:fill="4EA72E" w:themeFill="accent6"/>
            <w:vAlign w:val="center"/>
          </w:tcPr>
          <w:p w14:paraId="095CF4B7"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62 (13.8%)</w:t>
            </w:r>
          </w:p>
        </w:tc>
        <w:tc>
          <w:tcPr>
            <w:tcW w:w="689" w:type="pct"/>
            <w:shd w:val="clear" w:color="auto" w:fill="FFFF99"/>
            <w:vAlign w:val="center"/>
          </w:tcPr>
          <w:p w14:paraId="4E24BD2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5 (1.1%)</w:t>
            </w:r>
          </w:p>
        </w:tc>
        <w:tc>
          <w:tcPr>
            <w:tcW w:w="689" w:type="pct"/>
            <w:vAlign w:val="center"/>
          </w:tcPr>
          <w:p w14:paraId="7278CB71"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c>
          <w:tcPr>
            <w:tcW w:w="689" w:type="pct"/>
            <w:vAlign w:val="center"/>
          </w:tcPr>
          <w:p w14:paraId="1F21A530"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68CAF515"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r>
      <w:tr w:rsidR="0062202B" w:rsidRPr="006A0FFD" w14:paraId="25A90B47" w14:textId="77777777" w:rsidTr="00754C0A">
        <w:trPr>
          <w:cantSplit/>
        </w:trPr>
        <w:tc>
          <w:tcPr>
            <w:tcW w:w="865" w:type="pct"/>
          </w:tcPr>
          <w:p w14:paraId="3B06561E"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7D228D85" w14:textId="77777777" w:rsidR="0062202B" w:rsidRPr="006A0FFD" w:rsidRDefault="0062202B" w:rsidP="005D3606">
            <w:pPr>
              <w:rPr>
                <w:rFonts w:ascii="Arial" w:hAnsi="Arial" w:cs="Arial"/>
                <w:sz w:val="20"/>
                <w:szCs w:val="20"/>
              </w:rPr>
            </w:pPr>
            <w:r w:rsidRPr="006A0FFD">
              <w:rPr>
                <w:rFonts w:ascii="Arial" w:hAnsi="Arial" w:cs="Arial"/>
                <w:sz w:val="20"/>
                <w:szCs w:val="20"/>
              </w:rPr>
              <w:t>6-6.5 days</w:t>
            </w:r>
          </w:p>
        </w:tc>
        <w:tc>
          <w:tcPr>
            <w:tcW w:w="689" w:type="pct"/>
            <w:vAlign w:val="center"/>
          </w:tcPr>
          <w:p w14:paraId="319C123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shd w:val="clear" w:color="auto" w:fill="FFFF99"/>
            <w:vAlign w:val="center"/>
          </w:tcPr>
          <w:p w14:paraId="4B748FC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4 (0.9%)</w:t>
            </w:r>
          </w:p>
        </w:tc>
        <w:tc>
          <w:tcPr>
            <w:tcW w:w="689" w:type="pct"/>
            <w:shd w:val="clear" w:color="auto" w:fill="4EA72E" w:themeFill="accent6"/>
            <w:vAlign w:val="center"/>
          </w:tcPr>
          <w:p w14:paraId="51BD2C3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81 (18.0%)</w:t>
            </w:r>
          </w:p>
        </w:tc>
        <w:tc>
          <w:tcPr>
            <w:tcW w:w="689" w:type="pct"/>
            <w:shd w:val="clear" w:color="auto" w:fill="FFFF99"/>
            <w:vAlign w:val="center"/>
          </w:tcPr>
          <w:p w14:paraId="61565980"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vAlign w:val="center"/>
          </w:tcPr>
          <w:p w14:paraId="48B478B0"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4E86D51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r>
      <w:tr w:rsidR="0062202B" w:rsidRPr="006A0FFD" w14:paraId="5F70C9A2" w14:textId="77777777" w:rsidTr="00754C0A">
        <w:trPr>
          <w:cantSplit/>
        </w:trPr>
        <w:tc>
          <w:tcPr>
            <w:tcW w:w="865" w:type="pct"/>
          </w:tcPr>
          <w:p w14:paraId="6122604F"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7ED59568" w14:textId="77777777" w:rsidR="0062202B" w:rsidRPr="006A0FFD" w:rsidRDefault="0062202B" w:rsidP="005D3606">
            <w:pPr>
              <w:rPr>
                <w:rFonts w:ascii="Arial" w:hAnsi="Arial" w:cs="Arial"/>
                <w:sz w:val="20"/>
                <w:szCs w:val="20"/>
              </w:rPr>
            </w:pPr>
            <w:r w:rsidRPr="006A0FFD">
              <w:rPr>
                <w:rFonts w:ascii="Arial" w:hAnsi="Arial" w:cs="Arial"/>
                <w:sz w:val="20"/>
                <w:szCs w:val="20"/>
              </w:rPr>
              <w:t>7-7.5 days</w:t>
            </w:r>
          </w:p>
        </w:tc>
        <w:tc>
          <w:tcPr>
            <w:tcW w:w="689" w:type="pct"/>
            <w:vAlign w:val="center"/>
          </w:tcPr>
          <w:p w14:paraId="62D1A76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vAlign w:val="center"/>
          </w:tcPr>
          <w:p w14:paraId="200FCE32"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shd w:val="clear" w:color="auto" w:fill="FFFF99"/>
            <w:vAlign w:val="center"/>
          </w:tcPr>
          <w:p w14:paraId="19661B5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c>
          <w:tcPr>
            <w:tcW w:w="689" w:type="pct"/>
            <w:shd w:val="clear" w:color="auto" w:fill="4EA72E" w:themeFill="accent6"/>
            <w:vAlign w:val="center"/>
          </w:tcPr>
          <w:p w14:paraId="7D33EE3C"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78 (17.3%)</w:t>
            </w:r>
          </w:p>
        </w:tc>
        <w:tc>
          <w:tcPr>
            <w:tcW w:w="689" w:type="pct"/>
            <w:shd w:val="clear" w:color="auto" w:fill="FFFF99"/>
            <w:vAlign w:val="center"/>
          </w:tcPr>
          <w:p w14:paraId="4C4769E2"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c>
          <w:tcPr>
            <w:tcW w:w="689" w:type="pct"/>
            <w:vAlign w:val="center"/>
          </w:tcPr>
          <w:p w14:paraId="6AB5E721"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r>
      <w:tr w:rsidR="0062202B" w:rsidRPr="006A0FFD" w14:paraId="0B52F5AC" w14:textId="77777777" w:rsidTr="00754C0A">
        <w:trPr>
          <w:cantSplit/>
        </w:trPr>
        <w:tc>
          <w:tcPr>
            <w:tcW w:w="865" w:type="pct"/>
          </w:tcPr>
          <w:p w14:paraId="04F4343B"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27846FE3" w14:textId="77777777" w:rsidR="0062202B" w:rsidRPr="006A0FFD" w:rsidRDefault="0062202B" w:rsidP="005D3606">
            <w:pPr>
              <w:rPr>
                <w:rFonts w:ascii="Arial" w:hAnsi="Arial" w:cs="Arial"/>
                <w:sz w:val="20"/>
                <w:szCs w:val="20"/>
              </w:rPr>
            </w:pPr>
            <w:r w:rsidRPr="006A0FFD">
              <w:rPr>
                <w:rFonts w:ascii="Arial" w:hAnsi="Arial" w:cs="Arial"/>
                <w:sz w:val="20"/>
                <w:szCs w:val="20"/>
              </w:rPr>
              <w:t>8-8.5 days</w:t>
            </w:r>
          </w:p>
        </w:tc>
        <w:tc>
          <w:tcPr>
            <w:tcW w:w="689" w:type="pct"/>
            <w:vAlign w:val="center"/>
          </w:tcPr>
          <w:p w14:paraId="1EC510A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091C076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vAlign w:val="center"/>
          </w:tcPr>
          <w:p w14:paraId="135480C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shd w:val="clear" w:color="auto" w:fill="FFFF99"/>
            <w:vAlign w:val="center"/>
          </w:tcPr>
          <w:p w14:paraId="2BDD89B8"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shd w:val="clear" w:color="auto" w:fill="4EA72E" w:themeFill="accent6"/>
            <w:vAlign w:val="center"/>
          </w:tcPr>
          <w:p w14:paraId="6CF9247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71 (15.8%)</w:t>
            </w:r>
          </w:p>
        </w:tc>
        <w:tc>
          <w:tcPr>
            <w:tcW w:w="689" w:type="pct"/>
            <w:shd w:val="clear" w:color="auto" w:fill="FFFF99"/>
            <w:vAlign w:val="center"/>
          </w:tcPr>
          <w:p w14:paraId="2CF9EF02"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4 (0.9%)</w:t>
            </w:r>
          </w:p>
        </w:tc>
      </w:tr>
      <w:tr w:rsidR="0062202B" w:rsidRPr="006A0FFD" w14:paraId="66BE6029" w14:textId="77777777" w:rsidTr="00754C0A">
        <w:trPr>
          <w:cantSplit/>
        </w:trPr>
        <w:tc>
          <w:tcPr>
            <w:tcW w:w="865" w:type="pct"/>
          </w:tcPr>
          <w:p w14:paraId="08A78814"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1E1C0A69" w14:textId="77777777" w:rsidR="0062202B" w:rsidRPr="006A0FFD" w:rsidRDefault="0062202B" w:rsidP="005D3606">
            <w:pPr>
              <w:rPr>
                <w:rFonts w:ascii="Arial" w:hAnsi="Arial" w:cs="Arial"/>
                <w:sz w:val="20"/>
                <w:szCs w:val="20"/>
              </w:rPr>
            </w:pPr>
            <w:r w:rsidRPr="006A0FFD">
              <w:rPr>
                <w:rFonts w:ascii="Arial" w:hAnsi="Arial" w:cs="Arial"/>
                <w:sz w:val="20"/>
                <w:szCs w:val="20"/>
              </w:rPr>
              <w:t>&gt;8.5 days</w:t>
            </w:r>
          </w:p>
        </w:tc>
        <w:tc>
          <w:tcPr>
            <w:tcW w:w="689" w:type="pct"/>
            <w:vAlign w:val="center"/>
          </w:tcPr>
          <w:p w14:paraId="34C818E4"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7B6FA5E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053BE51D"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689" w:type="pct"/>
            <w:vAlign w:val="center"/>
          </w:tcPr>
          <w:p w14:paraId="65D12F8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689" w:type="pct"/>
            <w:shd w:val="clear" w:color="auto" w:fill="FFFF99"/>
            <w:vAlign w:val="center"/>
          </w:tcPr>
          <w:p w14:paraId="2519050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2 (0.4%)</w:t>
            </w:r>
          </w:p>
        </w:tc>
        <w:tc>
          <w:tcPr>
            <w:tcW w:w="689" w:type="pct"/>
            <w:shd w:val="clear" w:color="auto" w:fill="4EA72E" w:themeFill="accent6"/>
            <w:vAlign w:val="center"/>
          </w:tcPr>
          <w:p w14:paraId="4BE336E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105 (23.3%)</w:t>
            </w:r>
          </w:p>
        </w:tc>
      </w:tr>
    </w:tbl>
    <w:bookmarkEnd w:id="0"/>
    <w:p w14:paraId="1C0299A0" w14:textId="589230B9" w:rsidR="0062202B" w:rsidRDefault="0062202B" w:rsidP="00FB693F">
      <w:pPr>
        <w:spacing w:before="120" w:after="0" w:line="264" w:lineRule="auto"/>
        <w:rPr>
          <w:rFonts w:ascii="Arial" w:hAnsi="Arial" w:cs="Arial"/>
          <w:sz w:val="18"/>
          <w:szCs w:val="18"/>
        </w:rPr>
      </w:pPr>
      <w:r w:rsidRPr="00FB693F">
        <w:rPr>
          <w:rFonts w:ascii="Arial" w:hAnsi="Arial" w:cs="Arial"/>
          <w:sz w:val="18"/>
          <w:szCs w:val="18"/>
        </w:rPr>
        <w:t>411/450 (91.3%) in green were accurate within a ½ day</w:t>
      </w:r>
      <w:r w:rsidR="00FB693F">
        <w:rPr>
          <w:rFonts w:ascii="Arial" w:hAnsi="Arial" w:cs="Arial"/>
          <w:sz w:val="18"/>
          <w:szCs w:val="18"/>
        </w:rPr>
        <w:t xml:space="preserve">; </w:t>
      </w:r>
      <w:r w:rsidRPr="00FB693F">
        <w:rPr>
          <w:rFonts w:ascii="Arial" w:hAnsi="Arial" w:cs="Arial"/>
          <w:sz w:val="18"/>
          <w:szCs w:val="18"/>
        </w:rPr>
        <w:t>434/450 (96.4%) green/yellow were accurate within 1.5 days</w:t>
      </w:r>
    </w:p>
    <w:p w14:paraId="2CE60F9B" w14:textId="5AEBEF69" w:rsidR="00FB693F" w:rsidRPr="00FB693F" w:rsidRDefault="00FB693F" w:rsidP="00FB693F">
      <w:pPr>
        <w:spacing w:after="0" w:line="264" w:lineRule="auto"/>
        <w:rPr>
          <w:rFonts w:ascii="Arial" w:hAnsi="Arial" w:cs="Arial"/>
          <w:sz w:val="18"/>
          <w:szCs w:val="18"/>
        </w:rPr>
      </w:pPr>
      <w:r>
        <w:rPr>
          <w:rFonts w:ascii="Arial" w:hAnsi="Arial" w:cs="Arial"/>
          <w:sz w:val="18"/>
          <w:szCs w:val="18"/>
        </w:rPr>
        <w:t xml:space="preserve">Abbreviations: </w:t>
      </w:r>
      <w:r w:rsidR="004D0EFE">
        <w:rPr>
          <w:rFonts w:ascii="Arial" w:hAnsi="Arial" w:cs="Arial"/>
          <w:sz w:val="18"/>
          <w:szCs w:val="18"/>
        </w:rPr>
        <w:t xml:space="preserve">CAP, community-acquired pneumonia; </w:t>
      </w:r>
      <w:r>
        <w:rPr>
          <w:rFonts w:ascii="Arial" w:hAnsi="Arial" w:cs="Arial"/>
          <w:sz w:val="18"/>
          <w:szCs w:val="18"/>
        </w:rPr>
        <w:t xml:space="preserve">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w:t>
      </w:r>
      <w:r w:rsidR="00E752DD">
        <w:rPr>
          <w:rFonts w:ascii="Arial" w:hAnsi="Arial" w:cs="Arial"/>
          <w:sz w:val="18"/>
          <w:szCs w:val="18"/>
        </w:rPr>
        <w:t>Michigan</w:t>
      </w:r>
      <w:r w:rsidRPr="00FB693F">
        <w:rPr>
          <w:rFonts w:ascii="Arial" w:hAnsi="Arial" w:cs="Arial"/>
          <w:sz w:val="18"/>
          <w:szCs w:val="18"/>
        </w:rPr>
        <w:t xml:space="preserve"> Hospital Medicine Safety Consortium </w:t>
      </w:r>
    </w:p>
    <w:p w14:paraId="2ACC51BD" w14:textId="77777777" w:rsidR="0062202B" w:rsidRPr="006A0FFD" w:rsidRDefault="0062202B" w:rsidP="0062202B">
      <w:pPr>
        <w:spacing w:after="0" w:line="264" w:lineRule="auto"/>
        <w:jc w:val="center"/>
        <w:rPr>
          <w:rFonts w:ascii="Arial" w:hAnsi="Arial" w:cs="Arial"/>
          <w:sz w:val="22"/>
          <w:szCs w:val="22"/>
        </w:rPr>
      </w:pPr>
    </w:p>
    <w:p w14:paraId="202C7C0C" w14:textId="77777777" w:rsidR="00E752DD" w:rsidRDefault="00E752DD" w:rsidP="0062202B">
      <w:pPr>
        <w:rPr>
          <w:rFonts w:ascii="Arial" w:hAnsi="Arial" w:cs="Arial"/>
          <w:b/>
          <w:bCs/>
          <w:sz w:val="22"/>
          <w:szCs w:val="22"/>
        </w:rPr>
      </w:pPr>
    </w:p>
    <w:p w14:paraId="73D617B3" w14:textId="73730FA7" w:rsidR="0062202B" w:rsidRDefault="0062202B" w:rsidP="0062202B">
      <w:pPr>
        <w:rPr>
          <w:rFonts w:ascii="Arial" w:hAnsi="Arial" w:cs="Arial"/>
          <w:sz w:val="22"/>
          <w:szCs w:val="22"/>
        </w:rPr>
      </w:pPr>
      <w:r w:rsidRPr="006A0FFD">
        <w:rPr>
          <w:rFonts w:ascii="Arial" w:hAnsi="Arial" w:cs="Arial"/>
          <w:b/>
          <w:bCs/>
          <w:sz w:val="22"/>
          <w:szCs w:val="22"/>
        </w:rPr>
        <w:t>Table 14.</w:t>
      </w:r>
      <w:r w:rsidRPr="006A0FFD">
        <w:rPr>
          <w:rFonts w:ascii="Arial" w:hAnsi="Arial" w:cs="Arial"/>
          <w:sz w:val="22"/>
          <w:szCs w:val="22"/>
        </w:rPr>
        <w:t xml:space="preserve"> Inpatient antibiotic duration comparison for UM HMS manually abstracted data (gold standard) to UM eCQM in 450 CAP patients </w:t>
      </w:r>
    </w:p>
    <w:tbl>
      <w:tblPr>
        <w:tblStyle w:val="TableGrid"/>
        <w:tblW w:w="4830" w:type="pct"/>
        <w:tblLook w:val="04A0" w:firstRow="1" w:lastRow="0" w:firstColumn="1" w:lastColumn="0" w:noHBand="0" w:noVBand="1"/>
        <w:tblCaption w:val="Table 14. Inpatient antibiotic duration comparison for UM HMS manually abstracted data (gold standard) to UM eCQM in 450 CAP patients"/>
        <w:tblDescription w:val="Manually abstracted (UM HMS) data compared to eCQM data for inpatient antibiotic duration (&lt;5 to &gt;8.5 days) in 450 patients hospitalized with uncomplicated CAP. Inpatient duration accuracy within 1/2 day was 91.6%, and 98.5% for within 1.5 days."/>
      </w:tblPr>
      <w:tblGrid>
        <w:gridCol w:w="1345"/>
        <w:gridCol w:w="1455"/>
        <w:gridCol w:w="1455"/>
        <w:gridCol w:w="1455"/>
        <w:gridCol w:w="1455"/>
        <w:gridCol w:w="1455"/>
        <w:gridCol w:w="1455"/>
      </w:tblGrid>
      <w:tr w:rsidR="0062202B" w:rsidRPr="006A0FFD" w14:paraId="4B9392E3" w14:textId="77777777" w:rsidTr="004C3D07">
        <w:trPr>
          <w:cantSplit/>
          <w:tblHeader/>
        </w:trPr>
        <w:tc>
          <w:tcPr>
            <w:tcW w:w="667" w:type="pct"/>
          </w:tcPr>
          <w:p w14:paraId="775821A3" w14:textId="77777777" w:rsidR="0062202B" w:rsidRPr="006A0FFD" w:rsidRDefault="0062202B" w:rsidP="005D3606">
            <w:pPr>
              <w:rPr>
                <w:rFonts w:ascii="Arial" w:hAnsi="Arial" w:cs="Arial"/>
                <w:sz w:val="20"/>
                <w:szCs w:val="20"/>
              </w:rPr>
            </w:pPr>
            <w:r>
              <w:rPr>
                <w:rFonts w:ascii="Arial" w:hAnsi="Arial" w:cs="Arial"/>
                <w:sz w:val="20"/>
                <w:szCs w:val="20"/>
              </w:rPr>
              <w:t>Inpatient Duration</w:t>
            </w:r>
          </w:p>
        </w:tc>
        <w:tc>
          <w:tcPr>
            <w:tcW w:w="722" w:type="pct"/>
            <w:vAlign w:val="center"/>
          </w:tcPr>
          <w:p w14:paraId="0B0F74E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6B04CA8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&lt;5 days</w:t>
            </w:r>
          </w:p>
        </w:tc>
        <w:tc>
          <w:tcPr>
            <w:tcW w:w="722" w:type="pct"/>
            <w:vAlign w:val="center"/>
          </w:tcPr>
          <w:p w14:paraId="31D9E27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0ED12E1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5 days</w:t>
            </w:r>
          </w:p>
        </w:tc>
        <w:tc>
          <w:tcPr>
            <w:tcW w:w="722" w:type="pct"/>
            <w:vAlign w:val="center"/>
          </w:tcPr>
          <w:p w14:paraId="09E314A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679C501D"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6 days</w:t>
            </w:r>
          </w:p>
        </w:tc>
        <w:tc>
          <w:tcPr>
            <w:tcW w:w="722" w:type="pct"/>
            <w:vAlign w:val="center"/>
          </w:tcPr>
          <w:p w14:paraId="72BA55A1"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7173ED4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7 days</w:t>
            </w:r>
          </w:p>
        </w:tc>
        <w:tc>
          <w:tcPr>
            <w:tcW w:w="722" w:type="pct"/>
            <w:vAlign w:val="center"/>
          </w:tcPr>
          <w:p w14:paraId="0763D83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1C6AEB8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8 days</w:t>
            </w:r>
          </w:p>
        </w:tc>
        <w:tc>
          <w:tcPr>
            <w:tcW w:w="722" w:type="pct"/>
            <w:vAlign w:val="center"/>
          </w:tcPr>
          <w:p w14:paraId="4CDA9EA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UM HMS</w:t>
            </w:r>
          </w:p>
          <w:p w14:paraId="7A05CCED"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&gt;8 days</w:t>
            </w:r>
          </w:p>
        </w:tc>
      </w:tr>
      <w:tr w:rsidR="0062202B" w:rsidRPr="006A0FFD" w14:paraId="537C9394" w14:textId="77777777" w:rsidTr="004C3D07">
        <w:trPr>
          <w:cantSplit/>
        </w:trPr>
        <w:tc>
          <w:tcPr>
            <w:tcW w:w="667" w:type="pct"/>
          </w:tcPr>
          <w:p w14:paraId="7776F2CA" w14:textId="77777777" w:rsidR="0062202B" w:rsidRPr="006A0FFD" w:rsidRDefault="0062202B" w:rsidP="005D3606">
            <w:pPr>
              <w:rPr>
                <w:rFonts w:ascii="Arial" w:hAnsi="Arial" w:cs="Arial"/>
                <w:sz w:val="20"/>
                <w:szCs w:val="20"/>
              </w:rPr>
            </w:pPr>
            <w:r w:rsidRPr="006A0FFD">
              <w:rPr>
                <w:rFonts w:ascii="Arial" w:hAnsi="Arial" w:cs="Arial"/>
                <w:sz w:val="20"/>
                <w:szCs w:val="20"/>
              </w:rPr>
              <w:t xml:space="preserve">UM eCQM </w:t>
            </w:r>
          </w:p>
          <w:p w14:paraId="294D37E7" w14:textId="77777777" w:rsidR="0062202B" w:rsidRPr="006A0FFD" w:rsidRDefault="0062202B" w:rsidP="005D3606">
            <w:pPr>
              <w:rPr>
                <w:rFonts w:ascii="Arial" w:hAnsi="Arial" w:cs="Arial"/>
                <w:sz w:val="20"/>
                <w:szCs w:val="20"/>
              </w:rPr>
            </w:pPr>
            <w:r w:rsidRPr="006A0FFD">
              <w:rPr>
                <w:rFonts w:ascii="Arial" w:hAnsi="Arial" w:cs="Arial"/>
                <w:sz w:val="20"/>
                <w:szCs w:val="20"/>
              </w:rPr>
              <w:t>&lt;5 days</w:t>
            </w:r>
          </w:p>
        </w:tc>
        <w:tc>
          <w:tcPr>
            <w:tcW w:w="722" w:type="pct"/>
            <w:shd w:val="clear" w:color="auto" w:fill="4EA72E" w:themeFill="accent6"/>
            <w:vAlign w:val="center"/>
          </w:tcPr>
          <w:p w14:paraId="126670F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278 (61.2%)</w:t>
            </w:r>
          </w:p>
        </w:tc>
        <w:tc>
          <w:tcPr>
            <w:tcW w:w="722" w:type="pct"/>
            <w:shd w:val="clear" w:color="auto" w:fill="FFFF99"/>
            <w:vAlign w:val="center"/>
          </w:tcPr>
          <w:p w14:paraId="7F085140"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722" w:type="pct"/>
            <w:vAlign w:val="center"/>
          </w:tcPr>
          <w:p w14:paraId="7D21F3D1"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3 (0.7%)</w:t>
            </w:r>
          </w:p>
        </w:tc>
        <w:tc>
          <w:tcPr>
            <w:tcW w:w="722" w:type="pct"/>
            <w:vAlign w:val="center"/>
          </w:tcPr>
          <w:p w14:paraId="1A93849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2852BC2C"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0909AE9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r>
      <w:tr w:rsidR="0062202B" w:rsidRPr="006A0FFD" w14:paraId="40769B4A" w14:textId="77777777" w:rsidTr="004C3D07">
        <w:trPr>
          <w:cantSplit/>
        </w:trPr>
        <w:tc>
          <w:tcPr>
            <w:tcW w:w="667" w:type="pct"/>
          </w:tcPr>
          <w:p w14:paraId="6D3666BC" w14:textId="77777777" w:rsidR="0062202B" w:rsidRPr="006A0FFD" w:rsidRDefault="0062202B" w:rsidP="005D3606">
            <w:pPr>
              <w:rPr>
                <w:rFonts w:ascii="Arial" w:hAnsi="Arial" w:cs="Arial"/>
                <w:sz w:val="20"/>
                <w:szCs w:val="20"/>
              </w:rPr>
            </w:pPr>
            <w:r w:rsidRPr="006A0FFD">
              <w:rPr>
                <w:rFonts w:ascii="Arial" w:hAnsi="Arial" w:cs="Arial"/>
                <w:sz w:val="20"/>
                <w:szCs w:val="20"/>
              </w:rPr>
              <w:t xml:space="preserve">UM eCQM </w:t>
            </w:r>
          </w:p>
          <w:p w14:paraId="5B102F8F" w14:textId="77777777" w:rsidR="0062202B" w:rsidRPr="006A0FFD" w:rsidRDefault="0062202B" w:rsidP="005D3606">
            <w:pPr>
              <w:rPr>
                <w:rFonts w:ascii="Arial" w:hAnsi="Arial" w:cs="Arial"/>
                <w:sz w:val="20"/>
                <w:szCs w:val="20"/>
              </w:rPr>
            </w:pPr>
            <w:r w:rsidRPr="006A0FFD">
              <w:rPr>
                <w:rFonts w:ascii="Arial" w:hAnsi="Arial" w:cs="Arial"/>
                <w:sz w:val="20"/>
                <w:szCs w:val="20"/>
              </w:rPr>
              <w:t>5-5.5 days</w:t>
            </w:r>
          </w:p>
        </w:tc>
        <w:tc>
          <w:tcPr>
            <w:tcW w:w="722" w:type="pct"/>
            <w:shd w:val="clear" w:color="auto" w:fill="FFFF99"/>
            <w:vAlign w:val="center"/>
          </w:tcPr>
          <w:p w14:paraId="16FD6522"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4EA72E" w:themeFill="accent6"/>
            <w:vAlign w:val="center"/>
          </w:tcPr>
          <w:p w14:paraId="121D773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82 (18.1%)</w:t>
            </w:r>
          </w:p>
        </w:tc>
        <w:tc>
          <w:tcPr>
            <w:tcW w:w="722" w:type="pct"/>
            <w:shd w:val="clear" w:color="auto" w:fill="FFFF99"/>
            <w:vAlign w:val="center"/>
          </w:tcPr>
          <w:p w14:paraId="0F730C64"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722" w:type="pct"/>
            <w:vAlign w:val="center"/>
          </w:tcPr>
          <w:p w14:paraId="4BAF0D87"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722" w:type="pct"/>
            <w:vAlign w:val="center"/>
          </w:tcPr>
          <w:p w14:paraId="15A6CC8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3B016B1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r>
      <w:tr w:rsidR="0062202B" w:rsidRPr="006A0FFD" w14:paraId="2ED66D32" w14:textId="77777777" w:rsidTr="004C3D07">
        <w:trPr>
          <w:cantSplit/>
        </w:trPr>
        <w:tc>
          <w:tcPr>
            <w:tcW w:w="667" w:type="pct"/>
          </w:tcPr>
          <w:p w14:paraId="21302D5E"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50492D90" w14:textId="77777777" w:rsidR="0062202B" w:rsidRPr="006A0FFD" w:rsidRDefault="0062202B" w:rsidP="005D3606">
            <w:pPr>
              <w:rPr>
                <w:rFonts w:ascii="Arial" w:hAnsi="Arial" w:cs="Arial"/>
                <w:sz w:val="20"/>
                <w:szCs w:val="20"/>
              </w:rPr>
            </w:pPr>
            <w:r w:rsidRPr="006A0FFD">
              <w:rPr>
                <w:rFonts w:ascii="Arial" w:hAnsi="Arial" w:cs="Arial"/>
                <w:sz w:val="20"/>
                <w:szCs w:val="20"/>
              </w:rPr>
              <w:t>6-6.5 days</w:t>
            </w:r>
          </w:p>
        </w:tc>
        <w:tc>
          <w:tcPr>
            <w:tcW w:w="722" w:type="pct"/>
            <w:vAlign w:val="center"/>
          </w:tcPr>
          <w:p w14:paraId="2265D2E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FFFF99"/>
            <w:vAlign w:val="center"/>
          </w:tcPr>
          <w:p w14:paraId="3759408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722" w:type="pct"/>
            <w:shd w:val="clear" w:color="auto" w:fill="4EA72E" w:themeFill="accent6"/>
            <w:vAlign w:val="center"/>
          </w:tcPr>
          <w:p w14:paraId="760DA65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47 (10.4</w:t>
            </w:r>
            <w:r w:rsidRPr="006A0FFD">
              <w:rPr>
                <w:rFonts w:ascii="Arial" w:hAnsi="Arial" w:cs="Arial"/>
                <w:sz w:val="20"/>
                <w:szCs w:val="20"/>
              </w:rPr>
              <w:t>%)</w:t>
            </w:r>
          </w:p>
        </w:tc>
        <w:tc>
          <w:tcPr>
            <w:tcW w:w="722" w:type="pct"/>
            <w:shd w:val="clear" w:color="auto" w:fill="FFFF99"/>
            <w:vAlign w:val="center"/>
          </w:tcPr>
          <w:p w14:paraId="04B2C73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2 (0.4%)</w:t>
            </w:r>
          </w:p>
        </w:tc>
        <w:tc>
          <w:tcPr>
            <w:tcW w:w="722" w:type="pct"/>
            <w:vAlign w:val="center"/>
          </w:tcPr>
          <w:p w14:paraId="5990AB8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1E11E04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r>
      <w:tr w:rsidR="0062202B" w:rsidRPr="006A0FFD" w14:paraId="35BFBBB1" w14:textId="77777777" w:rsidTr="004C3D07">
        <w:trPr>
          <w:cantSplit/>
        </w:trPr>
        <w:tc>
          <w:tcPr>
            <w:tcW w:w="667" w:type="pct"/>
          </w:tcPr>
          <w:p w14:paraId="7327E9BB"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5D3EB194" w14:textId="77777777" w:rsidR="0062202B" w:rsidRPr="006A0FFD" w:rsidRDefault="0062202B" w:rsidP="005D3606">
            <w:pPr>
              <w:rPr>
                <w:rFonts w:ascii="Arial" w:hAnsi="Arial" w:cs="Arial"/>
                <w:sz w:val="20"/>
                <w:szCs w:val="20"/>
              </w:rPr>
            </w:pPr>
            <w:r w:rsidRPr="006A0FFD">
              <w:rPr>
                <w:rFonts w:ascii="Arial" w:hAnsi="Arial" w:cs="Arial"/>
                <w:sz w:val="20"/>
                <w:szCs w:val="20"/>
              </w:rPr>
              <w:t>7-7.5 days</w:t>
            </w:r>
          </w:p>
        </w:tc>
        <w:tc>
          <w:tcPr>
            <w:tcW w:w="722" w:type="pct"/>
            <w:vAlign w:val="center"/>
          </w:tcPr>
          <w:p w14:paraId="492F6457"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3A2934D3"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FFFF99"/>
            <w:vAlign w:val="center"/>
          </w:tcPr>
          <w:p w14:paraId="59DC469C"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2 (0.4%)</w:t>
            </w:r>
          </w:p>
        </w:tc>
        <w:tc>
          <w:tcPr>
            <w:tcW w:w="722" w:type="pct"/>
            <w:shd w:val="clear" w:color="auto" w:fill="4EA72E" w:themeFill="accent6"/>
            <w:vAlign w:val="center"/>
          </w:tcPr>
          <w:p w14:paraId="728DC535"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18 (4.0%)</w:t>
            </w:r>
          </w:p>
        </w:tc>
        <w:tc>
          <w:tcPr>
            <w:tcW w:w="722" w:type="pct"/>
            <w:shd w:val="clear" w:color="auto" w:fill="FFFF99"/>
            <w:vAlign w:val="center"/>
          </w:tcPr>
          <w:p w14:paraId="43D369B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1 (0.2%)</w:t>
            </w:r>
          </w:p>
        </w:tc>
        <w:tc>
          <w:tcPr>
            <w:tcW w:w="722" w:type="pct"/>
            <w:vAlign w:val="center"/>
          </w:tcPr>
          <w:p w14:paraId="208BFEEE"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2 (0.4%)</w:t>
            </w:r>
          </w:p>
        </w:tc>
      </w:tr>
      <w:tr w:rsidR="0062202B" w:rsidRPr="006A0FFD" w14:paraId="0C86F371" w14:textId="77777777" w:rsidTr="004C3D07">
        <w:trPr>
          <w:cantSplit/>
        </w:trPr>
        <w:tc>
          <w:tcPr>
            <w:tcW w:w="667" w:type="pct"/>
          </w:tcPr>
          <w:p w14:paraId="179036DE"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129593A8" w14:textId="77777777" w:rsidR="0062202B" w:rsidRPr="006A0FFD" w:rsidRDefault="0062202B" w:rsidP="005D3606">
            <w:pPr>
              <w:rPr>
                <w:rFonts w:ascii="Arial" w:hAnsi="Arial" w:cs="Arial"/>
                <w:sz w:val="20"/>
                <w:szCs w:val="20"/>
              </w:rPr>
            </w:pPr>
            <w:r w:rsidRPr="006A0FFD">
              <w:rPr>
                <w:rFonts w:ascii="Arial" w:hAnsi="Arial" w:cs="Arial"/>
                <w:sz w:val="20"/>
                <w:szCs w:val="20"/>
              </w:rPr>
              <w:t>8-8.5 days</w:t>
            </w:r>
          </w:p>
        </w:tc>
        <w:tc>
          <w:tcPr>
            <w:tcW w:w="722" w:type="pct"/>
            <w:vAlign w:val="center"/>
          </w:tcPr>
          <w:p w14:paraId="0F4E3F91"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47E9659B"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5FEBD388"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FFFF99"/>
            <w:vAlign w:val="center"/>
          </w:tcPr>
          <w:p w14:paraId="751EFBA5"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4EA72E" w:themeFill="accent6"/>
            <w:vAlign w:val="center"/>
          </w:tcPr>
          <w:p w14:paraId="40A8D0B8"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11 (2.4%)</w:t>
            </w:r>
          </w:p>
        </w:tc>
        <w:tc>
          <w:tcPr>
            <w:tcW w:w="722" w:type="pct"/>
            <w:shd w:val="clear" w:color="auto" w:fill="FFFF99"/>
            <w:vAlign w:val="center"/>
          </w:tcPr>
          <w:p w14:paraId="275BEC5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r>
      <w:tr w:rsidR="0062202B" w:rsidRPr="006A0FFD" w14:paraId="11664047" w14:textId="77777777" w:rsidTr="004C3D07">
        <w:trPr>
          <w:cantSplit/>
        </w:trPr>
        <w:tc>
          <w:tcPr>
            <w:tcW w:w="667" w:type="pct"/>
          </w:tcPr>
          <w:p w14:paraId="3035F91D" w14:textId="77777777" w:rsidR="0062202B" w:rsidRPr="006A0FFD" w:rsidRDefault="0062202B" w:rsidP="005D3606">
            <w:pPr>
              <w:rPr>
                <w:rFonts w:ascii="Arial" w:hAnsi="Arial" w:cs="Arial"/>
                <w:sz w:val="20"/>
                <w:szCs w:val="20"/>
              </w:rPr>
            </w:pPr>
            <w:r w:rsidRPr="006A0FFD">
              <w:rPr>
                <w:rFonts w:ascii="Arial" w:hAnsi="Arial" w:cs="Arial"/>
                <w:sz w:val="20"/>
                <w:szCs w:val="20"/>
              </w:rPr>
              <w:t>UM eCQM</w:t>
            </w:r>
          </w:p>
          <w:p w14:paraId="21A296D1" w14:textId="77777777" w:rsidR="0062202B" w:rsidRPr="006A0FFD" w:rsidRDefault="0062202B" w:rsidP="005D3606">
            <w:pPr>
              <w:rPr>
                <w:rFonts w:ascii="Arial" w:hAnsi="Arial" w:cs="Arial"/>
                <w:sz w:val="20"/>
                <w:szCs w:val="20"/>
              </w:rPr>
            </w:pPr>
            <w:r w:rsidRPr="006A0FFD">
              <w:rPr>
                <w:rFonts w:ascii="Arial" w:hAnsi="Arial" w:cs="Arial"/>
                <w:sz w:val="20"/>
                <w:szCs w:val="20"/>
              </w:rPr>
              <w:t>&gt;8.5 days</w:t>
            </w:r>
          </w:p>
        </w:tc>
        <w:tc>
          <w:tcPr>
            <w:tcW w:w="722" w:type="pct"/>
            <w:vAlign w:val="center"/>
          </w:tcPr>
          <w:p w14:paraId="75809C20"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61F26D69"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2C5C43AA"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vAlign w:val="center"/>
          </w:tcPr>
          <w:p w14:paraId="6A9CA786"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FFFF99"/>
            <w:vAlign w:val="center"/>
          </w:tcPr>
          <w:p w14:paraId="16D3A68F" w14:textId="77777777" w:rsidR="0062202B" w:rsidRPr="006A0FFD" w:rsidRDefault="0062202B" w:rsidP="005D3606">
            <w:pPr>
              <w:jc w:val="center"/>
              <w:rPr>
                <w:rFonts w:ascii="Arial" w:hAnsi="Arial" w:cs="Arial"/>
                <w:sz w:val="20"/>
                <w:szCs w:val="20"/>
              </w:rPr>
            </w:pPr>
            <w:r w:rsidRPr="006A0FFD">
              <w:rPr>
                <w:rFonts w:ascii="Arial" w:hAnsi="Arial" w:cs="Arial"/>
                <w:sz w:val="20"/>
                <w:szCs w:val="20"/>
              </w:rPr>
              <w:t>0</w:t>
            </w:r>
          </w:p>
        </w:tc>
        <w:tc>
          <w:tcPr>
            <w:tcW w:w="722" w:type="pct"/>
            <w:shd w:val="clear" w:color="auto" w:fill="4EA72E" w:themeFill="accent6"/>
            <w:vAlign w:val="center"/>
          </w:tcPr>
          <w:p w14:paraId="50A97E7C" w14:textId="77777777" w:rsidR="0062202B" w:rsidRPr="006A0FFD" w:rsidRDefault="0062202B" w:rsidP="005D3606">
            <w:pPr>
              <w:jc w:val="center"/>
              <w:rPr>
                <w:rFonts w:ascii="Arial" w:hAnsi="Arial" w:cs="Arial"/>
                <w:sz w:val="20"/>
                <w:szCs w:val="20"/>
              </w:rPr>
            </w:pPr>
            <w:r w:rsidRPr="006A0FFD">
              <w:rPr>
                <w:rFonts w:ascii="Arial" w:hAnsi="Arial" w:cs="Arial"/>
                <w:sz w:val="20"/>
                <w:szCs w:val="20"/>
                <w:shd w:val="clear" w:color="auto" w:fill="4EA72E" w:themeFill="accent6"/>
              </w:rPr>
              <w:t>3 (0.7%)</w:t>
            </w:r>
          </w:p>
        </w:tc>
      </w:tr>
    </w:tbl>
    <w:p w14:paraId="05A5BC76" w14:textId="185D0FD5" w:rsidR="00754C0A" w:rsidRDefault="00754C0A" w:rsidP="00754C0A">
      <w:pPr>
        <w:spacing w:before="120" w:after="0" w:line="264" w:lineRule="auto"/>
        <w:rPr>
          <w:rFonts w:ascii="Arial" w:hAnsi="Arial" w:cs="Arial"/>
          <w:sz w:val="18"/>
          <w:szCs w:val="18"/>
        </w:rPr>
      </w:pPr>
      <w:r w:rsidRPr="00754C0A">
        <w:rPr>
          <w:rFonts w:ascii="Arial" w:hAnsi="Arial" w:cs="Arial"/>
          <w:sz w:val="18"/>
          <w:szCs w:val="18"/>
        </w:rPr>
        <w:t xml:space="preserve">439/454 (96.7%) </w:t>
      </w:r>
      <w:r w:rsidRPr="00FB693F">
        <w:rPr>
          <w:rFonts w:ascii="Arial" w:hAnsi="Arial" w:cs="Arial"/>
          <w:sz w:val="18"/>
          <w:szCs w:val="18"/>
        </w:rPr>
        <w:t>in green were accurate within a ½ day</w:t>
      </w:r>
      <w:r>
        <w:rPr>
          <w:rFonts w:ascii="Arial" w:hAnsi="Arial" w:cs="Arial"/>
          <w:sz w:val="18"/>
          <w:szCs w:val="18"/>
        </w:rPr>
        <w:t xml:space="preserve">; </w:t>
      </w:r>
      <w:r w:rsidRPr="00754C0A">
        <w:rPr>
          <w:rFonts w:ascii="Arial" w:hAnsi="Arial" w:cs="Arial"/>
          <w:sz w:val="18"/>
          <w:szCs w:val="18"/>
        </w:rPr>
        <w:t xml:space="preserve">447/454 (98.5%) </w:t>
      </w:r>
      <w:r w:rsidRPr="00FB693F">
        <w:rPr>
          <w:rFonts w:ascii="Arial" w:hAnsi="Arial" w:cs="Arial"/>
          <w:sz w:val="18"/>
          <w:szCs w:val="18"/>
        </w:rPr>
        <w:t>green/yellow</w:t>
      </w:r>
      <w:r w:rsidR="00F307B1">
        <w:rPr>
          <w:rFonts w:ascii="Arial" w:hAnsi="Arial" w:cs="Arial"/>
          <w:sz w:val="18"/>
          <w:szCs w:val="18"/>
        </w:rPr>
        <w:t xml:space="preserve"> </w:t>
      </w:r>
      <w:r w:rsidRPr="00FB693F">
        <w:rPr>
          <w:rFonts w:ascii="Arial" w:hAnsi="Arial" w:cs="Arial"/>
          <w:sz w:val="18"/>
          <w:szCs w:val="18"/>
        </w:rPr>
        <w:t>were accurate within 1.5 days</w:t>
      </w:r>
    </w:p>
    <w:p w14:paraId="423BBAB5" w14:textId="5C089AAB" w:rsidR="00754C0A" w:rsidRPr="00FB693F" w:rsidRDefault="00754C0A" w:rsidP="00754C0A">
      <w:pPr>
        <w:spacing w:after="0" w:line="264" w:lineRule="auto"/>
        <w:rPr>
          <w:rFonts w:ascii="Arial" w:hAnsi="Arial" w:cs="Arial"/>
          <w:sz w:val="18"/>
          <w:szCs w:val="18"/>
        </w:rPr>
      </w:pPr>
      <w:r>
        <w:rPr>
          <w:rFonts w:ascii="Arial" w:hAnsi="Arial" w:cs="Arial"/>
          <w:sz w:val="18"/>
          <w:szCs w:val="18"/>
        </w:rPr>
        <w:t xml:space="preserve">Abbreviations: </w:t>
      </w:r>
      <w:r w:rsidR="004D0EFE">
        <w:rPr>
          <w:rFonts w:ascii="Arial" w:hAnsi="Arial" w:cs="Arial"/>
          <w:sz w:val="18"/>
          <w:szCs w:val="18"/>
        </w:rPr>
        <w:t xml:space="preserve">CAP, community-acquired pneumonia; </w:t>
      </w:r>
      <w:r>
        <w:rPr>
          <w:rFonts w:ascii="Arial" w:hAnsi="Arial" w:cs="Arial"/>
          <w:sz w:val="18"/>
          <w:szCs w:val="18"/>
        </w:rPr>
        <w:t xml:space="preserve">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Michigan Hospital Medicine Safety Consortium </w:t>
      </w:r>
    </w:p>
    <w:p w14:paraId="09B526FF" w14:textId="77777777" w:rsidR="00754C0A" w:rsidRDefault="00754C0A" w:rsidP="00754C0A">
      <w:pPr>
        <w:pStyle w:val="ListParagraph"/>
        <w:ind w:left="1440"/>
        <w:rPr>
          <w:rFonts w:ascii="Arial" w:hAnsi="Arial" w:cs="Arial"/>
          <w:sz w:val="20"/>
          <w:szCs w:val="20"/>
        </w:rPr>
      </w:pPr>
    </w:p>
    <w:p w14:paraId="5A93CED8" w14:textId="77777777" w:rsidR="00E752DD" w:rsidRDefault="00E752DD">
      <w:pPr>
        <w:rPr>
          <w:rFonts w:ascii="Arial" w:hAnsi="Arial" w:cs="Arial"/>
          <w:b/>
          <w:bCs/>
          <w:sz w:val="22"/>
          <w:szCs w:val="22"/>
        </w:rPr>
      </w:pPr>
      <w:r>
        <w:rPr>
          <w:rFonts w:ascii="Arial" w:hAnsi="Arial" w:cs="Arial"/>
          <w:b/>
          <w:bCs/>
          <w:sz w:val="22"/>
          <w:szCs w:val="22"/>
        </w:rPr>
        <w:br w:type="page"/>
      </w:r>
    </w:p>
    <w:p w14:paraId="19D358F0" w14:textId="6859DD83" w:rsidR="0062202B" w:rsidRDefault="0062202B" w:rsidP="0062202B">
      <w:pPr>
        <w:rPr>
          <w:rFonts w:ascii="Arial" w:hAnsi="Arial" w:cs="Arial"/>
          <w:sz w:val="22"/>
          <w:szCs w:val="22"/>
        </w:rPr>
      </w:pPr>
      <w:r w:rsidRPr="006A0FFD">
        <w:rPr>
          <w:rFonts w:ascii="Arial" w:hAnsi="Arial" w:cs="Arial"/>
          <w:b/>
          <w:bCs/>
          <w:sz w:val="22"/>
          <w:szCs w:val="22"/>
        </w:rPr>
        <w:lastRenderedPageBreak/>
        <w:t>Table 15.</w:t>
      </w:r>
      <w:r w:rsidRPr="006A0FFD">
        <w:rPr>
          <w:rFonts w:ascii="Arial" w:hAnsi="Arial" w:cs="Arial"/>
          <w:sz w:val="22"/>
          <w:szCs w:val="22"/>
        </w:rPr>
        <w:t xml:space="preserve"> Discharge antibiotic duration comparison for UM HMS manually abstracted data (gold standard) to UM eCQM in 450 CAP patients </w:t>
      </w:r>
    </w:p>
    <w:tbl>
      <w:tblPr>
        <w:tblStyle w:val="TableGrid"/>
        <w:tblW w:w="4830" w:type="pct"/>
        <w:tblLook w:val="04A0" w:firstRow="1" w:lastRow="0" w:firstColumn="1" w:lastColumn="0" w:noHBand="0" w:noVBand="1"/>
        <w:tblCaption w:val="Table 15. Discharge antibiotic duration comparison for UM HMS manually abstracted data (gold standard) to UM eCQM in 450 CAP patients"/>
        <w:tblDescription w:val="Manually abstracted (UM HMS) data compared to eCQM data for discharge antibiotic duration (0 to &gt;6.5 days) in 450 patients hospitalized with uncomplicated CAP. Discharge duration accuracy within 1/2 day was 93.2%, and 95.0% for within 1.5 days."/>
      </w:tblPr>
      <w:tblGrid>
        <w:gridCol w:w="1437"/>
        <w:gridCol w:w="1078"/>
        <w:gridCol w:w="1080"/>
        <w:gridCol w:w="1080"/>
        <w:gridCol w:w="1080"/>
        <w:gridCol w:w="1080"/>
        <w:gridCol w:w="1080"/>
        <w:gridCol w:w="1080"/>
        <w:gridCol w:w="1080"/>
      </w:tblGrid>
      <w:tr w:rsidR="00AF4DB5" w:rsidRPr="003A3CE5" w14:paraId="63336B4B" w14:textId="77777777" w:rsidTr="004C3D07">
        <w:trPr>
          <w:cantSplit/>
          <w:tblHeader/>
        </w:trPr>
        <w:tc>
          <w:tcPr>
            <w:tcW w:w="713" w:type="pct"/>
            <w:shd w:val="clear" w:color="auto" w:fill="auto"/>
          </w:tcPr>
          <w:p w14:paraId="2F733D57" w14:textId="7683ECE9" w:rsidR="0062202B" w:rsidRPr="003A3CE5" w:rsidRDefault="004C3D07" w:rsidP="005D3606">
            <w:pPr>
              <w:rPr>
                <w:rFonts w:ascii="Arial" w:hAnsi="Arial" w:cs="Arial"/>
                <w:sz w:val="20"/>
                <w:szCs w:val="20"/>
              </w:rPr>
            </w:pPr>
            <w:r>
              <w:rPr>
                <w:rFonts w:ascii="Arial" w:hAnsi="Arial" w:cs="Arial"/>
                <w:sz w:val="20"/>
                <w:szCs w:val="20"/>
              </w:rPr>
              <w:t>Discharge Duration</w:t>
            </w:r>
          </w:p>
        </w:tc>
        <w:tc>
          <w:tcPr>
            <w:tcW w:w="535" w:type="pct"/>
            <w:shd w:val="clear" w:color="auto" w:fill="auto"/>
          </w:tcPr>
          <w:p w14:paraId="73050074"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21EF57C8"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0 days</w:t>
            </w:r>
          </w:p>
        </w:tc>
        <w:tc>
          <w:tcPr>
            <w:tcW w:w="536" w:type="pct"/>
            <w:shd w:val="clear" w:color="auto" w:fill="auto"/>
          </w:tcPr>
          <w:p w14:paraId="76074E06"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11492921"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1 day</w:t>
            </w:r>
          </w:p>
        </w:tc>
        <w:tc>
          <w:tcPr>
            <w:tcW w:w="536" w:type="pct"/>
            <w:shd w:val="clear" w:color="auto" w:fill="auto"/>
          </w:tcPr>
          <w:p w14:paraId="3EBB8EA9"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3C5CC1A9"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2 days</w:t>
            </w:r>
          </w:p>
        </w:tc>
        <w:tc>
          <w:tcPr>
            <w:tcW w:w="536" w:type="pct"/>
            <w:shd w:val="clear" w:color="auto" w:fill="auto"/>
          </w:tcPr>
          <w:p w14:paraId="4D7E492F"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00CA7349"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3 days</w:t>
            </w:r>
          </w:p>
        </w:tc>
        <w:tc>
          <w:tcPr>
            <w:tcW w:w="536" w:type="pct"/>
            <w:shd w:val="clear" w:color="auto" w:fill="auto"/>
          </w:tcPr>
          <w:p w14:paraId="71B55783"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54EB2BEF"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4 days</w:t>
            </w:r>
          </w:p>
        </w:tc>
        <w:tc>
          <w:tcPr>
            <w:tcW w:w="536" w:type="pct"/>
            <w:shd w:val="clear" w:color="auto" w:fill="auto"/>
          </w:tcPr>
          <w:p w14:paraId="5D01520E"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16B5C1F3"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5 days</w:t>
            </w:r>
          </w:p>
        </w:tc>
        <w:tc>
          <w:tcPr>
            <w:tcW w:w="536" w:type="pct"/>
            <w:shd w:val="clear" w:color="auto" w:fill="auto"/>
          </w:tcPr>
          <w:p w14:paraId="55DE391B"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494192A1"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6 days</w:t>
            </w:r>
          </w:p>
        </w:tc>
        <w:tc>
          <w:tcPr>
            <w:tcW w:w="536" w:type="pct"/>
            <w:shd w:val="clear" w:color="auto" w:fill="auto"/>
          </w:tcPr>
          <w:p w14:paraId="73A311D0"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UM HMS</w:t>
            </w:r>
          </w:p>
          <w:p w14:paraId="51EF44E8" w14:textId="77777777" w:rsidR="0062202B" w:rsidRPr="003A3CE5" w:rsidRDefault="0062202B" w:rsidP="005D3606">
            <w:pPr>
              <w:jc w:val="center"/>
              <w:rPr>
                <w:rFonts w:ascii="Arial" w:hAnsi="Arial" w:cs="Arial"/>
                <w:sz w:val="20"/>
                <w:szCs w:val="20"/>
              </w:rPr>
            </w:pPr>
            <w:r w:rsidRPr="003A3CE5">
              <w:rPr>
                <w:rFonts w:ascii="Arial" w:hAnsi="Arial" w:cs="Arial"/>
                <w:sz w:val="20"/>
                <w:szCs w:val="20"/>
              </w:rPr>
              <w:t>&gt;6 days</w:t>
            </w:r>
          </w:p>
        </w:tc>
      </w:tr>
      <w:tr w:rsidR="00AF4DB5" w:rsidRPr="003A3CE5" w14:paraId="4638C96F" w14:textId="77777777" w:rsidTr="004C3D07">
        <w:trPr>
          <w:cantSplit/>
        </w:trPr>
        <w:tc>
          <w:tcPr>
            <w:tcW w:w="713" w:type="pct"/>
            <w:shd w:val="clear" w:color="auto" w:fill="auto"/>
          </w:tcPr>
          <w:p w14:paraId="46A8157B"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394CE57A" w14:textId="77777777" w:rsidR="0062202B" w:rsidRPr="003A3CE5" w:rsidRDefault="0062202B" w:rsidP="005D3606">
            <w:pPr>
              <w:rPr>
                <w:rFonts w:ascii="Arial" w:hAnsi="Arial" w:cs="Arial"/>
                <w:sz w:val="20"/>
                <w:szCs w:val="20"/>
              </w:rPr>
            </w:pPr>
            <w:r w:rsidRPr="003A3CE5">
              <w:rPr>
                <w:rFonts w:ascii="Arial" w:hAnsi="Arial" w:cs="Arial"/>
                <w:sz w:val="20"/>
                <w:szCs w:val="20"/>
              </w:rPr>
              <w:t>0-0.5 days</w:t>
            </w:r>
          </w:p>
        </w:tc>
        <w:tc>
          <w:tcPr>
            <w:tcW w:w="535" w:type="pct"/>
            <w:shd w:val="clear" w:color="auto" w:fill="4EA72E" w:themeFill="accent6"/>
            <w:vAlign w:val="center"/>
          </w:tcPr>
          <w:p w14:paraId="560C5256"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85 (18.9%)</w:t>
            </w:r>
          </w:p>
        </w:tc>
        <w:tc>
          <w:tcPr>
            <w:tcW w:w="536" w:type="pct"/>
            <w:shd w:val="clear" w:color="auto" w:fill="FFFF99"/>
            <w:vAlign w:val="center"/>
          </w:tcPr>
          <w:p w14:paraId="31BF7EFD" w14:textId="264A825F" w:rsidR="0062202B" w:rsidRPr="00660DA4" w:rsidRDefault="00762ED5" w:rsidP="005D3606">
            <w:pPr>
              <w:jc w:val="center"/>
              <w:rPr>
                <w:rFonts w:ascii="Arial" w:hAnsi="Arial" w:cs="Arial"/>
                <w:sz w:val="20"/>
                <w:szCs w:val="20"/>
                <w:shd w:val="clear" w:color="auto" w:fill="95DCF7" w:themeFill="accent4" w:themeFillTint="66"/>
              </w:rPr>
            </w:pPr>
            <w:r w:rsidRPr="00660DA4">
              <w:rPr>
                <w:rFonts w:ascii="Arial" w:hAnsi="Arial" w:cs="Arial"/>
                <w:sz w:val="20"/>
                <w:szCs w:val="20"/>
              </w:rPr>
              <w:t>0</w:t>
            </w:r>
          </w:p>
        </w:tc>
        <w:tc>
          <w:tcPr>
            <w:tcW w:w="536" w:type="pct"/>
            <w:shd w:val="clear" w:color="auto" w:fill="auto"/>
            <w:vAlign w:val="center"/>
          </w:tcPr>
          <w:p w14:paraId="1A779045"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77E6712B"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5E90711C"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66502DFD"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2D01358D"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2 (0.4%)</w:t>
            </w:r>
          </w:p>
        </w:tc>
        <w:tc>
          <w:tcPr>
            <w:tcW w:w="536" w:type="pct"/>
            <w:shd w:val="clear" w:color="auto" w:fill="auto"/>
            <w:vAlign w:val="center"/>
          </w:tcPr>
          <w:p w14:paraId="2270389E"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r>
      <w:tr w:rsidR="00AF4DB5" w:rsidRPr="003A3CE5" w14:paraId="4A2AEF0B" w14:textId="77777777" w:rsidTr="004C3D07">
        <w:trPr>
          <w:cantSplit/>
        </w:trPr>
        <w:tc>
          <w:tcPr>
            <w:tcW w:w="713" w:type="pct"/>
            <w:shd w:val="clear" w:color="auto" w:fill="auto"/>
          </w:tcPr>
          <w:p w14:paraId="0B947E78"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5AC47E96" w14:textId="77777777" w:rsidR="0062202B" w:rsidRPr="003A3CE5" w:rsidRDefault="0062202B" w:rsidP="005D3606">
            <w:pPr>
              <w:rPr>
                <w:rFonts w:ascii="Arial" w:hAnsi="Arial" w:cs="Arial"/>
                <w:sz w:val="20"/>
                <w:szCs w:val="20"/>
              </w:rPr>
            </w:pPr>
            <w:r w:rsidRPr="003A3CE5">
              <w:rPr>
                <w:rFonts w:ascii="Arial" w:hAnsi="Arial" w:cs="Arial"/>
                <w:sz w:val="20"/>
                <w:szCs w:val="20"/>
              </w:rPr>
              <w:t>1-1.5</w:t>
            </w:r>
          </w:p>
        </w:tc>
        <w:tc>
          <w:tcPr>
            <w:tcW w:w="535" w:type="pct"/>
            <w:shd w:val="clear" w:color="auto" w:fill="FFFF99"/>
            <w:vAlign w:val="center"/>
          </w:tcPr>
          <w:p w14:paraId="3F3914C9" w14:textId="22EF3452" w:rsidR="0062202B" w:rsidRPr="00660DA4" w:rsidRDefault="00B9548A" w:rsidP="005D3606">
            <w:pPr>
              <w:jc w:val="center"/>
              <w:rPr>
                <w:rFonts w:ascii="Arial" w:hAnsi="Arial" w:cs="Arial"/>
                <w:sz w:val="20"/>
                <w:szCs w:val="20"/>
              </w:rPr>
            </w:pPr>
            <w:r>
              <w:rPr>
                <w:rFonts w:ascii="Arial" w:hAnsi="Arial" w:cs="Arial"/>
                <w:sz w:val="20"/>
                <w:szCs w:val="20"/>
              </w:rPr>
              <w:t>1 (0</w:t>
            </w:r>
            <w:r w:rsidR="0062202B" w:rsidRPr="00660DA4">
              <w:rPr>
                <w:rFonts w:ascii="Arial" w:hAnsi="Arial" w:cs="Arial"/>
                <w:sz w:val="20"/>
                <w:szCs w:val="20"/>
              </w:rPr>
              <w:t>.2</w:t>
            </w:r>
            <w:r w:rsidR="0062202B">
              <w:rPr>
                <w:rFonts w:ascii="Arial" w:hAnsi="Arial" w:cs="Arial"/>
                <w:sz w:val="20"/>
                <w:szCs w:val="20"/>
              </w:rPr>
              <w:t>%</w:t>
            </w:r>
            <w:r w:rsidR="0062202B" w:rsidRPr="00660DA4">
              <w:rPr>
                <w:rFonts w:ascii="Arial" w:hAnsi="Arial" w:cs="Arial"/>
                <w:sz w:val="20"/>
                <w:szCs w:val="20"/>
              </w:rPr>
              <w:t>)</w:t>
            </w:r>
          </w:p>
        </w:tc>
        <w:tc>
          <w:tcPr>
            <w:tcW w:w="536" w:type="pct"/>
            <w:shd w:val="clear" w:color="auto" w:fill="4EA72E" w:themeFill="accent6"/>
            <w:vAlign w:val="center"/>
          </w:tcPr>
          <w:p w14:paraId="0BDF4A20"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28 (6.1%)</w:t>
            </w:r>
          </w:p>
        </w:tc>
        <w:tc>
          <w:tcPr>
            <w:tcW w:w="536" w:type="pct"/>
            <w:shd w:val="clear" w:color="auto" w:fill="FFFF99"/>
            <w:vAlign w:val="center"/>
          </w:tcPr>
          <w:p w14:paraId="102B5EB5" w14:textId="564AB4BD" w:rsidR="0062202B" w:rsidRPr="00660DA4" w:rsidRDefault="00762ED5" w:rsidP="005D3606">
            <w:pPr>
              <w:jc w:val="center"/>
              <w:rPr>
                <w:rFonts w:ascii="Arial" w:hAnsi="Arial" w:cs="Arial"/>
                <w:sz w:val="20"/>
                <w:szCs w:val="20"/>
              </w:rPr>
            </w:pPr>
            <w:r w:rsidRPr="00660DA4">
              <w:rPr>
                <w:rFonts w:ascii="Arial" w:hAnsi="Arial" w:cs="Arial"/>
                <w:sz w:val="20"/>
                <w:szCs w:val="20"/>
              </w:rPr>
              <w:t>2 (0.4%)</w:t>
            </w:r>
          </w:p>
        </w:tc>
        <w:tc>
          <w:tcPr>
            <w:tcW w:w="536" w:type="pct"/>
            <w:shd w:val="clear" w:color="auto" w:fill="auto"/>
            <w:vAlign w:val="center"/>
          </w:tcPr>
          <w:p w14:paraId="6ADCF84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2 (0.4%)</w:t>
            </w:r>
          </w:p>
        </w:tc>
        <w:tc>
          <w:tcPr>
            <w:tcW w:w="536" w:type="pct"/>
            <w:shd w:val="clear" w:color="auto" w:fill="auto"/>
            <w:vAlign w:val="center"/>
          </w:tcPr>
          <w:p w14:paraId="3A2CBFC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1C66AB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13F7FEFD"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2BFDFEF6"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r>
      <w:tr w:rsidR="00AF4DB5" w:rsidRPr="003A3CE5" w14:paraId="55EEC20C" w14:textId="77777777" w:rsidTr="004C3D07">
        <w:trPr>
          <w:cantSplit/>
        </w:trPr>
        <w:tc>
          <w:tcPr>
            <w:tcW w:w="713" w:type="pct"/>
            <w:shd w:val="clear" w:color="auto" w:fill="auto"/>
          </w:tcPr>
          <w:p w14:paraId="6C21645E"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58144F27" w14:textId="77777777" w:rsidR="0062202B" w:rsidRPr="003A3CE5" w:rsidRDefault="0062202B" w:rsidP="005D3606">
            <w:pPr>
              <w:rPr>
                <w:rFonts w:ascii="Arial" w:hAnsi="Arial" w:cs="Arial"/>
                <w:sz w:val="20"/>
                <w:szCs w:val="20"/>
              </w:rPr>
            </w:pPr>
            <w:r w:rsidRPr="003A3CE5">
              <w:rPr>
                <w:rFonts w:ascii="Arial" w:hAnsi="Arial" w:cs="Arial"/>
                <w:sz w:val="20"/>
                <w:szCs w:val="20"/>
              </w:rPr>
              <w:t>2-2.5</w:t>
            </w:r>
          </w:p>
        </w:tc>
        <w:tc>
          <w:tcPr>
            <w:tcW w:w="535" w:type="pct"/>
            <w:shd w:val="clear" w:color="auto" w:fill="auto"/>
            <w:vAlign w:val="center"/>
          </w:tcPr>
          <w:p w14:paraId="1E2D5F5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FFFF99"/>
            <w:vAlign w:val="center"/>
          </w:tcPr>
          <w:p w14:paraId="4DAE593A" w14:textId="6E25B13C"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4EA72E" w:themeFill="accent6"/>
            <w:vAlign w:val="center"/>
          </w:tcPr>
          <w:p w14:paraId="34A1E5C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52 (11.4%)</w:t>
            </w:r>
          </w:p>
        </w:tc>
        <w:tc>
          <w:tcPr>
            <w:tcW w:w="536" w:type="pct"/>
            <w:shd w:val="clear" w:color="auto" w:fill="FFFF99"/>
            <w:vAlign w:val="center"/>
          </w:tcPr>
          <w:p w14:paraId="41F7F53B" w14:textId="0B5FEDEF" w:rsidR="0062202B" w:rsidRPr="00660DA4" w:rsidRDefault="00762ED5"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6087A349"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4E9012F7"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2 (0.4%)</w:t>
            </w:r>
          </w:p>
        </w:tc>
        <w:tc>
          <w:tcPr>
            <w:tcW w:w="536" w:type="pct"/>
            <w:shd w:val="clear" w:color="auto" w:fill="auto"/>
            <w:vAlign w:val="center"/>
          </w:tcPr>
          <w:p w14:paraId="083479B5"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02DBE6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r>
      <w:tr w:rsidR="00AF4DB5" w:rsidRPr="003A3CE5" w14:paraId="5BAFAFF2" w14:textId="77777777" w:rsidTr="004C3D07">
        <w:trPr>
          <w:cantSplit/>
        </w:trPr>
        <w:tc>
          <w:tcPr>
            <w:tcW w:w="713" w:type="pct"/>
            <w:shd w:val="clear" w:color="auto" w:fill="auto"/>
          </w:tcPr>
          <w:p w14:paraId="43972285"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18143231" w14:textId="77777777" w:rsidR="0062202B" w:rsidRPr="003A3CE5" w:rsidRDefault="0062202B" w:rsidP="005D3606">
            <w:pPr>
              <w:rPr>
                <w:rFonts w:ascii="Arial" w:hAnsi="Arial" w:cs="Arial"/>
                <w:sz w:val="20"/>
                <w:szCs w:val="20"/>
              </w:rPr>
            </w:pPr>
            <w:r w:rsidRPr="003A3CE5">
              <w:rPr>
                <w:rFonts w:ascii="Arial" w:hAnsi="Arial" w:cs="Arial"/>
                <w:sz w:val="20"/>
                <w:szCs w:val="20"/>
              </w:rPr>
              <w:t>3-3.5</w:t>
            </w:r>
          </w:p>
        </w:tc>
        <w:tc>
          <w:tcPr>
            <w:tcW w:w="535" w:type="pct"/>
            <w:shd w:val="clear" w:color="auto" w:fill="auto"/>
            <w:vAlign w:val="center"/>
          </w:tcPr>
          <w:p w14:paraId="59D64E87"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0D8F6AE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FFFF99"/>
            <w:vAlign w:val="center"/>
          </w:tcPr>
          <w:p w14:paraId="520431C6" w14:textId="4B0B3A72" w:rsidR="0062202B" w:rsidRPr="00660DA4" w:rsidRDefault="00762ED5" w:rsidP="005D3606">
            <w:pPr>
              <w:jc w:val="center"/>
              <w:rPr>
                <w:rFonts w:ascii="Arial" w:hAnsi="Arial" w:cs="Arial"/>
                <w:sz w:val="20"/>
                <w:szCs w:val="20"/>
              </w:rPr>
            </w:pPr>
            <w:r w:rsidRPr="00660DA4">
              <w:rPr>
                <w:rFonts w:ascii="Arial" w:hAnsi="Arial" w:cs="Arial"/>
                <w:sz w:val="20"/>
                <w:szCs w:val="20"/>
              </w:rPr>
              <w:t>2 (0.4%)</w:t>
            </w:r>
          </w:p>
        </w:tc>
        <w:tc>
          <w:tcPr>
            <w:tcW w:w="536" w:type="pct"/>
            <w:shd w:val="clear" w:color="auto" w:fill="4EA72E" w:themeFill="accent6"/>
            <w:vAlign w:val="center"/>
          </w:tcPr>
          <w:p w14:paraId="05F6525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70 (15.3%)</w:t>
            </w:r>
          </w:p>
        </w:tc>
        <w:tc>
          <w:tcPr>
            <w:tcW w:w="536" w:type="pct"/>
            <w:shd w:val="clear" w:color="auto" w:fill="FFFF99"/>
            <w:vAlign w:val="center"/>
          </w:tcPr>
          <w:p w14:paraId="55C0E203" w14:textId="1A8254D6"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3AB7F34"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453BE03B"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2516185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p>
        </w:tc>
      </w:tr>
      <w:tr w:rsidR="00AF4DB5" w:rsidRPr="003A3CE5" w14:paraId="21DC3E72" w14:textId="77777777" w:rsidTr="004C3D07">
        <w:trPr>
          <w:cantSplit/>
        </w:trPr>
        <w:tc>
          <w:tcPr>
            <w:tcW w:w="713" w:type="pct"/>
            <w:shd w:val="clear" w:color="auto" w:fill="auto"/>
          </w:tcPr>
          <w:p w14:paraId="7DFDAC8E"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07D1B508" w14:textId="77777777" w:rsidR="0062202B" w:rsidRPr="003A3CE5" w:rsidRDefault="0062202B" w:rsidP="005D3606">
            <w:pPr>
              <w:rPr>
                <w:rFonts w:ascii="Arial" w:hAnsi="Arial" w:cs="Arial"/>
                <w:sz w:val="20"/>
                <w:szCs w:val="20"/>
              </w:rPr>
            </w:pPr>
            <w:r w:rsidRPr="003A3CE5">
              <w:rPr>
                <w:rFonts w:ascii="Arial" w:hAnsi="Arial" w:cs="Arial"/>
                <w:sz w:val="20"/>
                <w:szCs w:val="20"/>
              </w:rPr>
              <w:t>4-4.5</w:t>
            </w:r>
          </w:p>
        </w:tc>
        <w:tc>
          <w:tcPr>
            <w:tcW w:w="535" w:type="pct"/>
            <w:shd w:val="clear" w:color="auto" w:fill="auto"/>
            <w:vAlign w:val="center"/>
          </w:tcPr>
          <w:p w14:paraId="131AA7AF"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009FABC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088CFA6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FFFF99"/>
            <w:vAlign w:val="center"/>
          </w:tcPr>
          <w:p w14:paraId="236E5154" w14:textId="6EAA9414" w:rsidR="0062202B" w:rsidRPr="00660DA4" w:rsidRDefault="00762ED5"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4EA72E" w:themeFill="accent6"/>
            <w:vAlign w:val="center"/>
          </w:tcPr>
          <w:p w14:paraId="5A32CCAF"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67 (14.6%)</w:t>
            </w:r>
          </w:p>
        </w:tc>
        <w:tc>
          <w:tcPr>
            <w:tcW w:w="536" w:type="pct"/>
            <w:shd w:val="clear" w:color="auto" w:fill="FFFF99"/>
            <w:vAlign w:val="center"/>
          </w:tcPr>
          <w:p w14:paraId="69E32A81" w14:textId="21762FE7"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4AE27F9D"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E46815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r>
      <w:tr w:rsidR="00AF4DB5" w:rsidRPr="003A3CE5" w14:paraId="74662590" w14:textId="77777777" w:rsidTr="004C3D07">
        <w:trPr>
          <w:cantSplit/>
        </w:trPr>
        <w:tc>
          <w:tcPr>
            <w:tcW w:w="713" w:type="pct"/>
            <w:shd w:val="clear" w:color="auto" w:fill="auto"/>
          </w:tcPr>
          <w:p w14:paraId="19546778"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56122814" w14:textId="77777777" w:rsidR="0062202B" w:rsidRPr="003A3CE5" w:rsidRDefault="0062202B" w:rsidP="005D3606">
            <w:pPr>
              <w:rPr>
                <w:rFonts w:ascii="Arial" w:hAnsi="Arial" w:cs="Arial"/>
                <w:sz w:val="20"/>
                <w:szCs w:val="20"/>
              </w:rPr>
            </w:pPr>
            <w:r w:rsidRPr="003A3CE5">
              <w:rPr>
                <w:rFonts w:ascii="Arial" w:hAnsi="Arial" w:cs="Arial"/>
                <w:sz w:val="20"/>
                <w:szCs w:val="20"/>
              </w:rPr>
              <w:t>5-5.5</w:t>
            </w:r>
          </w:p>
        </w:tc>
        <w:tc>
          <w:tcPr>
            <w:tcW w:w="535" w:type="pct"/>
            <w:shd w:val="clear" w:color="auto" w:fill="auto"/>
            <w:vAlign w:val="center"/>
          </w:tcPr>
          <w:p w14:paraId="11987E08"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2227A890"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67A63DE"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00562766"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FFFF99"/>
            <w:vAlign w:val="center"/>
          </w:tcPr>
          <w:p w14:paraId="04322F2D" w14:textId="29A28962" w:rsidR="0062202B" w:rsidRPr="00660DA4" w:rsidRDefault="00762ED5"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4EA72E" w:themeFill="accent6"/>
            <w:vAlign w:val="center"/>
          </w:tcPr>
          <w:p w14:paraId="144890E4"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74 (16.2%)</w:t>
            </w:r>
          </w:p>
        </w:tc>
        <w:tc>
          <w:tcPr>
            <w:tcW w:w="536" w:type="pct"/>
            <w:shd w:val="clear" w:color="auto" w:fill="FFFF99"/>
            <w:vAlign w:val="center"/>
          </w:tcPr>
          <w:p w14:paraId="3EEB3DE0" w14:textId="214AAD2B"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61B19320"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r>
      <w:tr w:rsidR="00AF4DB5" w:rsidRPr="003A3CE5" w14:paraId="7C8D263E" w14:textId="77777777" w:rsidTr="004C3D07">
        <w:trPr>
          <w:cantSplit/>
        </w:trPr>
        <w:tc>
          <w:tcPr>
            <w:tcW w:w="713" w:type="pct"/>
            <w:shd w:val="clear" w:color="auto" w:fill="auto"/>
          </w:tcPr>
          <w:p w14:paraId="0DBBF795"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7F15C2C0" w14:textId="77777777" w:rsidR="0062202B" w:rsidRPr="003A3CE5" w:rsidRDefault="0062202B" w:rsidP="005D3606">
            <w:pPr>
              <w:rPr>
                <w:rFonts w:ascii="Arial" w:hAnsi="Arial" w:cs="Arial"/>
                <w:sz w:val="20"/>
                <w:szCs w:val="20"/>
              </w:rPr>
            </w:pPr>
            <w:r w:rsidRPr="003A3CE5">
              <w:rPr>
                <w:rFonts w:ascii="Arial" w:hAnsi="Arial" w:cs="Arial"/>
                <w:sz w:val="20"/>
                <w:szCs w:val="20"/>
              </w:rPr>
              <w:t>6-6.5</w:t>
            </w:r>
          </w:p>
        </w:tc>
        <w:tc>
          <w:tcPr>
            <w:tcW w:w="535" w:type="pct"/>
            <w:shd w:val="clear" w:color="auto" w:fill="auto"/>
            <w:vAlign w:val="center"/>
          </w:tcPr>
          <w:p w14:paraId="00DD45B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43C89B5B"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01FCC10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auto"/>
            <w:vAlign w:val="center"/>
          </w:tcPr>
          <w:p w14:paraId="58864671"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32494488"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FFFF99"/>
            <w:vAlign w:val="center"/>
          </w:tcPr>
          <w:p w14:paraId="3FD6D9F7" w14:textId="0F404796"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4EA72E" w:themeFill="accent6"/>
            <w:vAlign w:val="center"/>
          </w:tcPr>
          <w:p w14:paraId="3074BA4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19 (4.2%)</w:t>
            </w:r>
          </w:p>
        </w:tc>
        <w:tc>
          <w:tcPr>
            <w:tcW w:w="536" w:type="pct"/>
            <w:shd w:val="clear" w:color="auto" w:fill="FFFF99"/>
            <w:vAlign w:val="center"/>
          </w:tcPr>
          <w:p w14:paraId="091B6F65" w14:textId="2F006B0B"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r>
      <w:tr w:rsidR="00AF4DB5" w:rsidRPr="003A3CE5" w14:paraId="65BF0106" w14:textId="77777777" w:rsidTr="004C3D07">
        <w:trPr>
          <w:cantSplit/>
        </w:trPr>
        <w:tc>
          <w:tcPr>
            <w:tcW w:w="713" w:type="pct"/>
            <w:shd w:val="clear" w:color="auto" w:fill="auto"/>
          </w:tcPr>
          <w:p w14:paraId="4E010D56" w14:textId="77777777" w:rsidR="0062202B" w:rsidRPr="003A3CE5" w:rsidRDefault="0062202B" w:rsidP="005D3606">
            <w:pPr>
              <w:rPr>
                <w:rFonts w:ascii="Arial" w:hAnsi="Arial" w:cs="Arial"/>
                <w:sz w:val="20"/>
                <w:szCs w:val="20"/>
              </w:rPr>
            </w:pPr>
            <w:r w:rsidRPr="003A3CE5">
              <w:rPr>
                <w:rFonts w:ascii="Arial" w:hAnsi="Arial" w:cs="Arial"/>
                <w:sz w:val="20"/>
                <w:szCs w:val="20"/>
              </w:rPr>
              <w:t xml:space="preserve">UM eCQM </w:t>
            </w:r>
          </w:p>
          <w:p w14:paraId="19697CFA" w14:textId="77777777" w:rsidR="0062202B" w:rsidRPr="003A3CE5" w:rsidRDefault="0062202B" w:rsidP="005D3606">
            <w:pPr>
              <w:rPr>
                <w:rFonts w:ascii="Arial" w:hAnsi="Arial" w:cs="Arial"/>
                <w:sz w:val="20"/>
                <w:szCs w:val="20"/>
              </w:rPr>
            </w:pPr>
            <w:r w:rsidRPr="003A3CE5">
              <w:rPr>
                <w:rFonts w:ascii="Arial" w:hAnsi="Arial" w:cs="Arial"/>
                <w:sz w:val="20"/>
                <w:szCs w:val="20"/>
              </w:rPr>
              <w:t>&gt;6.5</w:t>
            </w:r>
          </w:p>
        </w:tc>
        <w:tc>
          <w:tcPr>
            <w:tcW w:w="535" w:type="pct"/>
            <w:shd w:val="clear" w:color="auto" w:fill="auto"/>
            <w:vAlign w:val="center"/>
          </w:tcPr>
          <w:p w14:paraId="7EEC4966"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3 (0.7%)</w:t>
            </w:r>
          </w:p>
        </w:tc>
        <w:tc>
          <w:tcPr>
            <w:tcW w:w="536" w:type="pct"/>
            <w:shd w:val="clear" w:color="auto" w:fill="auto"/>
            <w:vAlign w:val="center"/>
          </w:tcPr>
          <w:p w14:paraId="49C8D24E"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3838C4BE"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74E06EA8"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p>
        </w:tc>
        <w:tc>
          <w:tcPr>
            <w:tcW w:w="536" w:type="pct"/>
            <w:shd w:val="clear" w:color="auto" w:fill="auto"/>
            <w:vAlign w:val="center"/>
          </w:tcPr>
          <w:p w14:paraId="610227BA"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auto"/>
            <w:vAlign w:val="center"/>
          </w:tcPr>
          <w:p w14:paraId="2ABAFEC9"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1 (0.2</w:t>
            </w:r>
            <w:r>
              <w:rPr>
                <w:rFonts w:ascii="Arial" w:hAnsi="Arial" w:cs="Arial"/>
                <w:sz w:val="20"/>
                <w:szCs w:val="20"/>
              </w:rPr>
              <w:t>%</w:t>
            </w:r>
            <w:r w:rsidRPr="00660DA4">
              <w:rPr>
                <w:rFonts w:ascii="Arial" w:hAnsi="Arial" w:cs="Arial"/>
                <w:sz w:val="20"/>
                <w:szCs w:val="20"/>
              </w:rPr>
              <w:t>)</w:t>
            </w:r>
          </w:p>
        </w:tc>
        <w:tc>
          <w:tcPr>
            <w:tcW w:w="536" w:type="pct"/>
            <w:shd w:val="clear" w:color="auto" w:fill="FFFF99"/>
            <w:vAlign w:val="center"/>
          </w:tcPr>
          <w:p w14:paraId="62CD344B" w14:textId="14E94685" w:rsidR="0062202B" w:rsidRPr="00660DA4" w:rsidRDefault="00762ED5" w:rsidP="005D3606">
            <w:pPr>
              <w:jc w:val="center"/>
              <w:rPr>
                <w:rFonts w:ascii="Arial" w:hAnsi="Arial" w:cs="Arial"/>
                <w:sz w:val="20"/>
                <w:szCs w:val="20"/>
              </w:rPr>
            </w:pPr>
            <w:r w:rsidRPr="00660DA4">
              <w:rPr>
                <w:rFonts w:ascii="Arial" w:hAnsi="Arial" w:cs="Arial"/>
                <w:sz w:val="20"/>
                <w:szCs w:val="20"/>
              </w:rPr>
              <w:t>0</w:t>
            </w:r>
          </w:p>
        </w:tc>
        <w:tc>
          <w:tcPr>
            <w:tcW w:w="536" w:type="pct"/>
            <w:shd w:val="clear" w:color="auto" w:fill="4EA72E" w:themeFill="accent6"/>
            <w:vAlign w:val="center"/>
          </w:tcPr>
          <w:p w14:paraId="755C01D3" w14:textId="77777777" w:rsidR="0062202B" w:rsidRPr="00660DA4" w:rsidRDefault="0062202B" w:rsidP="005D3606">
            <w:pPr>
              <w:jc w:val="center"/>
              <w:rPr>
                <w:rFonts w:ascii="Arial" w:hAnsi="Arial" w:cs="Arial"/>
                <w:sz w:val="20"/>
                <w:szCs w:val="20"/>
              </w:rPr>
            </w:pPr>
            <w:r w:rsidRPr="00660DA4">
              <w:rPr>
                <w:rFonts w:ascii="Arial" w:hAnsi="Arial" w:cs="Arial"/>
                <w:sz w:val="20"/>
                <w:szCs w:val="20"/>
              </w:rPr>
              <w:t>32 (7.0%)</w:t>
            </w:r>
          </w:p>
        </w:tc>
      </w:tr>
    </w:tbl>
    <w:p w14:paraId="2DAF6F3A" w14:textId="2983BD1A" w:rsidR="00E752DD" w:rsidRDefault="00E752DD" w:rsidP="00E752DD">
      <w:pPr>
        <w:spacing w:before="120" w:after="0" w:line="264" w:lineRule="auto"/>
        <w:rPr>
          <w:rFonts w:ascii="Arial" w:hAnsi="Arial" w:cs="Arial"/>
          <w:sz w:val="18"/>
          <w:szCs w:val="18"/>
        </w:rPr>
      </w:pPr>
      <w:r w:rsidRPr="00E752DD">
        <w:rPr>
          <w:rFonts w:ascii="Arial" w:hAnsi="Arial" w:cs="Arial"/>
          <w:sz w:val="18"/>
          <w:szCs w:val="18"/>
        </w:rPr>
        <w:t xml:space="preserve">427/458 (93.2%) </w:t>
      </w:r>
      <w:r w:rsidRPr="00FB693F">
        <w:rPr>
          <w:rFonts w:ascii="Arial" w:hAnsi="Arial" w:cs="Arial"/>
          <w:sz w:val="18"/>
          <w:szCs w:val="18"/>
        </w:rPr>
        <w:t>in green were accurate within a ½ day</w:t>
      </w:r>
      <w:r>
        <w:rPr>
          <w:rFonts w:ascii="Arial" w:hAnsi="Arial" w:cs="Arial"/>
          <w:sz w:val="18"/>
          <w:szCs w:val="18"/>
        </w:rPr>
        <w:t xml:space="preserve">; </w:t>
      </w:r>
      <w:r w:rsidRPr="003A3CE5">
        <w:rPr>
          <w:rFonts w:ascii="Arial" w:hAnsi="Arial" w:cs="Arial"/>
          <w:sz w:val="20"/>
          <w:szCs w:val="20"/>
        </w:rPr>
        <w:t xml:space="preserve">435/458 (95.0%) </w:t>
      </w:r>
      <w:r w:rsidRPr="00FB693F">
        <w:rPr>
          <w:rFonts w:ascii="Arial" w:hAnsi="Arial" w:cs="Arial"/>
          <w:sz w:val="18"/>
          <w:szCs w:val="18"/>
        </w:rPr>
        <w:t>green/yellow were accurate within 1.5 days</w:t>
      </w:r>
    </w:p>
    <w:p w14:paraId="3E4AD298" w14:textId="6A8AA5D6" w:rsidR="00E752DD" w:rsidRPr="00FB693F" w:rsidRDefault="00E752DD" w:rsidP="00E752DD">
      <w:pPr>
        <w:spacing w:after="0" w:line="264" w:lineRule="auto"/>
        <w:rPr>
          <w:rFonts w:ascii="Arial" w:hAnsi="Arial" w:cs="Arial"/>
          <w:sz w:val="18"/>
          <w:szCs w:val="18"/>
        </w:rPr>
      </w:pPr>
      <w:bookmarkStart w:id="1" w:name="_Hlk181282620"/>
      <w:r>
        <w:rPr>
          <w:rFonts w:ascii="Arial" w:hAnsi="Arial" w:cs="Arial"/>
          <w:sz w:val="18"/>
          <w:szCs w:val="18"/>
        </w:rPr>
        <w:t xml:space="preserve">Abbreviations: </w:t>
      </w:r>
      <w:r w:rsidR="00917DED">
        <w:rPr>
          <w:rFonts w:ascii="Arial" w:hAnsi="Arial" w:cs="Arial"/>
          <w:sz w:val="18"/>
          <w:szCs w:val="18"/>
        </w:rPr>
        <w:t xml:space="preserve">CAP, community-acquired pneumonia; </w:t>
      </w:r>
      <w:r>
        <w:rPr>
          <w:rFonts w:ascii="Arial" w:hAnsi="Arial" w:cs="Arial"/>
          <w:sz w:val="18"/>
          <w:szCs w:val="18"/>
        </w:rPr>
        <w:t xml:space="preserve">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Michigan Hospital Medicine Safety Consortium </w:t>
      </w:r>
    </w:p>
    <w:bookmarkEnd w:id="1"/>
    <w:p w14:paraId="3562293B" w14:textId="77777777" w:rsidR="00E752DD" w:rsidRDefault="00E752DD" w:rsidP="00E752DD">
      <w:pPr>
        <w:spacing w:after="0" w:line="264" w:lineRule="auto"/>
        <w:rPr>
          <w:rFonts w:ascii="Arial" w:hAnsi="Arial" w:cs="Arial"/>
          <w:sz w:val="20"/>
          <w:szCs w:val="20"/>
        </w:rPr>
      </w:pPr>
    </w:p>
    <w:p w14:paraId="44BDDD05" w14:textId="77777777" w:rsidR="0062202B" w:rsidRDefault="0062202B" w:rsidP="0062202B">
      <w:pPr>
        <w:rPr>
          <w:rFonts w:ascii="Arial" w:hAnsi="Arial" w:cs="Arial"/>
          <w:sz w:val="20"/>
          <w:szCs w:val="20"/>
        </w:rPr>
      </w:pPr>
    </w:p>
    <w:p w14:paraId="42D4D5B1" w14:textId="67A8865B" w:rsidR="0062202B" w:rsidRPr="00917DED" w:rsidRDefault="0062202B" w:rsidP="0062202B">
      <w:pPr>
        <w:rPr>
          <w:rFonts w:ascii="Arial" w:hAnsi="Arial" w:cs="Arial"/>
          <w:sz w:val="22"/>
          <w:szCs w:val="22"/>
        </w:rPr>
      </w:pPr>
      <w:bookmarkStart w:id="2" w:name="_Hlk181282227"/>
      <w:r w:rsidRPr="00917DED">
        <w:rPr>
          <w:rFonts w:ascii="Arial" w:hAnsi="Arial" w:cs="Arial"/>
          <w:b/>
          <w:bCs/>
          <w:sz w:val="22"/>
          <w:szCs w:val="22"/>
        </w:rPr>
        <w:t>Table 16.</w:t>
      </w:r>
      <w:r w:rsidRPr="00917DED">
        <w:rPr>
          <w:rFonts w:ascii="Arial" w:hAnsi="Arial" w:cs="Arial"/>
          <w:sz w:val="22"/>
          <w:szCs w:val="22"/>
        </w:rPr>
        <w:t xml:space="preserve"> Sensitivity and Specificity</w:t>
      </w:r>
      <w:r w:rsidR="00917DED">
        <w:rPr>
          <w:rFonts w:ascii="Arial" w:hAnsi="Arial" w:cs="Arial"/>
          <w:sz w:val="22"/>
          <w:szCs w:val="22"/>
        </w:rPr>
        <w:t xml:space="preserve"> of </w:t>
      </w:r>
      <w:r w:rsidR="005A3625">
        <w:rPr>
          <w:rFonts w:ascii="Arial" w:hAnsi="Arial" w:cs="Arial"/>
          <w:sz w:val="22"/>
          <w:szCs w:val="22"/>
        </w:rPr>
        <w:t>the eCQM in assessing excess antibiotic duration</w:t>
      </w:r>
      <w:r w:rsidRPr="00917DED">
        <w:rPr>
          <w:rFonts w:ascii="Arial" w:hAnsi="Arial" w:cs="Arial"/>
          <w:sz w:val="22"/>
          <w:szCs w:val="22"/>
        </w:rPr>
        <w:t xml:space="preserve"> </w:t>
      </w:r>
    </w:p>
    <w:tbl>
      <w:tblPr>
        <w:tblStyle w:val="TableGrid"/>
        <w:tblW w:w="0" w:type="auto"/>
        <w:tblLook w:val="04A0" w:firstRow="1" w:lastRow="0" w:firstColumn="1" w:lastColumn="0" w:noHBand="0" w:noVBand="1"/>
        <w:tblCaption w:val="Table 16. Sensitivity and specificity of the eCQM in assessing excess antibiotic duration"/>
        <w:tblDescription w:val="In 450 hospitalized uncomplicated CAP patients, the percentage of excess antibiotic duration (i.e., &gt;= 7-day total antibiotic duraiton) of those eligible for a 5-day duration was compared using chart review (UM HMS, gold standard) and eCQM to determine sensitivity and specificity for the eCQM. Sensitivity was 96%, and specificity was 93%."/>
      </w:tblPr>
      <w:tblGrid>
        <w:gridCol w:w="2154"/>
        <w:gridCol w:w="1657"/>
        <w:gridCol w:w="1605"/>
        <w:gridCol w:w="2497"/>
        <w:gridCol w:w="2517"/>
      </w:tblGrid>
      <w:tr w:rsidR="00AF4DB5" w:rsidRPr="00215488" w14:paraId="1F0D8FAD" w14:textId="77777777" w:rsidTr="0078375B">
        <w:trPr>
          <w:cantSplit/>
          <w:tblHeader/>
        </w:trPr>
        <w:tc>
          <w:tcPr>
            <w:tcW w:w="0" w:type="auto"/>
            <w:vAlign w:val="center"/>
          </w:tcPr>
          <w:bookmarkEnd w:id="2"/>
          <w:p w14:paraId="7A16CF13" w14:textId="77777777" w:rsidR="0062202B" w:rsidRPr="00215488" w:rsidRDefault="0062202B" w:rsidP="005D3606">
            <w:pPr>
              <w:pStyle w:val="ListParagraph"/>
              <w:ind w:left="0"/>
              <w:rPr>
                <w:b/>
                <w:bCs/>
              </w:rPr>
            </w:pPr>
            <w:r>
              <w:rPr>
                <w:b/>
                <w:bCs/>
              </w:rPr>
              <w:t>n=450 patients</w:t>
            </w:r>
          </w:p>
        </w:tc>
        <w:tc>
          <w:tcPr>
            <w:tcW w:w="0" w:type="auto"/>
            <w:vAlign w:val="center"/>
          </w:tcPr>
          <w:p w14:paraId="35A80DEE" w14:textId="77777777" w:rsidR="00917DED" w:rsidRDefault="0062202B" w:rsidP="005D3606">
            <w:pPr>
              <w:pStyle w:val="ListParagraph"/>
              <w:ind w:left="0"/>
              <w:jc w:val="center"/>
              <w:rPr>
                <w:rFonts w:ascii="Aptos" w:hAnsi="Aptos" w:cs="Arial"/>
              </w:rPr>
            </w:pPr>
            <w:r w:rsidRPr="00AE2A13">
              <w:rPr>
                <w:rFonts w:ascii="Aptos" w:hAnsi="Aptos" w:cs="Arial"/>
              </w:rPr>
              <w:t xml:space="preserve">UM eCQM (electronic) </w:t>
            </w:r>
          </w:p>
          <w:p w14:paraId="5812FBB2" w14:textId="1794770E" w:rsidR="0062202B" w:rsidRPr="00215488" w:rsidRDefault="0062202B" w:rsidP="005D3606">
            <w:pPr>
              <w:pStyle w:val="ListParagraph"/>
              <w:ind w:left="0"/>
              <w:jc w:val="center"/>
            </w:pPr>
            <w:r w:rsidRPr="00AE2A13">
              <w:rPr>
                <w:rFonts w:ascii="Aptos" w:hAnsi="Aptos" w:cs="Arial"/>
              </w:rPr>
              <w:t>n (%)</w:t>
            </w:r>
          </w:p>
        </w:tc>
        <w:tc>
          <w:tcPr>
            <w:tcW w:w="0" w:type="auto"/>
            <w:vAlign w:val="center"/>
          </w:tcPr>
          <w:p w14:paraId="1628F5A5" w14:textId="77777777" w:rsidR="00917DED" w:rsidRDefault="0062202B" w:rsidP="005D3606">
            <w:pPr>
              <w:pStyle w:val="ListParagraph"/>
              <w:ind w:left="0"/>
              <w:jc w:val="center"/>
              <w:rPr>
                <w:rFonts w:ascii="Aptos" w:hAnsi="Aptos" w:cs="Arial"/>
              </w:rPr>
            </w:pPr>
            <w:r w:rsidRPr="00AE2A13">
              <w:rPr>
                <w:rFonts w:ascii="Aptos" w:hAnsi="Aptos" w:cs="Arial"/>
              </w:rPr>
              <w:t xml:space="preserve">UM HMS data (chart review) </w:t>
            </w:r>
          </w:p>
          <w:p w14:paraId="6B4EB5CD" w14:textId="0B2B45FF" w:rsidR="0062202B" w:rsidRPr="00215488" w:rsidRDefault="0062202B" w:rsidP="005D3606">
            <w:pPr>
              <w:pStyle w:val="ListParagraph"/>
              <w:ind w:left="0"/>
              <w:jc w:val="center"/>
            </w:pPr>
            <w:r w:rsidRPr="00AE2A13">
              <w:rPr>
                <w:rFonts w:ascii="Aptos" w:hAnsi="Aptos" w:cs="Arial"/>
              </w:rPr>
              <w:t>n (%)</w:t>
            </w:r>
          </w:p>
        </w:tc>
        <w:tc>
          <w:tcPr>
            <w:tcW w:w="0" w:type="auto"/>
            <w:shd w:val="clear" w:color="auto" w:fill="auto"/>
            <w:vAlign w:val="center"/>
          </w:tcPr>
          <w:p w14:paraId="45A16705" w14:textId="77777777" w:rsidR="0062202B" w:rsidRPr="00215488" w:rsidRDefault="0062202B" w:rsidP="005D3606">
            <w:pPr>
              <w:pStyle w:val="ListParagraph"/>
              <w:ind w:left="0"/>
              <w:jc w:val="center"/>
            </w:pPr>
            <w:r w:rsidRPr="00AE2A13">
              <w:rPr>
                <w:rFonts w:ascii="Aptos" w:hAnsi="Aptos" w:cs="Arial"/>
              </w:rPr>
              <w:t>Sensitivity of UM eCQM (vs. UM HMS chart review)</w:t>
            </w:r>
          </w:p>
        </w:tc>
        <w:tc>
          <w:tcPr>
            <w:tcW w:w="0" w:type="auto"/>
            <w:shd w:val="clear" w:color="auto" w:fill="auto"/>
            <w:vAlign w:val="center"/>
          </w:tcPr>
          <w:p w14:paraId="5BF9F3DF" w14:textId="14BFA7C9" w:rsidR="0062202B" w:rsidRPr="00215488" w:rsidRDefault="0062202B" w:rsidP="005D3606">
            <w:pPr>
              <w:pStyle w:val="ListParagraph"/>
              <w:ind w:left="0"/>
              <w:jc w:val="center"/>
            </w:pPr>
            <w:r w:rsidRPr="00AE2A13">
              <w:rPr>
                <w:rFonts w:ascii="Aptos" w:hAnsi="Aptos" w:cs="Arial"/>
              </w:rPr>
              <w:t xml:space="preserve">Specificity of UM eCQM </w:t>
            </w:r>
            <w:r w:rsidR="00917DED">
              <w:rPr>
                <w:rFonts w:ascii="Aptos" w:hAnsi="Aptos" w:cs="Arial"/>
              </w:rPr>
              <w:t>(vs. UM HMS chart review)</w:t>
            </w:r>
          </w:p>
        </w:tc>
      </w:tr>
      <w:tr w:rsidR="00AF4DB5" w14:paraId="1B2B186A" w14:textId="77777777" w:rsidTr="0078375B">
        <w:trPr>
          <w:cantSplit/>
        </w:trPr>
        <w:tc>
          <w:tcPr>
            <w:tcW w:w="0" w:type="auto"/>
            <w:vAlign w:val="center"/>
          </w:tcPr>
          <w:p w14:paraId="664D9545" w14:textId="77777777" w:rsidR="0062202B" w:rsidRPr="00215488" w:rsidRDefault="0062202B" w:rsidP="005D3606">
            <w:pPr>
              <w:pStyle w:val="ListParagraph"/>
              <w:ind w:left="0"/>
            </w:pPr>
            <w:r w:rsidRPr="00215488">
              <w:t>Receive</w:t>
            </w:r>
            <w:r>
              <w:t>d</w:t>
            </w:r>
            <w:r w:rsidRPr="00215488">
              <w:t xml:space="preserve"> </w:t>
            </w:r>
            <w:r w:rsidRPr="00215488">
              <w:rPr>
                <w:rFonts w:ascii="Corbel" w:hAnsi="Corbel"/>
              </w:rPr>
              <w:t>≥7</w:t>
            </w:r>
            <w:r w:rsidRPr="00215488">
              <w:t xml:space="preserve"> days total</w:t>
            </w:r>
            <w:r>
              <w:t xml:space="preserve"> antibiotic duration</w:t>
            </w:r>
          </w:p>
        </w:tc>
        <w:tc>
          <w:tcPr>
            <w:tcW w:w="0" w:type="auto"/>
            <w:vAlign w:val="center"/>
          </w:tcPr>
          <w:p w14:paraId="49646576" w14:textId="77777777" w:rsidR="0062202B" w:rsidRPr="00215488" w:rsidRDefault="0062202B" w:rsidP="005D3606">
            <w:pPr>
              <w:pStyle w:val="ListParagraph"/>
              <w:ind w:left="0"/>
              <w:jc w:val="center"/>
            </w:pPr>
            <w:r w:rsidRPr="00215488">
              <w:t>28</w:t>
            </w:r>
            <w:r>
              <w:t>1</w:t>
            </w:r>
            <w:r w:rsidRPr="00215488">
              <w:t xml:space="preserve"> (61</w:t>
            </w:r>
            <w:r>
              <w:t>.4</w:t>
            </w:r>
            <w:r w:rsidRPr="00215488">
              <w:t>%)</w:t>
            </w:r>
          </w:p>
        </w:tc>
        <w:tc>
          <w:tcPr>
            <w:tcW w:w="0" w:type="auto"/>
            <w:vAlign w:val="center"/>
          </w:tcPr>
          <w:p w14:paraId="2B954133" w14:textId="77777777" w:rsidR="0062202B" w:rsidRPr="00215488" w:rsidRDefault="0062202B" w:rsidP="005D3606">
            <w:pPr>
              <w:pStyle w:val="ListParagraph"/>
              <w:ind w:left="0"/>
              <w:jc w:val="center"/>
            </w:pPr>
            <w:r w:rsidRPr="00215488">
              <w:t>2</w:t>
            </w:r>
            <w:r>
              <w:t>7</w:t>
            </w:r>
            <w:r w:rsidRPr="00215488">
              <w:t>8 (6</w:t>
            </w:r>
            <w:r>
              <w:t>0.7</w:t>
            </w:r>
            <w:r w:rsidRPr="00215488">
              <w:t>%)</w:t>
            </w:r>
          </w:p>
        </w:tc>
        <w:tc>
          <w:tcPr>
            <w:tcW w:w="0" w:type="auto"/>
            <w:vAlign w:val="center"/>
          </w:tcPr>
          <w:p w14:paraId="17F3197F" w14:textId="77777777" w:rsidR="0062202B" w:rsidRPr="00215488" w:rsidRDefault="0062202B" w:rsidP="005D3606">
            <w:pPr>
              <w:pStyle w:val="ListParagraph"/>
              <w:ind w:left="0"/>
              <w:jc w:val="center"/>
              <w:rPr>
                <w:b/>
                <w:bCs/>
              </w:rPr>
            </w:pPr>
            <w:r w:rsidRPr="00215488">
              <w:rPr>
                <w:b/>
                <w:bCs/>
              </w:rPr>
              <w:t>96% (2</w:t>
            </w:r>
            <w:r>
              <w:rPr>
                <w:b/>
                <w:bCs/>
              </w:rPr>
              <w:t>68</w:t>
            </w:r>
            <w:r w:rsidRPr="00215488">
              <w:rPr>
                <w:b/>
                <w:bCs/>
              </w:rPr>
              <w:t>/2</w:t>
            </w:r>
            <w:r>
              <w:rPr>
                <w:b/>
                <w:bCs/>
              </w:rPr>
              <w:t>7</w:t>
            </w:r>
            <w:r w:rsidRPr="00215488">
              <w:rPr>
                <w:b/>
                <w:bCs/>
              </w:rPr>
              <w:t>8)</w:t>
            </w:r>
          </w:p>
        </w:tc>
        <w:tc>
          <w:tcPr>
            <w:tcW w:w="0" w:type="auto"/>
            <w:vAlign w:val="center"/>
          </w:tcPr>
          <w:p w14:paraId="6425DA0D" w14:textId="77777777" w:rsidR="0062202B" w:rsidRPr="00215488" w:rsidRDefault="0062202B" w:rsidP="005D3606">
            <w:pPr>
              <w:pStyle w:val="ListParagraph"/>
              <w:ind w:left="0"/>
              <w:jc w:val="center"/>
              <w:rPr>
                <w:b/>
                <w:bCs/>
              </w:rPr>
            </w:pPr>
            <w:r w:rsidRPr="00215488">
              <w:rPr>
                <w:b/>
                <w:bCs/>
              </w:rPr>
              <w:t>9</w:t>
            </w:r>
            <w:r>
              <w:rPr>
                <w:b/>
                <w:bCs/>
              </w:rPr>
              <w:t>3</w:t>
            </w:r>
            <w:r w:rsidRPr="00215488">
              <w:rPr>
                <w:b/>
                <w:bCs/>
              </w:rPr>
              <w:t>% (16</w:t>
            </w:r>
            <w:r>
              <w:rPr>
                <w:b/>
                <w:bCs/>
              </w:rPr>
              <w:t>7</w:t>
            </w:r>
            <w:r w:rsidRPr="00215488">
              <w:rPr>
                <w:b/>
                <w:bCs/>
              </w:rPr>
              <w:t>/1</w:t>
            </w:r>
            <w:r>
              <w:rPr>
                <w:b/>
                <w:bCs/>
              </w:rPr>
              <w:t>80</w:t>
            </w:r>
            <w:r w:rsidRPr="00215488">
              <w:rPr>
                <w:b/>
                <w:bCs/>
              </w:rPr>
              <w:t>)</w:t>
            </w:r>
          </w:p>
        </w:tc>
      </w:tr>
    </w:tbl>
    <w:p w14:paraId="0061D018" w14:textId="44E74FCD" w:rsidR="005A3625" w:rsidRDefault="005A3625" w:rsidP="00917DED">
      <w:pPr>
        <w:spacing w:before="120" w:after="0"/>
        <w:rPr>
          <w:rFonts w:ascii="Arial" w:hAnsi="Arial" w:cs="Arial"/>
          <w:sz w:val="18"/>
          <w:szCs w:val="18"/>
        </w:rPr>
      </w:pPr>
      <w:r>
        <w:rPr>
          <w:rFonts w:ascii="Arial" w:hAnsi="Arial" w:cs="Arial"/>
          <w:sz w:val="18"/>
          <w:szCs w:val="18"/>
        </w:rPr>
        <w:t>Excess antibiotic duration is defined as receiving &gt;=7 days total antibiotic duration in patients considered eligible for a 5-day duration according to national guidelines</w:t>
      </w:r>
    </w:p>
    <w:p w14:paraId="5F545F5E" w14:textId="71811725" w:rsidR="0062202B" w:rsidRDefault="00917DED" w:rsidP="005A3625">
      <w:pPr>
        <w:spacing w:after="0"/>
        <w:rPr>
          <w:rFonts w:ascii="Aptos" w:eastAsia="Calibri" w:hAnsi="Aptos" w:cs="Times New Roman"/>
          <w:b/>
          <w:bCs/>
          <w:highlight w:val="green"/>
        </w:rPr>
      </w:pPr>
      <w:r>
        <w:rPr>
          <w:rFonts w:ascii="Arial" w:hAnsi="Arial" w:cs="Arial"/>
          <w:sz w:val="18"/>
          <w:szCs w:val="18"/>
        </w:rPr>
        <w:t xml:space="preserve">Abbreviations: 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Michigan Hospital Medicine Safety Consortium</w:t>
      </w:r>
    </w:p>
    <w:p w14:paraId="673B8208" w14:textId="77777777" w:rsidR="00917DED" w:rsidRDefault="00917DED" w:rsidP="0062202B">
      <w:pPr>
        <w:rPr>
          <w:rFonts w:ascii="Aptos" w:eastAsia="Calibri" w:hAnsi="Aptos" w:cs="Times New Roman"/>
          <w:b/>
          <w:bCs/>
        </w:rPr>
      </w:pPr>
    </w:p>
    <w:p w14:paraId="3B3902EC" w14:textId="77777777" w:rsidR="005C2A94" w:rsidRDefault="005C2A94">
      <w:pPr>
        <w:rPr>
          <w:rFonts w:ascii="Aptos" w:eastAsia="Calibri" w:hAnsi="Aptos" w:cs="Times New Roman"/>
          <w:b/>
          <w:bCs/>
        </w:rPr>
      </w:pPr>
      <w:r>
        <w:rPr>
          <w:rFonts w:ascii="Aptos" w:eastAsia="Calibri" w:hAnsi="Aptos" w:cs="Times New Roman"/>
          <w:b/>
          <w:bCs/>
        </w:rPr>
        <w:br w:type="page"/>
      </w:r>
    </w:p>
    <w:p w14:paraId="6C88EB77" w14:textId="56AC1C22" w:rsidR="0062202B" w:rsidRPr="008815A7" w:rsidRDefault="0062202B" w:rsidP="008815A7">
      <w:pPr>
        <w:spacing w:after="120" w:line="264" w:lineRule="auto"/>
        <w:rPr>
          <w:rFonts w:ascii="Arial" w:eastAsia="Calibri" w:hAnsi="Arial" w:cs="Arial"/>
          <w:sz w:val="22"/>
          <w:szCs w:val="22"/>
        </w:rPr>
      </w:pPr>
      <w:r w:rsidRPr="008815A7">
        <w:rPr>
          <w:rFonts w:ascii="Arial" w:eastAsia="Calibri" w:hAnsi="Arial" w:cs="Arial"/>
          <w:b/>
          <w:bCs/>
          <w:sz w:val="22"/>
          <w:szCs w:val="22"/>
        </w:rPr>
        <w:lastRenderedPageBreak/>
        <w:t>Table 17</w:t>
      </w:r>
      <w:r w:rsidRPr="008815A7">
        <w:rPr>
          <w:rFonts w:ascii="Arial" w:eastAsia="Calibri" w:hAnsi="Arial" w:cs="Arial"/>
          <w:sz w:val="22"/>
          <w:szCs w:val="22"/>
        </w:rPr>
        <w:t xml:space="preserve">. </w:t>
      </w:r>
      <w:bookmarkStart w:id="3" w:name="_Hlk181285340"/>
      <w:r w:rsidR="009A38BA">
        <w:rPr>
          <w:rFonts w:ascii="Arial" w:eastAsia="Calibri" w:hAnsi="Arial" w:cs="Arial"/>
          <w:sz w:val="22"/>
          <w:szCs w:val="22"/>
        </w:rPr>
        <w:t>Denominator e</w:t>
      </w:r>
      <w:r w:rsidRPr="008815A7">
        <w:rPr>
          <w:rFonts w:ascii="Arial" w:eastAsia="Calibri" w:hAnsi="Arial" w:cs="Arial"/>
          <w:sz w:val="22"/>
          <w:szCs w:val="22"/>
        </w:rPr>
        <w:t xml:space="preserve">xclusions to </w:t>
      </w:r>
      <w:r w:rsidR="009A38BA">
        <w:rPr>
          <w:rFonts w:ascii="Arial" w:eastAsia="Calibri" w:hAnsi="Arial" w:cs="Arial"/>
          <w:sz w:val="22"/>
          <w:szCs w:val="22"/>
        </w:rPr>
        <w:t>d</w:t>
      </w:r>
      <w:r w:rsidRPr="008815A7">
        <w:rPr>
          <w:rFonts w:ascii="Arial" w:eastAsia="Calibri" w:hAnsi="Arial" w:cs="Arial"/>
          <w:sz w:val="22"/>
          <w:szCs w:val="22"/>
        </w:rPr>
        <w:t xml:space="preserve">efine the </w:t>
      </w:r>
      <w:r w:rsidR="009A38BA">
        <w:rPr>
          <w:rFonts w:ascii="Arial" w:eastAsia="Calibri" w:hAnsi="Arial" w:cs="Arial"/>
          <w:sz w:val="22"/>
          <w:szCs w:val="22"/>
        </w:rPr>
        <w:t>p</w:t>
      </w:r>
      <w:r w:rsidRPr="008815A7">
        <w:rPr>
          <w:rFonts w:ascii="Arial" w:eastAsia="Calibri" w:hAnsi="Arial" w:cs="Arial"/>
          <w:sz w:val="22"/>
          <w:szCs w:val="22"/>
        </w:rPr>
        <w:t>opulation</w:t>
      </w:r>
      <w:r w:rsidR="008815A7">
        <w:rPr>
          <w:rFonts w:ascii="Arial" w:eastAsia="Calibri" w:hAnsi="Arial" w:cs="Arial"/>
          <w:sz w:val="22"/>
          <w:szCs w:val="22"/>
        </w:rPr>
        <w:t xml:space="preserve">: </w:t>
      </w:r>
      <w:r w:rsidRPr="008815A7">
        <w:rPr>
          <w:rFonts w:ascii="Arial" w:eastAsia="Calibri" w:hAnsi="Arial" w:cs="Arial"/>
          <w:sz w:val="22"/>
          <w:szCs w:val="22"/>
        </w:rPr>
        <w:t xml:space="preserve">Hospitalized non-ICU </w:t>
      </w:r>
      <w:r w:rsidR="009A38BA">
        <w:rPr>
          <w:rFonts w:ascii="Arial" w:eastAsia="Calibri" w:hAnsi="Arial" w:cs="Arial"/>
          <w:sz w:val="22"/>
          <w:szCs w:val="22"/>
        </w:rPr>
        <w:t>a</w:t>
      </w:r>
      <w:r w:rsidRPr="008815A7">
        <w:rPr>
          <w:rFonts w:ascii="Arial" w:eastAsia="Calibri" w:hAnsi="Arial" w:cs="Arial"/>
          <w:sz w:val="22"/>
          <w:szCs w:val="22"/>
        </w:rPr>
        <w:t>dults with CAP</w:t>
      </w:r>
      <w:r w:rsidR="009A38BA">
        <w:rPr>
          <w:rFonts w:ascii="Arial" w:eastAsia="Calibri" w:hAnsi="Arial" w:cs="Arial"/>
          <w:sz w:val="22"/>
          <w:szCs w:val="22"/>
        </w:rPr>
        <w:t xml:space="preserve">; </w:t>
      </w:r>
      <w:r w:rsidRPr="008815A7">
        <w:rPr>
          <w:rFonts w:ascii="Arial" w:eastAsia="Calibri" w:hAnsi="Arial" w:cs="Arial"/>
          <w:sz w:val="22"/>
          <w:szCs w:val="22"/>
        </w:rPr>
        <w:t>comparison of measured entities</w:t>
      </w:r>
    </w:p>
    <w:tbl>
      <w:tblPr>
        <w:tblStyle w:val="TableGrid"/>
        <w:tblW w:w="4700" w:type="pct"/>
        <w:tblLayout w:type="fixed"/>
        <w:tblLook w:val="04A0" w:firstRow="1" w:lastRow="0" w:firstColumn="1" w:lastColumn="0" w:noHBand="0" w:noVBand="1"/>
        <w:tblCaption w:val="Table 17. Denominator exclusions to define the population: hospitalized non-ICU adults with CAP; comparison of measured entities"/>
        <w:tblDescription w:val="This table compares University of Michigan, University of Utah, and VA health care systems data for denominator exclusions that define the hospitalized non-ICU adults with CAP. "/>
      </w:tblPr>
      <w:tblGrid>
        <w:gridCol w:w="4225"/>
        <w:gridCol w:w="1859"/>
        <w:gridCol w:w="1859"/>
        <w:gridCol w:w="1861"/>
      </w:tblGrid>
      <w:tr w:rsidR="008815A7" w:rsidRPr="008815A7" w14:paraId="5BB4F156" w14:textId="77777777" w:rsidTr="00892633">
        <w:trPr>
          <w:cantSplit/>
          <w:tblHeader/>
        </w:trPr>
        <w:tc>
          <w:tcPr>
            <w:tcW w:w="2155" w:type="pct"/>
            <w:vAlign w:val="center"/>
          </w:tcPr>
          <w:p w14:paraId="5BBE3388" w14:textId="77777777" w:rsidR="008815A7" w:rsidRPr="008815A7" w:rsidRDefault="008815A7" w:rsidP="008815A7">
            <w:pPr>
              <w:spacing w:line="264" w:lineRule="auto"/>
              <w:rPr>
                <w:rFonts w:ascii="Arial" w:eastAsia="Calibri" w:hAnsi="Arial" w:cs="Arial"/>
                <w:b/>
                <w:bCs/>
              </w:rPr>
            </w:pPr>
            <w:bookmarkStart w:id="4" w:name="_Hlk181285324"/>
            <w:bookmarkEnd w:id="3"/>
            <w:r w:rsidRPr="008815A7">
              <w:rPr>
                <w:rFonts w:ascii="Arial" w:eastAsia="Calibri" w:hAnsi="Arial" w:cs="Arial"/>
                <w:b/>
                <w:bCs/>
              </w:rPr>
              <w:t>Exclusion</w:t>
            </w:r>
          </w:p>
        </w:tc>
        <w:tc>
          <w:tcPr>
            <w:tcW w:w="948" w:type="pct"/>
            <w:vAlign w:val="center"/>
          </w:tcPr>
          <w:p w14:paraId="2ACBD9A0"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Michigan</w:t>
            </w:r>
          </w:p>
          <w:p w14:paraId="69689435"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(n=49,205)</w:t>
            </w:r>
          </w:p>
        </w:tc>
        <w:tc>
          <w:tcPr>
            <w:tcW w:w="948" w:type="pct"/>
            <w:vAlign w:val="center"/>
          </w:tcPr>
          <w:p w14:paraId="6ED7FE17"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Utah</w:t>
            </w:r>
          </w:p>
          <w:p w14:paraId="6F3BB841"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(n=5,909)</w:t>
            </w:r>
          </w:p>
        </w:tc>
        <w:tc>
          <w:tcPr>
            <w:tcW w:w="949" w:type="pct"/>
            <w:vAlign w:val="center"/>
          </w:tcPr>
          <w:p w14:paraId="0794408A"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VA</w:t>
            </w:r>
          </w:p>
          <w:p w14:paraId="5D7C9758" w14:textId="77777777"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(n=102,416)</w:t>
            </w:r>
          </w:p>
        </w:tc>
      </w:tr>
      <w:tr w:rsidR="008815A7" w:rsidRPr="008815A7" w14:paraId="6E947004" w14:textId="77777777" w:rsidTr="00892633">
        <w:trPr>
          <w:cantSplit/>
        </w:trPr>
        <w:tc>
          <w:tcPr>
            <w:tcW w:w="2155" w:type="pct"/>
            <w:vAlign w:val="center"/>
          </w:tcPr>
          <w:p w14:paraId="479B57DE"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Under 18 on admission</w:t>
            </w:r>
          </w:p>
        </w:tc>
        <w:tc>
          <w:tcPr>
            <w:tcW w:w="948" w:type="pct"/>
            <w:vAlign w:val="center"/>
          </w:tcPr>
          <w:p w14:paraId="2D86C182" w14:textId="15EBFB48"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8,905 (18.1%)</w:t>
            </w:r>
          </w:p>
        </w:tc>
        <w:tc>
          <w:tcPr>
            <w:tcW w:w="948" w:type="pct"/>
            <w:vAlign w:val="center"/>
          </w:tcPr>
          <w:p w14:paraId="783EBB51" w14:textId="3EEEFF62" w:rsidR="008815A7" w:rsidRPr="008815A7" w:rsidRDefault="008815A7" w:rsidP="008815A7">
            <w:pPr>
              <w:spacing w:line="264" w:lineRule="auto"/>
              <w:jc w:val="center"/>
              <w:rPr>
                <w:rFonts w:ascii="Arial" w:eastAsia="Calibri" w:hAnsi="Arial" w:cs="Arial"/>
              </w:rPr>
            </w:pPr>
            <w:r>
              <w:rPr>
                <w:rFonts w:ascii="Arial" w:eastAsia="Calibri" w:hAnsi="Arial" w:cs="Arial"/>
              </w:rPr>
              <w:t>0</w:t>
            </w:r>
          </w:p>
        </w:tc>
        <w:tc>
          <w:tcPr>
            <w:tcW w:w="949" w:type="pct"/>
            <w:vAlign w:val="center"/>
          </w:tcPr>
          <w:p w14:paraId="6B4D0D4E" w14:textId="77777777"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0</w:t>
            </w:r>
          </w:p>
        </w:tc>
      </w:tr>
      <w:tr w:rsidR="008815A7" w:rsidRPr="008815A7" w14:paraId="3699CD64" w14:textId="77777777" w:rsidTr="00892633">
        <w:trPr>
          <w:cantSplit/>
        </w:trPr>
        <w:tc>
          <w:tcPr>
            <w:tcW w:w="2155" w:type="pct"/>
            <w:vAlign w:val="center"/>
          </w:tcPr>
          <w:p w14:paraId="4F9A4E60"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Patient class NOT inpatient or observation</w:t>
            </w:r>
          </w:p>
        </w:tc>
        <w:tc>
          <w:tcPr>
            <w:tcW w:w="948" w:type="pct"/>
            <w:vAlign w:val="center"/>
          </w:tcPr>
          <w:p w14:paraId="6DBD9BB4" w14:textId="67B22485"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4,289 (8.7%)</w:t>
            </w:r>
          </w:p>
        </w:tc>
        <w:tc>
          <w:tcPr>
            <w:tcW w:w="948" w:type="pct"/>
            <w:vAlign w:val="center"/>
          </w:tcPr>
          <w:p w14:paraId="2F887C97" w14:textId="2D30CFA1"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908 (15.4%)</w:t>
            </w:r>
          </w:p>
        </w:tc>
        <w:tc>
          <w:tcPr>
            <w:tcW w:w="949" w:type="pct"/>
            <w:vAlign w:val="center"/>
          </w:tcPr>
          <w:p w14:paraId="50727F29" w14:textId="79DC4D36"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NA</w:t>
            </w:r>
          </w:p>
        </w:tc>
      </w:tr>
      <w:tr w:rsidR="008815A7" w:rsidRPr="008815A7" w14:paraId="53624B64" w14:textId="77777777" w:rsidTr="00892633">
        <w:trPr>
          <w:cantSplit/>
        </w:trPr>
        <w:tc>
          <w:tcPr>
            <w:tcW w:w="2155" w:type="pct"/>
            <w:vAlign w:val="center"/>
          </w:tcPr>
          <w:p w14:paraId="45694401"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Died in the first 48 hours of hospitalization</w:t>
            </w:r>
          </w:p>
        </w:tc>
        <w:tc>
          <w:tcPr>
            <w:tcW w:w="948" w:type="pct"/>
            <w:vAlign w:val="center"/>
          </w:tcPr>
          <w:p w14:paraId="7262A98F" w14:textId="32DF4F4A"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709 (1.4%)</w:t>
            </w:r>
          </w:p>
        </w:tc>
        <w:tc>
          <w:tcPr>
            <w:tcW w:w="948" w:type="pct"/>
            <w:vAlign w:val="center"/>
          </w:tcPr>
          <w:p w14:paraId="501BB13A" w14:textId="6476972C"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133 (2.3%)</w:t>
            </w:r>
          </w:p>
        </w:tc>
        <w:tc>
          <w:tcPr>
            <w:tcW w:w="949" w:type="pct"/>
            <w:vAlign w:val="center"/>
          </w:tcPr>
          <w:p w14:paraId="0CB2E2C2" w14:textId="6D74E542"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418 (0.4%)</w:t>
            </w:r>
          </w:p>
        </w:tc>
      </w:tr>
      <w:tr w:rsidR="008815A7" w:rsidRPr="008815A7" w14:paraId="70794760" w14:textId="77777777" w:rsidTr="00892633">
        <w:trPr>
          <w:cantSplit/>
        </w:trPr>
        <w:tc>
          <w:tcPr>
            <w:tcW w:w="2155" w:type="pct"/>
            <w:vAlign w:val="center"/>
          </w:tcPr>
          <w:p w14:paraId="7CF31696"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Any time in ICU in the first 48 hours of hospitalization</w:t>
            </w:r>
          </w:p>
        </w:tc>
        <w:tc>
          <w:tcPr>
            <w:tcW w:w="948" w:type="pct"/>
            <w:vAlign w:val="center"/>
          </w:tcPr>
          <w:p w14:paraId="14B681D7" w14:textId="23BD9F80"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10,910 (22.2%)</w:t>
            </w:r>
          </w:p>
        </w:tc>
        <w:tc>
          <w:tcPr>
            <w:tcW w:w="948" w:type="pct"/>
            <w:vAlign w:val="center"/>
          </w:tcPr>
          <w:p w14:paraId="64941129" w14:textId="022EA715"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2391 (40.5%)</w:t>
            </w:r>
          </w:p>
        </w:tc>
        <w:tc>
          <w:tcPr>
            <w:tcW w:w="949" w:type="pct"/>
            <w:vAlign w:val="center"/>
          </w:tcPr>
          <w:p w14:paraId="3F0F693D" w14:textId="32DF3474"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17512 (17.1%)</w:t>
            </w:r>
          </w:p>
        </w:tc>
      </w:tr>
      <w:tr w:rsidR="008815A7" w:rsidRPr="008815A7" w14:paraId="60B96B90" w14:textId="77777777" w:rsidTr="00892633">
        <w:trPr>
          <w:cantSplit/>
        </w:trPr>
        <w:tc>
          <w:tcPr>
            <w:tcW w:w="2155" w:type="pct"/>
            <w:vAlign w:val="center"/>
          </w:tcPr>
          <w:p w14:paraId="77B42AC7"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Admitted from another hospital or long-term acute care facility</w:t>
            </w:r>
          </w:p>
        </w:tc>
        <w:tc>
          <w:tcPr>
            <w:tcW w:w="948" w:type="pct"/>
            <w:vAlign w:val="center"/>
          </w:tcPr>
          <w:p w14:paraId="55DA0CB4" w14:textId="5A050C4D"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1,272 (2.6%)</w:t>
            </w:r>
          </w:p>
        </w:tc>
        <w:tc>
          <w:tcPr>
            <w:tcW w:w="948" w:type="pct"/>
            <w:vAlign w:val="center"/>
          </w:tcPr>
          <w:p w14:paraId="385942D5" w14:textId="27EC280E"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1,506 (25.5%)</w:t>
            </w:r>
          </w:p>
        </w:tc>
        <w:tc>
          <w:tcPr>
            <w:tcW w:w="949" w:type="pct"/>
            <w:vAlign w:val="center"/>
          </w:tcPr>
          <w:p w14:paraId="7EF2F535" w14:textId="48402640"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7153 (7.0%)</w:t>
            </w:r>
          </w:p>
        </w:tc>
      </w:tr>
      <w:tr w:rsidR="008815A7" w:rsidRPr="008815A7" w14:paraId="070C4515" w14:textId="77777777" w:rsidTr="00892633">
        <w:trPr>
          <w:cantSplit/>
        </w:trPr>
        <w:tc>
          <w:tcPr>
            <w:tcW w:w="2155" w:type="pct"/>
            <w:vAlign w:val="center"/>
          </w:tcPr>
          <w:p w14:paraId="44606CD9"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color w:val="000000"/>
              </w:rPr>
              <w:t>Concurrent infection by ICD10</w:t>
            </w:r>
          </w:p>
        </w:tc>
        <w:tc>
          <w:tcPr>
            <w:tcW w:w="948" w:type="pct"/>
            <w:vAlign w:val="center"/>
          </w:tcPr>
          <w:p w14:paraId="423C8C23" w14:textId="2911A6DF"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rPr>
              <w:t>7,903 (16.1%)</w:t>
            </w:r>
          </w:p>
        </w:tc>
        <w:tc>
          <w:tcPr>
            <w:tcW w:w="948" w:type="pct"/>
            <w:vAlign w:val="center"/>
          </w:tcPr>
          <w:p w14:paraId="4692BB22" w14:textId="7BB19674"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rPr>
              <w:t>2,424 (41.0%)</w:t>
            </w:r>
          </w:p>
        </w:tc>
        <w:tc>
          <w:tcPr>
            <w:tcW w:w="949" w:type="pct"/>
            <w:vAlign w:val="center"/>
          </w:tcPr>
          <w:p w14:paraId="5BA69388" w14:textId="1AB321A8"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24719 (24.1%)</w:t>
            </w:r>
          </w:p>
        </w:tc>
      </w:tr>
      <w:tr w:rsidR="008815A7" w:rsidRPr="008815A7" w14:paraId="0711E04D" w14:textId="77777777" w:rsidTr="00892633">
        <w:trPr>
          <w:cantSplit/>
        </w:trPr>
        <w:tc>
          <w:tcPr>
            <w:tcW w:w="2155" w:type="pct"/>
            <w:vAlign w:val="center"/>
          </w:tcPr>
          <w:p w14:paraId="7CC2E66E" w14:textId="77777777" w:rsidR="008815A7" w:rsidRPr="008815A7" w:rsidRDefault="008815A7" w:rsidP="008815A7">
            <w:pPr>
              <w:spacing w:line="264" w:lineRule="auto"/>
              <w:rPr>
                <w:rFonts w:ascii="Arial" w:eastAsia="Calibri" w:hAnsi="Arial" w:cs="Arial"/>
              </w:rPr>
            </w:pPr>
            <w:r w:rsidRPr="008815A7">
              <w:rPr>
                <w:rFonts w:ascii="Arial" w:eastAsia="Calibri" w:hAnsi="Arial" w:cs="Arial"/>
              </w:rPr>
              <w:t>Chest imaging required (day -3 to day 3 of admission)</w:t>
            </w:r>
          </w:p>
        </w:tc>
        <w:tc>
          <w:tcPr>
            <w:tcW w:w="948" w:type="pct"/>
            <w:vAlign w:val="center"/>
          </w:tcPr>
          <w:p w14:paraId="5C0F05D1" w14:textId="27DF2C37"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465 (0.9%)</w:t>
            </w:r>
          </w:p>
        </w:tc>
        <w:tc>
          <w:tcPr>
            <w:tcW w:w="948" w:type="pct"/>
            <w:vAlign w:val="center"/>
          </w:tcPr>
          <w:p w14:paraId="23896C11" w14:textId="4B6E7277"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726 (12.3%)</w:t>
            </w:r>
          </w:p>
        </w:tc>
        <w:tc>
          <w:tcPr>
            <w:tcW w:w="949" w:type="pct"/>
            <w:vAlign w:val="center"/>
          </w:tcPr>
          <w:p w14:paraId="22CE05CA" w14:textId="01EA40C3" w:rsidR="008815A7" w:rsidRPr="008815A7" w:rsidRDefault="008815A7" w:rsidP="008815A7">
            <w:pPr>
              <w:spacing w:line="264" w:lineRule="auto"/>
              <w:jc w:val="center"/>
              <w:rPr>
                <w:rFonts w:ascii="Arial" w:eastAsia="Calibri" w:hAnsi="Arial" w:cs="Arial"/>
              </w:rPr>
            </w:pPr>
            <w:r w:rsidRPr="008815A7">
              <w:rPr>
                <w:rFonts w:ascii="Arial" w:eastAsia="Calibri" w:hAnsi="Arial" w:cs="Arial"/>
              </w:rPr>
              <w:t>2189 (2.1%)</w:t>
            </w:r>
          </w:p>
        </w:tc>
      </w:tr>
      <w:tr w:rsidR="008815A7" w:rsidRPr="008815A7" w14:paraId="3AEF775F" w14:textId="77777777" w:rsidTr="00892633">
        <w:trPr>
          <w:cantSplit/>
        </w:trPr>
        <w:tc>
          <w:tcPr>
            <w:tcW w:w="2155" w:type="pct"/>
            <w:vAlign w:val="center"/>
          </w:tcPr>
          <w:p w14:paraId="53D68B77" w14:textId="77777777" w:rsidR="008815A7" w:rsidRPr="008815A7" w:rsidRDefault="008815A7" w:rsidP="008815A7">
            <w:pPr>
              <w:spacing w:line="264" w:lineRule="auto"/>
              <w:rPr>
                <w:rFonts w:ascii="Arial" w:eastAsia="Calibri" w:hAnsi="Arial" w:cs="Arial"/>
                <w:b/>
                <w:bCs/>
              </w:rPr>
            </w:pPr>
            <w:r w:rsidRPr="008815A7">
              <w:rPr>
                <w:rFonts w:ascii="Arial" w:eastAsia="Calibri" w:hAnsi="Arial" w:cs="Arial"/>
                <w:b/>
                <w:bCs/>
              </w:rPr>
              <w:t xml:space="preserve">Ending population </w:t>
            </w:r>
          </w:p>
        </w:tc>
        <w:tc>
          <w:tcPr>
            <w:tcW w:w="948" w:type="pct"/>
            <w:vAlign w:val="center"/>
          </w:tcPr>
          <w:p w14:paraId="68B1357C" w14:textId="259B195A"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10,366 (21.1%)</w:t>
            </w:r>
          </w:p>
        </w:tc>
        <w:tc>
          <w:tcPr>
            <w:tcW w:w="948" w:type="pct"/>
            <w:vAlign w:val="center"/>
          </w:tcPr>
          <w:p w14:paraId="369DF62F" w14:textId="2A114F6D"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1049 (17.8%)</w:t>
            </w:r>
          </w:p>
        </w:tc>
        <w:tc>
          <w:tcPr>
            <w:tcW w:w="949" w:type="pct"/>
            <w:vAlign w:val="center"/>
          </w:tcPr>
          <w:p w14:paraId="6DF772EC" w14:textId="1ACA769C" w:rsidR="008815A7" w:rsidRPr="008815A7" w:rsidRDefault="008815A7" w:rsidP="008815A7">
            <w:pPr>
              <w:spacing w:line="264" w:lineRule="auto"/>
              <w:jc w:val="center"/>
              <w:rPr>
                <w:rFonts w:ascii="Arial" w:eastAsia="Calibri" w:hAnsi="Arial" w:cs="Arial"/>
                <w:b/>
                <w:bCs/>
              </w:rPr>
            </w:pPr>
            <w:r w:rsidRPr="008815A7">
              <w:rPr>
                <w:rFonts w:ascii="Arial" w:eastAsia="Calibri" w:hAnsi="Arial" w:cs="Arial"/>
                <w:b/>
                <w:bCs/>
              </w:rPr>
              <w:t>60,943 (59.5%)</w:t>
            </w:r>
          </w:p>
        </w:tc>
      </w:tr>
    </w:tbl>
    <w:bookmarkEnd w:id="4"/>
    <w:p w14:paraId="10F511EC" w14:textId="3F7F7C18" w:rsidR="00404CD9" w:rsidRDefault="00404CD9" w:rsidP="00404CD9">
      <w:pPr>
        <w:spacing w:after="0"/>
        <w:rPr>
          <w:rFonts w:ascii="Aptos" w:eastAsia="Calibri" w:hAnsi="Aptos" w:cs="Times New Roman"/>
          <w:b/>
          <w:bCs/>
          <w:highlight w:val="green"/>
        </w:rPr>
      </w:pPr>
      <w:r>
        <w:rPr>
          <w:rFonts w:ascii="Arial" w:hAnsi="Arial" w:cs="Arial"/>
          <w:sz w:val="18"/>
          <w:szCs w:val="18"/>
        </w:rPr>
        <w:t>Abbreviations: ICU, intensive care unit; CAP, community-acquired pneumonia</w:t>
      </w:r>
    </w:p>
    <w:p w14:paraId="0FC34225" w14:textId="77777777" w:rsidR="0062202B" w:rsidRPr="008815A7" w:rsidRDefault="0062202B" w:rsidP="0062202B">
      <w:pPr>
        <w:rPr>
          <w:rFonts w:ascii="Arial" w:eastAsia="Calibri" w:hAnsi="Arial" w:cs="Arial"/>
          <w:b/>
          <w:bCs/>
        </w:rPr>
      </w:pPr>
    </w:p>
    <w:p w14:paraId="50CD359F" w14:textId="77777777" w:rsidR="0062202B" w:rsidRPr="00A664D4" w:rsidRDefault="0062202B" w:rsidP="0062202B">
      <w:pPr>
        <w:rPr>
          <w:rFonts w:ascii="Arial" w:eastAsia="Calibri" w:hAnsi="Arial" w:cs="Arial"/>
          <w:sz w:val="22"/>
          <w:szCs w:val="22"/>
        </w:rPr>
      </w:pPr>
      <w:bookmarkStart w:id="5" w:name="_Hlk181285383"/>
      <w:r w:rsidRPr="00A664D4">
        <w:rPr>
          <w:rFonts w:ascii="Arial" w:eastAsia="Calibri" w:hAnsi="Arial" w:cs="Arial"/>
          <w:b/>
          <w:bCs/>
          <w:sz w:val="22"/>
          <w:szCs w:val="22"/>
        </w:rPr>
        <w:t xml:space="preserve">Table 18. </w:t>
      </w:r>
      <w:r w:rsidRPr="00A664D4">
        <w:rPr>
          <w:rFonts w:ascii="Arial" w:eastAsia="Calibri" w:hAnsi="Arial" w:cs="Arial"/>
          <w:sz w:val="22"/>
          <w:szCs w:val="22"/>
        </w:rPr>
        <w:t>Exclusions to Narrow Population to Uncomplicated CAP</w:t>
      </w:r>
    </w:p>
    <w:tbl>
      <w:tblPr>
        <w:tblStyle w:val="TableGrid"/>
        <w:tblW w:w="4700" w:type="pct"/>
        <w:tblLook w:val="04A0" w:firstRow="1" w:lastRow="0" w:firstColumn="1" w:lastColumn="0" w:noHBand="0" w:noVBand="1"/>
        <w:tblCaption w:val="Table 18. Exclusions to narrow population to uncomplicated CAP"/>
        <w:tblDescription w:val="This table compares University of Michigan, University of Utah, and VA health care systems data for denominator exclusions that narrow  the adult hospitalized non-ICU patients with CAP to those with uncomplicated CAP. "/>
      </w:tblPr>
      <w:tblGrid>
        <w:gridCol w:w="4044"/>
        <w:gridCol w:w="1920"/>
        <w:gridCol w:w="1920"/>
        <w:gridCol w:w="1920"/>
      </w:tblGrid>
      <w:tr w:rsidR="00A664D4" w:rsidRPr="00A664D4" w14:paraId="12E17EC5" w14:textId="77777777" w:rsidTr="00A664D4">
        <w:trPr>
          <w:cantSplit/>
          <w:tblHeader/>
        </w:trPr>
        <w:tc>
          <w:tcPr>
            <w:tcW w:w="2063" w:type="pct"/>
            <w:vAlign w:val="center"/>
          </w:tcPr>
          <w:p w14:paraId="6B8EE6BB" w14:textId="77777777" w:rsidR="00A664D4" w:rsidRPr="00A664D4" w:rsidRDefault="00A664D4" w:rsidP="005D3606">
            <w:pPr>
              <w:rPr>
                <w:rFonts w:ascii="Arial" w:eastAsia="Calibri" w:hAnsi="Arial" w:cs="Arial"/>
                <w:b/>
                <w:bCs/>
              </w:rPr>
            </w:pPr>
            <w:r w:rsidRPr="00A664D4">
              <w:rPr>
                <w:rFonts w:ascii="Arial" w:eastAsia="Calibri" w:hAnsi="Arial" w:cs="Arial"/>
                <w:b/>
                <w:bCs/>
              </w:rPr>
              <w:t>Exclusion</w:t>
            </w:r>
          </w:p>
        </w:tc>
        <w:tc>
          <w:tcPr>
            <w:tcW w:w="979" w:type="pct"/>
            <w:vAlign w:val="center"/>
          </w:tcPr>
          <w:p w14:paraId="64368932" w14:textId="77777777" w:rsidR="00A664D4" w:rsidRPr="00A664D4" w:rsidRDefault="00A664D4" w:rsidP="005D3606">
            <w:pPr>
              <w:jc w:val="center"/>
              <w:rPr>
                <w:rFonts w:ascii="Arial" w:eastAsia="Calibri" w:hAnsi="Arial" w:cs="Arial"/>
                <w:b/>
                <w:bCs/>
              </w:rPr>
            </w:pPr>
            <w:r w:rsidRPr="00A664D4">
              <w:rPr>
                <w:rFonts w:ascii="Arial" w:eastAsia="Calibri" w:hAnsi="Arial" w:cs="Arial"/>
                <w:b/>
                <w:bCs/>
              </w:rPr>
              <w:t>Michigan (n=10,366)</w:t>
            </w:r>
          </w:p>
        </w:tc>
        <w:tc>
          <w:tcPr>
            <w:tcW w:w="979" w:type="pct"/>
            <w:vAlign w:val="center"/>
          </w:tcPr>
          <w:p w14:paraId="21042F31" w14:textId="77777777" w:rsidR="00A664D4" w:rsidRPr="00A664D4" w:rsidRDefault="00A664D4" w:rsidP="005D3606">
            <w:pPr>
              <w:jc w:val="center"/>
              <w:rPr>
                <w:rFonts w:ascii="Arial" w:eastAsia="Calibri" w:hAnsi="Arial" w:cs="Arial"/>
                <w:b/>
                <w:bCs/>
              </w:rPr>
            </w:pPr>
            <w:r w:rsidRPr="00A664D4">
              <w:rPr>
                <w:rFonts w:ascii="Arial" w:eastAsia="Calibri" w:hAnsi="Arial" w:cs="Arial"/>
                <w:b/>
                <w:bCs/>
              </w:rPr>
              <w:t>Utah</w:t>
            </w:r>
          </w:p>
          <w:p w14:paraId="38932492" w14:textId="77777777" w:rsidR="00A664D4" w:rsidRPr="00A664D4" w:rsidRDefault="00A664D4" w:rsidP="005D3606">
            <w:pPr>
              <w:jc w:val="center"/>
              <w:rPr>
                <w:rFonts w:ascii="Arial" w:eastAsia="Calibri" w:hAnsi="Arial" w:cs="Arial"/>
                <w:b/>
                <w:bCs/>
              </w:rPr>
            </w:pPr>
            <w:r w:rsidRPr="00A664D4">
              <w:rPr>
                <w:rFonts w:ascii="Arial" w:eastAsia="Calibri" w:hAnsi="Arial" w:cs="Arial"/>
                <w:b/>
                <w:bCs/>
              </w:rPr>
              <w:t>(n=1049)</w:t>
            </w:r>
          </w:p>
        </w:tc>
        <w:tc>
          <w:tcPr>
            <w:tcW w:w="979" w:type="pct"/>
            <w:vAlign w:val="center"/>
          </w:tcPr>
          <w:p w14:paraId="07C57C70" w14:textId="77777777" w:rsidR="00A664D4" w:rsidRPr="00A664D4" w:rsidRDefault="00A664D4" w:rsidP="005D3606">
            <w:pPr>
              <w:jc w:val="center"/>
              <w:rPr>
                <w:rFonts w:ascii="Arial" w:eastAsia="Calibri" w:hAnsi="Arial" w:cs="Arial"/>
                <w:b/>
                <w:bCs/>
              </w:rPr>
            </w:pPr>
            <w:r w:rsidRPr="00A664D4">
              <w:rPr>
                <w:rFonts w:ascii="Arial" w:eastAsia="Calibri" w:hAnsi="Arial" w:cs="Arial"/>
                <w:b/>
                <w:bCs/>
              </w:rPr>
              <w:t>VA</w:t>
            </w:r>
          </w:p>
          <w:p w14:paraId="3E439C18" w14:textId="77777777" w:rsidR="00A664D4" w:rsidRPr="00A664D4" w:rsidRDefault="00A664D4" w:rsidP="005D3606">
            <w:pPr>
              <w:jc w:val="center"/>
              <w:rPr>
                <w:rFonts w:ascii="Arial" w:eastAsia="Calibri" w:hAnsi="Arial" w:cs="Arial"/>
                <w:b/>
                <w:bCs/>
              </w:rPr>
            </w:pPr>
            <w:r w:rsidRPr="00A664D4">
              <w:rPr>
                <w:rFonts w:ascii="Arial" w:eastAsia="Calibri" w:hAnsi="Arial" w:cs="Arial"/>
                <w:b/>
                <w:bCs/>
              </w:rPr>
              <w:t>(n=60,943)</w:t>
            </w:r>
          </w:p>
        </w:tc>
      </w:tr>
      <w:tr w:rsidR="00A664D4" w:rsidRPr="00A664D4" w14:paraId="6346C09A" w14:textId="77777777" w:rsidTr="00A664D4">
        <w:trPr>
          <w:cantSplit/>
        </w:trPr>
        <w:tc>
          <w:tcPr>
            <w:tcW w:w="2063" w:type="pct"/>
            <w:vAlign w:val="center"/>
          </w:tcPr>
          <w:p w14:paraId="6FC90A5B" w14:textId="77777777" w:rsidR="00A664D4" w:rsidRPr="00A664D4" w:rsidRDefault="00A664D4" w:rsidP="005D3606">
            <w:pPr>
              <w:rPr>
                <w:rFonts w:ascii="Arial" w:eastAsia="Calibri" w:hAnsi="Arial" w:cs="Arial"/>
              </w:rPr>
            </w:pPr>
            <w:r w:rsidRPr="00A664D4">
              <w:rPr>
                <w:rFonts w:ascii="Arial" w:eastAsia="Calibri" w:hAnsi="Arial" w:cs="Arial"/>
              </w:rPr>
              <w:t>Cystic Fibrosis</w:t>
            </w:r>
          </w:p>
        </w:tc>
        <w:tc>
          <w:tcPr>
            <w:tcW w:w="979" w:type="pct"/>
            <w:vAlign w:val="center"/>
          </w:tcPr>
          <w:p w14:paraId="0E9F2725" w14:textId="22008637" w:rsidR="00A664D4" w:rsidRPr="00A664D4" w:rsidRDefault="00A664D4" w:rsidP="005D3606">
            <w:pPr>
              <w:jc w:val="center"/>
              <w:rPr>
                <w:rFonts w:ascii="Arial" w:eastAsia="Calibri" w:hAnsi="Arial" w:cs="Arial"/>
              </w:rPr>
            </w:pPr>
            <w:r w:rsidRPr="00A664D4">
              <w:rPr>
                <w:rFonts w:ascii="Arial" w:eastAsia="Calibri" w:hAnsi="Arial" w:cs="Arial"/>
              </w:rPr>
              <w:t>286 (2.8%)</w:t>
            </w:r>
          </w:p>
        </w:tc>
        <w:tc>
          <w:tcPr>
            <w:tcW w:w="979" w:type="pct"/>
            <w:vAlign w:val="center"/>
          </w:tcPr>
          <w:p w14:paraId="3871FD4E" w14:textId="1C59145D" w:rsidR="00A664D4" w:rsidRPr="00A664D4" w:rsidRDefault="00A664D4" w:rsidP="005D3606">
            <w:pPr>
              <w:jc w:val="center"/>
              <w:rPr>
                <w:rFonts w:ascii="Arial" w:eastAsia="Calibri" w:hAnsi="Arial" w:cs="Arial"/>
              </w:rPr>
            </w:pPr>
            <w:r w:rsidRPr="00A664D4">
              <w:rPr>
                <w:rFonts w:ascii="Arial" w:eastAsia="Calibri" w:hAnsi="Arial" w:cs="Arial"/>
              </w:rPr>
              <w:t>19 (1.8%)</w:t>
            </w:r>
          </w:p>
        </w:tc>
        <w:tc>
          <w:tcPr>
            <w:tcW w:w="979" w:type="pct"/>
            <w:vAlign w:val="center"/>
          </w:tcPr>
          <w:p w14:paraId="51D3ED43" w14:textId="4808AB39" w:rsidR="00A664D4" w:rsidRPr="00A664D4" w:rsidRDefault="00A664D4" w:rsidP="005D3606">
            <w:pPr>
              <w:jc w:val="center"/>
              <w:rPr>
                <w:rFonts w:ascii="Arial" w:eastAsia="Calibri" w:hAnsi="Arial" w:cs="Arial"/>
              </w:rPr>
            </w:pPr>
            <w:r w:rsidRPr="00A664D4">
              <w:rPr>
                <w:rFonts w:ascii="Arial" w:eastAsia="Calibri" w:hAnsi="Arial" w:cs="Arial"/>
              </w:rPr>
              <w:t>18 (0.0%)</w:t>
            </w:r>
          </w:p>
        </w:tc>
      </w:tr>
      <w:tr w:rsidR="00A664D4" w:rsidRPr="00A664D4" w14:paraId="767C5D48" w14:textId="77777777" w:rsidTr="00A664D4">
        <w:trPr>
          <w:cantSplit/>
        </w:trPr>
        <w:tc>
          <w:tcPr>
            <w:tcW w:w="2063" w:type="pct"/>
            <w:vAlign w:val="center"/>
          </w:tcPr>
          <w:p w14:paraId="2C57BDF8" w14:textId="77777777" w:rsidR="00A664D4" w:rsidRPr="00A664D4" w:rsidRDefault="00A664D4" w:rsidP="005D3606">
            <w:pPr>
              <w:rPr>
                <w:rFonts w:ascii="Arial" w:eastAsia="Calibri" w:hAnsi="Arial" w:cs="Arial"/>
              </w:rPr>
            </w:pPr>
            <w:r w:rsidRPr="00A664D4">
              <w:rPr>
                <w:rFonts w:ascii="Arial" w:eastAsia="Calibri" w:hAnsi="Arial" w:cs="Arial"/>
              </w:rPr>
              <w:t>On mechanical ventilation in first 48 hours of hospitalization</w:t>
            </w:r>
          </w:p>
        </w:tc>
        <w:tc>
          <w:tcPr>
            <w:tcW w:w="979" w:type="pct"/>
            <w:vAlign w:val="center"/>
          </w:tcPr>
          <w:p w14:paraId="3D1FADC2" w14:textId="67CC772E" w:rsidR="00A664D4" w:rsidRPr="00A664D4" w:rsidRDefault="00A664D4" w:rsidP="005D3606">
            <w:pPr>
              <w:jc w:val="center"/>
              <w:rPr>
                <w:rFonts w:ascii="Arial" w:eastAsia="Calibri" w:hAnsi="Arial" w:cs="Arial"/>
              </w:rPr>
            </w:pPr>
            <w:r w:rsidRPr="00A664D4">
              <w:rPr>
                <w:rFonts w:ascii="Arial" w:eastAsia="Calibri" w:hAnsi="Arial" w:cs="Arial"/>
              </w:rPr>
              <w:t>690 (6.7%)</w:t>
            </w:r>
          </w:p>
        </w:tc>
        <w:tc>
          <w:tcPr>
            <w:tcW w:w="979" w:type="pct"/>
            <w:vAlign w:val="center"/>
          </w:tcPr>
          <w:p w14:paraId="24B75453" w14:textId="4CE4CF96" w:rsidR="00A664D4" w:rsidRPr="00A664D4" w:rsidRDefault="00A664D4" w:rsidP="005D3606">
            <w:pPr>
              <w:jc w:val="center"/>
              <w:rPr>
                <w:rFonts w:ascii="Arial" w:eastAsia="Calibri" w:hAnsi="Arial" w:cs="Arial"/>
              </w:rPr>
            </w:pPr>
            <w:r w:rsidRPr="00A664D4">
              <w:rPr>
                <w:rFonts w:ascii="Arial" w:eastAsia="Calibri" w:hAnsi="Arial" w:cs="Arial"/>
              </w:rPr>
              <w:t>46 (4.4%)</w:t>
            </w:r>
          </w:p>
        </w:tc>
        <w:tc>
          <w:tcPr>
            <w:tcW w:w="979" w:type="pct"/>
            <w:vAlign w:val="center"/>
          </w:tcPr>
          <w:p w14:paraId="0C0DE7E2" w14:textId="77777777" w:rsidR="00A664D4" w:rsidRPr="00A664D4" w:rsidRDefault="00A664D4" w:rsidP="005D3606">
            <w:pPr>
              <w:jc w:val="center"/>
              <w:rPr>
                <w:rFonts w:ascii="Arial" w:eastAsia="Calibri" w:hAnsi="Arial" w:cs="Arial"/>
              </w:rPr>
            </w:pPr>
            <w:r w:rsidRPr="00A664D4">
              <w:rPr>
                <w:rFonts w:ascii="Arial" w:eastAsia="Calibri" w:hAnsi="Arial" w:cs="Arial"/>
              </w:rPr>
              <w:t>NA</w:t>
            </w:r>
          </w:p>
        </w:tc>
      </w:tr>
      <w:tr w:rsidR="00A664D4" w:rsidRPr="00A664D4" w14:paraId="21E5919E" w14:textId="77777777" w:rsidTr="00A664D4">
        <w:trPr>
          <w:cantSplit/>
        </w:trPr>
        <w:tc>
          <w:tcPr>
            <w:tcW w:w="2063" w:type="pct"/>
            <w:vAlign w:val="center"/>
          </w:tcPr>
          <w:p w14:paraId="1C138C2B" w14:textId="77777777" w:rsidR="00A664D4" w:rsidRPr="00A664D4" w:rsidRDefault="00A664D4" w:rsidP="005D3606">
            <w:pPr>
              <w:pStyle w:val="BodyText"/>
              <w:rPr>
                <w:sz w:val="22"/>
                <w:szCs w:val="22"/>
              </w:rPr>
            </w:pPr>
            <w:r w:rsidRPr="00A664D4">
              <w:rPr>
                <w:sz w:val="22"/>
                <w:szCs w:val="22"/>
              </w:rPr>
              <w:t>Absolute neutrophil count &lt;500 cells/uL</w:t>
            </w:r>
          </w:p>
          <w:p w14:paraId="34F50E96" w14:textId="77777777" w:rsidR="00A664D4" w:rsidRPr="00A664D4" w:rsidRDefault="00A664D4" w:rsidP="005D3606">
            <w:pPr>
              <w:rPr>
                <w:rFonts w:ascii="Arial" w:eastAsia="Calibri" w:hAnsi="Arial" w:cs="Arial"/>
              </w:rPr>
            </w:pPr>
          </w:p>
        </w:tc>
        <w:tc>
          <w:tcPr>
            <w:tcW w:w="979" w:type="pct"/>
            <w:vAlign w:val="center"/>
          </w:tcPr>
          <w:p w14:paraId="383D567A" w14:textId="19B1AD14" w:rsidR="00A664D4" w:rsidRPr="00A664D4" w:rsidRDefault="00A664D4" w:rsidP="005D3606">
            <w:pPr>
              <w:jc w:val="center"/>
              <w:rPr>
                <w:rFonts w:ascii="Arial" w:eastAsia="Calibri" w:hAnsi="Arial" w:cs="Arial"/>
              </w:rPr>
            </w:pPr>
            <w:r w:rsidRPr="00A664D4">
              <w:rPr>
                <w:rFonts w:ascii="Arial" w:eastAsia="Calibri" w:hAnsi="Arial" w:cs="Arial"/>
              </w:rPr>
              <w:t>443 (4.3%)</w:t>
            </w:r>
          </w:p>
        </w:tc>
        <w:tc>
          <w:tcPr>
            <w:tcW w:w="979" w:type="pct"/>
            <w:vAlign w:val="center"/>
          </w:tcPr>
          <w:p w14:paraId="2D152D96" w14:textId="064D75BE" w:rsidR="00A664D4" w:rsidRPr="00A664D4" w:rsidRDefault="00A664D4" w:rsidP="005D3606">
            <w:pPr>
              <w:jc w:val="center"/>
              <w:rPr>
                <w:rFonts w:ascii="Arial" w:eastAsia="Calibri" w:hAnsi="Arial" w:cs="Arial"/>
              </w:rPr>
            </w:pPr>
            <w:r w:rsidRPr="00A664D4">
              <w:rPr>
                <w:rFonts w:ascii="Arial" w:eastAsia="Calibri" w:hAnsi="Arial" w:cs="Arial"/>
              </w:rPr>
              <w:t>81 (7.7%)</w:t>
            </w:r>
          </w:p>
        </w:tc>
        <w:tc>
          <w:tcPr>
            <w:tcW w:w="979" w:type="pct"/>
            <w:vAlign w:val="center"/>
          </w:tcPr>
          <w:p w14:paraId="50E1604F" w14:textId="45B09353" w:rsidR="00A664D4" w:rsidRPr="00A664D4" w:rsidRDefault="00A664D4" w:rsidP="005D3606">
            <w:pPr>
              <w:jc w:val="center"/>
              <w:rPr>
                <w:rFonts w:ascii="Arial" w:eastAsia="Calibri" w:hAnsi="Arial" w:cs="Arial"/>
              </w:rPr>
            </w:pPr>
            <w:r w:rsidRPr="00A664D4">
              <w:rPr>
                <w:rFonts w:ascii="Arial" w:eastAsia="Calibri" w:hAnsi="Arial" w:cs="Arial"/>
              </w:rPr>
              <w:t>111 (0.2%)</w:t>
            </w:r>
          </w:p>
        </w:tc>
      </w:tr>
      <w:tr w:rsidR="00A664D4" w:rsidRPr="00A664D4" w14:paraId="7EC42F36" w14:textId="77777777" w:rsidTr="00A664D4">
        <w:trPr>
          <w:cantSplit/>
        </w:trPr>
        <w:tc>
          <w:tcPr>
            <w:tcW w:w="2063" w:type="pct"/>
            <w:vAlign w:val="center"/>
          </w:tcPr>
          <w:p w14:paraId="7F1020C1" w14:textId="77777777" w:rsidR="00A664D4" w:rsidRPr="00A664D4" w:rsidRDefault="00A664D4" w:rsidP="005D3606">
            <w:pPr>
              <w:rPr>
                <w:rFonts w:ascii="Arial" w:eastAsia="Calibri" w:hAnsi="Arial" w:cs="Arial"/>
              </w:rPr>
            </w:pPr>
            <w:r w:rsidRPr="00A664D4">
              <w:rPr>
                <w:rFonts w:ascii="Arial" w:eastAsia="Calibri" w:hAnsi="Arial" w:cs="Arial"/>
              </w:rPr>
              <w:t>Bronchiectasis</w:t>
            </w:r>
          </w:p>
        </w:tc>
        <w:tc>
          <w:tcPr>
            <w:tcW w:w="979" w:type="pct"/>
            <w:vAlign w:val="center"/>
          </w:tcPr>
          <w:p w14:paraId="28C57B75" w14:textId="1287C8D7" w:rsidR="00A664D4" w:rsidRPr="00A664D4" w:rsidRDefault="00A664D4" w:rsidP="005D3606">
            <w:pPr>
              <w:jc w:val="center"/>
              <w:rPr>
                <w:rFonts w:ascii="Arial" w:eastAsia="Calibri" w:hAnsi="Arial" w:cs="Arial"/>
              </w:rPr>
            </w:pPr>
            <w:r w:rsidRPr="00A664D4">
              <w:rPr>
                <w:rFonts w:ascii="Arial" w:eastAsia="Calibri" w:hAnsi="Arial" w:cs="Arial"/>
              </w:rPr>
              <w:t>791 (7.6%)</w:t>
            </w:r>
          </w:p>
        </w:tc>
        <w:tc>
          <w:tcPr>
            <w:tcW w:w="979" w:type="pct"/>
            <w:vAlign w:val="center"/>
          </w:tcPr>
          <w:p w14:paraId="0B1933D1" w14:textId="2F2C52EC" w:rsidR="00A664D4" w:rsidRPr="00A664D4" w:rsidRDefault="00A664D4" w:rsidP="005D3606">
            <w:pPr>
              <w:jc w:val="center"/>
              <w:rPr>
                <w:rFonts w:ascii="Arial" w:eastAsia="Calibri" w:hAnsi="Arial" w:cs="Arial"/>
              </w:rPr>
            </w:pPr>
            <w:r w:rsidRPr="00A664D4">
              <w:rPr>
                <w:rFonts w:ascii="Arial" w:eastAsia="Calibri" w:hAnsi="Arial" w:cs="Arial"/>
              </w:rPr>
              <w:t>58 (5.5%)</w:t>
            </w:r>
          </w:p>
        </w:tc>
        <w:tc>
          <w:tcPr>
            <w:tcW w:w="979" w:type="pct"/>
            <w:vAlign w:val="center"/>
          </w:tcPr>
          <w:p w14:paraId="62EBCA35" w14:textId="09FE475E" w:rsidR="00A664D4" w:rsidRPr="00A664D4" w:rsidRDefault="00A664D4" w:rsidP="005D3606">
            <w:pPr>
              <w:jc w:val="center"/>
              <w:rPr>
                <w:rFonts w:ascii="Arial" w:eastAsia="Calibri" w:hAnsi="Arial" w:cs="Arial"/>
              </w:rPr>
            </w:pPr>
            <w:r w:rsidRPr="00A664D4">
              <w:rPr>
                <w:rFonts w:ascii="Arial" w:eastAsia="Calibri" w:hAnsi="Arial" w:cs="Arial"/>
              </w:rPr>
              <w:t>2803 (4.6%)</w:t>
            </w:r>
          </w:p>
        </w:tc>
      </w:tr>
      <w:tr w:rsidR="00A664D4" w:rsidRPr="00A664D4" w14:paraId="51D7131C" w14:textId="77777777" w:rsidTr="00A664D4">
        <w:trPr>
          <w:cantSplit/>
          <w:trHeight w:val="70"/>
        </w:trPr>
        <w:tc>
          <w:tcPr>
            <w:tcW w:w="2063" w:type="pct"/>
            <w:vAlign w:val="center"/>
          </w:tcPr>
          <w:p w14:paraId="475433A9" w14:textId="77777777" w:rsidR="00A664D4" w:rsidRPr="00A664D4" w:rsidRDefault="00A664D4" w:rsidP="005D3606">
            <w:pPr>
              <w:rPr>
                <w:rFonts w:ascii="Arial" w:eastAsia="Calibri" w:hAnsi="Arial" w:cs="Arial"/>
              </w:rPr>
            </w:pPr>
            <w:r w:rsidRPr="00A664D4">
              <w:rPr>
                <w:rFonts w:ascii="Arial" w:eastAsia="Calibri" w:hAnsi="Arial" w:cs="Arial"/>
              </w:rPr>
              <w:t>HIV (irrespective of CD4)</w:t>
            </w:r>
          </w:p>
        </w:tc>
        <w:tc>
          <w:tcPr>
            <w:tcW w:w="979" w:type="pct"/>
            <w:vAlign w:val="center"/>
          </w:tcPr>
          <w:p w14:paraId="044EBCC8" w14:textId="01E7E6ED" w:rsidR="00A664D4" w:rsidRPr="00A664D4" w:rsidRDefault="00A664D4" w:rsidP="005D3606">
            <w:pPr>
              <w:jc w:val="center"/>
              <w:rPr>
                <w:rFonts w:ascii="Arial" w:eastAsia="Calibri" w:hAnsi="Arial" w:cs="Arial"/>
              </w:rPr>
            </w:pPr>
            <w:r w:rsidRPr="00A664D4">
              <w:rPr>
                <w:rFonts w:ascii="Arial" w:eastAsia="Calibri" w:hAnsi="Arial" w:cs="Arial"/>
              </w:rPr>
              <w:t>52 (0.5%)</w:t>
            </w:r>
          </w:p>
        </w:tc>
        <w:tc>
          <w:tcPr>
            <w:tcW w:w="979" w:type="pct"/>
            <w:vAlign w:val="center"/>
          </w:tcPr>
          <w:p w14:paraId="3DF557E3" w14:textId="7D665505" w:rsidR="00A664D4" w:rsidRPr="00A664D4" w:rsidRDefault="00A664D4" w:rsidP="00A664D4">
            <w:pPr>
              <w:jc w:val="center"/>
              <w:rPr>
                <w:rFonts w:ascii="Arial" w:eastAsia="Calibri" w:hAnsi="Arial" w:cs="Arial"/>
              </w:rPr>
            </w:pPr>
            <w:r w:rsidRPr="00A664D4">
              <w:rPr>
                <w:rFonts w:ascii="Arial" w:eastAsia="Calibri" w:hAnsi="Arial" w:cs="Arial"/>
              </w:rPr>
              <w:t>26 (2.5%)</w:t>
            </w:r>
          </w:p>
        </w:tc>
        <w:tc>
          <w:tcPr>
            <w:tcW w:w="979" w:type="pct"/>
            <w:vAlign w:val="center"/>
          </w:tcPr>
          <w:p w14:paraId="4C5CF3B6" w14:textId="2540BCBF" w:rsidR="00A664D4" w:rsidRPr="00A664D4" w:rsidRDefault="00A664D4" w:rsidP="005D3606">
            <w:pPr>
              <w:jc w:val="center"/>
              <w:rPr>
                <w:rFonts w:ascii="Arial" w:eastAsia="Calibri" w:hAnsi="Arial" w:cs="Arial"/>
              </w:rPr>
            </w:pPr>
            <w:r w:rsidRPr="00A664D4">
              <w:rPr>
                <w:rFonts w:ascii="Arial" w:eastAsia="Calibri" w:hAnsi="Arial" w:cs="Arial"/>
              </w:rPr>
              <w:t>978 (1.6%)</w:t>
            </w:r>
          </w:p>
        </w:tc>
      </w:tr>
      <w:tr w:rsidR="00A664D4" w:rsidRPr="00A664D4" w14:paraId="01DE98EB" w14:textId="77777777" w:rsidTr="00A664D4">
        <w:trPr>
          <w:cantSplit/>
        </w:trPr>
        <w:tc>
          <w:tcPr>
            <w:tcW w:w="2063" w:type="pct"/>
            <w:vAlign w:val="center"/>
          </w:tcPr>
          <w:p w14:paraId="4305042B" w14:textId="77777777" w:rsidR="00A664D4" w:rsidRPr="00A664D4" w:rsidRDefault="00A664D4" w:rsidP="005D3606">
            <w:pPr>
              <w:rPr>
                <w:rFonts w:ascii="Arial" w:eastAsia="Calibri" w:hAnsi="Arial" w:cs="Arial"/>
              </w:rPr>
            </w:pPr>
            <w:r w:rsidRPr="00A664D4">
              <w:rPr>
                <w:rFonts w:ascii="Arial" w:eastAsia="Calibri" w:hAnsi="Arial" w:cs="Arial"/>
              </w:rPr>
              <w:t>Tracheostomy</w:t>
            </w:r>
          </w:p>
        </w:tc>
        <w:tc>
          <w:tcPr>
            <w:tcW w:w="979" w:type="pct"/>
            <w:vAlign w:val="center"/>
          </w:tcPr>
          <w:p w14:paraId="327DCE26" w14:textId="49C5FD7E" w:rsidR="00A664D4" w:rsidRPr="00A664D4" w:rsidRDefault="00A664D4" w:rsidP="005D3606">
            <w:pPr>
              <w:jc w:val="center"/>
              <w:rPr>
                <w:rFonts w:ascii="Arial" w:eastAsia="Calibri" w:hAnsi="Arial" w:cs="Arial"/>
              </w:rPr>
            </w:pPr>
            <w:r w:rsidRPr="00A664D4">
              <w:rPr>
                <w:rFonts w:ascii="Arial" w:eastAsia="Calibri" w:hAnsi="Arial" w:cs="Arial"/>
              </w:rPr>
              <w:t>384 (3.7%)</w:t>
            </w:r>
          </w:p>
        </w:tc>
        <w:tc>
          <w:tcPr>
            <w:tcW w:w="979" w:type="pct"/>
            <w:vAlign w:val="center"/>
          </w:tcPr>
          <w:p w14:paraId="65DD1117" w14:textId="54666DFF" w:rsidR="00A664D4" w:rsidRPr="00A664D4" w:rsidRDefault="00A664D4" w:rsidP="005D3606">
            <w:pPr>
              <w:jc w:val="center"/>
              <w:rPr>
                <w:rFonts w:ascii="Arial" w:eastAsia="Calibri" w:hAnsi="Arial" w:cs="Arial"/>
              </w:rPr>
            </w:pPr>
            <w:r w:rsidRPr="00A664D4">
              <w:rPr>
                <w:rFonts w:ascii="Arial" w:eastAsia="Calibri" w:hAnsi="Arial" w:cs="Arial"/>
              </w:rPr>
              <w:t>20 (1.9%)</w:t>
            </w:r>
          </w:p>
        </w:tc>
        <w:tc>
          <w:tcPr>
            <w:tcW w:w="979" w:type="pct"/>
            <w:vAlign w:val="center"/>
          </w:tcPr>
          <w:p w14:paraId="3DEAFC5B" w14:textId="28404CAC" w:rsidR="00A664D4" w:rsidRPr="00A664D4" w:rsidRDefault="00A664D4" w:rsidP="005D3606">
            <w:pPr>
              <w:jc w:val="center"/>
              <w:rPr>
                <w:rFonts w:ascii="Arial" w:eastAsia="Calibri" w:hAnsi="Arial" w:cs="Arial"/>
              </w:rPr>
            </w:pPr>
            <w:r w:rsidRPr="00A664D4">
              <w:rPr>
                <w:rFonts w:ascii="Arial" w:eastAsia="Calibri" w:hAnsi="Arial" w:cs="Arial"/>
              </w:rPr>
              <w:t>633 (1.0%)</w:t>
            </w:r>
          </w:p>
        </w:tc>
      </w:tr>
      <w:tr w:rsidR="00A664D4" w:rsidRPr="00A664D4" w14:paraId="38A54CC2" w14:textId="77777777" w:rsidTr="00A664D4">
        <w:trPr>
          <w:cantSplit/>
        </w:trPr>
        <w:tc>
          <w:tcPr>
            <w:tcW w:w="2063" w:type="pct"/>
            <w:vAlign w:val="center"/>
          </w:tcPr>
          <w:p w14:paraId="539D1B0E" w14:textId="77777777" w:rsidR="00A664D4" w:rsidRPr="00A664D4" w:rsidRDefault="00A664D4" w:rsidP="005D3606">
            <w:pPr>
              <w:rPr>
                <w:rFonts w:ascii="Arial" w:eastAsia="Calibri" w:hAnsi="Arial" w:cs="Arial"/>
              </w:rPr>
            </w:pPr>
            <w:r w:rsidRPr="00A664D4">
              <w:rPr>
                <w:rFonts w:ascii="Arial" w:eastAsia="Calibri" w:hAnsi="Arial" w:cs="Arial"/>
              </w:rPr>
              <w:t>Transplant in prior year</w:t>
            </w:r>
          </w:p>
        </w:tc>
        <w:tc>
          <w:tcPr>
            <w:tcW w:w="979" w:type="pct"/>
            <w:vAlign w:val="center"/>
          </w:tcPr>
          <w:p w14:paraId="4D23BDF5" w14:textId="5DFE077A" w:rsidR="00A664D4" w:rsidRPr="00A664D4" w:rsidRDefault="00A664D4" w:rsidP="005D3606">
            <w:pPr>
              <w:jc w:val="center"/>
              <w:rPr>
                <w:rFonts w:ascii="Arial" w:eastAsia="Calibri" w:hAnsi="Arial" w:cs="Arial"/>
              </w:rPr>
            </w:pPr>
            <w:r w:rsidRPr="00A664D4">
              <w:rPr>
                <w:rFonts w:ascii="Arial" w:eastAsia="Calibri" w:hAnsi="Arial" w:cs="Arial"/>
              </w:rPr>
              <w:t>1522 (14.7%)</w:t>
            </w:r>
          </w:p>
        </w:tc>
        <w:tc>
          <w:tcPr>
            <w:tcW w:w="979" w:type="pct"/>
            <w:vAlign w:val="center"/>
          </w:tcPr>
          <w:p w14:paraId="4CC5550C" w14:textId="758A9C21" w:rsidR="00A664D4" w:rsidRPr="00A664D4" w:rsidRDefault="00A664D4" w:rsidP="005D3606">
            <w:pPr>
              <w:jc w:val="center"/>
              <w:rPr>
                <w:rFonts w:ascii="Arial" w:eastAsia="Calibri" w:hAnsi="Arial" w:cs="Arial"/>
              </w:rPr>
            </w:pPr>
            <w:r w:rsidRPr="00A664D4">
              <w:rPr>
                <w:rFonts w:ascii="Arial" w:eastAsia="Calibri" w:hAnsi="Arial" w:cs="Arial"/>
              </w:rPr>
              <w:t>150 (14.3%)</w:t>
            </w:r>
          </w:p>
        </w:tc>
        <w:tc>
          <w:tcPr>
            <w:tcW w:w="979" w:type="pct"/>
            <w:vAlign w:val="center"/>
          </w:tcPr>
          <w:p w14:paraId="7EE673BF" w14:textId="7B956EC5" w:rsidR="00A664D4" w:rsidRPr="00A664D4" w:rsidRDefault="00A664D4" w:rsidP="005D3606">
            <w:pPr>
              <w:jc w:val="center"/>
              <w:rPr>
                <w:rFonts w:ascii="Arial" w:eastAsia="Calibri" w:hAnsi="Arial" w:cs="Arial"/>
              </w:rPr>
            </w:pPr>
            <w:r w:rsidRPr="00A664D4">
              <w:rPr>
                <w:rFonts w:ascii="Arial" w:eastAsia="Calibri" w:hAnsi="Arial" w:cs="Arial"/>
              </w:rPr>
              <w:t>1478 (2.4%)</w:t>
            </w:r>
          </w:p>
        </w:tc>
      </w:tr>
      <w:tr w:rsidR="00A664D4" w:rsidRPr="00A664D4" w14:paraId="628A741F" w14:textId="77777777" w:rsidTr="00A664D4">
        <w:trPr>
          <w:cantSplit/>
        </w:trPr>
        <w:tc>
          <w:tcPr>
            <w:tcW w:w="2063" w:type="pct"/>
            <w:vAlign w:val="center"/>
          </w:tcPr>
          <w:p w14:paraId="387E9295" w14:textId="77777777" w:rsidR="00A664D4" w:rsidRPr="00A664D4" w:rsidRDefault="00A664D4" w:rsidP="005D3606">
            <w:pPr>
              <w:rPr>
                <w:rFonts w:ascii="Arial" w:eastAsia="Calibri" w:hAnsi="Arial" w:cs="Arial"/>
              </w:rPr>
            </w:pPr>
            <w:r w:rsidRPr="00A664D4">
              <w:rPr>
                <w:rFonts w:ascii="Arial" w:eastAsia="Calibri" w:hAnsi="Arial" w:cs="Arial"/>
              </w:rPr>
              <w:t>Hematologic malignancy</w:t>
            </w:r>
          </w:p>
        </w:tc>
        <w:tc>
          <w:tcPr>
            <w:tcW w:w="979" w:type="pct"/>
            <w:vAlign w:val="center"/>
          </w:tcPr>
          <w:p w14:paraId="6ACA2B61" w14:textId="238A689C" w:rsidR="00A664D4" w:rsidRPr="00A664D4" w:rsidRDefault="00A664D4" w:rsidP="005D3606">
            <w:pPr>
              <w:jc w:val="center"/>
              <w:rPr>
                <w:rFonts w:ascii="Arial" w:eastAsia="Calibri" w:hAnsi="Arial" w:cs="Arial"/>
              </w:rPr>
            </w:pPr>
            <w:r w:rsidRPr="00A664D4">
              <w:rPr>
                <w:rFonts w:ascii="Arial" w:eastAsia="Calibri" w:hAnsi="Arial" w:cs="Arial"/>
              </w:rPr>
              <w:t>1461 (14.1%)</w:t>
            </w:r>
          </w:p>
        </w:tc>
        <w:tc>
          <w:tcPr>
            <w:tcW w:w="979" w:type="pct"/>
            <w:vAlign w:val="center"/>
          </w:tcPr>
          <w:p w14:paraId="35BF191D" w14:textId="02DF6980" w:rsidR="00A664D4" w:rsidRPr="00A664D4" w:rsidRDefault="00A664D4" w:rsidP="005D3606">
            <w:pPr>
              <w:jc w:val="center"/>
              <w:rPr>
                <w:rFonts w:ascii="Arial" w:eastAsia="Calibri" w:hAnsi="Arial" w:cs="Arial"/>
              </w:rPr>
            </w:pPr>
            <w:r w:rsidRPr="00A664D4">
              <w:rPr>
                <w:rFonts w:ascii="Arial" w:eastAsia="Calibri" w:hAnsi="Arial" w:cs="Arial"/>
              </w:rPr>
              <w:t>180 (17.2%)</w:t>
            </w:r>
          </w:p>
        </w:tc>
        <w:tc>
          <w:tcPr>
            <w:tcW w:w="979" w:type="pct"/>
            <w:vAlign w:val="center"/>
          </w:tcPr>
          <w:p w14:paraId="69F045F4" w14:textId="2730BF1D" w:rsidR="00A664D4" w:rsidRPr="00A664D4" w:rsidRDefault="00A664D4" w:rsidP="005D3606">
            <w:pPr>
              <w:jc w:val="center"/>
              <w:rPr>
                <w:rFonts w:ascii="Arial" w:eastAsia="Calibri" w:hAnsi="Arial" w:cs="Arial"/>
              </w:rPr>
            </w:pPr>
            <w:r w:rsidRPr="00A664D4">
              <w:rPr>
                <w:rFonts w:ascii="Arial" w:eastAsia="Calibri" w:hAnsi="Arial" w:cs="Arial"/>
              </w:rPr>
              <w:t>4762 (7.8%)</w:t>
            </w:r>
          </w:p>
        </w:tc>
      </w:tr>
      <w:tr w:rsidR="00A664D4" w:rsidRPr="00A664D4" w14:paraId="5414FF5C" w14:textId="77777777" w:rsidTr="00A664D4">
        <w:trPr>
          <w:cantSplit/>
        </w:trPr>
        <w:tc>
          <w:tcPr>
            <w:tcW w:w="2063" w:type="pct"/>
            <w:vAlign w:val="center"/>
          </w:tcPr>
          <w:p w14:paraId="7495C15E" w14:textId="77777777" w:rsidR="00A664D4" w:rsidRPr="00A664D4" w:rsidRDefault="00A664D4" w:rsidP="005D3606">
            <w:pPr>
              <w:rPr>
                <w:rFonts w:ascii="Arial" w:eastAsia="Calibri" w:hAnsi="Arial" w:cs="Arial"/>
              </w:rPr>
            </w:pPr>
            <w:r w:rsidRPr="00A664D4">
              <w:rPr>
                <w:rFonts w:ascii="Arial" w:eastAsia="Calibri" w:hAnsi="Arial" w:cs="Arial"/>
              </w:rPr>
              <w:t xml:space="preserve">Pulmonary complication: </w:t>
            </w:r>
          </w:p>
        </w:tc>
        <w:tc>
          <w:tcPr>
            <w:tcW w:w="979" w:type="pct"/>
            <w:vAlign w:val="center"/>
          </w:tcPr>
          <w:p w14:paraId="302839DF" w14:textId="3FDEAE8A" w:rsidR="00A664D4" w:rsidRPr="00A664D4" w:rsidRDefault="00A664D4" w:rsidP="005D3606">
            <w:pPr>
              <w:jc w:val="center"/>
              <w:rPr>
                <w:rFonts w:ascii="Arial" w:eastAsia="Calibri" w:hAnsi="Arial" w:cs="Arial"/>
              </w:rPr>
            </w:pPr>
            <w:r w:rsidRPr="00A664D4">
              <w:rPr>
                <w:rFonts w:ascii="Arial" w:eastAsia="Calibri" w:hAnsi="Arial" w:cs="Arial"/>
              </w:rPr>
              <w:t>263 (2.5%)</w:t>
            </w:r>
          </w:p>
        </w:tc>
        <w:tc>
          <w:tcPr>
            <w:tcW w:w="979" w:type="pct"/>
            <w:vAlign w:val="center"/>
          </w:tcPr>
          <w:p w14:paraId="5F680CC4" w14:textId="7D34C0AC" w:rsidR="00A664D4" w:rsidRPr="00A664D4" w:rsidRDefault="00A664D4" w:rsidP="005D3606">
            <w:pPr>
              <w:jc w:val="center"/>
              <w:rPr>
                <w:rFonts w:ascii="Arial" w:eastAsia="Calibri" w:hAnsi="Arial" w:cs="Arial"/>
              </w:rPr>
            </w:pPr>
            <w:r w:rsidRPr="00A664D4">
              <w:rPr>
                <w:rFonts w:ascii="Arial" w:eastAsia="Calibri" w:hAnsi="Arial" w:cs="Arial"/>
              </w:rPr>
              <w:t>38 (3.6%)</w:t>
            </w:r>
          </w:p>
        </w:tc>
        <w:tc>
          <w:tcPr>
            <w:tcW w:w="979" w:type="pct"/>
            <w:vAlign w:val="center"/>
          </w:tcPr>
          <w:p w14:paraId="6D5142AE" w14:textId="64F1924B" w:rsidR="00A664D4" w:rsidRPr="00A664D4" w:rsidRDefault="00A664D4" w:rsidP="005D3606">
            <w:pPr>
              <w:jc w:val="center"/>
              <w:rPr>
                <w:rFonts w:ascii="Arial" w:eastAsia="Calibri" w:hAnsi="Arial" w:cs="Arial"/>
              </w:rPr>
            </w:pPr>
            <w:r w:rsidRPr="00A664D4">
              <w:rPr>
                <w:rFonts w:ascii="Arial" w:eastAsia="Calibri" w:hAnsi="Arial" w:cs="Arial"/>
              </w:rPr>
              <w:t>1698 (2.8%)</w:t>
            </w:r>
          </w:p>
        </w:tc>
      </w:tr>
      <w:tr w:rsidR="00A664D4" w:rsidRPr="00A664D4" w14:paraId="46EAE4AD" w14:textId="77777777" w:rsidTr="00A664D4">
        <w:trPr>
          <w:cantSplit/>
        </w:trPr>
        <w:tc>
          <w:tcPr>
            <w:tcW w:w="2063" w:type="pct"/>
            <w:vAlign w:val="center"/>
          </w:tcPr>
          <w:p w14:paraId="44954E47" w14:textId="77777777" w:rsidR="00A664D4" w:rsidRPr="00A664D4" w:rsidRDefault="00A664D4" w:rsidP="005D3606">
            <w:pPr>
              <w:rPr>
                <w:rFonts w:ascii="Arial" w:eastAsia="Calibri" w:hAnsi="Arial" w:cs="Arial"/>
                <w:b/>
                <w:bCs/>
              </w:rPr>
            </w:pPr>
            <w:r w:rsidRPr="00A664D4">
              <w:rPr>
                <w:rFonts w:ascii="Arial" w:eastAsia="Calibri" w:hAnsi="Arial" w:cs="Arial"/>
                <w:b/>
                <w:bCs/>
              </w:rPr>
              <w:t>Ending population</w:t>
            </w:r>
          </w:p>
        </w:tc>
        <w:tc>
          <w:tcPr>
            <w:tcW w:w="979" w:type="pct"/>
            <w:vAlign w:val="center"/>
          </w:tcPr>
          <w:p w14:paraId="2EE8DC2D" w14:textId="7CBD9BAC" w:rsidR="00A664D4" w:rsidRPr="00A664D4" w:rsidRDefault="00A664D4" w:rsidP="005D3606">
            <w:pPr>
              <w:jc w:val="center"/>
              <w:rPr>
                <w:rFonts w:ascii="Arial" w:eastAsia="Calibri" w:hAnsi="Arial" w:cs="Arial"/>
                <w:b/>
                <w:bCs/>
              </w:rPr>
            </w:pPr>
            <w:r w:rsidRPr="00A664D4">
              <w:rPr>
                <w:rFonts w:ascii="Arial" w:eastAsia="Calibri" w:hAnsi="Arial" w:cs="Arial"/>
                <w:b/>
                <w:bCs/>
              </w:rPr>
              <w:t>6,285 (60.6%)</w:t>
            </w:r>
          </w:p>
        </w:tc>
        <w:tc>
          <w:tcPr>
            <w:tcW w:w="979" w:type="pct"/>
            <w:vAlign w:val="center"/>
          </w:tcPr>
          <w:p w14:paraId="3A1A789B" w14:textId="5ECF26C8" w:rsidR="00A664D4" w:rsidRPr="00A664D4" w:rsidRDefault="00A664D4" w:rsidP="005D3606">
            <w:pPr>
              <w:jc w:val="center"/>
              <w:rPr>
                <w:rFonts w:ascii="Arial" w:eastAsia="Calibri" w:hAnsi="Arial" w:cs="Arial"/>
                <w:b/>
                <w:bCs/>
              </w:rPr>
            </w:pPr>
            <w:r w:rsidRPr="00A664D4">
              <w:rPr>
                <w:rFonts w:ascii="Arial" w:eastAsia="Calibri" w:hAnsi="Arial" w:cs="Arial"/>
                <w:b/>
                <w:bCs/>
              </w:rPr>
              <w:t>655 (62.4%)</w:t>
            </w:r>
          </w:p>
        </w:tc>
        <w:tc>
          <w:tcPr>
            <w:tcW w:w="979" w:type="pct"/>
            <w:vAlign w:val="center"/>
          </w:tcPr>
          <w:p w14:paraId="026F2C06" w14:textId="74A47A85" w:rsidR="00A664D4" w:rsidRPr="00A664D4" w:rsidRDefault="00A664D4" w:rsidP="005D3606">
            <w:pPr>
              <w:jc w:val="center"/>
              <w:rPr>
                <w:rFonts w:ascii="Arial" w:eastAsia="Calibri" w:hAnsi="Arial" w:cs="Arial"/>
                <w:b/>
                <w:bCs/>
              </w:rPr>
            </w:pPr>
            <w:r w:rsidRPr="00A664D4">
              <w:rPr>
                <w:rFonts w:ascii="Arial" w:eastAsia="Calibri" w:hAnsi="Arial" w:cs="Arial"/>
                <w:b/>
                <w:bCs/>
              </w:rPr>
              <w:t>49,774 (81.7%)</w:t>
            </w:r>
          </w:p>
        </w:tc>
      </w:tr>
    </w:tbl>
    <w:p w14:paraId="3C539FEF" w14:textId="77777777" w:rsidR="0062202B" w:rsidRPr="001E511D" w:rsidRDefault="0062202B" w:rsidP="0062202B">
      <w:pPr>
        <w:rPr>
          <w:rFonts w:ascii="Aptos" w:hAnsi="Aptos"/>
        </w:rPr>
      </w:pPr>
    </w:p>
    <w:bookmarkEnd w:id="5"/>
    <w:p w14:paraId="4997C7A7" w14:textId="77777777" w:rsidR="00A664D4" w:rsidRDefault="00A664D4">
      <w:pPr>
        <w:rPr>
          <w:rFonts w:ascii="Aptos" w:eastAsia="Calibri" w:hAnsi="Aptos" w:cs="Times New Roman"/>
          <w:b/>
          <w:bCs/>
        </w:rPr>
      </w:pPr>
      <w:r>
        <w:rPr>
          <w:rFonts w:ascii="Aptos" w:eastAsia="Calibri" w:hAnsi="Aptos" w:cs="Times New Roman"/>
          <w:b/>
          <w:bCs/>
        </w:rPr>
        <w:br w:type="page"/>
      </w:r>
    </w:p>
    <w:p w14:paraId="6F2B5A8E" w14:textId="5ED33EFD" w:rsidR="0062202B" w:rsidRPr="00431C1D" w:rsidRDefault="0062202B" w:rsidP="0062202B">
      <w:pPr>
        <w:rPr>
          <w:rFonts w:ascii="Arial" w:eastAsia="Calibri" w:hAnsi="Arial" w:cs="Arial"/>
          <w:sz w:val="22"/>
          <w:szCs w:val="22"/>
        </w:rPr>
      </w:pPr>
      <w:r w:rsidRPr="00431C1D">
        <w:rPr>
          <w:rFonts w:ascii="Arial" w:eastAsia="Calibri" w:hAnsi="Arial" w:cs="Arial"/>
          <w:b/>
          <w:bCs/>
          <w:sz w:val="22"/>
          <w:szCs w:val="22"/>
        </w:rPr>
        <w:lastRenderedPageBreak/>
        <w:t xml:space="preserve">Table 19. </w:t>
      </w:r>
      <w:r w:rsidRPr="00431C1D">
        <w:rPr>
          <w:rFonts w:ascii="Arial" w:eastAsia="Calibri" w:hAnsi="Arial" w:cs="Arial"/>
          <w:sz w:val="22"/>
          <w:szCs w:val="22"/>
        </w:rPr>
        <w:t>Denominator exclusions specific to calculation of duration</w:t>
      </w:r>
    </w:p>
    <w:tbl>
      <w:tblPr>
        <w:tblStyle w:val="TableGrid"/>
        <w:tblW w:w="4657" w:type="pct"/>
        <w:tblLayout w:type="fixed"/>
        <w:tblLook w:val="04A0" w:firstRow="1" w:lastRow="0" w:firstColumn="1" w:lastColumn="0" w:noHBand="0" w:noVBand="1"/>
        <w:tblCaption w:val="Table 19. Denominator exclusions specific to calculation of duration"/>
        <w:tblDescription w:val="This table compares University of Michigan, University of Utah, and VA health care systems data for denominator exclusions that are specific to the calculation of duration."/>
      </w:tblPr>
      <w:tblGrid>
        <w:gridCol w:w="3775"/>
        <w:gridCol w:w="1980"/>
        <w:gridCol w:w="1980"/>
        <w:gridCol w:w="1980"/>
      </w:tblGrid>
      <w:tr w:rsidR="00431C1D" w:rsidRPr="00431C1D" w14:paraId="16BF53F9" w14:textId="77777777" w:rsidTr="00A169E8">
        <w:trPr>
          <w:cantSplit/>
          <w:tblHeader/>
        </w:trPr>
        <w:tc>
          <w:tcPr>
            <w:tcW w:w="1943" w:type="pct"/>
            <w:vAlign w:val="center"/>
          </w:tcPr>
          <w:p w14:paraId="6D3DE568" w14:textId="77777777" w:rsidR="00431C1D" w:rsidRPr="00431C1D" w:rsidRDefault="00431C1D" w:rsidP="00431C1D">
            <w:pPr>
              <w:rPr>
                <w:rFonts w:ascii="Arial" w:hAnsi="Arial" w:cs="Arial"/>
                <w:b/>
                <w:bCs/>
                <w:color w:val="000000" w:themeColor="text1"/>
              </w:rPr>
            </w:pPr>
            <w:r w:rsidRPr="00431C1D">
              <w:rPr>
                <w:rFonts w:ascii="Arial" w:hAnsi="Arial" w:cs="Arial"/>
                <w:b/>
                <w:bCs/>
                <w:color w:val="000000" w:themeColor="text1"/>
              </w:rPr>
              <w:t>Exclusion</w:t>
            </w:r>
          </w:p>
        </w:tc>
        <w:tc>
          <w:tcPr>
            <w:tcW w:w="1019" w:type="pct"/>
            <w:vAlign w:val="center"/>
          </w:tcPr>
          <w:p w14:paraId="7A96AF4E" w14:textId="77777777"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Michigan (n=6285)</w:t>
            </w:r>
          </w:p>
        </w:tc>
        <w:tc>
          <w:tcPr>
            <w:tcW w:w="1019" w:type="pct"/>
            <w:vAlign w:val="center"/>
          </w:tcPr>
          <w:p w14:paraId="2A3AFF3B" w14:textId="77777777"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 xml:space="preserve">Utah </w:t>
            </w:r>
          </w:p>
          <w:p w14:paraId="345E4836" w14:textId="77777777"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(n=655)</w:t>
            </w:r>
          </w:p>
        </w:tc>
        <w:tc>
          <w:tcPr>
            <w:tcW w:w="1019" w:type="pct"/>
            <w:vAlign w:val="center"/>
          </w:tcPr>
          <w:p w14:paraId="7F8045BB" w14:textId="77777777"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 xml:space="preserve">VA </w:t>
            </w:r>
          </w:p>
          <w:p w14:paraId="77001CC1" w14:textId="77777777"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(n 49774)</w:t>
            </w:r>
          </w:p>
        </w:tc>
      </w:tr>
      <w:tr w:rsidR="00431C1D" w:rsidRPr="00431C1D" w14:paraId="511D4D7E" w14:textId="77777777" w:rsidTr="00A169E8">
        <w:trPr>
          <w:cantSplit/>
        </w:trPr>
        <w:tc>
          <w:tcPr>
            <w:tcW w:w="1943" w:type="pct"/>
            <w:shd w:val="clear" w:color="auto" w:fill="CAEDFB" w:themeFill="accent4" w:themeFillTint="33"/>
          </w:tcPr>
          <w:p w14:paraId="45053A25" w14:textId="77777777" w:rsidR="00431C1D" w:rsidRPr="00431C1D" w:rsidRDefault="00431C1D" w:rsidP="005D3606">
            <w:pPr>
              <w:rPr>
                <w:rFonts w:ascii="Arial" w:hAnsi="Arial" w:cs="Arial"/>
                <w:color w:val="000000" w:themeColor="text1"/>
              </w:rPr>
            </w:pPr>
            <w:r w:rsidRPr="00431C1D">
              <w:rPr>
                <w:rFonts w:ascii="Arial" w:hAnsi="Arial" w:cs="Arial"/>
                <w:color w:val="000000" w:themeColor="text1"/>
              </w:rPr>
              <w:t>Cannot calculate duration</w:t>
            </w:r>
          </w:p>
        </w:tc>
        <w:tc>
          <w:tcPr>
            <w:tcW w:w="1019" w:type="pct"/>
            <w:shd w:val="clear" w:color="auto" w:fill="CAEDFB" w:themeFill="accent4" w:themeFillTint="33"/>
            <w:vAlign w:val="center"/>
          </w:tcPr>
          <w:p w14:paraId="74946A3D" w14:textId="6B20EEE0" w:rsidR="00431C1D" w:rsidRPr="00431C1D" w:rsidRDefault="00431C1D" w:rsidP="005D3606">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6D52636D" w14:textId="6978ECE7" w:rsidR="00431C1D" w:rsidRPr="00431C1D" w:rsidRDefault="00431C1D" w:rsidP="005D3606">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55382638" w14:textId="5F25388D" w:rsidR="00431C1D" w:rsidRPr="00431C1D" w:rsidRDefault="00431C1D" w:rsidP="005D3606">
            <w:pPr>
              <w:jc w:val="center"/>
              <w:rPr>
                <w:rFonts w:ascii="Arial" w:hAnsi="Arial" w:cs="Arial"/>
                <w:color w:val="000000" w:themeColor="text1"/>
              </w:rPr>
            </w:pPr>
            <w:r>
              <w:rPr>
                <w:rFonts w:ascii="Arial" w:hAnsi="Arial" w:cs="Arial"/>
                <w:color w:val="000000" w:themeColor="text1"/>
              </w:rPr>
              <w:t>*</w:t>
            </w:r>
          </w:p>
        </w:tc>
      </w:tr>
      <w:tr w:rsidR="00431C1D" w:rsidRPr="00431C1D" w14:paraId="1981C744" w14:textId="77777777" w:rsidTr="00A169E8">
        <w:trPr>
          <w:cantSplit/>
        </w:trPr>
        <w:tc>
          <w:tcPr>
            <w:tcW w:w="1943" w:type="pct"/>
          </w:tcPr>
          <w:p w14:paraId="6C32CD43"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Died during hospitalization</w:t>
            </w:r>
          </w:p>
        </w:tc>
        <w:tc>
          <w:tcPr>
            <w:tcW w:w="1019" w:type="pct"/>
            <w:vAlign w:val="center"/>
          </w:tcPr>
          <w:p w14:paraId="73F97228" w14:textId="751CC8B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223</w:t>
            </w:r>
            <w:r>
              <w:rPr>
                <w:rFonts w:ascii="Arial" w:hAnsi="Arial" w:cs="Arial"/>
                <w:color w:val="000000" w:themeColor="text1"/>
              </w:rPr>
              <w:t xml:space="preserve"> (3.5%)</w:t>
            </w:r>
          </w:p>
        </w:tc>
        <w:tc>
          <w:tcPr>
            <w:tcW w:w="1019" w:type="pct"/>
            <w:vAlign w:val="center"/>
          </w:tcPr>
          <w:p w14:paraId="06C25D53" w14:textId="0AE2295D"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7</w:t>
            </w:r>
            <w:r>
              <w:rPr>
                <w:rFonts w:ascii="Arial" w:hAnsi="Arial" w:cs="Arial"/>
                <w:color w:val="000000" w:themeColor="text1"/>
              </w:rPr>
              <w:t xml:space="preserve"> (1.1%)</w:t>
            </w:r>
          </w:p>
        </w:tc>
        <w:tc>
          <w:tcPr>
            <w:tcW w:w="1019" w:type="pct"/>
            <w:shd w:val="clear" w:color="auto" w:fill="auto"/>
            <w:vAlign w:val="center"/>
          </w:tcPr>
          <w:p w14:paraId="61A52CAA" w14:textId="66765A9C"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830</w:t>
            </w:r>
            <w:r>
              <w:rPr>
                <w:rFonts w:ascii="Arial" w:hAnsi="Arial" w:cs="Arial"/>
                <w:color w:val="000000" w:themeColor="text1"/>
              </w:rPr>
              <w:t xml:space="preserve"> (1.7%)</w:t>
            </w:r>
          </w:p>
        </w:tc>
      </w:tr>
      <w:tr w:rsidR="00431C1D" w:rsidRPr="00431C1D" w14:paraId="46D5C293" w14:textId="77777777" w:rsidTr="00A169E8">
        <w:trPr>
          <w:cantSplit/>
        </w:trPr>
        <w:tc>
          <w:tcPr>
            <w:tcW w:w="1943" w:type="pct"/>
          </w:tcPr>
          <w:p w14:paraId="22C629B6"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Discharged to another hospital</w:t>
            </w:r>
          </w:p>
        </w:tc>
        <w:tc>
          <w:tcPr>
            <w:tcW w:w="1019" w:type="pct"/>
            <w:vAlign w:val="center"/>
          </w:tcPr>
          <w:p w14:paraId="273AF2D3" w14:textId="7E8DE7F4"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20</w:t>
            </w:r>
            <w:r>
              <w:rPr>
                <w:rFonts w:ascii="Arial" w:hAnsi="Arial" w:cs="Arial"/>
                <w:color w:val="000000" w:themeColor="text1"/>
              </w:rPr>
              <w:t xml:space="preserve"> (0.3%)</w:t>
            </w:r>
          </w:p>
        </w:tc>
        <w:tc>
          <w:tcPr>
            <w:tcW w:w="1019" w:type="pct"/>
            <w:vAlign w:val="center"/>
          </w:tcPr>
          <w:p w14:paraId="730F38B2" w14:textId="4595F9CD"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6</w:t>
            </w:r>
            <w:r>
              <w:rPr>
                <w:rFonts w:ascii="Arial" w:hAnsi="Arial" w:cs="Arial"/>
                <w:color w:val="000000" w:themeColor="text1"/>
              </w:rPr>
              <w:t xml:space="preserve"> (0.9%)</w:t>
            </w:r>
          </w:p>
        </w:tc>
        <w:tc>
          <w:tcPr>
            <w:tcW w:w="1019" w:type="pct"/>
            <w:shd w:val="clear" w:color="auto" w:fill="auto"/>
            <w:vAlign w:val="center"/>
          </w:tcPr>
          <w:p w14:paraId="33965692" w14:textId="3B8A1F59"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2994</w:t>
            </w:r>
            <w:r>
              <w:rPr>
                <w:rFonts w:ascii="Arial" w:hAnsi="Arial" w:cs="Arial"/>
                <w:color w:val="000000" w:themeColor="text1"/>
              </w:rPr>
              <w:t xml:space="preserve"> (6.0%)</w:t>
            </w:r>
          </w:p>
        </w:tc>
      </w:tr>
      <w:tr w:rsidR="00431C1D" w:rsidRPr="00431C1D" w14:paraId="00054244" w14:textId="77777777" w:rsidTr="00A169E8">
        <w:trPr>
          <w:cantSplit/>
        </w:trPr>
        <w:tc>
          <w:tcPr>
            <w:tcW w:w="1943" w:type="pct"/>
          </w:tcPr>
          <w:p w14:paraId="11965985"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Discharged to inpatient/home hospice</w:t>
            </w:r>
          </w:p>
        </w:tc>
        <w:tc>
          <w:tcPr>
            <w:tcW w:w="1019" w:type="pct"/>
            <w:vAlign w:val="center"/>
          </w:tcPr>
          <w:p w14:paraId="4FF50E2B" w14:textId="3A233DD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284</w:t>
            </w:r>
            <w:r>
              <w:rPr>
                <w:rFonts w:ascii="Arial" w:hAnsi="Arial" w:cs="Arial"/>
                <w:color w:val="000000" w:themeColor="text1"/>
              </w:rPr>
              <w:t xml:space="preserve"> (4.5%)</w:t>
            </w:r>
          </w:p>
        </w:tc>
        <w:tc>
          <w:tcPr>
            <w:tcW w:w="1019" w:type="pct"/>
            <w:vAlign w:val="center"/>
          </w:tcPr>
          <w:p w14:paraId="75A43F25" w14:textId="1C3BB2EA"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30</w:t>
            </w:r>
            <w:r>
              <w:rPr>
                <w:rFonts w:ascii="Arial" w:hAnsi="Arial" w:cs="Arial"/>
                <w:color w:val="000000" w:themeColor="text1"/>
              </w:rPr>
              <w:t xml:space="preserve"> (4.6%)</w:t>
            </w:r>
          </w:p>
        </w:tc>
        <w:tc>
          <w:tcPr>
            <w:tcW w:w="1019" w:type="pct"/>
            <w:shd w:val="clear" w:color="auto" w:fill="auto"/>
            <w:vAlign w:val="center"/>
          </w:tcPr>
          <w:p w14:paraId="5183F28E" w14:textId="27C313E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333</w:t>
            </w:r>
            <w:r>
              <w:rPr>
                <w:rFonts w:ascii="Arial" w:hAnsi="Arial" w:cs="Arial"/>
                <w:color w:val="000000" w:themeColor="text1"/>
              </w:rPr>
              <w:t xml:space="preserve"> (0.7%)</w:t>
            </w:r>
          </w:p>
        </w:tc>
      </w:tr>
      <w:tr w:rsidR="00431C1D" w:rsidRPr="00431C1D" w14:paraId="060994B3" w14:textId="77777777" w:rsidTr="00A169E8">
        <w:trPr>
          <w:cantSplit/>
        </w:trPr>
        <w:tc>
          <w:tcPr>
            <w:tcW w:w="1943" w:type="pct"/>
            <w:shd w:val="clear" w:color="auto" w:fill="CAEDFB" w:themeFill="accent4" w:themeFillTint="33"/>
          </w:tcPr>
          <w:p w14:paraId="64CBD111" w14:textId="77777777" w:rsidR="00431C1D" w:rsidRPr="00431C1D" w:rsidRDefault="00431C1D" w:rsidP="00431C1D">
            <w:pPr>
              <w:rPr>
                <w:rFonts w:ascii="Arial" w:hAnsi="Arial" w:cs="Arial"/>
                <w:color w:val="000000" w:themeColor="text1"/>
              </w:rPr>
            </w:pPr>
            <w:r w:rsidRPr="00431C1D">
              <w:rPr>
                <w:rFonts w:ascii="Arial" w:hAnsi="Arial" w:cs="Arial"/>
                <w:color w:val="000000" w:themeColor="text1"/>
              </w:rPr>
              <w:t>Appropriate Duration May be Longer</w:t>
            </w:r>
          </w:p>
        </w:tc>
        <w:tc>
          <w:tcPr>
            <w:tcW w:w="1019" w:type="pct"/>
            <w:shd w:val="clear" w:color="auto" w:fill="CAEDFB" w:themeFill="accent4" w:themeFillTint="33"/>
            <w:vAlign w:val="center"/>
          </w:tcPr>
          <w:p w14:paraId="7A205303" w14:textId="47240EFD"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1C8F772B" w14:textId="4D5FD986"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690B105D" w14:textId="7128CCCF"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r>
      <w:tr w:rsidR="00431C1D" w:rsidRPr="00431C1D" w14:paraId="2D4AB5EB" w14:textId="77777777" w:rsidTr="00A169E8">
        <w:trPr>
          <w:cantSplit/>
        </w:trPr>
        <w:tc>
          <w:tcPr>
            <w:tcW w:w="1943" w:type="pct"/>
          </w:tcPr>
          <w:p w14:paraId="389A5837"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Transferred to ICU during hospitalization</w:t>
            </w:r>
          </w:p>
        </w:tc>
        <w:tc>
          <w:tcPr>
            <w:tcW w:w="1019" w:type="pct"/>
            <w:shd w:val="clear" w:color="auto" w:fill="auto"/>
            <w:vAlign w:val="center"/>
          </w:tcPr>
          <w:p w14:paraId="143710DF" w14:textId="2D08D66B"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253</w:t>
            </w:r>
            <w:r>
              <w:rPr>
                <w:rFonts w:ascii="Arial" w:hAnsi="Arial" w:cs="Arial"/>
                <w:color w:val="000000" w:themeColor="text1"/>
              </w:rPr>
              <w:t xml:space="preserve"> (4.0%)</w:t>
            </w:r>
          </w:p>
        </w:tc>
        <w:tc>
          <w:tcPr>
            <w:tcW w:w="1019" w:type="pct"/>
            <w:vAlign w:val="center"/>
          </w:tcPr>
          <w:p w14:paraId="4B45CD3A" w14:textId="02CC0801"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44</w:t>
            </w:r>
            <w:r>
              <w:rPr>
                <w:rFonts w:ascii="Arial" w:hAnsi="Arial" w:cs="Arial"/>
                <w:color w:val="000000" w:themeColor="text1"/>
              </w:rPr>
              <w:t xml:space="preserve"> (6.7%)</w:t>
            </w:r>
          </w:p>
        </w:tc>
        <w:tc>
          <w:tcPr>
            <w:tcW w:w="1019" w:type="pct"/>
            <w:shd w:val="clear" w:color="auto" w:fill="auto"/>
            <w:vAlign w:val="center"/>
          </w:tcPr>
          <w:p w14:paraId="38B17E4F" w14:textId="11A5E3D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4262</w:t>
            </w:r>
            <w:r>
              <w:rPr>
                <w:rFonts w:ascii="Arial" w:hAnsi="Arial" w:cs="Arial"/>
                <w:color w:val="000000" w:themeColor="text1"/>
              </w:rPr>
              <w:t xml:space="preserve"> (8.6%)</w:t>
            </w:r>
          </w:p>
        </w:tc>
      </w:tr>
      <w:tr w:rsidR="00431C1D" w:rsidRPr="00431C1D" w14:paraId="1EA3DB7F" w14:textId="77777777" w:rsidTr="00A169E8">
        <w:trPr>
          <w:cantSplit/>
          <w:trHeight w:val="323"/>
        </w:trPr>
        <w:tc>
          <w:tcPr>
            <w:tcW w:w="1943" w:type="pct"/>
            <w:vAlign w:val="center"/>
          </w:tcPr>
          <w:p w14:paraId="2631BC8F"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Bacteremic with non-skin commensal</w:t>
            </w:r>
          </w:p>
        </w:tc>
        <w:tc>
          <w:tcPr>
            <w:tcW w:w="1019" w:type="pct"/>
            <w:shd w:val="clear" w:color="auto" w:fill="auto"/>
            <w:vAlign w:val="center"/>
          </w:tcPr>
          <w:p w14:paraId="5D1B78AA" w14:textId="0A70C1C6"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317</w:t>
            </w:r>
            <w:r>
              <w:rPr>
                <w:rFonts w:ascii="Arial" w:hAnsi="Arial" w:cs="Arial"/>
                <w:color w:val="000000" w:themeColor="text1"/>
              </w:rPr>
              <w:t xml:space="preserve"> (5.0%)</w:t>
            </w:r>
          </w:p>
        </w:tc>
        <w:tc>
          <w:tcPr>
            <w:tcW w:w="1019" w:type="pct"/>
            <w:vAlign w:val="center"/>
          </w:tcPr>
          <w:p w14:paraId="12BBFC0F" w14:textId="7777777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0</w:t>
            </w:r>
          </w:p>
        </w:tc>
        <w:tc>
          <w:tcPr>
            <w:tcW w:w="1019" w:type="pct"/>
            <w:vAlign w:val="center"/>
          </w:tcPr>
          <w:p w14:paraId="2B1DC80A" w14:textId="48183F49"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1085</w:t>
            </w:r>
            <w:r>
              <w:rPr>
                <w:rFonts w:ascii="Arial" w:hAnsi="Arial" w:cs="Arial"/>
                <w:color w:val="000000" w:themeColor="text1"/>
              </w:rPr>
              <w:t xml:space="preserve"> (2.8%)</w:t>
            </w:r>
          </w:p>
        </w:tc>
      </w:tr>
      <w:tr w:rsidR="00431C1D" w:rsidRPr="00431C1D" w14:paraId="3D22CCD3" w14:textId="77777777" w:rsidTr="00A169E8">
        <w:trPr>
          <w:cantSplit/>
        </w:trPr>
        <w:tc>
          <w:tcPr>
            <w:tcW w:w="1943" w:type="pct"/>
          </w:tcPr>
          <w:p w14:paraId="0F284B11" w14:textId="77777777" w:rsidR="00431C1D" w:rsidRPr="00431C1D" w:rsidRDefault="00431C1D" w:rsidP="005D3606">
            <w:pPr>
              <w:ind w:left="144"/>
              <w:rPr>
                <w:rFonts w:ascii="Arial" w:hAnsi="Arial" w:cs="Arial"/>
                <w:color w:val="000000" w:themeColor="text1"/>
              </w:rPr>
            </w:pPr>
            <w:r w:rsidRPr="00431C1D">
              <w:rPr>
                <w:rFonts w:ascii="Arial" w:hAnsi="Arial" w:cs="Arial"/>
                <w:i/>
                <w:iCs/>
                <w:color w:val="000000" w:themeColor="text1"/>
              </w:rPr>
              <w:t>Staphylococcus aureus</w:t>
            </w:r>
            <w:r w:rsidRPr="00431C1D">
              <w:rPr>
                <w:rFonts w:ascii="Arial" w:hAnsi="Arial" w:cs="Arial"/>
                <w:color w:val="000000" w:themeColor="text1"/>
              </w:rPr>
              <w:t xml:space="preserve"> in respiratory culture</w:t>
            </w:r>
          </w:p>
        </w:tc>
        <w:tc>
          <w:tcPr>
            <w:tcW w:w="1019" w:type="pct"/>
            <w:shd w:val="clear" w:color="auto" w:fill="auto"/>
            <w:vAlign w:val="center"/>
          </w:tcPr>
          <w:p w14:paraId="17D479EF" w14:textId="1D168819"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123</w:t>
            </w:r>
            <w:r>
              <w:rPr>
                <w:rFonts w:ascii="Arial" w:hAnsi="Arial" w:cs="Arial"/>
                <w:color w:val="000000" w:themeColor="text1"/>
              </w:rPr>
              <w:t xml:space="preserve"> (2.0%)</w:t>
            </w:r>
          </w:p>
        </w:tc>
        <w:tc>
          <w:tcPr>
            <w:tcW w:w="1019" w:type="pct"/>
            <w:vAlign w:val="center"/>
          </w:tcPr>
          <w:p w14:paraId="0B7239E3" w14:textId="16F7A6B5"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3</w:t>
            </w:r>
            <w:r>
              <w:rPr>
                <w:rFonts w:ascii="Arial" w:hAnsi="Arial" w:cs="Arial"/>
                <w:color w:val="000000" w:themeColor="text1"/>
              </w:rPr>
              <w:t xml:space="preserve"> (0.5%)</w:t>
            </w:r>
          </w:p>
        </w:tc>
        <w:tc>
          <w:tcPr>
            <w:tcW w:w="1019" w:type="pct"/>
            <w:vAlign w:val="center"/>
          </w:tcPr>
          <w:p w14:paraId="428FE5CB" w14:textId="02CD3F3A"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810</w:t>
            </w:r>
            <w:r>
              <w:rPr>
                <w:rFonts w:ascii="Arial" w:hAnsi="Arial" w:cs="Arial"/>
                <w:color w:val="000000" w:themeColor="text1"/>
              </w:rPr>
              <w:t xml:space="preserve"> (1.6%)</w:t>
            </w:r>
          </w:p>
        </w:tc>
      </w:tr>
      <w:tr w:rsidR="00431C1D" w:rsidRPr="00431C1D" w14:paraId="0F6D13E1" w14:textId="77777777" w:rsidTr="00A169E8">
        <w:trPr>
          <w:cantSplit/>
        </w:trPr>
        <w:tc>
          <w:tcPr>
            <w:tcW w:w="1943" w:type="pct"/>
          </w:tcPr>
          <w:p w14:paraId="7B188BF2" w14:textId="77777777" w:rsidR="00431C1D" w:rsidRPr="00431C1D" w:rsidRDefault="00431C1D" w:rsidP="005D3606">
            <w:pPr>
              <w:ind w:left="144"/>
              <w:rPr>
                <w:rFonts w:ascii="Arial" w:hAnsi="Arial" w:cs="Arial"/>
                <w:color w:val="000000" w:themeColor="text1"/>
              </w:rPr>
            </w:pPr>
            <w:r w:rsidRPr="00431C1D">
              <w:rPr>
                <w:rFonts w:ascii="Arial" w:hAnsi="Arial" w:cs="Arial"/>
                <w:i/>
                <w:iCs/>
                <w:color w:val="000000" w:themeColor="text1"/>
              </w:rPr>
              <w:t>Pseudomonas aeruginosa</w:t>
            </w:r>
            <w:r w:rsidRPr="00431C1D">
              <w:rPr>
                <w:rFonts w:ascii="Arial" w:hAnsi="Arial" w:cs="Arial"/>
                <w:color w:val="000000" w:themeColor="text1"/>
              </w:rPr>
              <w:t xml:space="preserve"> in respiratory culture</w:t>
            </w:r>
          </w:p>
        </w:tc>
        <w:tc>
          <w:tcPr>
            <w:tcW w:w="1019" w:type="pct"/>
            <w:shd w:val="clear" w:color="auto" w:fill="auto"/>
            <w:vAlign w:val="center"/>
          </w:tcPr>
          <w:p w14:paraId="77BDC62F" w14:textId="557E7959"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92</w:t>
            </w:r>
            <w:r>
              <w:rPr>
                <w:rFonts w:ascii="Arial" w:hAnsi="Arial" w:cs="Arial"/>
                <w:color w:val="000000" w:themeColor="text1"/>
              </w:rPr>
              <w:t xml:space="preserve"> (1.5%)</w:t>
            </w:r>
          </w:p>
        </w:tc>
        <w:tc>
          <w:tcPr>
            <w:tcW w:w="1019" w:type="pct"/>
            <w:vAlign w:val="center"/>
          </w:tcPr>
          <w:p w14:paraId="4588DB05" w14:textId="7A344D3F"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w:t>
            </w:r>
            <w:r>
              <w:rPr>
                <w:rFonts w:ascii="Arial" w:hAnsi="Arial" w:cs="Arial"/>
                <w:color w:val="000000" w:themeColor="text1"/>
              </w:rPr>
              <w:t xml:space="preserve"> (0.3%)</w:t>
            </w:r>
          </w:p>
        </w:tc>
        <w:tc>
          <w:tcPr>
            <w:tcW w:w="1019" w:type="pct"/>
            <w:vAlign w:val="center"/>
          </w:tcPr>
          <w:p w14:paraId="7C8A9435" w14:textId="1B58AE51"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665</w:t>
            </w:r>
            <w:r>
              <w:rPr>
                <w:rFonts w:ascii="Arial" w:hAnsi="Arial" w:cs="Arial"/>
                <w:color w:val="000000" w:themeColor="text1"/>
              </w:rPr>
              <w:t xml:space="preserve"> (1.4%)</w:t>
            </w:r>
          </w:p>
        </w:tc>
      </w:tr>
      <w:tr w:rsidR="00431C1D" w:rsidRPr="00431C1D" w14:paraId="64E184FF" w14:textId="77777777" w:rsidTr="00A169E8">
        <w:trPr>
          <w:cantSplit/>
        </w:trPr>
        <w:tc>
          <w:tcPr>
            <w:tcW w:w="1943" w:type="pct"/>
          </w:tcPr>
          <w:p w14:paraId="66A065B1"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Legionella pneumonia</w:t>
            </w:r>
          </w:p>
        </w:tc>
        <w:tc>
          <w:tcPr>
            <w:tcW w:w="1019" w:type="pct"/>
            <w:shd w:val="clear" w:color="auto" w:fill="auto"/>
            <w:vAlign w:val="center"/>
          </w:tcPr>
          <w:p w14:paraId="326A3807" w14:textId="206E2995"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24</w:t>
            </w:r>
            <w:r>
              <w:rPr>
                <w:rFonts w:ascii="Arial" w:hAnsi="Arial" w:cs="Arial"/>
                <w:color w:val="000000" w:themeColor="text1"/>
              </w:rPr>
              <w:t xml:space="preserve"> (0.4%)</w:t>
            </w:r>
          </w:p>
        </w:tc>
        <w:tc>
          <w:tcPr>
            <w:tcW w:w="1019" w:type="pct"/>
            <w:vAlign w:val="center"/>
          </w:tcPr>
          <w:p w14:paraId="48604365" w14:textId="03882C02"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4</w:t>
            </w:r>
            <w:r>
              <w:rPr>
                <w:rFonts w:ascii="Arial" w:hAnsi="Arial" w:cs="Arial"/>
                <w:color w:val="000000" w:themeColor="text1"/>
              </w:rPr>
              <w:t xml:space="preserve"> (0.6%)</w:t>
            </w:r>
          </w:p>
        </w:tc>
        <w:tc>
          <w:tcPr>
            <w:tcW w:w="1019" w:type="pct"/>
            <w:vAlign w:val="center"/>
          </w:tcPr>
          <w:p w14:paraId="7C666998" w14:textId="79FDF9FA"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583</w:t>
            </w:r>
            <w:r>
              <w:rPr>
                <w:rFonts w:ascii="Arial" w:hAnsi="Arial" w:cs="Arial"/>
                <w:color w:val="000000" w:themeColor="text1"/>
              </w:rPr>
              <w:t xml:space="preserve"> (1.2%)</w:t>
            </w:r>
          </w:p>
        </w:tc>
      </w:tr>
      <w:tr w:rsidR="00431C1D" w:rsidRPr="00431C1D" w14:paraId="237FF2A8" w14:textId="77777777" w:rsidTr="00A169E8">
        <w:trPr>
          <w:cantSplit/>
        </w:trPr>
        <w:tc>
          <w:tcPr>
            <w:tcW w:w="1943" w:type="pct"/>
          </w:tcPr>
          <w:p w14:paraId="3AB82465"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Time to clinical stability &gt;5 days</w:t>
            </w:r>
          </w:p>
        </w:tc>
        <w:tc>
          <w:tcPr>
            <w:tcW w:w="1019" w:type="pct"/>
            <w:shd w:val="clear" w:color="auto" w:fill="auto"/>
            <w:vAlign w:val="center"/>
          </w:tcPr>
          <w:p w14:paraId="455916E6" w14:textId="497C02FF"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779</w:t>
            </w:r>
            <w:r>
              <w:rPr>
                <w:rFonts w:ascii="Arial" w:hAnsi="Arial" w:cs="Arial"/>
                <w:color w:val="000000" w:themeColor="text1"/>
              </w:rPr>
              <w:t xml:space="preserve"> (12.4%)</w:t>
            </w:r>
          </w:p>
        </w:tc>
        <w:tc>
          <w:tcPr>
            <w:tcW w:w="1019" w:type="pct"/>
            <w:vAlign w:val="center"/>
          </w:tcPr>
          <w:p w14:paraId="24D0185D" w14:textId="3EE3C0C1"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w:t>
            </w:r>
            <w:r>
              <w:rPr>
                <w:rFonts w:ascii="Arial" w:hAnsi="Arial" w:cs="Arial"/>
                <w:color w:val="000000" w:themeColor="text1"/>
              </w:rPr>
              <w:t xml:space="preserve"> (0.3%)</w:t>
            </w:r>
          </w:p>
        </w:tc>
        <w:tc>
          <w:tcPr>
            <w:tcW w:w="1019" w:type="pct"/>
            <w:vAlign w:val="center"/>
          </w:tcPr>
          <w:p w14:paraId="5C190818" w14:textId="6C4E9FFA"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209</w:t>
            </w:r>
            <w:r>
              <w:rPr>
                <w:rFonts w:ascii="Arial" w:hAnsi="Arial" w:cs="Arial"/>
                <w:color w:val="000000" w:themeColor="text1"/>
              </w:rPr>
              <w:t xml:space="preserve"> (1.3%)</w:t>
            </w:r>
          </w:p>
        </w:tc>
      </w:tr>
      <w:tr w:rsidR="00431C1D" w:rsidRPr="00431C1D" w14:paraId="082EE812" w14:textId="77777777" w:rsidTr="00A169E8">
        <w:trPr>
          <w:cantSplit/>
        </w:trPr>
        <w:tc>
          <w:tcPr>
            <w:tcW w:w="1943" w:type="pct"/>
            <w:shd w:val="clear" w:color="auto" w:fill="CAEDFB" w:themeFill="accent4" w:themeFillTint="33"/>
          </w:tcPr>
          <w:p w14:paraId="7E8CEB06" w14:textId="77777777" w:rsidR="00431C1D" w:rsidRPr="00431C1D" w:rsidRDefault="00431C1D" w:rsidP="00431C1D">
            <w:pPr>
              <w:rPr>
                <w:rFonts w:ascii="Arial" w:hAnsi="Arial" w:cs="Arial"/>
                <w:color w:val="000000" w:themeColor="text1"/>
              </w:rPr>
            </w:pPr>
            <w:r w:rsidRPr="00431C1D">
              <w:rPr>
                <w:rFonts w:ascii="Arial" w:hAnsi="Arial" w:cs="Arial"/>
                <w:color w:val="000000" w:themeColor="text1"/>
              </w:rPr>
              <w:t>Condition likely not CAP</w:t>
            </w:r>
          </w:p>
        </w:tc>
        <w:tc>
          <w:tcPr>
            <w:tcW w:w="1019" w:type="pct"/>
            <w:shd w:val="clear" w:color="auto" w:fill="CAEDFB" w:themeFill="accent4" w:themeFillTint="33"/>
            <w:vAlign w:val="center"/>
          </w:tcPr>
          <w:p w14:paraId="7F2136C4" w14:textId="1311F221"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65A8B836" w14:textId="32828A98"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c>
          <w:tcPr>
            <w:tcW w:w="1019" w:type="pct"/>
            <w:shd w:val="clear" w:color="auto" w:fill="CAEDFB" w:themeFill="accent4" w:themeFillTint="33"/>
            <w:vAlign w:val="center"/>
          </w:tcPr>
          <w:p w14:paraId="3C6ABEA5" w14:textId="550BC24F" w:rsidR="00431C1D" w:rsidRPr="00431C1D" w:rsidRDefault="00431C1D" w:rsidP="00431C1D">
            <w:pPr>
              <w:jc w:val="center"/>
              <w:rPr>
                <w:rFonts w:ascii="Arial" w:hAnsi="Arial" w:cs="Arial"/>
                <w:color w:val="000000" w:themeColor="text1"/>
              </w:rPr>
            </w:pPr>
            <w:r>
              <w:rPr>
                <w:rFonts w:ascii="Arial" w:hAnsi="Arial" w:cs="Arial"/>
                <w:color w:val="000000" w:themeColor="text1"/>
              </w:rPr>
              <w:t>*</w:t>
            </w:r>
          </w:p>
        </w:tc>
      </w:tr>
      <w:tr w:rsidR="00431C1D" w:rsidRPr="00431C1D" w14:paraId="417E7173" w14:textId="77777777" w:rsidTr="00A169E8">
        <w:trPr>
          <w:cantSplit/>
        </w:trPr>
        <w:tc>
          <w:tcPr>
            <w:tcW w:w="1943" w:type="pct"/>
          </w:tcPr>
          <w:p w14:paraId="0A89A75A"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Received &lt;3 days of antibiotics</w:t>
            </w:r>
          </w:p>
        </w:tc>
        <w:tc>
          <w:tcPr>
            <w:tcW w:w="1019" w:type="pct"/>
            <w:shd w:val="clear" w:color="auto" w:fill="auto"/>
            <w:vAlign w:val="center"/>
          </w:tcPr>
          <w:p w14:paraId="5DE5CCA2" w14:textId="68184F2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1166</w:t>
            </w:r>
            <w:r>
              <w:rPr>
                <w:rFonts w:ascii="Arial" w:hAnsi="Arial" w:cs="Arial"/>
                <w:color w:val="000000" w:themeColor="text1"/>
              </w:rPr>
              <w:t xml:space="preserve"> (18.6%)</w:t>
            </w:r>
          </w:p>
        </w:tc>
        <w:tc>
          <w:tcPr>
            <w:tcW w:w="1019" w:type="pct"/>
            <w:shd w:val="clear" w:color="auto" w:fill="auto"/>
            <w:vAlign w:val="center"/>
          </w:tcPr>
          <w:p w14:paraId="1294DFA3" w14:textId="010ECB44"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192</w:t>
            </w:r>
            <w:r>
              <w:rPr>
                <w:rFonts w:ascii="Arial" w:hAnsi="Arial" w:cs="Arial"/>
                <w:color w:val="000000" w:themeColor="text1"/>
              </w:rPr>
              <w:t xml:space="preserve"> (29.3%)</w:t>
            </w:r>
          </w:p>
        </w:tc>
        <w:tc>
          <w:tcPr>
            <w:tcW w:w="1019" w:type="pct"/>
            <w:vAlign w:val="center"/>
          </w:tcPr>
          <w:p w14:paraId="59C7BC09" w14:textId="091A18D3"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13061</w:t>
            </w:r>
            <w:r>
              <w:rPr>
                <w:rFonts w:ascii="Arial" w:hAnsi="Arial" w:cs="Arial"/>
                <w:color w:val="000000" w:themeColor="text1"/>
              </w:rPr>
              <w:t xml:space="preserve"> (25.4%)</w:t>
            </w:r>
          </w:p>
        </w:tc>
      </w:tr>
      <w:tr w:rsidR="00431C1D" w:rsidRPr="00431C1D" w14:paraId="2D7FADF0" w14:textId="77777777" w:rsidTr="00A169E8">
        <w:trPr>
          <w:cantSplit/>
        </w:trPr>
        <w:tc>
          <w:tcPr>
            <w:tcW w:w="1943" w:type="pct"/>
          </w:tcPr>
          <w:p w14:paraId="2AD31AD3" w14:textId="77777777" w:rsidR="00431C1D" w:rsidRPr="00431C1D" w:rsidRDefault="00431C1D" w:rsidP="005D3606">
            <w:pPr>
              <w:ind w:left="144"/>
              <w:rPr>
                <w:rFonts w:ascii="Arial" w:hAnsi="Arial" w:cs="Arial"/>
                <w:color w:val="000000" w:themeColor="text1"/>
              </w:rPr>
            </w:pPr>
            <w:r w:rsidRPr="00431C1D">
              <w:rPr>
                <w:rFonts w:ascii="Arial" w:hAnsi="Arial" w:cs="Arial"/>
                <w:color w:val="000000" w:themeColor="text1"/>
              </w:rPr>
              <w:t>&gt;14-day total antibiotic duration</w:t>
            </w:r>
          </w:p>
        </w:tc>
        <w:tc>
          <w:tcPr>
            <w:tcW w:w="1019" w:type="pct"/>
            <w:shd w:val="clear" w:color="auto" w:fill="auto"/>
            <w:vAlign w:val="center"/>
          </w:tcPr>
          <w:p w14:paraId="7FB8E684" w14:textId="5FE12A77"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414</w:t>
            </w:r>
            <w:r>
              <w:rPr>
                <w:rFonts w:ascii="Arial" w:hAnsi="Arial" w:cs="Arial"/>
                <w:color w:val="000000" w:themeColor="text1"/>
              </w:rPr>
              <w:t xml:space="preserve"> (6.6%)</w:t>
            </w:r>
          </w:p>
        </w:tc>
        <w:tc>
          <w:tcPr>
            <w:tcW w:w="1019" w:type="pct"/>
            <w:shd w:val="clear" w:color="auto" w:fill="auto"/>
            <w:vAlign w:val="center"/>
          </w:tcPr>
          <w:p w14:paraId="3891C3AD" w14:textId="7CA331A5"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92</w:t>
            </w:r>
            <w:r>
              <w:rPr>
                <w:rFonts w:ascii="Arial" w:hAnsi="Arial" w:cs="Arial"/>
                <w:color w:val="000000" w:themeColor="text1"/>
              </w:rPr>
              <w:t xml:space="preserve"> (14.0%)</w:t>
            </w:r>
          </w:p>
        </w:tc>
        <w:tc>
          <w:tcPr>
            <w:tcW w:w="1019" w:type="pct"/>
            <w:vAlign w:val="center"/>
          </w:tcPr>
          <w:p w14:paraId="3A6124C5" w14:textId="769A8278" w:rsidR="00431C1D" w:rsidRPr="00431C1D" w:rsidRDefault="00431C1D" w:rsidP="005D3606">
            <w:pPr>
              <w:jc w:val="center"/>
              <w:rPr>
                <w:rFonts w:ascii="Arial" w:hAnsi="Arial" w:cs="Arial"/>
                <w:color w:val="000000" w:themeColor="text1"/>
              </w:rPr>
            </w:pPr>
            <w:r w:rsidRPr="00431C1D">
              <w:rPr>
                <w:rFonts w:ascii="Arial" w:hAnsi="Arial" w:cs="Arial"/>
                <w:color w:val="000000" w:themeColor="text1"/>
              </w:rPr>
              <w:t>1561</w:t>
            </w:r>
            <w:r>
              <w:rPr>
                <w:rFonts w:ascii="Arial" w:hAnsi="Arial" w:cs="Arial"/>
                <w:color w:val="000000" w:themeColor="text1"/>
              </w:rPr>
              <w:t xml:space="preserve"> (3.2%)</w:t>
            </w:r>
          </w:p>
        </w:tc>
      </w:tr>
      <w:tr w:rsidR="00431C1D" w:rsidRPr="00431C1D" w14:paraId="005FA05D" w14:textId="77777777" w:rsidTr="00A169E8">
        <w:trPr>
          <w:cantSplit/>
        </w:trPr>
        <w:tc>
          <w:tcPr>
            <w:tcW w:w="1943" w:type="pct"/>
          </w:tcPr>
          <w:p w14:paraId="16409918" w14:textId="77777777" w:rsidR="00431C1D" w:rsidRPr="00431C1D" w:rsidRDefault="00431C1D" w:rsidP="005D3606">
            <w:pPr>
              <w:rPr>
                <w:rFonts w:ascii="Arial" w:hAnsi="Arial" w:cs="Arial"/>
                <w:b/>
                <w:bCs/>
                <w:color w:val="000000" w:themeColor="text1"/>
              </w:rPr>
            </w:pPr>
            <w:r w:rsidRPr="00431C1D">
              <w:rPr>
                <w:rFonts w:ascii="Arial" w:hAnsi="Arial" w:cs="Arial"/>
                <w:b/>
                <w:bCs/>
                <w:color w:val="000000" w:themeColor="text1"/>
              </w:rPr>
              <w:t>Ending population</w:t>
            </w:r>
          </w:p>
        </w:tc>
        <w:tc>
          <w:tcPr>
            <w:tcW w:w="1019" w:type="pct"/>
            <w:shd w:val="clear" w:color="auto" w:fill="auto"/>
            <w:vAlign w:val="center"/>
          </w:tcPr>
          <w:p w14:paraId="473DFD71" w14:textId="29CAE4F8"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3437</w:t>
            </w:r>
            <w:r>
              <w:rPr>
                <w:rFonts w:ascii="Arial" w:hAnsi="Arial" w:cs="Arial"/>
                <w:b/>
                <w:bCs/>
                <w:color w:val="000000" w:themeColor="text1"/>
              </w:rPr>
              <w:t xml:space="preserve"> (54.7%)</w:t>
            </w:r>
          </w:p>
        </w:tc>
        <w:tc>
          <w:tcPr>
            <w:tcW w:w="1019" w:type="pct"/>
            <w:shd w:val="clear" w:color="auto" w:fill="auto"/>
            <w:vAlign w:val="center"/>
          </w:tcPr>
          <w:p w14:paraId="58AC37E9" w14:textId="7618650A"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313</w:t>
            </w:r>
            <w:r>
              <w:rPr>
                <w:rFonts w:ascii="Arial" w:hAnsi="Arial" w:cs="Arial"/>
                <w:b/>
                <w:bCs/>
                <w:color w:val="000000" w:themeColor="text1"/>
              </w:rPr>
              <w:t xml:space="preserve"> (47.8%)</w:t>
            </w:r>
          </w:p>
        </w:tc>
        <w:tc>
          <w:tcPr>
            <w:tcW w:w="1019" w:type="pct"/>
            <w:vAlign w:val="center"/>
          </w:tcPr>
          <w:p w14:paraId="619170A1" w14:textId="37B0E036" w:rsidR="00431C1D" w:rsidRPr="00431C1D" w:rsidRDefault="00431C1D" w:rsidP="005D3606">
            <w:pPr>
              <w:jc w:val="center"/>
              <w:rPr>
                <w:rFonts w:ascii="Arial" w:hAnsi="Arial" w:cs="Arial"/>
                <w:b/>
                <w:bCs/>
                <w:color w:val="000000" w:themeColor="text1"/>
              </w:rPr>
            </w:pPr>
            <w:r w:rsidRPr="00431C1D">
              <w:rPr>
                <w:rFonts w:ascii="Arial" w:hAnsi="Arial" w:cs="Arial"/>
                <w:b/>
                <w:bCs/>
                <w:color w:val="000000" w:themeColor="text1"/>
              </w:rPr>
              <w:t>28,238</w:t>
            </w:r>
            <w:r>
              <w:rPr>
                <w:rFonts w:ascii="Arial" w:hAnsi="Arial" w:cs="Arial"/>
                <w:b/>
                <w:bCs/>
                <w:color w:val="000000" w:themeColor="text1"/>
              </w:rPr>
              <w:t xml:space="preserve"> (56.7%)</w:t>
            </w:r>
          </w:p>
        </w:tc>
      </w:tr>
    </w:tbl>
    <w:p w14:paraId="6F97BC84" w14:textId="2082F5FC" w:rsidR="0062202B" w:rsidRDefault="00431C1D" w:rsidP="0062202B">
      <w:pPr>
        <w:rPr>
          <w:rFonts w:ascii="Arial" w:hAnsi="Arial" w:cs="Arial"/>
          <w:sz w:val="20"/>
          <w:szCs w:val="20"/>
        </w:rPr>
      </w:pPr>
      <w:bookmarkStart w:id="6" w:name="_Hlk181285894"/>
      <w:r>
        <w:rPr>
          <w:rFonts w:ascii="Arial" w:hAnsi="Arial" w:cs="Arial"/>
          <w:sz w:val="20"/>
          <w:szCs w:val="20"/>
        </w:rPr>
        <w:t>*cell intentionally left empty</w:t>
      </w:r>
    </w:p>
    <w:bookmarkEnd w:id="6"/>
    <w:p w14:paraId="582D83DB" w14:textId="77777777" w:rsidR="0058381B" w:rsidRDefault="0058381B" w:rsidP="0062202B">
      <w:pPr>
        <w:rPr>
          <w:rFonts w:ascii="Arial" w:hAnsi="Arial" w:cs="Arial"/>
          <w:sz w:val="20"/>
          <w:szCs w:val="20"/>
        </w:rPr>
      </w:pPr>
    </w:p>
    <w:p w14:paraId="2B27FEA7" w14:textId="77777777" w:rsidR="0062202B" w:rsidRPr="0058381B" w:rsidRDefault="0062202B" w:rsidP="0062202B">
      <w:pPr>
        <w:spacing w:after="0"/>
        <w:rPr>
          <w:rFonts w:ascii="Arial" w:hAnsi="Arial" w:cs="Arial"/>
          <w:sz w:val="22"/>
          <w:szCs w:val="22"/>
        </w:rPr>
      </w:pPr>
      <w:r w:rsidRPr="0058381B">
        <w:rPr>
          <w:rFonts w:ascii="Arial" w:hAnsi="Arial" w:cs="Arial"/>
          <w:b/>
          <w:bCs/>
          <w:sz w:val="22"/>
          <w:szCs w:val="22"/>
        </w:rPr>
        <w:t xml:space="preserve">Table 20. </w:t>
      </w:r>
      <w:bookmarkStart w:id="7" w:name="_Hlk181285873"/>
      <w:r w:rsidRPr="0058381B">
        <w:rPr>
          <w:rFonts w:ascii="Arial" w:hAnsi="Arial" w:cs="Arial"/>
          <w:sz w:val="22"/>
          <w:szCs w:val="22"/>
        </w:rPr>
        <w:t>Sensitivity/Specificity of Exclusion Criteria Comparing eCQM and Chart Review (UM, n=592)</w:t>
      </w:r>
    </w:p>
    <w:tbl>
      <w:tblPr>
        <w:tblStyle w:val="TableGrid"/>
        <w:tblW w:w="10435" w:type="dxa"/>
        <w:tblLayout w:type="fixed"/>
        <w:tblLook w:val="04A0" w:firstRow="1" w:lastRow="0" w:firstColumn="1" w:lastColumn="0" w:noHBand="0" w:noVBand="1"/>
        <w:tblCaption w:val="Table 20. Sensitivity/specificity of exclusion criteria comparing eCQM and chart review"/>
        <w:tblDescription w:val="eCQM and chart review data were compared to determine sensitivity and specificity for duration-specific denominator exclusions. Sensitivity for time to clinical stability was low (29%) but specifity was high (98%). Sensitivity and specificity for all other duration-specific exclusions was high (88%-100%)"/>
      </w:tblPr>
      <w:tblGrid>
        <w:gridCol w:w="3505"/>
        <w:gridCol w:w="1732"/>
        <w:gridCol w:w="1733"/>
        <w:gridCol w:w="1732"/>
        <w:gridCol w:w="1733"/>
      </w:tblGrid>
      <w:tr w:rsidR="0062202B" w:rsidRPr="00CF4443" w14:paraId="1FC99A07" w14:textId="77777777" w:rsidTr="00BC61C4">
        <w:trPr>
          <w:cantSplit/>
          <w:tblHeader/>
        </w:trPr>
        <w:tc>
          <w:tcPr>
            <w:tcW w:w="3505" w:type="dxa"/>
            <w:vAlign w:val="center"/>
          </w:tcPr>
          <w:bookmarkEnd w:id="7"/>
          <w:p w14:paraId="386127B5" w14:textId="578737CC" w:rsidR="0062202B" w:rsidRPr="0058381B" w:rsidRDefault="0058381B" w:rsidP="0058381B">
            <w:pPr>
              <w:pStyle w:val="ListParagraph"/>
              <w:spacing w:line="269" w:lineRule="auto"/>
              <w:ind w:left="0"/>
              <w:rPr>
                <w:rFonts w:ascii="Arial" w:hAnsi="Arial" w:cs="Arial"/>
                <w:b/>
                <w:bCs/>
                <w:sz w:val="20"/>
                <w:szCs w:val="20"/>
              </w:rPr>
            </w:pPr>
            <w:r>
              <w:rPr>
                <w:rFonts w:ascii="Arial" w:hAnsi="Arial" w:cs="Arial"/>
                <w:b/>
                <w:bCs/>
                <w:sz w:val="20"/>
                <w:szCs w:val="20"/>
              </w:rPr>
              <w:t>*</w:t>
            </w:r>
          </w:p>
        </w:tc>
        <w:tc>
          <w:tcPr>
            <w:tcW w:w="1732" w:type="dxa"/>
            <w:vAlign w:val="center"/>
          </w:tcPr>
          <w:p w14:paraId="023D18D5"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UM eCQM data (electronic) n (%)</w:t>
            </w:r>
          </w:p>
        </w:tc>
        <w:tc>
          <w:tcPr>
            <w:tcW w:w="1733" w:type="dxa"/>
            <w:vAlign w:val="center"/>
          </w:tcPr>
          <w:p w14:paraId="7CEE6131"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UM HMS data (chart review) n (%)</w:t>
            </w:r>
          </w:p>
        </w:tc>
        <w:tc>
          <w:tcPr>
            <w:tcW w:w="1732" w:type="dxa"/>
            <w:shd w:val="clear" w:color="auto" w:fill="auto"/>
            <w:vAlign w:val="center"/>
          </w:tcPr>
          <w:p w14:paraId="60138F6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Sensitivity of UM eCQM (vs. UM HMS chart review)</w:t>
            </w:r>
          </w:p>
        </w:tc>
        <w:tc>
          <w:tcPr>
            <w:tcW w:w="1733" w:type="dxa"/>
            <w:shd w:val="clear" w:color="auto" w:fill="auto"/>
            <w:vAlign w:val="center"/>
          </w:tcPr>
          <w:p w14:paraId="697099CF"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 xml:space="preserve">Specificity of UM eCQM (vs. UM HMS chart review) </w:t>
            </w:r>
          </w:p>
        </w:tc>
      </w:tr>
      <w:tr w:rsidR="0062202B" w:rsidRPr="00CF4443" w14:paraId="7817CB45" w14:textId="77777777" w:rsidTr="00BC61C4">
        <w:trPr>
          <w:cantSplit/>
        </w:trPr>
        <w:tc>
          <w:tcPr>
            <w:tcW w:w="3505" w:type="dxa"/>
            <w:shd w:val="clear" w:color="auto" w:fill="C1E4F5" w:themeFill="accent1" w:themeFillTint="33"/>
          </w:tcPr>
          <w:p w14:paraId="1426D3BD" w14:textId="77777777" w:rsidR="0062202B" w:rsidRPr="0058381B" w:rsidRDefault="0062202B" w:rsidP="0058381B">
            <w:pPr>
              <w:pStyle w:val="ListParagraph"/>
              <w:spacing w:line="269" w:lineRule="auto"/>
              <w:ind w:left="0"/>
              <w:rPr>
                <w:rFonts w:ascii="Arial" w:hAnsi="Arial" w:cs="Arial"/>
                <w:b/>
                <w:bCs/>
                <w:sz w:val="20"/>
                <w:szCs w:val="20"/>
              </w:rPr>
            </w:pPr>
            <w:r w:rsidRPr="0058381B">
              <w:rPr>
                <w:rFonts w:ascii="Arial" w:hAnsi="Arial" w:cs="Arial"/>
                <w:b/>
                <w:bCs/>
                <w:sz w:val="20"/>
                <w:szCs w:val="20"/>
              </w:rPr>
              <w:t>Duration-specific Exclusions</w:t>
            </w:r>
          </w:p>
        </w:tc>
        <w:tc>
          <w:tcPr>
            <w:tcW w:w="1732" w:type="dxa"/>
            <w:shd w:val="clear" w:color="auto" w:fill="C1E4F5" w:themeFill="accent1" w:themeFillTint="33"/>
            <w:vAlign w:val="center"/>
          </w:tcPr>
          <w:p w14:paraId="3095C14B"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n=592</w:t>
            </w:r>
          </w:p>
        </w:tc>
        <w:tc>
          <w:tcPr>
            <w:tcW w:w="1733" w:type="dxa"/>
            <w:shd w:val="clear" w:color="auto" w:fill="C1E4F5" w:themeFill="accent1" w:themeFillTint="33"/>
            <w:vAlign w:val="center"/>
          </w:tcPr>
          <w:p w14:paraId="7C252698"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n=592</w:t>
            </w:r>
          </w:p>
        </w:tc>
        <w:tc>
          <w:tcPr>
            <w:tcW w:w="1732" w:type="dxa"/>
            <w:shd w:val="clear" w:color="auto" w:fill="C1E4F5" w:themeFill="accent1" w:themeFillTint="33"/>
            <w:vAlign w:val="center"/>
          </w:tcPr>
          <w:p w14:paraId="384698F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n=592</w:t>
            </w:r>
          </w:p>
        </w:tc>
        <w:tc>
          <w:tcPr>
            <w:tcW w:w="1733" w:type="dxa"/>
            <w:shd w:val="clear" w:color="auto" w:fill="C1E4F5" w:themeFill="accent1" w:themeFillTint="33"/>
            <w:vAlign w:val="center"/>
          </w:tcPr>
          <w:p w14:paraId="07663BFB"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n=592</w:t>
            </w:r>
          </w:p>
        </w:tc>
      </w:tr>
      <w:tr w:rsidR="0062202B" w:rsidRPr="00CF4443" w14:paraId="7CDC3F0E" w14:textId="77777777" w:rsidTr="00BC61C4">
        <w:trPr>
          <w:cantSplit/>
        </w:trPr>
        <w:tc>
          <w:tcPr>
            <w:tcW w:w="3505" w:type="dxa"/>
          </w:tcPr>
          <w:p w14:paraId="43DE1405" w14:textId="777777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sz w:val="20"/>
                <w:szCs w:val="20"/>
              </w:rPr>
              <w:t>Died during hospitalization</w:t>
            </w:r>
          </w:p>
        </w:tc>
        <w:tc>
          <w:tcPr>
            <w:tcW w:w="1732" w:type="dxa"/>
            <w:vAlign w:val="center"/>
          </w:tcPr>
          <w:p w14:paraId="39B2EAB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 (0.3%)</w:t>
            </w:r>
          </w:p>
        </w:tc>
        <w:tc>
          <w:tcPr>
            <w:tcW w:w="1733" w:type="dxa"/>
            <w:vAlign w:val="center"/>
          </w:tcPr>
          <w:p w14:paraId="1FE27134"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 (0.3%)</w:t>
            </w:r>
          </w:p>
        </w:tc>
        <w:tc>
          <w:tcPr>
            <w:tcW w:w="1732" w:type="dxa"/>
            <w:vAlign w:val="center"/>
          </w:tcPr>
          <w:p w14:paraId="4D1D96C1"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(2/2)</w:t>
            </w:r>
          </w:p>
        </w:tc>
        <w:tc>
          <w:tcPr>
            <w:tcW w:w="1733" w:type="dxa"/>
            <w:vAlign w:val="center"/>
          </w:tcPr>
          <w:p w14:paraId="032D532B"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(590/590)</w:t>
            </w:r>
          </w:p>
        </w:tc>
      </w:tr>
      <w:tr w:rsidR="0062202B" w:rsidRPr="00CF4443" w14:paraId="21904977" w14:textId="77777777" w:rsidTr="00BC61C4">
        <w:trPr>
          <w:cantSplit/>
        </w:trPr>
        <w:tc>
          <w:tcPr>
            <w:tcW w:w="3505" w:type="dxa"/>
          </w:tcPr>
          <w:p w14:paraId="286C0343" w14:textId="77777777" w:rsidR="0062202B" w:rsidRPr="0058381B" w:rsidRDefault="0062202B" w:rsidP="0058381B">
            <w:pPr>
              <w:spacing w:line="269" w:lineRule="auto"/>
              <w:rPr>
                <w:rFonts w:ascii="Arial" w:hAnsi="Arial" w:cs="Arial"/>
                <w:sz w:val="20"/>
                <w:szCs w:val="20"/>
              </w:rPr>
            </w:pPr>
            <w:r w:rsidRPr="0058381B">
              <w:rPr>
                <w:rFonts w:ascii="Arial" w:hAnsi="Arial" w:cs="Arial"/>
                <w:sz w:val="20"/>
                <w:szCs w:val="20"/>
              </w:rPr>
              <w:t>Discharged to another hospital</w:t>
            </w:r>
          </w:p>
        </w:tc>
        <w:tc>
          <w:tcPr>
            <w:tcW w:w="1732" w:type="dxa"/>
            <w:vAlign w:val="center"/>
          </w:tcPr>
          <w:p w14:paraId="52C5DF9B"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 (0.3%)</w:t>
            </w:r>
          </w:p>
        </w:tc>
        <w:tc>
          <w:tcPr>
            <w:tcW w:w="1733" w:type="dxa"/>
            <w:vAlign w:val="center"/>
          </w:tcPr>
          <w:p w14:paraId="0C2014FA"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 (0.2%)</w:t>
            </w:r>
          </w:p>
        </w:tc>
        <w:tc>
          <w:tcPr>
            <w:tcW w:w="1732" w:type="dxa"/>
            <w:vAlign w:val="center"/>
          </w:tcPr>
          <w:p w14:paraId="45D1823A"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(1/1)</w:t>
            </w:r>
          </w:p>
        </w:tc>
        <w:tc>
          <w:tcPr>
            <w:tcW w:w="1733" w:type="dxa"/>
            <w:vAlign w:val="center"/>
          </w:tcPr>
          <w:p w14:paraId="117DC8E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(590/591)</w:t>
            </w:r>
          </w:p>
        </w:tc>
      </w:tr>
      <w:tr w:rsidR="0062202B" w:rsidRPr="00CF4443" w14:paraId="68C40871" w14:textId="77777777" w:rsidTr="00BC61C4">
        <w:trPr>
          <w:cantSplit/>
        </w:trPr>
        <w:tc>
          <w:tcPr>
            <w:tcW w:w="3505" w:type="dxa"/>
          </w:tcPr>
          <w:p w14:paraId="375F1905" w14:textId="77777777" w:rsidR="0062202B" w:rsidRPr="0058381B" w:rsidRDefault="0062202B" w:rsidP="0058381B">
            <w:pPr>
              <w:spacing w:line="269" w:lineRule="auto"/>
              <w:rPr>
                <w:rFonts w:ascii="Arial" w:hAnsi="Arial" w:cs="Arial"/>
                <w:sz w:val="20"/>
                <w:szCs w:val="20"/>
              </w:rPr>
            </w:pPr>
            <w:r w:rsidRPr="0058381B">
              <w:rPr>
                <w:rFonts w:ascii="Arial" w:hAnsi="Arial" w:cs="Arial"/>
                <w:sz w:val="20"/>
                <w:szCs w:val="20"/>
              </w:rPr>
              <w:t>Discharged to inpatient/home hospice</w:t>
            </w:r>
          </w:p>
        </w:tc>
        <w:tc>
          <w:tcPr>
            <w:tcW w:w="1732" w:type="dxa"/>
            <w:vAlign w:val="center"/>
          </w:tcPr>
          <w:p w14:paraId="564FB6E6"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3 (0.5%)</w:t>
            </w:r>
          </w:p>
        </w:tc>
        <w:tc>
          <w:tcPr>
            <w:tcW w:w="1733" w:type="dxa"/>
            <w:vAlign w:val="center"/>
          </w:tcPr>
          <w:p w14:paraId="4B28667A"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 (0.3%)</w:t>
            </w:r>
          </w:p>
        </w:tc>
        <w:tc>
          <w:tcPr>
            <w:tcW w:w="1732" w:type="dxa"/>
            <w:vAlign w:val="center"/>
          </w:tcPr>
          <w:p w14:paraId="67F036C0"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(2/2)</w:t>
            </w:r>
          </w:p>
        </w:tc>
        <w:tc>
          <w:tcPr>
            <w:tcW w:w="1733" w:type="dxa"/>
            <w:vAlign w:val="center"/>
          </w:tcPr>
          <w:p w14:paraId="05715B31"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(589/590)</w:t>
            </w:r>
          </w:p>
        </w:tc>
      </w:tr>
      <w:tr w:rsidR="0062202B" w:rsidRPr="00CF4443" w14:paraId="09EBBB80" w14:textId="77777777" w:rsidTr="00BC61C4">
        <w:trPr>
          <w:cantSplit/>
        </w:trPr>
        <w:tc>
          <w:tcPr>
            <w:tcW w:w="3505" w:type="dxa"/>
          </w:tcPr>
          <w:p w14:paraId="4384C63F" w14:textId="77777777" w:rsidR="0062202B" w:rsidRPr="0058381B" w:rsidRDefault="0062202B" w:rsidP="0058381B">
            <w:pPr>
              <w:spacing w:line="269" w:lineRule="auto"/>
              <w:rPr>
                <w:rFonts w:ascii="Arial" w:hAnsi="Arial" w:cs="Arial"/>
                <w:sz w:val="20"/>
                <w:szCs w:val="20"/>
              </w:rPr>
            </w:pPr>
            <w:r w:rsidRPr="0058381B">
              <w:rPr>
                <w:rFonts w:ascii="Arial" w:hAnsi="Arial" w:cs="Arial"/>
                <w:sz w:val="20"/>
                <w:szCs w:val="20"/>
              </w:rPr>
              <w:t>Transferred to ICU during hospitalization</w:t>
            </w:r>
          </w:p>
        </w:tc>
        <w:tc>
          <w:tcPr>
            <w:tcW w:w="1732" w:type="dxa"/>
            <w:vAlign w:val="center"/>
          </w:tcPr>
          <w:p w14:paraId="57B627A4"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 (1.5%)</w:t>
            </w:r>
          </w:p>
        </w:tc>
        <w:tc>
          <w:tcPr>
            <w:tcW w:w="1733" w:type="dxa"/>
            <w:vAlign w:val="center"/>
          </w:tcPr>
          <w:p w14:paraId="021BA6BC"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 (1.5%)</w:t>
            </w:r>
          </w:p>
        </w:tc>
        <w:tc>
          <w:tcPr>
            <w:tcW w:w="1732" w:type="dxa"/>
            <w:vAlign w:val="center"/>
          </w:tcPr>
          <w:p w14:paraId="79D819D7"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88.9% (8/9)</w:t>
            </w:r>
          </w:p>
        </w:tc>
        <w:tc>
          <w:tcPr>
            <w:tcW w:w="1733" w:type="dxa"/>
            <w:vAlign w:val="center"/>
          </w:tcPr>
          <w:p w14:paraId="72643900"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(582/583)</w:t>
            </w:r>
          </w:p>
        </w:tc>
      </w:tr>
      <w:tr w:rsidR="0062202B" w:rsidRPr="00CF4443" w14:paraId="664B4A34" w14:textId="77777777" w:rsidTr="00BC61C4">
        <w:trPr>
          <w:cantSplit/>
        </w:trPr>
        <w:tc>
          <w:tcPr>
            <w:tcW w:w="3505" w:type="dxa"/>
          </w:tcPr>
          <w:p w14:paraId="3384D2C6" w14:textId="77777777" w:rsidR="0062202B" w:rsidRPr="0058381B" w:rsidRDefault="0062202B" w:rsidP="0058381B">
            <w:pPr>
              <w:spacing w:line="269" w:lineRule="auto"/>
              <w:rPr>
                <w:rFonts w:ascii="Arial" w:hAnsi="Arial" w:cs="Arial"/>
                <w:sz w:val="20"/>
                <w:szCs w:val="20"/>
              </w:rPr>
            </w:pPr>
            <w:r w:rsidRPr="0058381B">
              <w:rPr>
                <w:rFonts w:ascii="Arial" w:hAnsi="Arial" w:cs="Arial"/>
                <w:sz w:val="20"/>
                <w:szCs w:val="20"/>
              </w:rPr>
              <w:t>Bacteremic with non-skin commensal</w:t>
            </w:r>
          </w:p>
        </w:tc>
        <w:tc>
          <w:tcPr>
            <w:tcW w:w="1732" w:type="dxa"/>
            <w:vAlign w:val="center"/>
          </w:tcPr>
          <w:p w14:paraId="0996D564"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11 (1.9%)</w:t>
            </w:r>
          </w:p>
        </w:tc>
        <w:tc>
          <w:tcPr>
            <w:tcW w:w="1733" w:type="dxa"/>
            <w:vAlign w:val="center"/>
          </w:tcPr>
          <w:p w14:paraId="7A852089"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8 (1.4%)</w:t>
            </w:r>
          </w:p>
        </w:tc>
        <w:tc>
          <w:tcPr>
            <w:tcW w:w="1732" w:type="dxa"/>
            <w:vAlign w:val="center"/>
          </w:tcPr>
          <w:p w14:paraId="603E2559"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88% (7/8)</w:t>
            </w:r>
          </w:p>
        </w:tc>
        <w:tc>
          <w:tcPr>
            <w:tcW w:w="1733" w:type="dxa"/>
            <w:vAlign w:val="center"/>
          </w:tcPr>
          <w:p w14:paraId="4B2BB1A8"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(580/584)</w:t>
            </w:r>
          </w:p>
        </w:tc>
      </w:tr>
      <w:tr w:rsidR="0062202B" w:rsidRPr="00CF4443" w14:paraId="1EB9952D" w14:textId="77777777" w:rsidTr="00BC61C4">
        <w:trPr>
          <w:cantSplit/>
        </w:trPr>
        <w:tc>
          <w:tcPr>
            <w:tcW w:w="3505" w:type="dxa"/>
          </w:tcPr>
          <w:p w14:paraId="716A945D" w14:textId="77777777" w:rsidR="0062202B" w:rsidRPr="0058381B" w:rsidRDefault="0062202B" w:rsidP="0058381B">
            <w:pPr>
              <w:spacing w:line="269" w:lineRule="auto"/>
              <w:rPr>
                <w:rFonts w:ascii="Arial" w:hAnsi="Arial" w:cs="Arial"/>
                <w:sz w:val="20"/>
                <w:szCs w:val="20"/>
              </w:rPr>
            </w:pPr>
            <w:r w:rsidRPr="0058381B">
              <w:rPr>
                <w:rFonts w:ascii="Arial" w:hAnsi="Arial" w:cs="Arial"/>
                <w:i/>
                <w:iCs/>
                <w:sz w:val="20"/>
                <w:szCs w:val="20"/>
              </w:rPr>
              <w:t>Staph Aureus</w:t>
            </w:r>
            <w:r w:rsidRPr="0058381B">
              <w:rPr>
                <w:rFonts w:ascii="Arial" w:hAnsi="Arial" w:cs="Arial"/>
                <w:sz w:val="20"/>
                <w:szCs w:val="20"/>
              </w:rPr>
              <w:t xml:space="preserve"> in respiratory culture</w:t>
            </w:r>
          </w:p>
        </w:tc>
        <w:tc>
          <w:tcPr>
            <w:tcW w:w="1732" w:type="dxa"/>
            <w:vAlign w:val="center"/>
          </w:tcPr>
          <w:p w14:paraId="20CAAE1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18 (3.0%)</w:t>
            </w:r>
          </w:p>
        </w:tc>
        <w:tc>
          <w:tcPr>
            <w:tcW w:w="1733" w:type="dxa"/>
            <w:vAlign w:val="center"/>
          </w:tcPr>
          <w:p w14:paraId="1A84ACCD"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17 (2.9%)</w:t>
            </w:r>
          </w:p>
        </w:tc>
        <w:tc>
          <w:tcPr>
            <w:tcW w:w="1732" w:type="dxa"/>
            <w:vAlign w:val="center"/>
          </w:tcPr>
          <w:p w14:paraId="6EE5FA27"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(17/17)</w:t>
            </w:r>
          </w:p>
        </w:tc>
        <w:tc>
          <w:tcPr>
            <w:tcW w:w="1733" w:type="dxa"/>
            <w:vAlign w:val="center"/>
          </w:tcPr>
          <w:p w14:paraId="07BAA787"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(574/575)</w:t>
            </w:r>
          </w:p>
        </w:tc>
      </w:tr>
      <w:tr w:rsidR="0062202B" w:rsidRPr="00CF4443" w14:paraId="54176D25" w14:textId="77777777" w:rsidTr="00BC61C4">
        <w:trPr>
          <w:cantSplit/>
        </w:trPr>
        <w:tc>
          <w:tcPr>
            <w:tcW w:w="3505" w:type="dxa"/>
          </w:tcPr>
          <w:p w14:paraId="509C9C7D" w14:textId="777777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i/>
                <w:iCs/>
                <w:sz w:val="20"/>
                <w:szCs w:val="20"/>
              </w:rPr>
              <w:t>Pseudomonas</w:t>
            </w:r>
            <w:r w:rsidRPr="0058381B">
              <w:rPr>
                <w:rFonts w:ascii="Arial" w:hAnsi="Arial" w:cs="Arial"/>
                <w:sz w:val="20"/>
                <w:szCs w:val="20"/>
              </w:rPr>
              <w:t xml:space="preserve"> in respiratory culture</w:t>
            </w:r>
          </w:p>
        </w:tc>
        <w:tc>
          <w:tcPr>
            <w:tcW w:w="1732" w:type="dxa"/>
            <w:vAlign w:val="center"/>
          </w:tcPr>
          <w:p w14:paraId="232C49A5"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14 (2.4%)</w:t>
            </w:r>
          </w:p>
        </w:tc>
        <w:tc>
          <w:tcPr>
            <w:tcW w:w="1733" w:type="dxa"/>
            <w:vAlign w:val="center"/>
          </w:tcPr>
          <w:p w14:paraId="7511F76F"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13 (2.2%)</w:t>
            </w:r>
          </w:p>
        </w:tc>
        <w:tc>
          <w:tcPr>
            <w:tcW w:w="1732" w:type="dxa"/>
            <w:vAlign w:val="center"/>
          </w:tcPr>
          <w:p w14:paraId="4D4E5BE1"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(13/13)</w:t>
            </w:r>
          </w:p>
        </w:tc>
        <w:tc>
          <w:tcPr>
            <w:tcW w:w="1733" w:type="dxa"/>
            <w:vAlign w:val="center"/>
          </w:tcPr>
          <w:p w14:paraId="522798A2"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(578/579)</w:t>
            </w:r>
          </w:p>
        </w:tc>
      </w:tr>
      <w:tr w:rsidR="0062202B" w:rsidRPr="00CF4443" w14:paraId="3B406BB3" w14:textId="77777777" w:rsidTr="00BC61C4">
        <w:trPr>
          <w:cantSplit/>
        </w:trPr>
        <w:tc>
          <w:tcPr>
            <w:tcW w:w="3505" w:type="dxa"/>
          </w:tcPr>
          <w:p w14:paraId="21C30CAB" w14:textId="777777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sz w:val="20"/>
                <w:szCs w:val="20"/>
              </w:rPr>
              <w:t>Legionella pneumonia</w:t>
            </w:r>
          </w:p>
        </w:tc>
        <w:tc>
          <w:tcPr>
            <w:tcW w:w="1732" w:type="dxa"/>
            <w:vAlign w:val="center"/>
          </w:tcPr>
          <w:p w14:paraId="52C9C8FF"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4 (0.7%)</w:t>
            </w:r>
          </w:p>
        </w:tc>
        <w:tc>
          <w:tcPr>
            <w:tcW w:w="1733" w:type="dxa"/>
            <w:vAlign w:val="center"/>
          </w:tcPr>
          <w:p w14:paraId="2230C66A"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4 (0.7%)</w:t>
            </w:r>
          </w:p>
        </w:tc>
        <w:tc>
          <w:tcPr>
            <w:tcW w:w="1732" w:type="dxa"/>
            <w:vAlign w:val="center"/>
          </w:tcPr>
          <w:p w14:paraId="443899F0"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(4/4)</w:t>
            </w:r>
          </w:p>
        </w:tc>
        <w:tc>
          <w:tcPr>
            <w:tcW w:w="1733" w:type="dxa"/>
            <w:vAlign w:val="center"/>
          </w:tcPr>
          <w:p w14:paraId="4A766653"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(588/588)</w:t>
            </w:r>
          </w:p>
        </w:tc>
      </w:tr>
      <w:tr w:rsidR="0062202B" w:rsidRPr="00CF4443" w14:paraId="4DE168AC" w14:textId="77777777" w:rsidTr="00BC61C4">
        <w:trPr>
          <w:cantSplit/>
        </w:trPr>
        <w:tc>
          <w:tcPr>
            <w:tcW w:w="3505" w:type="dxa"/>
          </w:tcPr>
          <w:p w14:paraId="31707AEF" w14:textId="057B1D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sz w:val="20"/>
                <w:szCs w:val="20"/>
              </w:rPr>
              <w:t>Time to clinical stability &gt;5 days</w:t>
            </w:r>
            <w:r w:rsidR="0058381B" w:rsidRPr="0058381B">
              <w:rPr>
                <w:rFonts w:ascii="Arial" w:hAnsi="Arial" w:cs="Arial"/>
                <w:sz w:val="20"/>
                <w:szCs w:val="20"/>
                <w:vertAlign w:val="superscript"/>
              </w:rPr>
              <w:t>1</w:t>
            </w:r>
          </w:p>
        </w:tc>
        <w:tc>
          <w:tcPr>
            <w:tcW w:w="1732" w:type="dxa"/>
            <w:vAlign w:val="center"/>
          </w:tcPr>
          <w:p w14:paraId="4328F28C"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37 (6.3%)</w:t>
            </w:r>
          </w:p>
        </w:tc>
        <w:tc>
          <w:tcPr>
            <w:tcW w:w="1733" w:type="dxa"/>
            <w:vAlign w:val="center"/>
          </w:tcPr>
          <w:p w14:paraId="14EDC8E4"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93 (15.7%)</w:t>
            </w:r>
          </w:p>
        </w:tc>
        <w:tc>
          <w:tcPr>
            <w:tcW w:w="1732" w:type="dxa"/>
            <w:vAlign w:val="center"/>
          </w:tcPr>
          <w:p w14:paraId="0140991D"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29% (27/93)</w:t>
            </w:r>
          </w:p>
        </w:tc>
        <w:tc>
          <w:tcPr>
            <w:tcW w:w="1733" w:type="dxa"/>
            <w:vAlign w:val="center"/>
          </w:tcPr>
          <w:p w14:paraId="263EAF8D"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98% (489/499)</w:t>
            </w:r>
          </w:p>
        </w:tc>
      </w:tr>
      <w:tr w:rsidR="0062202B" w:rsidRPr="00CF4443" w14:paraId="1BC5E48F" w14:textId="77777777" w:rsidTr="00BC61C4">
        <w:trPr>
          <w:cantSplit/>
        </w:trPr>
        <w:tc>
          <w:tcPr>
            <w:tcW w:w="3505" w:type="dxa"/>
          </w:tcPr>
          <w:p w14:paraId="5B797985" w14:textId="777777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sz w:val="20"/>
                <w:szCs w:val="20"/>
              </w:rPr>
              <w:t>Received &lt;3 days of antibiotics</w:t>
            </w:r>
          </w:p>
        </w:tc>
        <w:tc>
          <w:tcPr>
            <w:tcW w:w="1732" w:type="dxa"/>
            <w:vAlign w:val="center"/>
          </w:tcPr>
          <w:p w14:paraId="5E37BC2E"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35 (5.9%)</w:t>
            </w:r>
          </w:p>
        </w:tc>
        <w:tc>
          <w:tcPr>
            <w:tcW w:w="1733" w:type="dxa"/>
            <w:vAlign w:val="center"/>
          </w:tcPr>
          <w:p w14:paraId="1B3B1AE3"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31 (5.2%)</w:t>
            </w:r>
          </w:p>
        </w:tc>
        <w:tc>
          <w:tcPr>
            <w:tcW w:w="1732" w:type="dxa"/>
            <w:vAlign w:val="center"/>
          </w:tcPr>
          <w:p w14:paraId="458338B4"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100% (31/31)</w:t>
            </w:r>
          </w:p>
        </w:tc>
        <w:tc>
          <w:tcPr>
            <w:tcW w:w="1733" w:type="dxa"/>
            <w:vAlign w:val="center"/>
          </w:tcPr>
          <w:p w14:paraId="56231ABF"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(557/561)</w:t>
            </w:r>
          </w:p>
        </w:tc>
      </w:tr>
      <w:tr w:rsidR="0062202B" w:rsidRPr="00CF4443" w14:paraId="543712E7" w14:textId="77777777" w:rsidTr="00BC61C4">
        <w:trPr>
          <w:cantSplit/>
        </w:trPr>
        <w:tc>
          <w:tcPr>
            <w:tcW w:w="3505" w:type="dxa"/>
          </w:tcPr>
          <w:p w14:paraId="11DE0D41" w14:textId="77777777" w:rsidR="0062202B" w:rsidRPr="0058381B" w:rsidRDefault="0062202B" w:rsidP="0058381B">
            <w:pPr>
              <w:pStyle w:val="ListParagraph"/>
              <w:spacing w:line="269" w:lineRule="auto"/>
              <w:ind w:left="0"/>
              <w:rPr>
                <w:rFonts w:ascii="Arial" w:hAnsi="Arial" w:cs="Arial"/>
                <w:sz w:val="20"/>
                <w:szCs w:val="20"/>
              </w:rPr>
            </w:pPr>
            <w:r w:rsidRPr="0058381B">
              <w:rPr>
                <w:rFonts w:ascii="Arial" w:hAnsi="Arial" w:cs="Arial"/>
                <w:sz w:val="20"/>
                <w:szCs w:val="20"/>
              </w:rPr>
              <w:t>&gt;14-day total antibiotic duration</w:t>
            </w:r>
          </w:p>
        </w:tc>
        <w:tc>
          <w:tcPr>
            <w:tcW w:w="1732" w:type="dxa"/>
            <w:vAlign w:val="center"/>
          </w:tcPr>
          <w:p w14:paraId="0EAF3F26"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25 (4.2%)</w:t>
            </w:r>
          </w:p>
        </w:tc>
        <w:tc>
          <w:tcPr>
            <w:tcW w:w="1733" w:type="dxa"/>
            <w:vAlign w:val="center"/>
          </w:tcPr>
          <w:p w14:paraId="741641AF"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24 (4.1%)</w:t>
            </w:r>
          </w:p>
        </w:tc>
        <w:tc>
          <w:tcPr>
            <w:tcW w:w="1732" w:type="dxa"/>
            <w:vAlign w:val="center"/>
          </w:tcPr>
          <w:p w14:paraId="14E2CF36"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88% (21/24)</w:t>
            </w:r>
          </w:p>
        </w:tc>
        <w:tc>
          <w:tcPr>
            <w:tcW w:w="1733" w:type="dxa"/>
            <w:vAlign w:val="center"/>
          </w:tcPr>
          <w:p w14:paraId="5C340F2D" w14:textId="77777777" w:rsidR="0062202B" w:rsidRPr="0058381B" w:rsidRDefault="0062202B" w:rsidP="0058381B">
            <w:pPr>
              <w:pStyle w:val="ListParagraph"/>
              <w:spacing w:line="269" w:lineRule="auto"/>
              <w:ind w:left="0"/>
              <w:jc w:val="center"/>
              <w:rPr>
                <w:rFonts w:ascii="Arial" w:hAnsi="Arial" w:cs="Arial"/>
                <w:sz w:val="20"/>
                <w:szCs w:val="20"/>
              </w:rPr>
            </w:pPr>
            <w:r w:rsidRPr="0058381B">
              <w:rPr>
                <w:rFonts w:ascii="Arial" w:hAnsi="Arial" w:cs="Arial"/>
                <w:sz w:val="20"/>
                <w:szCs w:val="20"/>
              </w:rPr>
              <w:t>99% (564/568)</w:t>
            </w:r>
          </w:p>
        </w:tc>
      </w:tr>
    </w:tbl>
    <w:p w14:paraId="52BB9BD7" w14:textId="21AE61F8" w:rsidR="0058381B" w:rsidRPr="0058381B" w:rsidRDefault="0062202B" w:rsidP="0062202B">
      <w:pPr>
        <w:spacing w:after="0" w:line="240" w:lineRule="auto"/>
        <w:rPr>
          <w:rFonts w:ascii="Aptos" w:hAnsi="Aptos"/>
          <w:sz w:val="18"/>
          <w:szCs w:val="18"/>
        </w:rPr>
      </w:pPr>
      <w:r w:rsidRPr="001E511D">
        <w:rPr>
          <w:rFonts w:ascii="Aptos" w:hAnsi="Aptos"/>
        </w:rPr>
        <w:t>*</w:t>
      </w:r>
      <w:r w:rsidR="0058381B" w:rsidRPr="0058381B">
        <w:rPr>
          <w:rFonts w:ascii="Aptos" w:hAnsi="Aptos"/>
          <w:sz w:val="18"/>
          <w:szCs w:val="18"/>
        </w:rPr>
        <w:t>cell intentionally left empty</w:t>
      </w:r>
    </w:p>
    <w:p w14:paraId="5FDD14CA" w14:textId="7E889B79" w:rsidR="0062202B" w:rsidRPr="0058381B" w:rsidRDefault="0058381B" w:rsidP="0062202B">
      <w:pPr>
        <w:spacing w:after="0" w:line="240" w:lineRule="auto"/>
        <w:rPr>
          <w:rFonts w:ascii="Aptos" w:hAnsi="Aptos"/>
          <w:sz w:val="18"/>
          <w:szCs w:val="18"/>
        </w:rPr>
      </w:pPr>
      <w:r w:rsidRPr="0058381B">
        <w:rPr>
          <w:rFonts w:ascii="Aptos" w:hAnsi="Aptos"/>
          <w:sz w:val="18"/>
          <w:szCs w:val="18"/>
          <w:vertAlign w:val="superscript"/>
        </w:rPr>
        <w:t>1</w:t>
      </w:r>
      <w:r w:rsidR="0062202B" w:rsidRPr="0058381B">
        <w:rPr>
          <w:rFonts w:ascii="Aptos" w:hAnsi="Aptos"/>
          <w:sz w:val="18"/>
          <w:szCs w:val="18"/>
        </w:rPr>
        <w:t>Here, we compare the eCQM’s simplified definition of clinical stability (</w:t>
      </w:r>
      <w:r w:rsidRPr="0058381B">
        <w:rPr>
          <w:rFonts w:ascii="Aptos" w:hAnsi="Aptos"/>
          <w:sz w:val="18"/>
          <w:szCs w:val="18"/>
        </w:rPr>
        <w:t>afebrile</w:t>
      </w:r>
      <w:r w:rsidR="0062202B" w:rsidRPr="0058381B">
        <w:rPr>
          <w:rFonts w:ascii="Aptos" w:hAnsi="Aptos"/>
          <w:sz w:val="18"/>
          <w:szCs w:val="18"/>
        </w:rPr>
        <w:t xml:space="preserve"> and SBP ≥90 mmHg or discharged) to the original definition of stability (no more than 1 sign of clinical stability). Though the sensitivity is much lower, the feasibility of this specification was much higher across all three systems (see feasibility discussion for more details).</w:t>
      </w:r>
    </w:p>
    <w:p w14:paraId="4B26E4B6" w14:textId="2E20F41C" w:rsidR="0058381B" w:rsidRDefault="0058381B">
      <w:pPr>
        <w:rPr>
          <w:rFonts w:ascii="Arial" w:hAnsi="Arial" w:cs="Arial"/>
          <w:sz w:val="20"/>
          <w:szCs w:val="20"/>
        </w:rPr>
      </w:pPr>
      <w:r>
        <w:rPr>
          <w:rFonts w:ascii="Arial" w:hAnsi="Arial" w:cs="Arial"/>
          <w:sz w:val="20"/>
          <w:szCs w:val="20"/>
        </w:rPr>
        <w:br w:type="page"/>
      </w:r>
    </w:p>
    <w:p w14:paraId="09C4BB75" w14:textId="77777777" w:rsidR="0058381B" w:rsidRPr="001E511D" w:rsidRDefault="0058381B" w:rsidP="0058381B">
      <w:pPr>
        <w:rPr>
          <w:rFonts w:ascii="Aptos" w:hAnsi="Aptos"/>
        </w:rPr>
      </w:pPr>
      <w:bookmarkStart w:id="8" w:name="_Hlk181282805"/>
      <w:r>
        <w:rPr>
          <w:rFonts w:ascii="Aptos" w:hAnsi="Aptos"/>
          <w:b/>
          <w:bCs/>
        </w:rPr>
        <w:lastRenderedPageBreak/>
        <w:t xml:space="preserve">Figure 3. </w:t>
      </w:r>
      <w:r w:rsidRPr="001E511D">
        <w:rPr>
          <w:rFonts w:ascii="Aptos" w:hAnsi="Aptos"/>
        </w:rPr>
        <w:t>Relationship between excess antibiotic duration and inappropriately broad empiric antibiotic use.</w:t>
      </w:r>
    </w:p>
    <w:p w14:paraId="2F7B67E5" w14:textId="77777777" w:rsidR="0062202B" w:rsidRDefault="0062202B" w:rsidP="0062202B">
      <w:pPr>
        <w:rPr>
          <w:rFonts w:ascii="Aptos" w:hAnsi="Aptos"/>
          <w:b/>
          <w:bCs/>
        </w:rPr>
      </w:pPr>
      <w:bookmarkStart w:id="9" w:name="_Hlk181169403"/>
      <w:r>
        <w:rPr>
          <w:noProof/>
        </w:rPr>
        <w:drawing>
          <wp:inline distT="0" distB="0" distL="0" distR="0" wp14:anchorId="5044C718" wp14:editId="481F7EEA">
            <wp:extent cx="5112385" cy="3407862"/>
            <wp:effectExtent l="0" t="0" r="0" b="2540"/>
            <wp:docPr id="1371175721" name="Picture 1" descr="This is a scatter diagram plotting non-indicated empiric MDRO antibiotic use on the x-axis against excess antibiotic duration (&gt;=7 days). There is a weak positive correlation, R=0.3, p&lt;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75721" name="Picture 1" descr="This is a scatter diagram plotting non-indicated empiric MDRO antibiotic use on the x-axis against excess antibiotic duration (&gt;=7 days). There is a weak positive correlation, R=0.3, p&lt;0.0014."/>
                    <pic:cNvPicPr/>
                  </pic:nvPicPr>
                  <pic:blipFill>
                    <a:blip r:embed="rId7"/>
                    <a:stretch>
                      <a:fillRect/>
                    </a:stretch>
                  </pic:blipFill>
                  <pic:spPr>
                    <a:xfrm>
                      <a:off x="0" y="0"/>
                      <a:ext cx="5130445" cy="3419901"/>
                    </a:xfrm>
                    <a:prstGeom prst="rect">
                      <a:avLst/>
                    </a:prstGeom>
                  </pic:spPr>
                </pic:pic>
              </a:graphicData>
            </a:graphic>
          </wp:inline>
        </w:drawing>
      </w:r>
    </w:p>
    <w:p w14:paraId="2A0F3220" w14:textId="66C9611F" w:rsidR="00504439" w:rsidRDefault="00504439" w:rsidP="0058381B">
      <w:pPr>
        <w:spacing w:after="0" w:line="264" w:lineRule="auto"/>
        <w:rPr>
          <w:rFonts w:ascii="Aptos" w:hAnsi="Aptos"/>
          <w:sz w:val="22"/>
          <w:szCs w:val="22"/>
        </w:rPr>
      </w:pPr>
      <w:bookmarkStart w:id="10" w:name="_Hlk180593287"/>
      <w:r>
        <w:rPr>
          <w:rFonts w:ascii="Aptos" w:hAnsi="Aptos"/>
          <w:sz w:val="22"/>
          <w:szCs w:val="22"/>
        </w:rPr>
        <w:t>MDRO= Multi-Drug</w:t>
      </w:r>
      <w:r w:rsidR="001F0738">
        <w:rPr>
          <w:rFonts w:ascii="Aptos" w:hAnsi="Aptos"/>
          <w:sz w:val="22"/>
          <w:szCs w:val="22"/>
        </w:rPr>
        <w:t>-</w:t>
      </w:r>
      <w:r>
        <w:rPr>
          <w:rFonts w:ascii="Aptos" w:hAnsi="Aptos"/>
          <w:sz w:val="22"/>
          <w:szCs w:val="22"/>
        </w:rPr>
        <w:t>Resistant Organisms</w:t>
      </w:r>
    </w:p>
    <w:p w14:paraId="33936FD8" w14:textId="73FF73ED" w:rsidR="0062202B" w:rsidRPr="0058381B" w:rsidRDefault="0062202B" w:rsidP="0058381B">
      <w:pPr>
        <w:spacing w:after="0" w:line="264" w:lineRule="auto"/>
        <w:rPr>
          <w:rFonts w:ascii="Aptos" w:hAnsi="Aptos"/>
          <w:sz w:val="22"/>
          <w:szCs w:val="22"/>
        </w:rPr>
      </w:pPr>
      <w:r w:rsidRPr="0058381B">
        <w:rPr>
          <w:rFonts w:ascii="Aptos" w:hAnsi="Aptos"/>
          <w:sz w:val="22"/>
          <w:szCs w:val="22"/>
        </w:rPr>
        <w:t xml:space="preserve">Patient data from 109 VA hospitals between January 1, 2022 and June 30, 2024. </w:t>
      </w:r>
      <w:bookmarkStart w:id="11" w:name="_Hlk180668325"/>
      <w:r w:rsidRPr="0058381B">
        <w:rPr>
          <w:rFonts w:ascii="Aptos" w:hAnsi="Aptos"/>
          <w:sz w:val="22"/>
          <w:szCs w:val="22"/>
        </w:rPr>
        <w:t>Each hospital is represented as a dot with larger hospitals having larger dots.</w:t>
      </w:r>
    </w:p>
    <w:bookmarkEnd w:id="9"/>
    <w:bookmarkEnd w:id="10"/>
    <w:bookmarkEnd w:id="11"/>
    <w:p w14:paraId="66B9B849" w14:textId="77777777" w:rsidR="0062202B" w:rsidRDefault="0062202B" w:rsidP="0062202B">
      <w:pPr>
        <w:rPr>
          <w:rFonts w:ascii="Arial" w:hAnsi="Arial" w:cs="Arial"/>
          <w:sz w:val="20"/>
          <w:szCs w:val="20"/>
        </w:rPr>
      </w:pPr>
    </w:p>
    <w:bookmarkEnd w:id="8"/>
    <w:p w14:paraId="271FE00B" w14:textId="77777777" w:rsidR="00AF4DB5" w:rsidRDefault="00AF4DB5">
      <w:pPr>
        <w:rPr>
          <w:rFonts w:ascii="Arial" w:eastAsiaTheme="minorEastAsia" w:hAnsi="Arial" w:cs="Arial"/>
          <w:bCs/>
          <w:sz w:val="22"/>
          <w:szCs w:val="22"/>
          <w:highlight w:val="green"/>
        </w:rPr>
      </w:pPr>
      <w:r>
        <w:rPr>
          <w:rFonts w:ascii="Arial" w:eastAsiaTheme="minorEastAsia" w:hAnsi="Arial" w:cs="Arial"/>
          <w:bCs/>
          <w:sz w:val="22"/>
          <w:szCs w:val="22"/>
          <w:highlight w:val="green"/>
        </w:rPr>
        <w:br w:type="page"/>
      </w:r>
    </w:p>
    <w:p w14:paraId="1A2B88FB" w14:textId="7215F13D" w:rsidR="0062202B" w:rsidRPr="00AF4DB5" w:rsidRDefault="0062202B" w:rsidP="0062202B">
      <w:pPr>
        <w:spacing w:after="0" w:line="240" w:lineRule="auto"/>
        <w:rPr>
          <w:rFonts w:ascii="Arial" w:eastAsiaTheme="minorEastAsia" w:hAnsi="Arial" w:cs="Arial"/>
          <w:bCs/>
          <w:sz w:val="22"/>
          <w:szCs w:val="22"/>
        </w:rPr>
      </w:pPr>
      <w:r w:rsidRPr="00AF4DB5">
        <w:rPr>
          <w:rFonts w:ascii="Arial" w:eastAsiaTheme="minorEastAsia" w:hAnsi="Arial" w:cs="Arial"/>
          <w:b/>
          <w:sz w:val="22"/>
          <w:szCs w:val="22"/>
        </w:rPr>
        <w:lastRenderedPageBreak/>
        <w:t>Table 2</w:t>
      </w:r>
      <w:r w:rsidR="0027760F">
        <w:rPr>
          <w:rFonts w:ascii="Arial" w:eastAsiaTheme="minorEastAsia" w:hAnsi="Arial" w:cs="Arial"/>
          <w:b/>
          <w:sz w:val="22"/>
          <w:szCs w:val="22"/>
        </w:rPr>
        <w:t>1</w:t>
      </w:r>
      <w:r w:rsidRPr="00AF4DB5">
        <w:rPr>
          <w:rFonts w:ascii="Arial" w:eastAsiaTheme="minorEastAsia" w:hAnsi="Arial" w:cs="Arial"/>
          <w:b/>
          <w:sz w:val="22"/>
          <w:szCs w:val="22"/>
        </w:rPr>
        <w:t>.</w:t>
      </w:r>
      <w:r w:rsidRPr="00AF4DB5">
        <w:rPr>
          <w:rFonts w:ascii="Arial" w:eastAsiaTheme="minorEastAsia" w:hAnsi="Arial" w:cs="Arial"/>
          <w:bCs/>
          <w:sz w:val="22"/>
          <w:szCs w:val="22"/>
        </w:rPr>
        <w:t xml:space="preserve"> Association of Excess Antibiotic </w:t>
      </w:r>
      <w:r w:rsidRPr="00AF4DB5">
        <w:rPr>
          <w:rFonts w:ascii="Arial" w:hAnsi="Arial" w:cs="Arial"/>
          <w:bCs/>
          <w:sz w:val="22"/>
          <w:szCs w:val="22"/>
        </w:rPr>
        <w:t xml:space="preserve">Treatment </w:t>
      </w:r>
      <w:r w:rsidRPr="00AF4DB5">
        <w:rPr>
          <w:rFonts w:ascii="Arial" w:eastAsiaTheme="minorEastAsia" w:hAnsi="Arial" w:cs="Arial"/>
          <w:bCs/>
          <w:sz w:val="22"/>
          <w:szCs w:val="22"/>
        </w:rPr>
        <w:t>Duration With 30-Day Adverse Outcomes (</w:t>
      </w:r>
      <w:r w:rsidRPr="00AF4DB5">
        <w:rPr>
          <w:rFonts w:ascii="Arial" w:hAnsi="Arial" w:cs="Arial"/>
          <w:bCs/>
          <w:sz w:val="22"/>
          <w:szCs w:val="22"/>
        </w:rPr>
        <w:t xml:space="preserve">n = </w:t>
      </w:r>
      <w:r w:rsidRPr="00AF4DB5">
        <w:rPr>
          <w:rFonts w:ascii="Arial" w:eastAsiaTheme="minorEastAsia" w:hAnsi="Arial" w:cs="Arial"/>
          <w:bCs/>
          <w:sz w:val="22"/>
          <w:szCs w:val="22"/>
        </w:rPr>
        <w:t>6481)</w:t>
      </w:r>
      <w:r w:rsidRPr="00AF4DB5">
        <w:rPr>
          <w:rFonts w:ascii="Arial" w:eastAsiaTheme="minorEastAsia" w:hAnsi="Arial" w:cs="Arial"/>
          <w:bCs/>
          <w:sz w:val="22"/>
          <w:szCs w:val="22"/>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sidRPr="00AF4DB5">
        <w:rPr>
          <w:rFonts w:ascii="Arial" w:eastAsiaTheme="minorEastAsia" w:hAnsi="Arial" w:cs="Arial"/>
          <w:bCs/>
          <w:sz w:val="22"/>
          <w:szCs w:val="22"/>
        </w:rPr>
        <w:instrText xml:space="preserve"> ADDIN EN.CITE </w:instrText>
      </w:r>
      <w:r w:rsidRPr="00AF4DB5">
        <w:rPr>
          <w:rFonts w:ascii="Arial" w:eastAsiaTheme="minorEastAsia" w:hAnsi="Arial" w:cs="Arial"/>
          <w:bCs/>
          <w:sz w:val="22"/>
          <w:szCs w:val="22"/>
        </w:rPr>
        <w:fldChar w:fldCharType="begin">
          <w:fldData xml:space="preserve">PEVuZE5vdGU+PENpdGU+PEF1dGhvcj5WYXVnaG48L0F1dGhvcj48WWVhcj4yMDE5PC9ZZWFyPjxS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=
</w:fldData>
        </w:fldChar>
      </w:r>
      <w:r w:rsidRPr="00AF4DB5">
        <w:rPr>
          <w:rFonts w:ascii="Arial" w:eastAsiaTheme="minorEastAsia" w:hAnsi="Arial" w:cs="Arial"/>
          <w:bCs/>
          <w:sz w:val="22"/>
          <w:szCs w:val="22"/>
        </w:rPr>
        <w:instrText xml:space="preserve"> ADDIN EN.CITE.DATA </w:instrText>
      </w:r>
      <w:r w:rsidRPr="00AF4DB5">
        <w:rPr>
          <w:rFonts w:ascii="Arial" w:eastAsiaTheme="minorEastAsia" w:hAnsi="Arial" w:cs="Arial"/>
          <w:bCs/>
          <w:sz w:val="22"/>
          <w:szCs w:val="22"/>
        </w:rPr>
      </w:r>
      <w:r w:rsidRPr="00AF4DB5">
        <w:rPr>
          <w:rFonts w:ascii="Arial" w:eastAsiaTheme="minorEastAsia" w:hAnsi="Arial" w:cs="Arial"/>
          <w:bCs/>
          <w:sz w:val="22"/>
          <w:szCs w:val="22"/>
        </w:rPr>
        <w:fldChar w:fldCharType="end"/>
      </w:r>
      <w:r w:rsidRPr="00AF4DB5">
        <w:rPr>
          <w:rFonts w:ascii="Arial" w:eastAsiaTheme="minorEastAsia" w:hAnsi="Arial" w:cs="Arial"/>
          <w:bCs/>
          <w:sz w:val="22"/>
          <w:szCs w:val="22"/>
        </w:rPr>
      </w:r>
      <w:r w:rsidRPr="00AF4DB5">
        <w:rPr>
          <w:rFonts w:ascii="Arial" w:eastAsiaTheme="minorEastAsia" w:hAnsi="Arial" w:cs="Arial"/>
          <w:bCs/>
          <w:sz w:val="22"/>
          <w:szCs w:val="22"/>
        </w:rPr>
        <w:fldChar w:fldCharType="separate"/>
      </w:r>
      <w:r w:rsidRPr="00AF4DB5">
        <w:rPr>
          <w:rFonts w:ascii="Arial" w:eastAsiaTheme="minorEastAsia" w:hAnsi="Arial" w:cs="Arial"/>
          <w:bCs/>
          <w:noProof/>
          <w:sz w:val="22"/>
          <w:szCs w:val="22"/>
          <w:vertAlign w:val="superscript"/>
        </w:rPr>
        <w:t>15</w:t>
      </w:r>
      <w:r w:rsidRPr="00AF4DB5">
        <w:rPr>
          <w:rFonts w:ascii="Arial" w:eastAsiaTheme="minorEastAsia" w:hAnsi="Arial" w:cs="Arial"/>
          <w:bCs/>
          <w:sz w:val="22"/>
          <w:szCs w:val="22"/>
        </w:rPr>
        <w:fldChar w:fldCharType="end"/>
      </w:r>
    </w:p>
    <w:p w14:paraId="16BDA82D" w14:textId="77777777" w:rsidR="001F0738" w:rsidRDefault="001F0738" w:rsidP="0062202B">
      <w:pPr>
        <w:spacing w:after="0" w:line="240" w:lineRule="auto"/>
        <w:rPr>
          <w:rFonts w:ascii="Aptos" w:eastAsiaTheme="minorEastAsia" w:hAnsi="Aptos" w:cs="Times New Roman"/>
          <w:bCs/>
        </w:rPr>
      </w:pPr>
    </w:p>
    <w:tbl>
      <w:tblPr>
        <w:tblStyle w:val="TableGrid"/>
        <w:tblW w:w="0" w:type="auto"/>
        <w:tblLook w:val="04A0" w:firstRow="1" w:lastRow="0" w:firstColumn="1" w:lastColumn="0" w:noHBand="0" w:noVBand="1"/>
        <w:tblCaption w:val="Table 22. Association of excess antibiotic treatment with 30-day adverse outcomes (n=6481)"/>
        <w:tblDescription w:val="This table lists the percentage of CAP patients with appropriate antibiotic duration vs. excess antibiotic duration for 30-day adverse events including: mortality, readmission, antibiotic-associated adverse events, and a composite adverse outcome score. Statistical analysis shows that the risk of patient-reported adverse events increases with each excess day of antibiotics (adjusted odds ratio [95% CI] = 1.05 [1.02-1.08], P=0.001)."/>
      </w:tblPr>
      <w:tblGrid>
        <w:gridCol w:w="2372"/>
        <w:gridCol w:w="1297"/>
        <w:gridCol w:w="1330"/>
        <w:gridCol w:w="1584"/>
        <w:gridCol w:w="1269"/>
        <w:gridCol w:w="1550"/>
        <w:gridCol w:w="1028"/>
      </w:tblGrid>
      <w:tr w:rsidR="00AF4DB5" w14:paraId="1F0E1BDC" w14:textId="77777777" w:rsidTr="0087399E">
        <w:trPr>
          <w:cantSplit/>
          <w:tblHeader/>
        </w:trPr>
        <w:tc>
          <w:tcPr>
            <w:tcW w:w="2425" w:type="dxa"/>
          </w:tcPr>
          <w:p w14:paraId="06A7C525" w14:textId="6D6F8117" w:rsidR="001F0738" w:rsidRPr="0087399E" w:rsidRDefault="001F0738" w:rsidP="0062202B">
            <w:pPr>
              <w:rPr>
                <w:rFonts w:eastAsiaTheme="minorEastAsia" w:cs="Times New Roman"/>
                <w:b/>
                <w:sz w:val="20"/>
                <w:szCs w:val="20"/>
              </w:rPr>
            </w:pPr>
            <w:bookmarkStart w:id="12" w:name="_Hlk181282944"/>
            <w:r w:rsidRPr="0087399E">
              <w:rPr>
                <w:rFonts w:eastAsiaTheme="minorEastAsia" w:cs="Times New Roman"/>
                <w:b/>
                <w:sz w:val="20"/>
                <w:szCs w:val="20"/>
              </w:rPr>
              <w:t>Outcomes at 30 Days</w:t>
            </w:r>
          </w:p>
        </w:tc>
        <w:tc>
          <w:tcPr>
            <w:tcW w:w="1260" w:type="dxa"/>
            <w:vAlign w:val="center"/>
          </w:tcPr>
          <w:p w14:paraId="25BD44FC" w14:textId="5DA0FF6B" w:rsidR="00AF4DB5"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Appropriate Duration (n=2090),</w:t>
            </w:r>
          </w:p>
          <w:p w14:paraId="6D42E2CC" w14:textId="53C0C7C9"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n(%)</w:t>
            </w:r>
          </w:p>
        </w:tc>
        <w:tc>
          <w:tcPr>
            <w:tcW w:w="1350" w:type="dxa"/>
            <w:vAlign w:val="center"/>
          </w:tcPr>
          <w:p w14:paraId="1DC304EF" w14:textId="77777777" w:rsidR="00AF4DB5"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Excess Duration (n=4391),</w:t>
            </w:r>
          </w:p>
          <w:p w14:paraId="3A039B74" w14:textId="0473875D"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n(%)</w:t>
            </w:r>
          </w:p>
        </w:tc>
        <w:tc>
          <w:tcPr>
            <w:tcW w:w="1606" w:type="dxa"/>
            <w:vAlign w:val="center"/>
          </w:tcPr>
          <w:p w14:paraId="74B3EA36" w14:textId="5F1CA5F1" w:rsidR="00AF4DB5"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Unadjusted OR per Excess Day</w:t>
            </w:r>
          </w:p>
          <w:p w14:paraId="376F87FC" w14:textId="54E1C79E"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(95% CI)</w:t>
            </w:r>
          </w:p>
        </w:tc>
        <w:tc>
          <w:tcPr>
            <w:tcW w:w="1218" w:type="dxa"/>
            <w:vAlign w:val="center"/>
          </w:tcPr>
          <w:p w14:paraId="4CC09607" w14:textId="260DF627"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Unadjusted P Values</w:t>
            </w:r>
          </w:p>
        </w:tc>
        <w:tc>
          <w:tcPr>
            <w:tcW w:w="1586" w:type="dxa"/>
            <w:vAlign w:val="center"/>
          </w:tcPr>
          <w:p w14:paraId="183C1AED" w14:textId="77777777" w:rsidR="00AF4DB5"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Adjusted OR per Excess Day</w:t>
            </w:r>
          </w:p>
          <w:p w14:paraId="13486F53" w14:textId="6917005D"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(95% CI)</w:t>
            </w:r>
          </w:p>
        </w:tc>
        <w:tc>
          <w:tcPr>
            <w:tcW w:w="985" w:type="dxa"/>
            <w:vAlign w:val="center"/>
          </w:tcPr>
          <w:p w14:paraId="5CE38264" w14:textId="587E0EC3" w:rsidR="001F0738" w:rsidRPr="0087399E" w:rsidRDefault="001F0738" w:rsidP="00AF4DB5">
            <w:pPr>
              <w:jc w:val="center"/>
              <w:rPr>
                <w:rFonts w:eastAsiaTheme="minorEastAsia" w:cs="Times New Roman"/>
                <w:b/>
                <w:sz w:val="20"/>
                <w:szCs w:val="20"/>
              </w:rPr>
            </w:pPr>
            <w:r w:rsidRPr="0087399E">
              <w:rPr>
                <w:rFonts w:eastAsiaTheme="minorEastAsia" w:cs="Times New Roman"/>
                <w:b/>
                <w:sz w:val="20"/>
                <w:szCs w:val="20"/>
              </w:rPr>
              <w:t>Adjusted P Value</w:t>
            </w:r>
          </w:p>
        </w:tc>
      </w:tr>
      <w:tr w:rsidR="00AF4DB5" w14:paraId="487C82D6" w14:textId="77777777" w:rsidTr="00A96723">
        <w:trPr>
          <w:cantSplit/>
        </w:trPr>
        <w:tc>
          <w:tcPr>
            <w:tcW w:w="2425" w:type="dxa"/>
          </w:tcPr>
          <w:p w14:paraId="7B4F7F1D" w14:textId="2C34247A" w:rsidR="00AF4DB5" w:rsidRPr="00E55A89" w:rsidRDefault="00AF4DB5" w:rsidP="00AF4DB5">
            <w:pPr>
              <w:rPr>
                <w:rFonts w:eastAsiaTheme="minorEastAsia" w:cs="Times New Roman"/>
                <w:bCs/>
                <w:sz w:val="20"/>
                <w:szCs w:val="20"/>
              </w:rPr>
            </w:pPr>
            <w:r w:rsidRPr="00E55A89">
              <w:rPr>
                <w:rFonts w:eastAsiaTheme="minorEastAsia" w:cs="Times New Roman"/>
                <w:bCs/>
                <w:sz w:val="20"/>
                <w:szCs w:val="20"/>
              </w:rPr>
              <w:t>Mortality</w:t>
            </w:r>
          </w:p>
        </w:tc>
        <w:tc>
          <w:tcPr>
            <w:tcW w:w="1260" w:type="dxa"/>
            <w:vAlign w:val="center"/>
          </w:tcPr>
          <w:p w14:paraId="33CC8494" w14:textId="6C1B15FA"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40 (1.9)</w:t>
            </w:r>
          </w:p>
        </w:tc>
        <w:tc>
          <w:tcPr>
            <w:tcW w:w="1350" w:type="dxa"/>
            <w:vAlign w:val="center"/>
          </w:tcPr>
          <w:p w14:paraId="48070425" w14:textId="4FBF8720"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88 (2.0)</w:t>
            </w:r>
          </w:p>
        </w:tc>
        <w:tc>
          <w:tcPr>
            <w:tcW w:w="1606" w:type="dxa"/>
            <w:vAlign w:val="center"/>
          </w:tcPr>
          <w:p w14:paraId="5036EC3D" w14:textId="55F85289"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0.99 (0.94-1.03)</w:t>
            </w:r>
          </w:p>
        </w:tc>
        <w:tc>
          <w:tcPr>
            <w:tcW w:w="1218" w:type="dxa"/>
            <w:vAlign w:val="center"/>
          </w:tcPr>
          <w:p w14:paraId="6611B01B" w14:textId="74CEF2B3"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0.52</w:t>
            </w:r>
          </w:p>
        </w:tc>
        <w:tc>
          <w:tcPr>
            <w:tcW w:w="1586" w:type="dxa"/>
            <w:vAlign w:val="center"/>
          </w:tcPr>
          <w:p w14:paraId="4F9DF4BE" w14:textId="3C6ECBFA" w:rsidR="00AF4DB5" w:rsidRPr="00AF4DB5" w:rsidRDefault="00AF4DB5" w:rsidP="00AF4DB5">
            <w:pPr>
              <w:jc w:val="center"/>
              <w:rPr>
                <w:rFonts w:eastAsiaTheme="minorEastAsia" w:cs="Times New Roman"/>
                <w:bCs/>
                <w:sz w:val="18"/>
                <w:szCs w:val="18"/>
              </w:rPr>
            </w:pPr>
            <w:r w:rsidRPr="00AF4DB5">
              <w:rPr>
                <w:rFonts w:cs="Times New Roman"/>
                <w:sz w:val="18"/>
                <w:szCs w:val="18"/>
              </w:rPr>
              <w:t>1.01 (0.97–1.05)</w:t>
            </w:r>
          </w:p>
        </w:tc>
        <w:tc>
          <w:tcPr>
            <w:tcW w:w="985" w:type="dxa"/>
            <w:vAlign w:val="center"/>
          </w:tcPr>
          <w:p w14:paraId="79C2FD4E" w14:textId="613F60DC"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0.60</w:t>
            </w:r>
          </w:p>
        </w:tc>
      </w:tr>
      <w:tr w:rsidR="00AF4DB5" w14:paraId="5AF3F86F" w14:textId="77777777" w:rsidTr="00A96723">
        <w:trPr>
          <w:cantSplit/>
        </w:trPr>
        <w:tc>
          <w:tcPr>
            <w:tcW w:w="2425" w:type="dxa"/>
          </w:tcPr>
          <w:p w14:paraId="6BB41BFD" w14:textId="043445F5" w:rsidR="00AF4DB5" w:rsidRPr="00E55A89" w:rsidRDefault="00AF4DB5" w:rsidP="00AF4DB5">
            <w:pPr>
              <w:rPr>
                <w:rFonts w:eastAsiaTheme="minorEastAsia" w:cs="Times New Roman"/>
                <w:bCs/>
                <w:sz w:val="20"/>
                <w:szCs w:val="20"/>
              </w:rPr>
            </w:pPr>
            <w:r w:rsidRPr="00E55A89">
              <w:rPr>
                <w:rFonts w:eastAsiaTheme="minorEastAsia" w:cs="Times New Roman"/>
                <w:bCs/>
                <w:sz w:val="20"/>
                <w:szCs w:val="20"/>
              </w:rPr>
              <w:t>Readmission</w:t>
            </w:r>
          </w:p>
        </w:tc>
        <w:tc>
          <w:tcPr>
            <w:tcW w:w="1260" w:type="dxa"/>
            <w:vAlign w:val="center"/>
          </w:tcPr>
          <w:p w14:paraId="77A2A75A" w14:textId="1A68E181"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294 (14.1)</w:t>
            </w:r>
          </w:p>
        </w:tc>
        <w:tc>
          <w:tcPr>
            <w:tcW w:w="1350" w:type="dxa"/>
            <w:vAlign w:val="center"/>
          </w:tcPr>
          <w:p w14:paraId="35FB1E02" w14:textId="49D2B8D4"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497 (11.3)</w:t>
            </w:r>
          </w:p>
        </w:tc>
        <w:tc>
          <w:tcPr>
            <w:tcW w:w="1606" w:type="dxa"/>
            <w:vAlign w:val="center"/>
          </w:tcPr>
          <w:p w14:paraId="7DBB055E" w14:textId="70A1C204"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0.99 (0.96-1.02)</w:t>
            </w:r>
          </w:p>
        </w:tc>
        <w:tc>
          <w:tcPr>
            <w:tcW w:w="1218" w:type="dxa"/>
            <w:vAlign w:val="center"/>
          </w:tcPr>
          <w:p w14:paraId="0AC9F4C4" w14:textId="519A1877"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0.48</w:t>
            </w:r>
          </w:p>
        </w:tc>
        <w:tc>
          <w:tcPr>
            <w:tcW w:w="1586" w:type="dxa"/>
            <w:vAlign w:val="center"/>
          </w:tcPr>
          <w:p w14:paraId="00BFC25F" w14:textId="0194052C" w:rsidR="00AF4DB5" w:rsidRPr="00AF4DB5" w:rsidRDefault="00AF4DB5" w:rsidP="00AF4DB5">
            <w:pPr>
              <w:jc w:val="center"/>
              <w:rPr>
                <w:rFonts w:eastAsiaTheme="minorEastAsia" w:cs="Times New Roman"/>
                <w:bCs/>
                <w:sz w:val="18"/>
                <w:szCs w:val="18"/>
              </w:rPr>
            </w:pPr>
            <w:r w:rsidRPr="00AF4DB5">
              <w:rPr>
                <w:rFonts w:cs="Times New Roman"/>
                <w:sz w:val="18"/>
                <w:szCs w:val="18"/>
              </w:rPr>
              <w:t>1.00 (0.98–1.03)</w:t>
            </w:r>
          </w:p>
        </w:tc>
        <w:tc>
          <w:tcPr>
            <w:tcW w:w="985" w:type="dxa"/>
            <w:vAlign w:val="center"/>
          </w:tcPr>
          <w:p w14:paraId="57906EB5" w14:textId="0CB694AC"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0.92</w:t>
            </w:r>
          </w:p>
        </w:tc>
      </w:tr>
      <w:tr w:rsidR="00AF4DB5" w14:paraId="3EA4F866" w14:textId="77777777" w:rsidTr="00A96723">
        <w:trPr>
          <w:cantSplit/>
        </w:trPr>
        <w:tc>
          <w:tcPr>
            <w:tcW w:w="2425" w:type="dxa"/>
          </w:tcPr>
          <w:p w14:paraId="5C8EA818" w14:textId="2FBDB10C" w:rsidR="00AF4DB5" w:rsidRPr="00E55A89" w:rsidRDefault="00AF4DB5" w:rsidP="00AF4DB5">
            <w:pPr>
              <w:rPr>
                <w:rFonts w:eastAsiaTheme="minorEastAsia" w:cs="Times New Roman"/>
                <w:bCs/>
                <w:sz w:val="20"/>
                <w:szCs w:val="20"/>
              </w:rPr>
            </w:pPr>
            <w:r w:rsidRPr="00E55A89">
              <w:rPr>
                <w:rFonts w:eastAsiaTheme="minorEastAsia" w:cs="Times New Roman"/>
                <w:bCs/>
                <w:sz w:val="20"/>
                <w:szCs w:val="20"/>
              </w:rPr>
              <w:t>Emergency department visit</w:t>
            </w:r>
          </w:p>
        </w:tc>
        <w:tc>
          <w:tcPr>
            <w:tcW w:w="1260" w:type="dxa"/>
            <w:vAlign w:val="center"/>
          </w:tcPr>
          <w:p w14:paraId="67D37E87" w14:textId="2EBC4785"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238 (11.4)</w:t>
            </w:r>
          </w:p>
        </w:tc>
        <w:tc>
          <w:tcPr>
            <w:tcW w:w="1350" w:type="dxa"/>
            <w:vAlign w:val="center"/>
          </w:tcPr>
          <w:p w14:paraId="37A9EAC5" w14:textId="76E1A406"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480 (10.9)</w:t>
            </w:r>
          </w:p>
        </w:tc>
        <w:tc>
          <w:tcPr>
            <w:tcW w:w="1606" w:type="dxa"/>
            <w:vAlign w:val="center"/>
          </w:tcPr>
          <w:p w14:paraId="0CA0465C" w14:textId="7F70ED8D"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0.97 (0.94-1.00)</w:t>
            </w:r>
          </w:p>
        </w:tc>
        <w:tc>
          <w:tcPr>
            <w:tcW w:w="1218" w:type="dxa"/>
            <w:vAlign w:val="center"/>
          </w:tcPr>
          <w:p w14:paraId="7BB7F323" w14:textId="3A68179A"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0.021</w:t>
            </w:r>
          </w:p>
        </w:tc>
        <w:tc>
          <w:tcPr>
            <w:tcW w:w="1586" w:type="dxa"/>
            <w:vAlign w:val="center"/>
          </w:tcPr>
          <w:p w14:paraId="5AF77D00" w14:textId="26972A2D" w:rsidR="00AF4DB5" w:rsidRPr="00AF4DB5" w:rsidRDefault="00AF4DB5" w:rsidP="00AF4DB5">
            <w:pPr>
              <w:jc w:val="center"/>
              <w:rPr>
                <w:rFonts w:eastAsiaTheme="minorEastAsia" w:cs="Times New Roman"/>
                <w:bCs/>
                <w:sz w:val="18"/>
                <w:szCs w:val="18"/>
              </w:rPr>
            </w:pPr>
            <w:r w:rsidRPr="00AF4DB5">
              <w:rPr>
                <w:rFonts w:cs="Times New Roman"/>
                <w:sz w:val="18"/>
                <w:szCs w:val="18"/>
              </w:rPr>
              <w:t>0.98 (0.95–1.01)</w:t>
            </w:r>
          </w:p>
        </w:tc>
        <w:tc>
          <w:tcPr>
            <w:tcW w:w="985" w:type="dxa"/>
            <w:vAlign w:val="center"/>
          </w:tcPr>
          <w:p w14:paraId="6383496E" w14:textId="5E97F0DE"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0.166</w:t>
            </w:r>
          </w:p>
        </w:tc>
      </w:tr>
      <w:tr w:rsidR="00AF4DB5" w14:paraId="67F0E97E" w14:textId="77777777" w:rsidTr="00A96723">
        <w:trPr>
          <w:cantSplit/>
        </w:trPr>
        <w:tc>
          <w:tcPr>
            <w:tcW w:w="2425" w:type="dxa"/>
          </w:tcPr>
          <w:p w14:paraId="59DA290F" w14:textId="4B137F48" w:rsidR="00AF4DB5" w:rsidRPr="00E55A89" w:rsidRDefault="00AF4DB5" w:rsidP="00AF4DB5">
            <w:pPr>
              <w:rPr>
                <w:rFonts w:eastAsiaTheme="minorEastAsia" w:cs="Times New Roman"/>
                <w:bCs/>
                <w:sz w:val="20"/>
                <w:szCs w:val="20"/>
              </w:rPr>
            </w:pPr>
            <w:r w:rsidRPr="00E55A89">
              <w:rPr>
                <w:rFonts w:eastAsiaTheme="minorEastAsia" w:cs="Times New Roman"/>
                <w:bCs/>
                <w:sz w:val="20"/>
                <w:szCs w:val="20"/>
              </w:rPr>
              <w:t>Antibiotic-associated adverse event</w:t>
            </w:r>
          </w:p>
        </w:tc>
        <w:tc>
          <w:tcPr>
            <w:tcW w:w="1260" w:type="dxa"/>
            <w:vAlign w:val="center"/>
          </w:tcPr>
          <w:p w14:paraId="216613A5" w14:textId="237F941F"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72 (3.4)</w:t>
            </w:r>
          </w:p>
        </w:tc>
        <w:tc>
          <w:tcPr>
            <w:tcW w:w="1350" w:type="dxa"/>
            <w:vAlign w:val="center"/>
          </w:tcPr>
          <w:p w14:paraId="640C69B2" w14:textId="6499BDF4"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210 (4.8)</w:t>
            </w:r>
          </w:p>
        </w:tc>
        <w:tc>
          <w:tcPr>
            <w:tcW w:w="1606" w:type="dxa"/>
            <w:vAlign w:val="center"/>
          </w:tcPr>
          <w:p w14:paraId="4B3FB9D0" w14:textId="6AD70A9F"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1.04 (1.01-1.07)</w:t>
            </w:r>
          </w:p>
        </w:tc>
        <w:tc>
          <w:tcPr>
            <w:tcW w:w="1218" w:type="dxa"/>
            <w:vAlign w:val="center"/>
          </w:tcPr>
          <w:p w14:paraId="66C84CD5" w14:textId="6005DE59"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0.012</w:t>
            </w:r>
          </w:p>
        </w:tc>
        <w:tc>
          <w:tcPr>
            <w:tcW w:w="1586" w:type="dxa"/>
            <w:vAlign w:val="center"/>
          </w:tcPr>
          <w:p w14:paraId="2D387347" w14:textId="1039B4E0" w:rsidR="00AF4DB5" w:rsidRPr="00AF4DB5" w:rsidRDefault="00AF4DB5" w:rsidP="00AF4DB5">
            <w:pPr>
              <w:jc w:val="center"/>
              <w:rPr>
                <w:rFonts w:eastAsiaTheme="minorEastAsia" w:cs="Times New Roman"/>
                <w:bCs/>
                <w:sz w:val="18"/>
                <w:szCs w:val="18"/>
              </w:rPr>
            </w:pPr>
            <w:r w:rsidRPr="00AF4DB5">
              <w:rPr>
                <w:rFonts w:cs="Times New Roman"/>
                <w:sz w:val="18"/>
                <w:szCs w:val="18"/>
              </w:rPr>
              <w:t>1.03 (1.00–1.06)</w:t>
            </w:r>
          </w:p>
        </w:tc>
        <w:tc>
          <w:tcPr>
            <w:tcW w:w="985" w:type="dxa"/>
            <w:vAlign w:val="center"/>
          </w:tcPr>
          <w:p w14:paraId="69AB33D9" w14:textId="58567A79" w:rsidR="00AF4DB5" w:rsidRPr="00AF4DB5" w:rsidRDefault="00AF4DB5" w:rsidP="00AF4DB5">
            <w:pPr>
              <w:jc w:val="center"/>
              <w:rPr>
                <w:rFonts w:eastAsiaTheme="minorEastAsia" w:cs="Times New Roman"/>
                <w:bCs/>
                <w:sz w:val="18"/>
                <w:szCs w:val="18"/>
              </w:rPr>
            </w:pPr>
            <w:r w:rsidRPr="00AF4DB5">
              <w:rPr>
                <w:rFonts w:ascii="Aptos" w:hAnsi="Aptos" w:cs="Times New Roman"/>
                <w:b/>
                <w:bCs/>
                <w:sz w:val="18"/>
                <w:szCs w:val="18"/>
              </w:rPr>
              <w:t>0.038</w:t>
            </w:r>
          </w:p>
        </w:tc>
      </w:tr>
      <w:tr w:rsidR="00AF4DB5" w14:paraId="745FA06E" w14:textId="77777777" w:rsidTr="00A96723">
        <w:trPr>
          <w:cantSplit/>
        </w:trPr>
        <w:tc>
          <w:tcPr>
            <w:tcW w:w="2425" w:type="dxa"/>
          </w:tcPr>
          <w:p w14:paraId="24EC845F" w14:textId="0CC31AD8" w:rsidR="00AF4DB5" w:rsidRPr="00E55A89" w:rsidRDefault="00AF4DB5" w:rsidP="0087399E">
            <w:pPr>
              <w:ind w:left="288"/>
              <w:rPr>
                <w:rFonts w:eastAsiaTheme="minorEastAsia" w:cs="Times New Roman"/>
                <w:bCs/>
                <w:sz w:val="20"/>
                <w:szCs w:val="20"/>
              </w:rPr>
            </w:pPr>
            <w:r w:rsidRPr="00E55A89">
              <w:rPr>
                <w:rFonts w:eastAsiaTheme="minorEastAsia" w:cs="Times New Roman"/>
                <w:bCs/>
                <w:sz w:val="20"/>
                <w:szCs w:val="20"/>
              </w:rPr>
              <w:t>C. difficile infection</w:t>
            </w:r>
          </w:p>
        </w:tc>
        <w:tc>
          <w:tcPr>
            <w:tcW w:w="1260" w:type="dxa"/>
            <w:vAlign w:val="center"/>
          </w:tcPr>
          <w:p w14:paraId="209EE62A" w14:textId="49D0591D"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11 (0.5)</w:t>
            </w:r>
          </w:p>
        </w:tc>
        <w:tc>
          <w:tcPr>
            <w:tcW w:w="1350" w:type="dxa"/>
            <w:vAlign w:val="center"/>
          </w:tcPr>
          <w:p w14:paraId="0AF08ED6" w14:textId="2F3E6DF7"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22 (0.5)</w:t>
            </w:r>
          </w:p>
        </w:tc>
        <w:tc>
          <w:tcPr>
            <w:tcW w:w="1606" w:type="dxa"/>
            <w:vAlign w:val="center"/>
          </w:tcPr>
          <w:p w14:paraId="49A45659" w14:textId="4B67AACF"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0.92 (0.81-1.05)</w:t>
            </w:r>
          </w:p>
        </w:tc>
        <w:tc>
          <w:tcPr>
            <w:tcW w:w="1218" w:type="dxa"/>
            <w:vAlign w:val="center"/>
          </w:tcPr>
          <w:p w14:paraId="40916D6C" w14:textId="2100D9ED"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0.21</w:t>
            </w:r>
          </w:p>
        </w:tc>
        <w:tc>
          <w:tcPr>
            <w:tcW w:w="1586" w:type="dxa"/>
            <w:vAlign w:val="center"/>
          </w:tcPr>
          <w:p w14:paraId="261FA0F4" w14:textId="10DCC105" w:rsidR="00AF4DB5" w:rsidRPr="00AF4DB5" w:rsidRDefault="00AF4DB5" w:rsidP="00AF4DB5">
            <w:pPr>
              <w:jc w:val="center"/>
              <w:rPr>
                <w:rFonts w:eastAsiaTheme="minorEastAsia" w:cs="Times New Roman"/>
                <w:bCs/>
                <w:sz w:val="18"/>
                <w:szCs w:val="18"/>
              </w:rPr>
            </w:pPr>
            <w:r w:rsidRPr="00AF4DB5">
              <w:rPr>
                <w:rFonts w:cs="Times New Roman"/>
                <w:sz w:val="18"/>
                <w:szCs w:val="18"/>
              </w:rPr>
              <w:t>0.93 (0.81–1.07)</w:t>
            </w:r>
          </w:p>
        </w:tc>
        <w:tc>
          <w:tcPr>
            <w:tcW w:w="985" w:type="dxa"/>
            <w:vAlign w:val="center"/>
          </w:tcPr>
          <w:p w14:paraId="266E6684" w14:textId="4A21CBB6"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0.30</w:t>
            </w:r>
          </w:p>
        </w:tc>
      </w:tr>
      <w:tr w:rsidR="00AF4DB5" w14:paraId="3A6BFBC1" w14:textId="77777777" w:rsidTr="00A96723">
        <w:trPr>
          <w:cantSplit/>
        </w:trPr>
        <w:tc>
          <w:tcPr>
            <w:tcW w:w="2425" w:type="dxa"/>
          </w:tcPr>
          <w:p w14:paraId="6BD13805" w14:textId="6FB6D1C0" w:rsidR="00AF4DB5" w:rsidRPr="00E55A89" w:rsidRDefault="00AF4DB5" w:rsidP="0087399E">
            <w:pPr>
              <w:ind w:left="288"/>
              <w:rPr>
                <w:rFonts w:eastAsiaTheme="minorEastAsia" w:cs="Times New Roman"/>
                <w:bCs/>
                <w:sz w:val="20"/>
                <w:szCs w:val="20"/>
              </w:rPr>
            </w:pPr>
            <w:r w:rsidRPr="00E55A89">
              <w:rPr>
                <w:rFonts w:eastAsiaTheme="minorEastAsia" w:cs="Times New Roman"/>
                <w:bCs/>
                <w:sz w:val="20"/>
                <w:szCs w:val="20"/>
              </w:rPr>
              <w:t>Provider-documented</w:t>
            </w:r>
          </w:p>
        </w:tc>
        <w:tc>
          <w:tcPr>
            <w:tcW w:w="1260" w:type="dxa"/>
            <w:vAlign w:val="center"/>
          </w:tcPr>
          <w:p w14:paraId="545EFE51" w14:textId="6197ABFA"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32 (2.1)</w:t>
            </w:r>
          </w:p>
        </w:tc>
        <w:tc>
          <w:tcPr>
            <w:tcW w:w="1350" w:type="dxa"/>
            <w:vAlign w:val="center"/>
          </w:tcPr>
          <w:p w14:paraId="5B4F55D8" w14:textId="6C2F22EC"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87 (2.0)</w:t>
            </w:r>
          </w:p>
        </w:tc>
        <w:tc>
          <w:tcPr>
            <w:tcW w:w="1606" w:type="dxa"/>
            <w:vAlign w:val="center"/>
          </w:tcPr>
          <w:p w14:paraId="0D9D394E" w14:textId="092977F8"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1.00 (0.94-1.05)</w:t>
            </w:r>
          </w:p>
        </w:tc>
        <w:tc>
          <w:tcPr>
            <w:tcW w:w="1218" w:type="dxa"/>
            <w:vAlign w:val="center"/>
          </w:tcPr>
          <w:p w14:paraId="63AC2626" w14:textId="151EBFF3"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0.86</w:t>
            </w:r>
          </w:p>
        </w:tc>
        <w:tc>
          <w:tcPr>
            <w:tcW w:w="1586" w:type="dxa"/>
            <w:vAlign w:val="center"/>
          </w:tcPr>
          <w:p w14:paraId="5E405E36" w14:textId="7FE58B28" w:rsidR="00AF4DB5" w:rsidRPr="00AF4DB5" w:rsidRDefault="00AF4DB5" w:rsidP="00AF4DB5">
            <w:pPr>
              <w:jc w:val="center"/>
              <w:rPr>
                <w:rFonts w:eastAsiaTheme="minorEastAsia" w:cs="Times New Roman"/>
                <w:bCs/>
                <w:sz w:val="18"/>
                <w:szCs w:val="18"/>
              </w:rPr>
            </w:pPr>
            <w:r w:rsidRPr="00AF4DB5">
              <w:rPr>
                <w:rFonts w:cs="Times New Roman"/>
                <w:sz w:val="18"/>
                <w:szCs w:val="18"/>
              </w:rPr>
              <w:t>0.99 (0.94–1.05)</w:t>
            </w:r>
          </w:p>
        </w:tc>
        <w:tc>
          <w:tcPr>
            <w:tcW w:w="985" w:type="dxa"/>
            <w:vAlign w:val="center"/>
          </w:tcPr>
          <w:p w14:paraId="666B38B9" w14:textId="08AC7B5A"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0.85</w:t>
            </w:r>
          </w:p>
        </w:tc>
      </w:tr>
      <w:tr w:rsidR="00AF4DB5" w14:paraId="0DCEACA7" w14:textId="77777777" w:rsidTr="00A96723">
        <w:trPr>
          <w:cantSplit/>
        </w:trPr>
        <w:tc>
          <w:tcPr>
            <w:tcW w:w="2425" w:type="dxa"/>
          </w:tcPr>
          <w:p w14:paraId="0FC540A8" w14:textId="592766F1" w:rsidR="00AF4DB5" w:rsidRPr="00E55A89" w:rsidRDefault="00AF4DB5" w:rsidP="0087399E">
            <w:pPr>
              <w:ind w:left="288"/>
              <w:rPr>
                <w:rFonts w:eastAsiaTheme="minorEastAsia" w:cs="Times New Roman"/>
                <w:bCs/>
                <w:sz w:val="20"/>
                <w:szCs w:val="20"/>
              </w:rPr>
            </w:pPr>
            <w:r w:rsidRPr="00E55A89">
              <w:rPr>
                <w:rFonts w:eastAsiaTheme="minorEastAsia" w:cs="Times New Roman"/>
                <w:bCs/>
                <w:sz w:val="20"/>
                <w:szCs w:val="20"/>
              </w:rPr>
              <w:t>Patient-reported</w:t>
            </w:r>
          </w:p>
        </w:tc>
        <w:tc>
          <w:tcPr>
            <w:tcW w:w="1260" w:type="dxa"/>
            <w:vAlign w:val="center"/>
          </w:tcPr>
          <w:p w14:paraId="1D4E2BF9" w14:textId="09FF7B62"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26/1132 (2.3)</w:t>
            </w:r>
          </w:p>
        </w:tc>
        <w:tc>
          <w:tcPr>
            <w:tcW w:w="1350" w:type="dxa"/>
            <w:vAlign w:val="center"/>
          </w:tcPr>
          <w:p w14:paraId="5AF9B91C" w14:textId="0C7C8A12"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114/2460 (4.6)</w:t>
            </w:r>
          </w:p>
        </w:tc>
        <w:tc>
          <w:tcPr>
            <w:tcW w:w="1606" w:type="dxa"/>
            <w:vAlign w:val="center"/>
          </w:tcPr>
          <w:p w14:paraId="393F5637" w14:textId="59C323D1"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1.05 (1.02-1.08)</w:t>
            </w:r>
          </w:p>
        </w:tc>
        <w:tc>
          <w:tcPr>
            <w:tcW w:w="1218" w:type="dxa"/>
            <w:vAlign w:val="center"/>
          </w:tcPr>
          <w:p w14:paraId="4DDB5D29" w14:textId="245CF79F"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&lt;0.001</w:t>
            </w:r>
          </w:p>
        </w:tc>
        <w:tc>
          <w:tcPr>
            <w:tcW w:w="1586" w:type="dxa"/>
            <w:vAlign w:val="center"/>
          </w:tcPr>
          <w:p w14:paraId="7391DE49" w14:textId="241877C7" w:rsidR="00AF4DB5" w:rsidRPr="00AF4DB5" w:rsidRDefault="00AF4DB5" w:rsidP="00AF4DB5">
            <w:pPr>
              <w:jc w:val="center"/>
              <w:rPr>
                <w:rFonts w:eastAsiaTheme="minorEastAsia" w:cs="Times New Roman"/>
                <w:bCs/>
                <w:sz w:val="18"/>
                <w:szCs w:val="18"/>
              </w:rPr>
            </w:pPr>
            <w:r w:rsidRPr="00AF4DB5">
              <w:rPr>
                <w:rFonts w:cs="Times New Roman"/>
                <w:sz w:val="18"/>
                <w:szCs w:val="18"/>
              </w:rPr>
              <w:t>1.05 (1.02–1.08)</w:t>
            </w:r>
          </w:p>
        </w:tc>
        <w:tc>
          <w:tcPr>
            <w:tcW w:w="985" w:type="dxa"/>
            <w:vAlign w:val="center"/>
          </w:tcPr>
          <w:p w14:paraId="3E09820B" w14:textId="44E94A84" w:rsidR="00AF4DB5" w:rsidRPr="00AF4DB5" w:rsidRDefault="00AF4DB5" w:rsidP="00AF4DB5">
            <w:pPr>
              <w:jc w:val="center"/>
              <w:rPr>
                <w:rFonts w:eastAsiaTheme="minorEastAsia" w:cs="Times New Roman"/>
                <w:bCs/>
                <w:sz w:val="18"/>
                <w:szCs w:val="18"/>
              </w:rPr>
            </w:pPr>
            <w:r w:rsidRPr="00AF4DB5">
              <w:rPr>
                <w:rFonts w:ascii="Aptos" w:hAnsi="Aptos" w:cs="Times New Roman"/>
                <w:b/>
                <w:bCs/>
                <w:sz w:val="18"/>
                <w:szCs w:val="18"/>
              </w:rPr>
              <w:t>0.001</w:t>
            </w:r>
          </w:p>
        </w:tc>
      </w:tr>
      <w:tr w:rsidR="00AF4DB5" w14:paraId="1C42F4A8" w14:textId="77777777" w:rsidTr="00A96723">
        <w:trPr>
          <w:cantSplit/>
        </w:trPr>
        <w:tc>
          <w:tcPr>
            <w:tcW w:w="2425" w:type="dxa"/>
          </w:tcPr>
          <w:p w14:paraId="203A6290" w14:textId="7A8F2DCC" w:rsidR="00AF4DB5" w:rsidRPr="00E55A89" w:rsidRDefault="00AF4DB5" w:rsidP="00AF4DB5">
            <w:pPr>
              <w:rPr>
                <w:rFonts w:eastAsiaTheme="minorEastAsia" w:cs="Times New Roman"/>
                <w:bCs/>
                <w:sz w:val="20"/>
                <w:szCs w:val="20"/>
              </w:rPr>
            </w:pPr>
            <w:r w:rsidRPr="00E55A89">
              <w:rPr>
                <w:rFonts w:eastAsiaTheme="minorEastAsia" w:cs="Times New Roman"/>
                <w:bCs/>
                <w:sz w:val="20"/>
                <w:szCs w:val="20"/>
              </w:rPr>
              <w:t>Composite adverse outcome</w:t>
            </w:r>
          </w:p>
        </w:tc>
        <w:tc>
          <w:tcPr>
            <w:tcW w:w="1260" w:type="dxa"/>
            <w:vAlign w:val="center"/>
          </w:tcPr>
          <w:p w14:paraId="7AE3F557" w14:textId="40114D49"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499 (23.9)</w:t>
            </w:r>
          </w:p>
        </w:tc>
        <w:tc>
          <w:tcPr>
            <w:tcW w:w="1350" w:type="dxa"/>
            <w:vAlign w:val="center"/>
          </w:tcPr>
          <w:p w14:paraId="1648124E" w14:textId="370CF171"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897 (20.4)</w:t>
            </w:r>
          </w:p>
        </w:tc>
        <w:tc>
          <w:tcPr>
            <w:tcW w:w="1606" w:type="dxa"/>
            <w:vAlign w:val="center"/>
          </w:tcPr>
          <w:p w14:paraId="65F2EC03" w14:textId="6324F17A"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0.98 (0.96-1.00)</w:t>
            </w:r>
          </w:p>
        </w:tc>
        <w:tc>
          <w:tcPr>
            <w:tcW w:w="1218" w:type="dxa"/>
            <w:vAlign w:val="center"/>
          </w:tcPr>
          <w:p w14:paraId="33551957" w14:textId="239846FD" w:rsidR="00AF4DB5" w:rsidRPr="00AF4DB5" w:rsidRDefault="00AF4DB5" w:rsidP="00AF4DB5">
            <w:pPr>
              <w:jc w:val="center"/>
              <w:rPr>
                <w:rFonts w:eastAsiaTheme="minorEastAsia" w:cs="Times New Roman"/>
                <w:bCs/>
                <w:sz w:val="18"/>
                <w:szCs w:val="18"/>
              </w:rPr>
            </w:pPr>
            <w:r w:rsidRPr="00AF4DB5">
              <w:rPr>
                <w:rFonts w:eastAsiaTheme="minorEastAsia" w:cs="Times New Roman"/>
                <w:bCs/>
                <w:sz w:val="18"/>
                <w:szCs w:val="18"/>
              </w:rPr>
              <w:t>0.078</w:t>
            </w:r>
          </w:p>
        </w:tc>
        <w:tc>
          <w:tcPr>
            <w:tcW w:w="1586" w:type="dxa"/>
            <w:vAlign w:val="center"/>
          </w:tcPr>
          <w:p w14:paraId="62B9E7CF" w14:textId="59B7E149" w:rsidR="00AF4DB5" w:rsidRPr="00AF4DB5" w:rsidRDefault="00AF4DB5" w:rsidP="00AF4DB5">
            <w:pPr>
              <w:jc w:val="center"/>
              <w:rPr>
                <w:rFonts w:eastAsiaTheme="minorEastAsia" w:cs="Times New Roman"/>
                <w:bCs/>
                <w:sz w:val="18"/>
                <w:szCs w:val="18"/>
              </w:rPr>
            </w:pPr>
            <w:r w:rsidRPr="00AF4DB5">
              <w:rPr>
                <w:rFonts w:cs="Times New Roman"/>
                <w:sz w:val="18"/>
                <w:szCs w:val="18"/>
              </w:rPr>
              <w:t>0.99 (0.97–1.01)</w:t>
            </w:r>
          </w:p>
        </w:tc>
        <w:tc>
          <w:tcPr>
            <w:tcW w:w="985" w:type="dxa"/>
            <w:vAlign w:val="center"/>
          </w:tcPr>
          <w:p w14:paraId="10FEDBCD" w14:textId="5896ACFD" w:rsidR="00AF4DB5" w:rsidRPr="00AF4DB5" w:rsidRDefault="00AF4DB5" w:rsidP="00AF4DB5">
            <w:pPr>
              <w:jc w:val="center"/>
              <w:rPr>
                <w:rFonts w:eastAsiaTheme="minorEastAsia" w:cs="Times New Roman"/>
                <w:bCs/>
                <w:sz w:val="18"/>
                <w:szCs w:val="18"/>
              </w:rPr>
            </w:pPr>
            <w:r w:rsidRPr="00AF4DB5">
              <w:rPr>
                <w:rFonts w:ascii="Aptos" w:hAnsi="Aptos" w:cs="Times New Roman"/>
                <w:sz w:val="18"/>
                <w:szCs w:val="18"/>
              </w:rPr>
              <w:t>0.40</w:t>
            </w:r>
          </w:p>
        </w:tc>
      </w:tr>
    </w:tbl>
    <w:p w14:paraId="6D1A1777" w14:textId="77777777" w:rsidR="0062202B" w:rsidRPr="00AF4DB5" w:rsidRDefault="0062202B" w:rsidP="0062202B">
      <w:pPr>
        <w:spacing w:after="0" w:line="240" w:lineRule="auto"/>
        <w:rPr>
          <w:rFonts w:cs="Times New Roman"/>
          <w:sz w:val="18"/>
          <w:szCs w:val="18"/>
        </w:rPr>
      </w:pPr>
      <w:r w:rsidRPr="00AF4DB5">
        <w:rPr>
          <w:rFonts w:cs="Times New Roman"/>
          <w:sz w:val="18"/>
          <w:szCs w:val="18"/>
        </w:rPr>
        <w:t>OR = odds ratio.</w:t>
      </w:r>
    </w:p>
    <w:p w14:paraId="1D031BD4" w14:textId="77777777" w:rsidR="0062202B" w:rsidRPr="00AF4DB5" w:rsidRDefault="0062202B" w:rsidP="0062202B">
      <w:pPr>
        <w:spacing w:after="0" w:line="240" w:lineRule="auto"/>
        <w:rPr>
          <w:rFonts w:eastAsiaTheme="minorEastAsia" w:cs="Times New Roman"/>
          <w:bCs/>
          <w:iCs/>
          <w:sz w:val="18"/>
          <w:szCs w:val="18"/>
        </w:rPr>
      </w:pPr>
      <w:r w:rsidRPr="00AF4DB5">
        <w:rPr>
          <w:rFonts w:cs="Times New Roman"/>
          <w:sz w:val="18"/>
          <w:szCs w:val="18"/>
        </w:rPr>
        <w:t>Outcomes were collected via the medical record and a follow-up telephone call at 30 d, and their associations with number of excess days of antibiotic treatment are shown. Outcomes were adjusted for hospital clustering, were inverse probability of treatment weighted, and were adjusted for known predictors of the outcome.</w:t>
      </w:r>
    </w:p>
    <w:p w14:paraId="4F4FE96B" w14:textId="1A00A946" w:rsidR="00250AC3" w:rsidRPr="00AF4DB5" w:rsidRDefault="0062202B" w:rsidP="0062202B">
      <w:pPr>
        <w:rPr>
          <w:sz w:val="18"/>
          <w:szCs w:val="18"/>
        </w:rPr>
      </w:pPr>
      <w:r w:rsidRPr="00AF4DB5">
        <w:rPr>
          <w:rFonts w:cs="Times New Roman"/>
          <w:sz w:val="18"/>
          <w:szCs w:val="18"/>
        </w:rPr>
        <w:t>*Proportions shown are among patients who were able to be reached by telephon</w:t>
      </w:r>
      <w:r w:rsidR="00E55A89" w:rsidRPr="00AF4DB5">
        <w:rPr>
          <w:rFonts w:cs="Times New Roman"/>
          <w:sz w:val="18"/>
          <w:szCs w:val="18"/>
        </w:rPr>
        <w:t>e</w:t>
      </w:r>
      <w:bookmarkEnd w:id="12"/>
    </w:p>
    <w:sectPr w:rsidR="00250AC3" w:rsidRPr="00AF4DB5" w:rsidSect="00AF4DB5">
      <w:footerReference w:type="default" r:id="rId8"/>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582B1" w14:textId="77777777" w:rsidR="00294005" w:rsidRDefault="00294005">
      <w:pPr>
        <w:spacing w:after="0" w:line="240" w:lineRule="auto"/>
      </w:pPr>
      <w:r>
        <w:separator/>
      </w:r>
    </w:p>
  </w:endnote>
  <w:endnote w:type="continuationSeparator" w:id="0">
    <w:p w14:paraId="1FA5C41D" w14:textId="77777777" w:rsidR="00294005" w:rsidRDefault="0029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9695336"/>
      <w:docPartObj>
        <w:docPartGallery w:val="Page Numbers (Bottom of Page)"/>
        <w:docPartUnique/>
      </w:docPartObj>
    </w:sdtPr>
    <w:sdtEndPr>
      <w:rPr>
        <w:noProof/>
      </w:rPr>
    </w:sdtEndPr>
    <w:sdtContent>
      <w:p w14:paraId="36F15291" w14:textId="77777777" w:rsidR="005804C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95659" w14:textId="77777777" w:rsidR="005804C4" w:rsidRDefault="0058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D8B2B" w14:textId="77777777" w:rsidR="00294005" w:rsidRDefault="00294005">
      <w:pPr>
        <w:spacing w:after="0" w:line="240" w:lineRule="auto"/>
      </w:pPr>
      <w:r>
        <w:separator/>
      </w:r>
    </w:p>
  </w:footnote>
  <w:footnote w:type="continuationSeparator" w:id="0">
    <w:p w14:paraId="56A2DF61" w14:textId="77777777" w:rsidR="00294005" w:rsidRDefault="00294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D2F"/>
    <w:multiLevelType w:val="hybridMultilevel"/>
    <w:tmpl w:val="3F3E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5448E"/>
    <w:multiLevelType w:val="hybridMultilevel"/>
    <w:tmpl w:val="79B4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B4E18"/>
    <w:multiLevelType w:val="hybridMultilevel"/>
    <w:tmpl w:val="7CAA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24197"/>
    <w:multiLevelType w:val="hybridMultilevel"/>
    <w:tmpl w:val="0F2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10310"/>
    <w:multiLevelType w:val="hybridMultilevel"/>
    <w:tmpl w:val="6A2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507453">
    <w:abstractNumId w:val="3"/>
  </w:num>
  <w:num w:numId="2" w16cid:durableId="1830368622">
    <w:abstractNumId w:val="4"/>
  </w:num>
  <w:num w:numId="3" w16cid:durableId="920480662">
    <w:abstractNumId w:val="2"/>
  </w:num>
  <w:num w:numId="4" w16cid:durableId="1435519167">
    <w:abstractNumId w:val="0"/>
  </w:num>
  <w:num w:numId="5" w16cid:durableId="728843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C3"/>
    <w:rsid w:val="001F0738"/>
    <w:rsid w:val="00250AC3"/>
    <w:rsid w:val="0027760F"/>
    <w:rsid w:val="00294005"/>
    <w:rsid w:val="00404CD9"/>
    <w:rsid w:val="00431C1D"/>
    <w:rsid w:val="004C3D07"/>
    <w:rsid w:val="004D0EFE"/>
    <w:rsid w:val="00504439"/>
    <w:rsid w:val="005804C4"/>
    <w:rsid w:val="0058381B"/>
    <w:rsid w:val="005A3625"/>
    <w:rsid w:val="005B0B0B"/>
    <w:rsid w:val="005C2A94"/>
    <w:rsid w:val="0062202B"/>
    <w:rsid w:val="0067686B"/>
    <w:rsid w:val="00681EF2"/>
    <w:rsid w:val="00754C0A"/>
    <w:rsid w:val="00762ED5"/>
    <w:rsid w:val="0078375B"/>
    <w:rsid w:val="0087399E"/>
    <w:rsid w:val="008815A7"/>
    <w:rsid w:val="00892633"/>
    <w:rsid w:val="008B63B9"/>
    <w:rsid w:val="008C5A0B"/>
    <w:rsid w:val="00917DED"/>
    <w:rsid w:val="009A38BA"/>
    <w:rsid w:val="00A169E8"/>
    <w:rsid w:val="00A664D4"/>
    <w:rsid w:val="00A96723"/>
    <w:rsid w:val="00AF4DB5"/>
    <w:rsid w:val="00B9548A"/>
    <w:rsid w:val="00BC61C4"/>
    <w:rsid w:val="00CB54CD"/>
    <w:rsid w:val="00D32D08"/>
    <w:rsid w:val="00E55A89"/>
    <w:rsid w:val="00E752DD"/>
    <w:rsid w:val="00F307B1"/>
    <w:rsid w:val="00FB0FEC"/>
    <w:rsid w:val="00FB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970D"/>
  <w15:chartTrackingRefBased/>
  <w15:docId w15:val="{83011FF9-EAD2-4CFB-B5E5-864E9AF1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2B"/>
  </w:style>
  <w:style w:type="paragraph" w:styleId="Heading1">
    <w:name w:val="heading 1"/>
    <w:basedOn w:val="Normal"/>
    <w:next w:val="Normal"/>
    <w:link w:val="Heading1Char"/>
    <w:uiPriority w:val="9"/>
    <w:qFormat/>
    <w:rsid w:val="00250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C3"/>
    <w:rPr>
      <w:rFonts w:eastAsiaTheme="majorEastAsia" w:cstheme="majorBidi"/>
      <w:color w:val="272727" w:themeColor="text1" w:themeTint="D8"/>
    </w:rPr>
  </w:style>
  <w:style w:type="paragraph" w:styleId="Title">
    <w:name w:val="Title"/>
    <w:basedOn w:val="Normal"/>
    <w:next w:val="Normal"/>
    <w:link w:val="TitleChar"/>
    <w:uiPriority w:val="10"/>
    <w:qFormat/>
    <w:rsid w:val="00250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C3"/>
    <w:pPr>
      <w:spacing w:before="160"/>
      <w:jc w:val="center"/>
    </w:pPr>
    <w:rPr>
      <w:i/>
      <w:iCs/>
      <w:color w:val="404040" w:themeColor="text1" w:themeTint="BF"/>
    </w:rPr>
  </w:style>
  <w:style w:type="character" w:customStyle="1" w:styleId="QuoteChar">
    <w:name w:val="Quote Char"/>
    <w:basedOn w:val="DefaultParagraphFont"/>
    <w:link w:val="Quote"/>
    <w:uiPriority w:val="29"/>
    <w:rsid w:val="00250AC3"/>
    <w:rPr>
      <w:i/>
      <w:iCs/>
      <w:color w:val="404040" w:themeColor="text1" w:themeTint="BF"/>
    </w:rPr>
  </w:style>
  <w:style w:type="paragraph" w:styleId="ListParagraph">
    <w:name w:val="List Paragraph"/>
    <w:basedOn w:val="Normal"/>
    <w:link w:val="ListParagraphChar"/>
    <w:uiPriority w:val="34"/>
    <w:qFormat/>
    <w:rsid w:val="00250AC3"/>
    <w:pPr>
      <w:ind w:left="720"/>
      <w:contextualSpacing/>
    </w:pPr>
  </w:style>
  <w:style w:type="character" w:styleId="IntenseEmphasis">
    <w:name w:val="Intense Emphasis"/>
    <w:basedOn w:val="DefaultParagraphFont"/>
    <w:uiPriority w:val="21"/>
    <w:qFormat/>
    <w:rsid w:val="00250AC3"/>
    <w:rPr>
      <w:i/>
      <w:iCs/>
      <w:color w:val="0F4761" w:themeColor="accent1" w:themeShade="BF"/>
    </w:rPr>
  </w:style>
  <w:style w:type="paragraph" w:styleId="IntenseQuote">
    <w:name w:val="Intense Quote"/>
    <w:basedOn w:val="Normal"/>
    <w:next w:val="Normal"/>
    <w:link w:val="IntenseQuoteChar"/>
    <w:uiPriority w:val="30"/>
    <w:qFormat/>
    <w:rsid w:val="00250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C3"/>
    <w:rPr>
      <w:i/>
      <w:iCs/>
      <w:color w:val="0F4761" w:themeColor="accent1" w:themeShade="BF"/>
    </w:rPr>
  </w:style>
  <w:style w:type="character" w:styleId="IntenseReference">
    <w:name w:val="Intense Reference"/>
    <w:basedOn w:val="DefaultParagraphFont"/>
    <w:uiPriority w:val="32"/>
    <w:qFormat/>
    <w:rsid w:val="00250AC3"/>
    <w:rPr>
      <w:b/>
      <w:bCs/>
      <w:smallCaps/>
      <w:color w:val="0F4761" w:themeColor="accent1" w:themeShade="BF"/>
      <w:spacing w:val="5"/>
    </w:rPr>
  </w:style>
  <w:style w:type="paragraph" w:styleId="BodyText">
    <w:name w:val="Body Text"/>
    <w:basedOn w:val="Normal"/>
    <w:link w:val="BodyTextChar"/>
    <w:uiPriority w:val="1"/>
    <w:qFormat/>
    <w:rsid w:val="0062202B"/>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62202B"/>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62202B"/>
    <w:rPr>
      <w:sz w:val="16"/>
      <w:szCs w:val="16"/>
    </w:rPr>
  </w:style>
  <w:style w:type="paragraph" w:styleId="CommentText">
    <w:name w:val="annotation text"/>
    <w:basedOn w:val="Normal"/>
    <w:link w:val="CommentTextChar"/>
    <w:uiPriority w:val="99"/>
    <w:unhideWhenUsed/>
    <w:rsid w:val="0062202B"/>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62202B"/>
    <w:rPr>
      <w:rFonts w:ascii="Arial" w:eastAsia="Arial" w:hAnsi="Arial" w:cs="Arial"/>
      <w:kern w:val="0"/>
      <w:sz w:val="20"/>
      <w:szCs w:val="20"/>
      <w14:ligatures w14:val="none"/>
    </w:rPr>
  </w:style>
  <w:style w:type="table" w:styleId="TableGrid">
    <w:name w:val="Table Grid"/>
    <w:basedOn w:val="TableNormal"/>
    <w:uiPriority w:val="39"/>
    <w:rsid w:val="006220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2202B"/>
    <w:pPr>
      <w:spacing w:after="0" w:line="240" w:lineRule="auto"/>
    </w:pPr>
    <w:rPr>
      <w:sz w:val="22"/>
      <w:szCs w:val="22"/>
    </w:rPr>
  </w:style>
  <w:style w:type="table" w:styleId="GridTable1Light">
    <w:name w:val="Grid Table 1 Light"/>
    <w:basedOn w:val="TableNormal"/>
    <w:uiPriority w:val="46"/>
    <w:rsid w:val="0062202B"/>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2202B"/>
    <w:pPr>
      <w:spacing w:before="100" w:beforeAutospacing="1" w:after="100" w:afterAutospacing="1" w:line="240" w:lineRule="auto"/>
    </w:pPr>
    <w:rPr>
      <w:rFonts w:ascii="Calibri" w:hAnsi="Calibri" w:cs="Calibri"/>
      <w:kern w:val="0"/>
      <w:sz w:val="22"/>
      <w:szCs w:val="22"/>
      <w14:ligatures w14:val="none"/>
    </w:rPr>
  </w:style>
  <w:style w:type="character" w:styleId="Hyperlink">
    <w:name w:val="Hyperlink"/>
    <w:basedOn w:val="DefaultParagraphFont"/>
    <w:uiPriority w:val="99"/>
    <w:unhideWhenUsed/>
    <w:rsid w:val="0062202B"/>
    <w:rPr>
      <w:color w:val="467886" w:themeColor="hyperlink"/>
      <w:u w:val="single"/>
    </w:rPr>
  </w:style>
  <w:style w:type="character" w:customStyle="1" w:styleId="ListParagraphChar">
    <w:name w:val="List Paragraph Char"/>
    <w:link w:val="ListParagraph"/>
    <w:uiPriority w:val="34"/>
    <w:rsid w:val="0062202B"/>
  </w:style>
  <w:style w:type="paragraph" w:styleId="Header">
    <w:name w:val="header"/>
    <w:basedOn w:val="Normal"/>
    <w:link w:val="HeaderChar"/>
    <w:uiPriority w:val="99"/>
    <w:unhideWhenUsed/>
    <w:rsid w:val="00622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02B"/>
  </w:style>
  <w:style w:type="paragraph" w:styleId="Footer">
    <w:name w:val="footer"/>
    <w:basedOn w:val="Normal"/>
    <w:link w:val="FooterChar"/>
    <w:uiPriority w:val="99"/>
    <w:unhideWhenUsed/>
    <w:rsid w:val="00622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02B"/>
  </w:style>
  <w:style w:type="table" w:customStyle="1" w:styleId="GridTable1Light1">
    <w:name w:val="Grid Table 1 Light1"/>
    <w:basedOn w:val="TableNormal"/>
    <w:uiPriority w:val="46"/>
    <w:rsid w:val="0062202B"/>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62202B"/>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2202B"/>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4</cp:revision>
  <dcterms:created xsi:type="dcterms:W3CDTF">2024-10-31T23:04:00Z</dcterms:created>
  <dcterms:modified xsi:type="dcterms:W3CDTF">2024-11-11T16:54:00Z</dcterms:modified>
</cp:coreProperties>
</file>