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48C45" w14:textId="05587209" w:rsidR="00C04AA8" w:rsidRPr="009100AB" w:rsidRDefault="009100AB" w:rsidP="00C04AA8">
      <w:pPr>
        <w:spacing w:after="120" w:line="240" w:lineRule="auto"/>
        <w:rPr>
          <w:rFonts w:ascii="Arial" w:hAnsi="Arial" w:cs="Arial"/>
          <w:b/>
          <w:bCs/>
          <w:sz w:val="24"/>
          <w:szCs w:val="24"/>
        </w:rPr>
      </w:pPr>
      <w:r w:rsidRPr="009100AB">
        <w:rPr>
          <w:rFonts w:ascii="Arial" w:hAnsi="Arial" w:cs="Arial"/>
          <w:b/>
          <w:bCs/>
          <w:sz w:val="24"/>
          <w:szCs w:val="24"/>
        </w:rPr>
        <w:t>CBE 0642</w:t>
      </w:r>
      <w:r>
        <w:rPr>
          <w:rFonts w:ascii="Arial" w:hAnsi="Arial" w:cs="Arial"/>
          <w:sz w:val="24"/>
          <w:szCs w:val="24"/>
        </w:rPr>
        <w:t xml:space="preserve"> </w:t>
      </w:r>
      <w:r w:rsidRPr="009100AB">
        <w:rPr>
          <w:rFonts w:ascii="Arial" w:hAnsi="Arial" w:cs="Arial"/>
          <w:b/>
          <w:bCs/>
          <w:sz w:val="24"/>
          <w:szCs w:val="24"/>
        </w:rPr>
        <w:t xml:space="preserve">Cardiac Rehabilitation Patient Referral </w:t>
      </w:r>
      <w:r>
        <w:rPr>
          <w:rFonts w:ascii="Arial" w:hAnsi="Arial" w:cs="Arial"/>
          <w:b/>
          <w:bCs/>
          <w:sz w:val="24"/>
          <w:szCs w:val="24"/>
        </w:rPr>
        <w:t>f</w:t>
      </w:r>
      <w:r w:rsidRPr="009100AB">
        <w:rPr>
          <w:rFonts w:ascii="Arial" w:hAnsi="Arial" w:cs="Arial"/>
          <w:b/>
          <w:bCs/>
          <w:sz w:val="24"/>
          <w:szCs w:val="24"/>
        </w:rPr>
        <w:t>rom an Inpatient Setting</w:t>
      </w:r>
    </w:p>
    <w:p w14:paraId="060A9DF4" w14:textId="1E06C6E1" w:rsidR="009100AB" w:rsidRDefault="009100AB" w:rsidP="009100AB">
      <w:pPr>
        <w:spacing w:after="120" w:line="240" w:lineRule="auto"/>
        <w:rPr>
          <w:rFonts w:ascii="Arial" w:hAnsi="Arial" w:cs="Arial"/>
          <w:sz w:val="20"/>
          <w:szCs w:val="20"/>
        </w:rPr>
      </w:pPr>
      <w:r w:rsidRPr="009100AB">
        <w:rPr>
          <w:rFonts w:ascii="Arial" w:hAnsi="Arial" w:cs="Arial"/>
          <w:sz w:val="20"/>
          <w:szCs w:val="20"/>
        </w:rPr>
        <w:t>Percentage of patients aged 18 years and older admitted to a hospital with a primary diagnosis of an acute myocardial infarction or chronic stable angina or who during hospitalization have undergone coronary artery bypass (CABG) surgery, a percutaneous coronary intervention (PCI), cardiac valve surgery (CVS), or cardiac transplantation who are referred to an early outpatient cardiac rehabilitation/secondary prevention program.</w:t>
      </w:r>
    </w:p>
    <w:p w14:paraId="30A332FE" w14:textId="77777777" w:rsidR="006C1662" w:rsidRPr="006C1662" w:rsidRDefault="006C1662" w:rsidP="009100AB">
      <w:pPr>
        <w:spacing w:after="120" w:line="240" w:lineRule="auto"/>
        <w:rPr>
          <w:rFonts w:ascii="Arial" w:hAnsi="Arial" w:cs="Arial"/>
          <w:sz w:val="20"/>
          <w:szCs w:val="20"/>
        </w:rPr>
      </w:pPr>
    </w:p>
    <w:p w14:paraId="225F143E" w14:textId="21D90667" w:rsidR="006C1662" w:rsidRDefault="006C1662" w:rsidP="009100AB">
      <w:pPr>
        <w:spacing w:after="120" w:line="240" w:lineRule="auto"/>
        <w:rPr>
          <w:rFonts w:ascii="Arial" w:eastAsia="Times New Roman" w:hAnsi="Arial" w:cs="Arial"/>
          <w:color w:val="000000" w:themeColor="text1"/>
          <w:kern w:val="0"/>
          <w:sz w:val="20"/>
          <w:szCs w:val="20"/>
          <w14:ligatures w14:val="none"/>
        </w:rPr>
      </w:pPr>
      <w:r w:rsidRPr="006C1662">
        <w:rPr>
          <w:rFonts w:ascii="Arial" w:hAnsi="Arial" w:cs="Arial"/>
          <w:b/>
          <w:bCs/>
          <w:sz w:val="20"/>
          <w:szCs w:val="20"/>
        </w:rPr>
        <w:t>Summary:</w:t>
      </w:r>
      <w:r w:rsidRPr="006C1662">
        <w:rPr>
          <w:rFonts w:ascii="Arial" w:hAnsi="Arial" w:cs="Arial"/>
          <w:sz w:val="20"/>
          <w:szCs w:val="20"/>
        </w:rPr>
        <w:t xml:space="preserve"> Referrals for cardiac rehabilitation/secondary prevention programs continue to be underutilized for those patients for whom these services would improve their quality of life, decrease complications and death, and reduce unnecessary costs to the patient and </w:t>
      </w:r>
      <w:r w:rsidRPr="00000251">
        <w:rPr>
          <w:rFonts w:ascii="Arial" w:hAnsi="Arial" w:cs="Arial"/>
          <w:color w:val="000000" w:themeColor="text1"/>
          <w:sz w:val="20"/>
          <w:szCs w:val="20"/>
        </w:rPr>
        <w:t>system (Dibben, 2021). Hospitals that participate in the NCDR registries</w:t>
      </w:r>
      <w:r w:rsidR="008D7C4E">
        <w:rPr>
          <w:rFonts w:ascii="Arial" w:hAnsi="Arial" w:cs="Arial"/>
          <w:color w:val="000000" w:themeColor="text1"/>
          <w:sz w:val="20"/>
          <w:szCs w:val="20"/>
        </w:rPr>
        <w:t xml:space="preserve"> and report on this measure</w:t>
      </w:r>
      <w:r w:rsidRPr="00000251">
        <w:rPr>
          <w:rFonts w:ascii="Arial" w:hAnsi="Arial" w:cs="Arial"/>
          <w:color w:val="000000" w:themeColor="text1"/>
          <w:sz w:val="20"/>
          <w:szCs w:val="20"/>
        </w:rPr>
        <w:t xml:space="preserve"> and/or conduct quality improvement activities such as convening multidisciplinary teams or implementing standardized protocols and health information technology solutions (</w:t>
      </w:r>
      <w:r w:rsidRPr="006C1662">
        <w:rPr>
          <w:rFonts w:ascii="Arial" w:eastAsia="Times New Roman" w:hAnsi="Arial" w:cs="Arial"/>
          <w:color w:val="000000" w:themeColor="text1"/>
          <w:kern w:val="0"/>
          <w:sz w:val="20"/>
          <w:szCs w:val="20"/>
          <w14:ligatures w14:val="none"/>
        </w:rPr>
        <w:t>Adusumalli</w:t>
      </w:r>
      <w:r w:rsidRPr="00000251">
        <w:rPr>
          <w:rFonts w:ascii="Arial" w:eastAsia="Times New Roman" w:hAnsi="Arial" w:cs="Arial"/>
          <w:color w:val="000000" w:themeColor="text1"/>
          <w:kern w:val="0"/>
          <w:sz w:val="20"/>
          <w:szCs w:val="20"/>
          <w14:ligatures w14:val="none"/>
        </w:rPr>
        <w:t>, 2021; Whitlier, 2024)</w:t>
      </w:r>
      <w:r w:rsidR="00000251">
        <w:rPr>
          <w:rFonts w:ascii="Arial" w:eastAsia="Times New Roman" w:hAnsi="Arial" w:cs="Arial"/>
          <w:color w:val="000000" w:themeColor="text1"/>
          <w:kern w:val="0"/>
          <w:sz w:val="20"/>
          <w:szCs w:val="20"/>
          <w14:ligatures w14:val="none"/>
        </w:rPr>
        <w:t xml:space="preserve"> </w:t>
      </w:r>
      <w:r w:rsidR="008D7C4E">
        <w:rPr>
          <w:rFonts w:ascii="Arial" w:eastAsia="Times New Roman" w:hAnsi="Arial" w:cs="Arial"/>
          <w:color w:val="000000" w:themeColor="text1"/>
          <w:kern w:val="0"/>
          <w:sz w:val="20"/>
          <w:szCs w:val="20"/>
          <w14:ligatures w14:val="none"/>
        </w:rPr>
        <w:t>can</w:t>
      </w:r>
      <w:r w:rsidR="00000251">
        <w:rPr>
          <w:rFonts w:ascii="Arial" w:eastAsia="Times New Roman" w:hAnsi="Arial" w:cs="Arial"/>
          <w:color w:val="000000" w:themeColor="text1"/>
          <w:kern w:val="0"/>
          <w:sz w:val="20"/>
          <w:szCs w:val="20"/>
          <w14:ligatures w14:val="none"/>
        </w:rPr>
        <w:t xml:space="preserve"> improve referral rates and ultimately </w:t>
      </w:r>
      <w:r w:rsidR="00EC0664">
        <w:rPr>
          <w:rFonts w:ascii="Arial" w:eastAsia="Times New Roman" w:hAnsi="Arial" w:cs="Arial"/>
          <w:color w:val="000000" w:themeColor="text1"/>
          <w:kern w:val="0"/>
          <w:sz w:val="20"/>
          <w:szCs w:val="20"/>
          <w14:ligatures w14:val="none"/>
        </w:rPr>
        <w:t>drive higher quality and better patient outcomes</w:t>
      </w:r>
      <w:r w:rsidRPr="00000251">
        <w:rPr>
          <w:rFonts w:ascii="Arial" w:eastAsia="Times New Roman" w:hAnsi="Arial" w:cs="Arial"/>
          <w:color w:val="000000" w:themeColor="text1"/>
          <w:kern w:val="0"/>
          <w:sz w:val="20"/>
          <w:szCs w:val="20"/>
          <w14:ligatures w14:val="none"/>
        </w:rPr>
        <w:t>.</w:t>
      </w:r>
    </w:p>
    <w:p w14:paraId="7D976F94" w14:textId="77777777" w:rsidR="008D7C4E" w:rsidRPr="009100AB" w:rsidRDefault="008D7C4E" w:rsidP="009100AB">
      <w:pPr>
        <w:spacing w:after="120" w:line="240" w:lineRule="auto"/>
        <w:rPr>
          <w:rFonts w:ascii="Arial" w:hAnsi="Arial" w:cs="Arial"/>
          <w:color w:val="000000" w:themeColor="text1"/>
          <w:sz w:val="20"/>
          <w:szCs w:val="20"/>
        </w:rPr>
      </w:pPr>
    </w:p>
    <w:tbl>
      <w:tblPr>
        <w:tblStyle w:val="TableGrid"/>
        <w:tblW w:w="12952" w:type="dxa"/>
        <w:tblBorders>
          <w:top w:val="single" w:sz="6" w:space="0" w:color="auto"/>
          <w:left w:val="single" w:sz="6" w:space="0" w:color="auto"/>
          <w:bottom w:val="single" w:sz="6" w:space="0" w:color="auto"/>
          <w:right w:val="single" w:sz="6" w:space="0" w:color="auto"/>
        </w:tblBorders>
        <w:tblLayout w:type="fixed"/>
        <w:tblCellMar>
          <w:top w:w="58" w:type="dxa"/>
          <w:left w:w="58" w:type="dxa"/>
          <w:bottom w:w="58" w:type="dxa"/>
          <w:right w:w="58" w:type="dxa"/>
        </w:tblCellMar>
        <w:tblLook w:val="04A0" w:firstRow="1" w:lastRow="0" w:firstColumn="1" w:lastColumn="0" w:noHBand="0" w:noVBand="1"/>
      </w:tblPr>
      <w:tblGrid>
        <w:gridCol w:w="2160"/>
        <w:gridCol w:w="2160"/>
        <w:gridCol w:w="2160"/>
        <w:gridCol w:w="6472"/>
      </w:tblGrid>
      <w:tr w:rsidR="00B9552F" w:rsidRPr="00C04AA8" w14:paraId="351E6B52" w14:textId="77777777" w:rsidTr="00B9552F">
        <w:trPr>
          <w:cantSplit/>
        </w:trPr>
        <w:tc>
          <w:tcPr>
            <w:tcW w:w="2160" w:type="dxa"/>
            <w:shd w:val="clear" w:color="auto" w:fill="3F6CA9"/>
            <w:tcMar>
              <w:top w:w="58" w:type="dxa"/>
              <w:left w:w="58" w:type="dxa"/>
              <w:bottom w:w="58" w:type="dxa"/>
              <w:right w:w="58" w:type="dxa"/>
            </w:tcMar>
            <w:vAlign w:val="center"/>
          </w:tcPr>
          <w:p w14:paraId="133E7F7A" w14:textId="4A586C7D" w:rsidR="00B9552F" w:rsidRPr="00C04AA8" w:rsidRDefault="00B9552F" w:rsidP="00C04AA8">
            <w:pPr>
              <w:rPr>
                <w:rFonts w:ascii="Arial" w:eastAsia="Calibri" w:hAnsi="Arial" w:cs="Arial"/>
                <w:b/>
                <w:color w:val="FFFFFF"/>
                <w:sz w:val="20"/>
                <w:szCs w:val="20"/>
              </w:rPr>
            </w:pPr>
            <w:r w:rsidRPr="00C04AA8">
              <w:rPr>
                <w:rFonts w:ascii="Arial" w:eastAsia="Calibri" w:hAnsi="Arial" w:cs="Arial"/>
                <w:b/>
                <w:color w:val="FFFFFF"/>
                <w:sz w:val="20"/>
                <w:szCs w:val="20"/>
              </w:rPr>
              <w:t>Inputs</w:t>
            </w:r>
          </w:p>
        </w:tc>
        <w:tc>
          <w:tcPr>
            <w:tcW w:w="2160" w:type="dxa"/>
            <w:shd w:val="clear" w:color="auto" w:fill="3F6CA9"/>
            <w:tcMar>
              <w:top w:w="58" w:type="dxa"/>
              <w:left w:w="58" w:type="dxa"/>
              <w:bottom w:w="58" w:type="dxa"/>
              <w:right w:w="58" w:type="dxa"/>
            </w:tcMar>
            <w:vAlign w:val="center"/>
          </w:tcPr>
          <w:p w14:paraId="5FAD28C3" w14:textId="77777777" w:rsidR="00B9552F" w:rsidRPr="00C04AA8" w:rsidRDefault="00B9552F" w:rsidP="00C04AA8">
            <w:pPr>
              <w:rPr>
                <w:rFonts w:ascii="Arial" w:eastAsia="Calibri" w:hAnsi="Arial" w:cs="Arial"/>
                <w:b/>
                <w:color w:val="FFFFFF"/>
                <w:sz w:val="20"/>
                <w:szCs w:val="20"/>
              </w:rPr>
            </w:pPr>
            <w:r w:rsidRPr="00C04AA8">
              <w:rPr>
                <w:rFonts w:ascii="Arial" w:eastAsia="Calibri" w:hAnsi="Arial" w:cs="Arial"/>
                <w:b/>
                <w:color w:val="FFFFFF"/>
                <w:sz w:val="20"/>
                <w:szCs w:val="20"/>
              </w:rPr>
              <w:t>Activities</w:t>
            </w:r>
          </w:p>
        </w:tc>
        <w:tc>
          <w:tcPr>
            <w:tcW w:w="2160" w:type="dxa"/>
            <w:shd w:val="clear" w:color="auto" w:fill="3F6CA9"/>
            <w:tcMar>
              <w:top w:w="58" w:type="dxa"/>
              <w:left w:w="58" w:type="dxa"/>
              <w:bottom w:w="58" w:type="dxa"/>
              <w:right w:w="58" w:type="dxa"/>
            </w:tcMar>
            <w:vAlign w:val="center"/>
          </w:tcPr>
          <w:p w14:paraId="11019896" w14:textId="77777777" w:rsidR="00B9552F" w:rsidRPr="00C04AA8" w:rsidRDefault="00B9552F" w:rsidP="00C04AA8">
            <w:pPr>
              <w:rPr>
                <w:rFonts w:ascii="Arial" w:eastAsia="Calibri" w:hAnsi="Arial" w:cs="Arial"/>
                <w:b/>
                <w:color w:val="FFFFFF"/>
                <w:sz w:val="20"/>
                <w:szCs w:val="20"/>
              </w:rPr>
            </w:pPr>
            <w:r w:rsidRPr="00C04AA8">
              <w:rPr>
                <w:rFonts w:ascii="Arial" w:eastAsia="Calibri" w:hAnsi="Arial" w:cs="Arial"/>
                <w:b/>
                <w:color w:val="FFFFFF"/>
                <w:sz w:val="20"/>
                <w:szCs w:val="20"/>
              </w:rPr>
              <w:t>Outputs</w:t>
            </w:r>
          </w:p>
        </w:tc>
        <w:tc>
          <w:tcPr>
            <w:tcW w:w="6472" w:type="dxa"/>
            <w:shd w:val="clear" w:color="auto" w:fill="004280"/>
            <w:tcMar>
              <w:top w:w="58" w:type="dxa"/>
              <w:left w:w="58" w:type="dxa"/>
              <w:bottom w:w="58" w:type="dxa"/>
              <w:right w:w="58" w:type="dxa"/>
            </w:tcMar>
            <w:vAlign w:val="center"/>
          </w:tcPr>
          <w:p w14:paraId="05475A82" w14:textId="32B238DA" w:rsidR="00B9552F" w:rsidRPr="00C04AA8" w:rsidRDefault="00B9552F" w:rsidP="00C04AA8">
            <w:pPr>
              <w:rPr>
                <w:rFonts w:ascii="Arial" w:eastAsia="Calibri" w:hAnsi="Arial" w:cs="Arial"/>
                <w:b/>
                <w:color w:val="FFFFFF"/>
                <w:sz w:val="20"/>
                <w:szCs w:val="20"/>
              </w:rPr>
            </w:pPr>
            <w:r w:rsidRPr="00C04AA8">
              <w:rPr>
                <w:rFonts w:ascii="Arial" w:eastAsia="Calibri" w:hAnsi="Arial" w:cs="Arial"/>
                <w:b/>
                <w:color w:val="FFFFFF"/>
                <w:sz w:val="20"/>
                <w:szCs w:val="20"/>
              </w:rPr>
              <w:t>Outcomes</w:t>
            </w:r>
            <w:r>
              <w:rPr>
                <w:rFonts w:ascii="Arial" w:eastAsia="Calibri" w:hAnsi="Arial" w:cs="Arial"/>
                <w:b/>
                <w:color w:val="FFFFFF"/>
                <w:sz w:val="20"/>
                <w:szCs w:val="20"/>
              </w:rPr>
              <w:t xml:space="preserve"> &amp; Impact</w:t>
            </w:r>
          </w:p>
        </w:tc>
      </w:tr>
      <w:tr w:rsidR="00B9552F" w:rsidRPr="00C04AA8" w14:paraId="7E6F1132" w14:textId="77777777" w:rsidTr="00B9552F">
        <w:trPr>
          <w:cantSplit/>
          <w:trHeight w:val="288"/>
        </w:trPr>
        <w:tc>
          <w:tcPr>
            <w:tcW w:w="2160" w:type="dxa"/>
            <w:tcMar>
              <w:top w:w="58" w:type="dxa"/>
              <w:left w:w="58" w:type="dxa"/>
              <w:bottom w:w="58" w:type="dxa"/>
              <w:right w:w="58" w:type="dxa"/>
            </w:tcMar>
          </w:tcPr>
          <w:p w14:paraId="3252671D" w14:textId="3BF2C1F8" w:rsidR="00B9552F" w:rsidRDefault="00B9552F" w:rsidP="009100AB">
            <w:pPr>
              <w:spacing w:after="120"/>
              <w:rPr>
                <w:rFonts w:ascii="Arial" w:eastAsia="Calibri" w:hAnsi="Arial" w:cs="Arial"/>
                <w:sz w:val="18"/>
                <w:szCs w:val="18"/>
              </w:rPr>
            </w:pPr>
            <w:r>
              <w:rPr>
                <w:rFonts w:ascii="Arial" w:eastAsia="Times New Roman" w:hAnsi="Arial" w:cs="Arial"/>
                <w:sz w:val="18"/>
                <w:szCs w:val="18"/>
              </w:rPr>
              <w:t xml:space="preserve">Quality improvement </w:t>
            </w:r>
            <w:r>
              <w:rPr>
                <w:rFonts w:ascii="Arial" w:eastAsia="Calibri" w:hAnsi="Arial" w:cs="Arial"/>
                <w:sz w:val="18"/>
                <w:szCs w:val="18"/>
              </w:rPr>
              <w:t>activities such as multidisciplinary teams, clinician and staff education based on clinical recommendations, and tracking of performance against a dashboard</w:t>
            </w:r>
          </w:p>
          <w:p w14:paraId="1E4A8D58" w14:textId="77777777" w:rsidR="00B9552F" w:rsidRDefault="00B9552F" w:rsidP="004B542A">
            <w:pPr>
              <w:spacing w:after="120"/>
              <w:rPr>
                <w:rFonts w:ascii="Arial" w:eastAsia="Calibri" w:hAnsi="Arial" w:cs="Arial"/>
                <w:sz w:val="18"/>
                <w:szCs w:val="18"/>
              </w:rPr>
            </w:pPr>
            <w:r>
              <w:rPr>
                <w:rFonts w:ascii="Arial" w:eastAsia="Calibri" w:hAnsi="Arial" w:cs="Arial"/>
                <w:sz w:val="18"/>
                <w:szCs w:val="18"/>
              </w:rPr>
              <w:t>Tools and technology integration such as hospital protocols and automated order sets in the electronic health record system (EHRs)</w:t>
            </w:r>
          </w:p>
          <w:p w14:paraId="3D1C6593" w14:textId="321C611C" w:rsidR="00B9552F" w:rsidRPr="00C04AA8" w:rsidRDefault="00B9552F" w:rsidP="004B542A">
            <w:pPr>
              <w:spacing w:after="120"/>
              <w:rPr>
                <w:rFonts w:ascii="Arial" w:eastAsia="Times New Roman" w:hAnsi="Arial" w:cs="Arial"/>
                <w:sz w:val="18"/>
                <w:szCs w:val="18"/>
              </w:rPr>
            </w:pPr>
            <w:r>
              <w:rPr>
                <w:rFonts w:ascii="Arial" w:eastAsia="Calibri" w:hAnsi="Arial" w:cs="Arial"/>
                <w:sz w:val="18"/>
                <w:szCs w:val="18"/>
              </w:rPr>
              <w:t>Patient education materials</w:t>
            </w:r>
          </w:p>
        </w:tc>
        <w:tc>
          <w:tcPr>
            <w:tcW w:w="2160" w:type="dxa"/>
            <w:tcMar>
              <w:top w:w="58" w:type="dxa"/>
              <w:left w:w="58" w:type="dxa"/>
              <w:bottom w:w="58" w:type="dxa"/>
              <w:right w:w="58" w:type="dxa"/>
            </w:tcMar>
          </w:tcPr>
          <w:p w14:paraId="483F111C" w14:textId="77777777" w:rsidR="00B9552F" w:rsidRDefault="00B9552F" w:rsidP="004B542A">
            <w:pPr>
              <w:spacing w:after="120"/>
              <w:rPr>
                <w:rFonts w:ascii="Arial" w:eastAsia="Calibri" w:hAnsi="Arial" w:cs="Arial"/>
                <w:sz w:val="18"/>
                <w:szCs w:val="18"/>
              </w:rPr>
            </w:pPr>
            <w:r>
              <w:rPr>
                <w:rFonts w:ascii="Arial" w:eastAsia="Calibri" w:hAnsi="Arial" w:cs="Arial"/>
                <w:sz w:val="18"/>
                <w:szCs w:val="18"/>
              </w:rPr>
              <w:t xml:space="preserve">Implementation of quality improvement activities and tools and technology integration </w:t>
            </w:r>
          </w:p>
          <w:p w14:paraId="4312D981" w14:textId="1FDC1407" w:rsidR="00B9552F" w:rsidRPr="00C04AA8" w:rsidRDefault="00B9552F" w:rsidP="004B542A">
            <w:pPr>
              <w:spacing w:after="120"/>
              <w:rPr>
                <w:rFonts w:ascii="Arial" w:eastAsia="Calibri" w:hAnsi="Arial" w:cs="Arial"/>
                <w:sz w:val="18"/>
                <w:szCs w:val="18"/>
              </w:rPr>
            </w:pPr>
            <w:r>
              <w:rPr>
                <w:rFonts w:ascii="Arial" w:eastAsia="Calibri" w:hAnsi="Arial" w:cs="Arial"/>
                <w:sz w:val="18"/>
                <w:szCs w:val="18"/>
              </w:rPr>
              <w:t xml:space="preserve">Delivery of patient education materials </w:t>
            </w:r>
          </w:p>
        </w:tc>
        <w:tc>
          <w:tcPr>
            <w:tcW w:w="2160" w:type="dxa"/>
            <w:tcMar>
              <w:top w:w="58" w:type="dxa"/>
              <w:left w:w="58" w:type="dxa"/>
              <w:bottom w:w="58" w:type="dxa"/>
              <w:right w:w="58" w:type="dxa"/>
            </w:tcMar>
          </w:tcPr>
          <w:p w14:paraId="47E89A01" w14:textId="7E848B81" w:rsidR="00B9552F" w:rsidRDefault="00B9552F" w:rsidP="004B542A">
            <w:pPr>
              <w:spacing w:after="120"/>
              <w:rPr>
                <w:rFonts w:ascii="Arial" w:eastAsia="Calibri" w:hAnsi="Arial" w:cs="Arial"/>
                <w:sz w:val="18"/>
                <w:szCs w:val="18"/>
              </w:rPr>
            </w:pPr>
            <w:r>
              <w:rPr>
                <w:rFonts w:ascii="Arial" w:eastAsia="Calibri" w:hAnsi="Arial" w:cs="Arial"/>
                <w:sz w:val="18"/>
                <w:szCs w:val="18"/>
              </w:rPr>
              <w:t>Cardiac rehabilitation</w:t>
            </w:r>
            <w:r w:rsidR="00984CA4">
              <w:rPr>
                <w:rFonts w:ascii="Arial" w:eastAsia="Calibri" w:hAnsi="Arial" w:cs="Arial"/>
                <w:sz w:val="18"/>
                <w:szCs w:val="18"/>
              </w:rPr>
              <w:t>/secondary prevention program</w:t>
            </w:r>
            <w:r>
              <w:rPr>
                <w:rFonts w:ascii="Arial" w:eastAsia="Calibri" w:hAnsi="Arial" w:cs="Arial"/>
                <w:sz w:val="18"/>
                <w:szCs w:val="18"/>
              </w:rPr>
              <w:t xml:space="preserve"> referral rates </w:t>
            </w:r>
          </w:p>
          <w:p w14:paraId="089A7845" w14:textId="17EAE72C" w:rsidR="00B9552F" w:rsidRDefault="00B9552F" w:rsidP="004B542A">
            <w:pPr>
              <w:spacing w:after="120"/>
              <w:rPr>
                <w:rFonts w:ascii="Arial" w:eastAsia="Calibri" w:hAnsi="Arial" w:cs="Arial"/>
                <w:sz w:val="18"/>
                <w:szCs w:val="18"/>
              </w:rPr>
            </w:pPr>
            <w:r>
              <w:rPr>
                <w:rFonts w:ascii="Arial" w:eastAsia="Calibri" w:hAnsi="Arial" w:cs="Arial"/>
                <w:sz w:val="18"/>
                <w:szCs w:val="18"/>
              </w:rPr>
              <w:t xml:space="preserve">Use of technology/tools, depending on individual hospital implementation needs (e.g., rates of automated order sets) </w:t>
            </w:r>
          </w:p>
          <w:p w14:paraId="11F890F0" w14:textId="0A907ABC" w:rsidR="00B9552F" w:rsidRPr="00C04AA8" w:rsidRDefault="00B9552F" w:rsidP="004B542A">
            <w:pPr>
              <w:spacing w:after="120"/>
              <w:rPr>
                <w:rFonts w:ascii="Arial" w:eastAsia="Calibri" w:hAnsi="Arial" w:cs="Arial"/>
                <w:sz w:val="18"/>
                <w:szCs w:val="18"/>
              </w:rPr>
            </w:pPr>
            <w:r>
              <w:rPr>
                <w:rFonts w:ascii="Arial" w:eastAsia="Calibri" w:hAnsi="Arial" w:cs="Arial"/>
                <w:sz w:val="18"/>
                <w:szCs w:val="18"/>
              </w:rPr>
              <w:t>Number of patient education materials distributed</w:t>
            </w:r>
          </w:p>
        </w:tc>
        <w:tc>
          <w:tcPr>
            <w:tcW w:w="6472" w:type="dxa"/>
            <w:tcMar>
              <w:top w:w="58" w:type="dxa"/>
              <w:left w:w="58" w:type="dxa"/>
              <w:bottom w:w="58" w:type="dxa"/>
              <w:right w:w="58" w:type="dxa"/>
            </w:tcMar>
          </w:tcPr>
          <w:p w14:paraId="4EBBEB8E" w14:textId="77777777" w:rsidR="00B9552F" w:rsidRDefault="00B9552F" w:rsidP="00BB3E9F">
            <w:pPr>
              <w:spacing w:after="120"/>
              <w:rPr>
                <w:rFonts w:ascii="Arial" w:eastAsia="Calibri" w:hAnsi="Arial" w:cs="Arial"/>
                <w:sz w:val="18"/>
                <w:szCs w:val="18"/>
                <w:u w:val="single"/>
              </w:rPr>
            </w:pPr>
            <w:r>
              <w:rPr>
                <w:rFonts w:ascii="Arial" w:eastAsia="Calibri" w:hAnsi="Arial" w:cs="Arial"/>
                <w:sz w:val="18"/>
                <w:szCs w:val="18"/>
                <w:u w:val="single"/>
              </w:rPr>
              <w:t>Short-term</w:t>
            </w:r>
          </w:p>
          <w:p w14:paraId="0D771675" w14:textId="1DD76E0B" w:rsidR="00B9552F" w:rsidRDefault="00B9552F" w:rsidP="00BB3E9F">
            <w:pPr>
              <w:spacing w:after="120"/>
              <w:rPr>
                <w:rFonts w:ascii="Arial" w:eastAsia="Calibri" w:hAnsi="Arial" w:cs="Arial"/>
                <w:sz w:val="18"/>
                <w:szCs w:val="18"/>
              </w:rPr>
            </w:pPr>
            <w:r>
              <w:rPr>
                <w:rFonts w:ascii="Arial" w:eastAsia="Calibri" w:hAnsi="Arial" w:cs="Arial"/>
                <w:sz w:val="18"/>
                <w:szCs w:val="18"/>
              </w:rPr>
              <w:t>Increased rates of cardiac rehabilitation referrals in patients with a qualifying event</w:t>
            </w:r>
          </w:p>
          <w:p w14:paraId="0BD098AD" w14:textId="2BB8791A" w:rsidR="00B9552F" w:rsidRDefault="00B9552F" w:rsidP="00BB3E9F">
            <w:pPr>
              <w:spacing w:after="120"/>
              <w:rPr>
                <w:rFonts w:ascii="Arial" w:eastAsia="Calibri" w:hAnsi="Arial" w:cs="Arial"/>
                <w:sz w:val="18"/>
                <w:szCs w:val="18"/>
              </w:rPr>
            </w:pPr>
            <w:r>
              <w:rPr>
                <w:rFonts w:ascii="Arial" w:eastAsia="Calibri" w:hAnsi="Arial" w:cs="Arial"/>
                <w:sz w:val="18"/>
                <w:szCs w:val="18"/>
              </w:rPr>
              <w:t xml:space="preserve">Increased clinician and patient awareness and attention to referrals </w:t>
            </w:r>
          </w:p>
          <w:p w14:paraId="654B3556" w14:textId="43B99EFD" w:rsidR="00B9552F" w:rsidRPr="00BB3E9F" w:rsidRDefault="00B9552F" w:rsidP="00BB3E9F">
            <w:pPr>
              <w:spacing w:after="120"/>
              <w:rPr>
                <w:rFonts w:ascii="Arial" w:eastAsia="Calibri" w:hAnsi="Arial" w:cs="Arial"/>
                <w:sz w:val="18"/>
                <w:szCs w:val="18"/>
              </w:rPr>
            </w:pPr>
            <w:r>
              <w:rPr>
                <w:rFonts w:ascii="Arial" w:eastAsia="Calibri" w:hAnsi="Arial" w:cs="Arial"/>
                <w:sz w:val="18"/>
                <w:szCs w:val="18"/>
              </w:rPr>
              <w:t>Ability of the facility to track interventions and progress on referral rates</w:t>
            </w:r>
          </w:p>
          <w:p w14:paraId="177A5253" w14:textId="77777777" w:rsidR="00B9552F" w:rsidRDefault="00B9552F" w:rsidP="00BB3E9F">
            <w:pPr>
              <w:spacing w:after="120"/>
              <w:rPr>
                <w:rFonts w:ascii="Arial" w:eastAsia="Calibri" w:hAnsi="Arial" w:cs="Arial"/>
                <w:sz w:val="18"/>
                <w:szCs w:val="18"/>
                <w:u w:val="single"/>
              </w:rPr>
            </w:pPr>
            <w:r>
              <w:rPr>
                <w:rFonts w:ascii="Arial" w:eastAsia="Calibri" w:hAnsi="Arial" w:cs="Arial"/>
                <w:sz w:val="18"/>
                <w:szCs w:val="18"/>
                <w:u w:val="single"/>
              </w:rPr>
              <w:t>Intermediate-term</w:t>
            </w:r>
          </w:p>
          <w:p w14:paraId="2053C0E1" w14:textId="603593DA" w:rsidR="00B9552F" w:rsidRDefault="00B9552F" w:rsidP="00BB3E9F">
            <w:pPr>
              <w:spacing w:after="120"/>
              <w:rPr>
                <w:rFonts w:ascii="Arial" w:eastAsia="Calibri" w:hAnsi="Arial" w:cs="Arial"/>
                <w:sz w:val="18"/>
                <w:szCs w:val="18"/>
              </w:rPr>
            </w:pPr>
            <w:r>
              <w:rPr>
                <w:rFonts w:ascii="Arial" w:eastAsia="Calibri" w:hAnsi="Arial" w:cs="Arial"/>
                <w:sz w:val="18"/>
                <w:szCs w:val="18"/>
              </w:rPr>
              <w:t>Improved clinician documentation and use of tools and technology (e.g., automated order sets)</w:t>
            </w:r>
          </w:p>
          <w:p w14:paraId="0622C1F1" w14:textId="684B5A87" w:rsidR="00B9552F" w:rsidRDefault="00B9552F" w:rsidP="00BB3E9F">
            <w:pPr>
              <w:spacing w:after="120"/>
              <w:rPr>
                <w:rFonts w:ascii="Arial" w:eastAsia="Calibri" w:hAnsi="Arial" w:cs="Arial"/>
                <w:sz w:val="18"/>
                <w:szCs w:val="18"/>
              </w:rPr>
            </w:pPr>
            <w:r>
              <w:rPr>
                <w:rFonts w:ascii="Arial" w:eastAsia="Calibri" w:hAnsi="Arial" w:cs="Arial"/>
                <w:sz w:val="18"/>
                <w:szCs w:val="18"/>
              </w:rPr>
              <w:t>Increased adherence to cardiac referral by patients following hospital discharge</w:t>
            </w:r>
          </w:p>
          <w:p w14:paraId="0C925D93" w14:textId="1EAD92A8" w:rsidR="00B9552F" w:rsidRPr="00BB3E9F" w:rsidRDefault="00B9552F" w:rsidP="00BB3E9F">
            <w:pPr>
              <w:spacing w:after="120"/>
              <w:rPr>
                <w:rFonts w:ascii="Arial" w:eastAsia="Calibri" w:hAnsi="Arial" w:cs="Arial"/>
                <w:sz w:val="18"/>
                <w:szCs w:val="18"/>
              </w:rPr>
            </w:pPr>
            <w:r>
              <w:rPr>
                <w:rFonts w:ascii="Arial" w:eastAsia="Calibri" w:hAnsi="Arial" w:cs="Arial"/>
                <w:sz w:val="18"/>
                <w:szCs w:val="18"/>
              </w:rPr>
              <w:t>Improved tracking on progress to addressing this important gap in care by the facility and NCDR registries</w:t>
            </w:r>
          </w:p>
          <w:p w14:paraId="6A1323B7" w14:textId="77777777" w:rsidR="00B9552F" w:rsidRDefault="00B9552F" w:rsidP="00BB3E9F">
            <w:pPr>
              <w:spacing w:after="120"/>
              <w:rPr>
                <w:rFonts w:ascii="Arial" w:eastAsia="Calibri" w:hAnsi="Arial" w:cs="Arial"/>
                <w:sz w:val="18"/>
                <w:szCs w:val="18"/>
                <w:u w:val="single"/>
              </w:rPr>
            </w:pPr>
            <w:r>
              <w:rPr>
                <w:rFonts w:ascii="Arial" w:eastAsia="Calibri" w:hAnsi="Arial" w:cs="Arial"/>
                <w:sz w:val="18"/>
                <w:szCs w:val="18"/>
                <w:u w:val="single"/>
              </w:rPr>
              <w:t>Long-term</w:t>
            </w:r>
          </w:p>
          <w:p w14:paraId="2719842F" w14:textId="77777777" w:rsidR="00B9552F" w:rsidRDefault="00B9552F" w:rsidP="00B9552F">
            <w:pPr>
              <w:spacing w:after="120"/>
              <w:rPr>
                <w:rFonts w:ascii="Arial" w:eastAsia="Calibri" w:hAnsi="Arial" w:cs="Arial"/>
                <w:sz w:val="18"/>
                <w:szCs w:val="18"/>
              </w:rPr>
            </w:pPr>
            <w:r>
              <w:rPr>
                <w:rFonts w:ascii="Arial" w:eastAsia="Calibri" w:hAnsi="Arial" w:cs="Arial"/>
                <w:sz w:val="18"/>
                <w:szCs w:val="18"/>
              </w:rPr>
              <w:t>Reductions in complications (e.g., recurrent MI) and morality</w:t>
            </w:r>
          </w:p>
          <w:p w14:paraId="18F0D744" w14:textId="77777777" w:rsidR="00B9552F" w:rsidRDefault="00B9552F" w:rsidP="00B9552F">
            <w:pPr>
              <w:spacing w:after="120"/>
              <w:rPr>
                <w:rFonts w:ascii="Arial" w:eastAsia="Calibri" w:hAnsi="Arial" w:cs="Arial"/>
                <w:sz w:val="18"/>
                <w:szCs w:val="18"/>
              </w:rPr>
            </w:pPr>
            <w:r>
              <w:rPr>
                <w:rFonts w:ascii="Arial" w:eastAsia="Calibri" w:hAnsi="Arial" w:cs="Arial"/>
                <w:sz w:val="18"/>
                <w:szCs w:val="18"/>
              </w:rPr>
              <w:t>Improved quality of life and function</w:t>
            </w:r>
          </w:p>
          <w:p w14:paraId="15BA8D97" w14:textId="6A7F1D86" w:rsidR="00B9552F" w:rsidRPr="00B9552F" w:rsidRDefault="00B9552F" w:rsidP="00B9552F">
            <w:pPr>
              <w:spacing w:after="120"/>
              <w:rPr>
                <w:rFonts w:ascii="Arial" w:eastAsia="Calibri" w:hAnsi="Arial" w:cs="Arial"/>
                <w:sz w:val="18"/>
                <w:szCs w:val="18"/>
              </w:rPr>
            </w:pPr>
            <w:r>
              <w:rPr>
                <w:rFonts w:ascii="Arial" w:eastAsia="Calibri" w:hAnsi="Arial" w:cs="Arial"/>
                <w:sz w:val="18"/>
                <w:szCs w:val="18"/>
              </w:rPr>
              <w:t>Decrease in unnecessary costs</w:t>
            </w:r>
          </w:p>
        </w:tc>
      </w:tr>
    </w:tbl>
    <w:p w14:paraId="08CC5715" w14:textId="77777777" w:rsidR="00A81630" w:rsidRDefault="00A81630" w:rsidP="00C03B3F">
      <w:pPr>
        <w:spacing w:after="0" w:line="240" w:lineRule="auto"/>
        <w:rPr>
          <w:rFonts w:ascii="Arial" w:hAnsi="Arial" w:cs="Arial"/>
          <w:sz w:val="20"/>
          <w:szCs w:val="20"/>
        </w:rPr>
      </w:pPr>
    </w:p>
    <w:tbl>
      <w:tblPr>
        <w:tblStyle w:val="TableGrid"/>
        <w:tblW w:w="12968" w:type="dxa"/>
        <w:tblInd w:w="-8" w:type="dxa"/>
        <w:tblBorders>
          <w:top w:val="single" w:sz="6" w:space="0" w:color="auto"/>
          <w:left w:val="single" w:sz="6" w:space="0" w:color="auto"/>
          <w:bottom w:val="single" w:sz="6" w:space="0" w:color="auto"/>
          <w:right w:val="single" w:sz="6" w:space="0" w:color="auto"/>
        </w:tblBorders>
        <w:tblLayout w:type="fixed"/>
        <w:tblCellMar>
          <w:top w:w="58" w:type="dxa"/>
          <w:left w:w="58" w:type="dxa"/>
          <w:bottom w:w="58" w:type="dxa"/>
          <w:right w:w="58" w:type="dxa"/>
        </w:tblCellMar>
        <w:tblLook w:val="04A0" w:firstRow="1" w:lastRow="0" w:firstColumn="1" w:lastColumn="0" w:noHBand="0" w:noVBand="1"/>
      </w:tblPr>
      <w:tblGrid>
        <w:gridCol w:w="12968"/>
      </w:tblGrid>
      <w:tr w:rsidR="009A71B6" w:rsidRPr="00C04AA8" w14:paraId="43D97D9A" w14:textId="77777777" w:rsidTr="009A71B6">
        <w:trPr>
          <w:cantSplit/>
          <w:trHeight w:val="157"/>
        </w:trPr>
        <w:tc>
          <w:tcPr>
            <w:tcW w:w="12968" w:type="dxa"/>
            <w:shd w:val="clear" w:color="auto" w:fill="E9F4F7"/>
            <w:tcMar>
              <w:top w:w="58" w:type="dxa"/>
              <w:left w:w="58" w:type="dxa"/>
              <w:bottom w:w="58" w:type="dxa"/>
              <w:right w:w="58" w:type="dxa"/>
            </w:tcMar>
            <w:vAlign w:val="center"/>
          </w:tcPr>
          <w:p w14:paraId="2403E0F3" w14:textId="77777777" w:rsidR="009A71B6" w:rsidRPr="00C04AA8" w:rsidRDefault="009A71B6" w:rsidP="001C67BE">
            <w:pPr>
              <w:rPr>
                <w:rFonts w:ascii="Arial" w:eastAsia="Calibri" w:hAnsi="Arial" w:cs="Arial"/>
                <w:sz w:val="20"/>
                <w:szCs w:val="20"/>
              </w:rPr>
            </w:pPr>
            <w:r w:rsidRPr="00C04AA8">
              <w:rPr>
                <w:rFonts w:ascii="Arial" w:eastAsia="Times New Roman" w:hAnsi="Arial" w:cs="Arial"/>
                <w:b/>
                <w:bCs/>
                <w:sz w:val="20"/>
                <w:szCs w:val="20"/>
              </w:rPr>
              <w:t>Feedback Mechanisms</w:t>
            </w:r>
          </w:p>
        </w:tc>
      </w:tr>
      <w:tr w:rsidR="009A71B6" w:rsidRPr="00C04AA8" w14:paraId="68E1F2A0" w14:textId="77777777" w:rsidTr="009A71B6">
        <w:trPr>
          <w:cantSplit/>
          <w:trHeight w:val="288"/>
        </w:trPr>
        <w:tc>
          <w:tcPr>
            <w:tcW w:w="12968" w:type="dxa"/>
            <w:tcMar>
              <w:top w:w="58" w:type="dxa"/>
              <w:left w:w="58" w:type="dxa"/>
              <w:bottom w:w="58" w:type="dxa"/>
              <w:right w:w="58" w:type="dxa"/>
            </w:tcMar>
          </w:tcPr>
          <w:p w14:paraId="214F4F48" w14:textId="77777777" w:rsidR="009A71B6" w:rsidRDefault="006C1662" w:rsidP="006C1662">
            <w:pPr>
              <w:spacing w:after="120"/>
              <w:rPr>
                <w:rFonts w:ascii="Arial" w:eastAsia="Calibri" w:hAnsi="Arial" w:cs="Arial"/>
                <w:sz w:val="18"/>
                <w:szCs w:val="18"/>
              </w:rPr>
            </w:pPr>
            <w:r>
              <w:rPr>
                <w:rFonts w:ascii="Arial" w:eastAsia="Calibri" w:hAnsi="Arial" w:cs="Arial"/>
                <w:sz w:val="18"/>
                <w:szCs w:val="18"/>
              </w:rPr>
              <w:lastRenderedPageBreak/>
              <w:t>Data analysis and performance reports produced by the facility and/or NCDR registries</w:t>
            </w:r>
          </w:p>
          <w:p w14:paraId="113FE9FE" w14:textId="77777777" w:rsidR="006C1662" w:rsidRDefault="006C1662" w:rsidP="006C1662">
            <w:pPr>
              <w:spacing w:after="120"/>
              <w:rPr>
                <w:rFonts w:ascii="Arial" w:eastAsia="Calibri" w:hAnsi="Arial" w:cs="Arial"/>
                <w:sz w:val="18"/>
                <w:szCs w:val="18"/>
              </w:rPr>
            </w:pPr>
            <w:r>
              <w:rPr>
                <w:rFonts w:ascii="Arial" w:eastAsia="Calibri" w:hAnsi="Arial" w:cs="Arial"/>
                <w:sz w:val="18"/>
                <w:szCs w:val="18"/>
              </w:rPr>
              <w:t>Quality improvement activities and reporting of progress on outputs to clinicians and staff</w:t>
            </w:r>
          </w:p>
          <w:p w14:paraId="09B4670C" w14:textId="47416F7A" w:rsidR="006C1662" w:rsidRPr="00C04AA8" w:rsidRDefault="006C1662" w:rsidP="006C1662">
            <w:pPr>
              <w:spacing w:after="120"/>
              <w:rPr>
                <w:rFonts w:ascii="Arial" w:eastAsia="Calibri" w:hAnsi="Arial" w:cs="Arial"/>
                <w:sz w:val="18"/>
                <w:szCs w:val="18"/>
              </w:rPr>
            </w:pPr>
            <w:r>
              <w:rPr>
                <w:rFonts w:ascii="Arial" w:eastAsia="Calibri" w:hAnsi="Arial" w:cs="Arial"/>
                <w:sz w:val="18"/>
                <w:szCs w:val="18"/>
              </w:rPr>
              <w:t>Patient satisfaction surveys</w:t>
            </w:r>
          </w:p>
        </w:tc>
      </w:tr>
      <w:tr w:rsidR="009A71B6" w:rsidRPr="00C04AA8" w14:paraId="29DAF187" w14:textId="77777777" w:rsidTr="009A71B6">
        <w:trPr>
          <w:cantSplit/>
        </w:trPr>
        <w:tc>
          <w:tcPr>
            <w:tcW w:w="12968" w:type="dxa"/>
            <w:shd w:val="clear" w:color="auto" w:fill="E9F4F7"/>
            <w:tcMar>
              <w:top w:w="58" w:type="dxa"/>
              <w:left w:w="58" w:type="dxa"/>
              <w:bottom w:w="58" w:type="dxa"/>
              <w:right w:w="58" w:type="dxa"/>
            </w:tcMar>
            <w:vAlign w:val="center"/>
          </w:tcPr>
          <w:p w14:paraId="3F25D7F7" w14:textId="77777777" w:rsidR="009A71B6" w:rsidRPr="00C04AA8" w:rsidRDefault="009A71B6" w:rsidP="001C67BE">
            <w:pPr>
              <w:rPr>
                <w:rFonts w:ascii="Arial" w:eastAsia="Calibri" w:hAnsi="Arial" w:cs="Arial"/>
                <w:sz w:val="20"/>
                <w:szCs w:val="20"/>
              </w:rPr>
            </w:pPr>
            <w:r w:rsidRPr="00C04AA8">
              <w:rPr>
                <w:rFonts w:ascii="Arial" w:eastAsia="Times New Roman" w:hAnsi="Arial" w:cs="Arial"/>
                <w:b/>
                <w:bCs/>
                <w:sz w:val="20"/>
                <w:szCs w:val="20"/>
              </w:rPr>
              <w:t>Assumptions</w:t>
            </w:r>
          </w:p>
        </w:tc>
      </w:tr>
      <w:tr w:rsidR="009A71B6" w:rsidRPr="00C04AA8" w14:paraId="2D589FC9" w14:textId="77777777" w:rsidTr="009A71B6">
        <w:trPr>
          <w:cantSplit/>
          <w:trHeight w:val="288"/>
        </w:trPr>
        <w:tc>
          <w:tcPr>
            <w:tcW w:w="12968" w:type="dxa"/>
            <w:tcMar>
              <w:top w:w="58" w:type="dxa"/>
              <w:left w:w="58" w:type="dxa"/>
              <w:bottom w:w="58" w:type="dxa"/>
              <w:right w:w="58" w:type="dxa"/>
            </w:tcMar>
          </w:tcPr>
          <w:p w14:paraId="0C239F9F" w14:textId="77777777" w:rsidR="00984CA4" w:rsidRDefault="00984CA4" w:rsidP="00984CA4">
            <w:pPr>
              <w:spacing w:after="120"/>
              <w:rPr>
                <w:rFonts w:ascii="Arial" w:eastAsia="Calibri" w:hAnsi="Arial" w:cs="Arial"/>
                <w:sz w:val="18"/>
                <w:szCs w:val="18"/>
              </w:rPr>
            </w:pPr>
            <w:r>
              <w:rPr>
                <w:rFonts w:ascii="Arial" w:eastAsia="Calibri" w:hAnsi="Arial" w:cs="Arial"/>
                <w:sz w:val="18"/>
                <w:szCs w:val="18"/>
              </w:rPr>
              <w:t xml:space="preserve">Systems have access to high-quality EHRs data and computational resources to support the capture and analysis of cardiac rehabilitation referral and that these programs are readily available to patients within the geographic area. </w:t>
            </w:r>
          </w:p>
          <w:p w14:paraId="4F7096DE" w14:textId="66775C7A" w:rsidR="009A71B6" w:rsidRPr="00C04AA8" w:rsidRDefault="00984CA4" w:rsidP="00984CA4">
            <w:pPr>
              <w:spacing w:after="120"/>
              <w:rPr>
                <w:rFonts w:ascii="Arial" w:eastAsia="Calibri" w:hAnsi="Arial" w:cs="Arial"/>
                <w:sz w:val="18"/>
                <w:szCs w:val="18"/>
              </w:rPr>
            </w:pPr>
            <w:r>
              <w:rPr>
                <w:rFonts w:ascii="Arial" w:eastAsia="Calibri" w:hAnsi="Arial" w:cs="Arial"/>
                <w:sz w:val="18"/>
                <w:szCs w:val="18"/>
              </w:rPr>
              <w:t>Feedback on performance of this measure will increase referral rates and ultimately improve patient outcomes and quality of life.</w:t>
            </w:r>
          </w:p>
        </w:tc>
      </w:tr>
      <w:tr w:rsidR="009A71B6" w:rsidRPr="00C04AA8" w14:paraId="024CE736" w14:textId="77777777" w:rsidTr="009A71B6">
        <w:trPr>
          <w:cantSplit/>
          <w:trHeight w:val="238"/>
        </w:trPr>
        <w:tc>
          <w:tcPr>
            <w:tcW w:w="12968" w:type="dxa"/>
            <w:shd w:val="clear" w:color="auto" w:fill="E9F4F7"/>
            <w:tcMar>
              <w:top w:w="58" w:type="dxa"/>
              <w:left w:w="58" w:type="dxa"/>
              <w:bottom w:w="58" w:type="dxa"/>
              <w:right w:w="58" w:type="dxa"/>
            </w:tcMar>
            <w:vAlign w:val="center"/>
          </w:tcPr>
          <w:p w14:paraId="3BF6B364" w14:textId="77777777" w:rsidR="009A71B6" w:rsidRPr="00C04AA8" w:rsidRDefault="009A71B6" w:rsidP="001C67BE">
            <w:pPr>
              <w:rPr>
                <w:rFonts w:ascii="Arial" w:eastAsia="Calibri" w:hAnsi="Arial" w:cs="Arial"/>
                <w:sz w:val="20"/>
                <w:szCs w:val="20"/>
              </w:rPr>
            </w:pPr>
            <w:r w:rsidRPr="00C04AA8">
              <w:rPr>
                <w:rFonts w:ascii="Arial" w:eastAsia="Times New Roman" w:hAnsi="Arial" w:cs="Arial"/>
                <w:b/>
                <w:bCs/>
                <w:sz w:val="20"/>
                <w:szCs w:val="20"/>
              </w:rPr>
              <w:t>External Factors</w:t>
            </w:r>
          </w:p>
        </w:tc>
      </w:tr>
      <w:tr w:rsidR="009A71B6" w:rsidRPr="00C04AA8" w14:paraId="76675FFC" w14:textId="77777777" w:rsidTr="009A71B6">
        <w:trPr>
          <w:cantSplit/>
          <w:trHeight w:val="288"/>
        </w:trPr>
        <w:tc>
          <w:tcPr>
            <w:tcW w:w="12968" w:type="dxa"/>
            <w:shd w:val="clear" w:color="auto" w:fill="auto"/>
            <w:tcMar>
              <w:top w:w="58" w:type="dxa"/>
              <w:left w:w="58" w:type="dxa"/>
              <w:bottom w:w="58" w:type="dxa"/>
              <w:right w:w="58" w:type="dxa"/>
            </w:tcMar>
            <w:vAlign w:val="center"/>
          </w:tcPr>
          <w:p w14:paraId="7F2C6435" w14:textId="77777777" w:rsidR="009A71B6" w:rsidRDefault="00984CA4" w:rsidP="00984CA4">
            <w:pPr>
              <w:spacing w:after="120"/>
              <w:rPr>
                <w:rFonts w:ascii="Arial" w:eastAsia="Calibri" w:hAnsi="Arial" w:cs="Arial"/>
                <w:sz w:val="18"/>
                <w:szCs w:val="18"/>
              </w:rPr>
            </w:pPr>
            <w:r>
              <w:rPr>
                <w:rFonts w:ascii="Arial" w:eastAsia="Calibri" w:hAnsi="Arial" w:cs="Arial"/>
                <w:sz w:val="18"/>
                <w:szCs w:val="18"/>
              </w:rPr>
              <w:t xml:space="preserve">Availability of cardiac rehabilitation/secondary prevention programs may vary depending on where the patient lives and receives care. </w:t>
            </w:r>
          </w:p>
          <w:p w14:paraId="5B4EBAF6" w14:textId="44009C42" w:rsidR="00984CA4" w:rsidRPr="00C04AA8" w:rsidRDefault="00984CA4" w:rsidP="00984CA4">
            <w:pPr>
              <w:spacing w:after="120"/>
              <w:rPr>
                <w:rFonts w:ascii="Arial" w:eastAsia="Calibri" w:hAnsi="Arial" w:cs="Arial"/>
                <w:sz w:val="18"/>
                <w:szCs w:val="18"/>
              </w:rPr>
            </w:pPr>
            <w:r>
              <w:rPr>
                <w:rFonts w:ascii="Arial" w:eastAsia="Calibri" w:hAnsi="Arial" w:cs="Arial"/>
                <w:sz w:val="18"/>
                <w:szCs w:val="18"/>
              </w:rPr>
              <w:t>Policies and clinician attitudes regarding measures could affect the outcomes identified above.</w:t>
            </w:r>
          </w:p>
        </w:tc>
      </w:tr>
    </w:tbl>
    <w:p w14:paraId="1215564D" w14:textId="77777777" w:rsidR="009A71B6" w:rsidRPr="008D7C4E" w:rsidRDefault="009A71B6" w:rsidP="00643F09">
      <w:pPr>
        <w:spacing w:after="120" w:line="240" w:lineRule="auto"/>
        <w:rPr>
          <w:rFonts w:ascii="Arial" w:hAnsi="Arial" w:cs="Arial"/>
          <w:color w:val="000000" w:themeColor="text1"/>
          <w:sz w:val="20"/>
          <w:szCs w:val="20"/>
        </w:rPr>
      </w:pPr>
    </w:p>
    <w:p w14:paraId="5C947DE8" w14:textId="44F69C3F" w:rsidR="00734194" w:rsidRPr="008D7C4E" w:rsidRDefault="006C1662" w:rsidP="00643F09">
      <w:pPr>
        <w:spacing w:after="120" w:line="240" w:lineRule="auto"/>
        <w:rPr>
          <w:rFonts w:ascii="Arial" w:hAnsi="Arial" w:cs="Arial"/>
          <w:b/>
          <w:bCs/>
          <w:color w:val="000000" w:themeColor="text1"/>
          <w:sz w:val="20"/>
          <w:szCs w:val="20"/>
        </w:rPr>
      </w:pPr>
      <w:r w:rsidRPr="008D7C4E">
        <w:rPr>
          <w:rFonts w:ascii="Arial" w:hAnsi="Arial" w:cs="Arial"/>
          <w:b/>
          <w:bCs/>
          <w:color w:val="000000" w:themeColor="text1"/>
          <w:sz w:val="20"/>
          <w:szCs w:val="20"/>
        </w:rPr>
        <w:t>References:</w:t>
      </w:r>
    </w:p>
    <w:p w14:paraId="5B9E0ACD" w14:textId="6BE2D3E6" w:rsidR="006C1662" w:rsidRPr="006C1662" w:rsidRDefault="006C1662" w:rsidP="006C1662">
      <w:pPr>
        <w:spacing w:after="0" w:line="240" w:lineRule="auto"/>
        <w:rPr>
          <w:rFonts w:ascii="Arial" w:eastAsia="Times New Roman" w:hAnsi="Arial" w:cs="Arial"/>
          <w:color w:val="000000" w:themeColor="text1"/>
          <w:kern w:val="0"/>
          <w:sz w:val="20"/>
          <w:szCs w:val="20"/>
          <w14:ligatures w14:val="none"/>
        </w:rPr>
      </w:pPr>
      <w:r w:rsidRPr="006C1662">
        <w:rPr>
          <w:rFonts w:ascii="Arial" w:eastAsia="Times New Roman" w:hAnsi="Arial" w:cs="Arial"/>
          <w:color w:val="000000" w:themeColor="text1"/>
          <w:kern w:val="0"/>
          <w:sz w:val="20"/>
          <w:szCs w:val="20"/>
          <w14:ligatures w14:val="none"/>
        </w:rPr>
        <w:t xml:space="preserve">Adusumalli S, Jolly E, Chokshi NP, et al. Referral Rates for Cardiac Rehabilitation Among Eligible Inpatients After Implementation of a Default Opt-Out Decision Pathway in the Electronic Medical Record. </w:t>
      </w:r>
      <w:r w:rsidRPr="006C1662">
        <w:rPr>
          <w:rFonts w:ascii="Arial" w:eastAsia="Times New Roman" w:hAnsi="Arial" w:cs="Arial"/>
          <w:i/>
          <w:iCs/>
          <w:color w:val="000000" w:themeColor="text1"/>
          <w:kern w:val="0"/>
          <w:sz w:val="20"/>
          <w:szCs w:val="20"/>
          <w14:ligatures w14:val="none"/>
        </w:rPr>
        <w:t>JAMA Netw Open</w:t>
      </w:r>
      <w:r w:rsidRPr="006C1662">
        <w:rPr>
          <w:rFonts w:ascii="Arial" w:eastAsia="Times New Roman" w:hAnsi="Arial" w:cs="Arial"/>
          <w:color w:val="000000" w:themeColor="text1"/>
          <w:kern w:val="0"/>
          <w:sz w:val="20"/>
          <w:szCs w:val="20"/>
          <w14:ligatures w14:val="none"/>
        </w:rPr>
        <w:t>. 2021;4(1):e2033472. Published 2021 Jan 4.</w:t>
      </w:r>
      <w:r w:rsidR="008D7C4E">
        <w:rPr>
          <w:rFonts w:ascii="Arial" w:eastAsia="Times New Roman" w:hAnsi="Arial" w:cs="Arial"/>
          <w:color w:val="000000" w:themeColor="text1"/>
          <w:kern w:val="0"/>
          <w:sz w:val="20"/>
          <w:szCs w:val="20"/>
          <w14:ligatures w14:val="none"/>
        </w:rPr>
        <w:t xml:space="preserve"> </w:t>
      </w:r>
      <w:r w:rsidRPr="006C1662">
        <w:rPr>
          <w:rFonts w:ascii="Arial" w:eastAsia="Times New Roman" w:hAnsi="Arial" w:cs="Arial"/>
          <w:color w:val="000000" w:themeColor="text1"/>
          <w:kern w:val="0"/>
          <w:sz w:val="20"/>
          <w:szCs w:val="20"/>
          <w14:ligatures w14:val="none"/>
        </w:rPr>
        <w:t>doi:10.1001/jamanetworkopen.2020.33472</w:t>
      </w:r>
    </w:p>
    <w:p w14:paraId="509BB494" w14:textId="77777777" w:rsidR="006C1662" w:rsidRPr="008D7C4E" w:rsidRDefault="006C1662" w:rsidP="006C1662">
      <w:pPr>
        <w:pStyle w:val="BodyText"/>
        <w:spacing w:after="120"/>
        <w:rPr>
          <w:color w:val="000000" w:themeColor="text1"/>
          <w:sz w:val="20"/>
          <w:szCs w:val="20"/>
        </w:rPr>
      </w:pPr>
    </w:p>
    <w:p w14:paraId="269D30F7" w14:textId="0ED3060C" w:rsidR="006C1662" w:rsidRPr="00BC287E" w:rsidRDefault="006C1662" w:rsidP="006C1662">
      <w:pPr>
        <w:pStyle w:val="BodyText"/>
        <w:spacing w:after="120"/>
        <w:rPr>
          <w:color w:val="000000" w:themeColor="text1"/>
          <w:sz w:val="20"/>
          <w:szCs w:val="20"/>
        </w:rPr>
      </w:pPr>
      <w:r w:rsidRPr="00BC287E">
        <w:rPr>
          <w:color w:val="000000" w:themeColor="text1"/>
          <w:sz w:val="20"/>
          <w:szCs w:val="20"/>
        </w:rPr>
        <w:t xml:space="preserve">Dibben G, Faulkner J, Oldridge N, et al. Exercise-based cardiac rehabilitation for coronary heart disease. </w:t>
      </w:r>
      <w:r w:rsidRPr="00BC287E">
        <w:rPr>
          <w:i/>
          <w:iCs/>
          <w:color w:val="000000" w:themeColor="text1"/>
          <w:sz w:val="20"/>
          <w:szCs w:val="20"/>
        </w:rPr>
        <w:t>Cochrane Database Syst Rev</w:t>
      </w:r>
      <w:r w:rsidRPr="00BC287E">
        <w:rPr>
          <w:color w:val="000000" w:themeColor="text1"/>
          <w:sz w:val="20"/>
          <w:szCs w:val="20"/>
        </w:rPr>
        <w:t>. 2021;11(11):CD001800. Published 2021 Nov 6. doi:10.1002/14651858.CD001800.pub4</w:t>
      </w:r>
    </w:p>
    <w:p w14:paraId="18A6A62C" w14:textId="77777777" w:rsidR="006C1662" w:rsidRPr="00686806" w:rsidRDefault="006C1662" w:rsidP="006C1662">
      <w:pPr>
        <w:pStyle w:val="BodyText"/>
        <w:spacing w:after="120"/>
        <w:rPr>
          <w:color w:val="000000" w:themeColor="text1"/>
          <w:sz w:val="20"/>
          <w:szCs w:val="20"/>
        </w:rPr>
      </w:pPr>
      <w:r w:rsidRPr="00686806">
        <w:rPr>
          <w:color w:val="000000" w:themeColor="text1"/>
          <w:sz w:val="20"/>
          <w:szCs w:val="20"/>
        </w:rPr>
        <w:t xml:space="preserve">Whitler C, Varkoly KS, Patel H, et al. Improved Cardiac Rehabilitation Referral Rate Utilizing a Multidisciplinary Quality Improvement Team. </w:t>
      </w:r>
      <w:r w:rsidRPr="00686806">
        <w:rPr>
          <w:i/>
          <w:iCs/>
          <w:color w:val="000000" w:themeColor="text1"/>
          <w:sz w:val="20"/>
          <w:szCs w:val="20"/>
        </w:rPr>
        <w:t>Cureus</w:t>
      </w:r>
      <w:r w:rsidRPr="00686806">
        <w:rPr>
          <w:color w:val="000000" w:themeColor="text1"/>
          <w:sz w:val="20"/>
          <w:szCs w:val="20"/>
        </w:rPr>
        <w:t>. 2024;16(5):e61157. Published 2024 May 27. doi:10.7759/cureus.61157</w:t>
      </w:r>
    </w:p>
    <w:p w14:paraId="5AEA9C2C" w14:textId="77777777" w:rsidR="006C1662" w:rsidRPr="00643F09" w:rsidRDefault="006C1662" w:rsidP="00643F09">
      <w:pPr>
        <w:spacing w:after="120" w:line="240" w:lineRule="auto"/>
        <w:rPr>
          <w:rFonts w:ascii="Arial" w:hAnsi="Arial" w:cs="Arial"/>
          <w:sz w:val="20"/>
          <w:szCs w:val="20"/>
        </w:rPr>
      </w:pPr>
    </w:p>
    <w:sectPr w:rsidR="006C1662" w:rsidRPr="00643F09" w:rsidSect="00C04AA8">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ACA0D" w14:textId="77777777" w:rsidR="00C4408F" w:rsidRDefault="00C4408F" w:rsidP="00A81630">
      <w:pPr>
        <w:spacing w:after="0" w:line="240" w:lineRule="auto"/>
      </w:pPr>
      <w:r>
        <w:separator/>
      </w:r>
    </w:p>
  </w:endnote>
  <w:endnote w:type="continuationSeparator" w:id="0">
    <w:p w14:paraId="3CFE0210" w14:textId="77777777" w:rsidR="00C4408F" w:rsidRDefault="00C4408F" w:rsidP="00A81630">
      <w:pPr>
        <w:spacing w:after="0" w:line="240" w:lineRule="auto"/>
      </w:pPr>
      <w:r>
        <w:continuationSeparator/>
      </w:r>
    </w:p>
  </w:endnote>
  <w:endnote w:type="continuationNotice" w:id="1">
    <w:p w14:paraId="1C29EAE3" w14:textId="77777777" w:rsidR="00C4408F" w:rsidRDefault="00C440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384B" w14:textId="263E771D" w:rsidR="00C130E4" w:rsidRPr="002167F8" w:rsidRDefault="002167F8" w:rsidP="002167F8">
    <w:pPr>
      <w:pStyle w:val="Footer"/>
    </w:pPr>
    <w:r w:rsidRPr="005E3C76">
      <w:rPr>
        <w:rFonts w:ascii="Arial" w:hAnsi="Arial" w:cs="Arial"/>
        <w:sz w:val="20"/>
        <w:szCs w:val="20"/>
      </w:rPr>
      <w:t>Battelle | Version 1.0 | 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B688F" w14:textId="77777777" w:rsidR="00C4408F" w:rsidRDefault="00C4408F" w:rsidP="00A81630">
      <w:pPr>
        <w:spacing w:after="0" w:line="240" w:lineRule="auto"/>
      </w:pPr>
      <w:r>
        <w:separator/>
      </w:r>
    </w:p>
  </w:footnote>
  <w:footnote w:type="continuationSeparator" w:id="0">
    <w:p w14:paraId="3368FB1C" w14:textId="77777777" w:rsidR="00C4408F" w:rsidRDefault="00C4408F" w:rsidP="00A81630">
      <w:pPr>
        <w:spacing w:after="0" w:line="240" w:lineRule="auto"/>
      </w:pPr>
      <w:r>
        <w:continuationSeparator/>
      </w:r>
    </w:p>
  </w:footnote>
  <w:footnote w:type="continuationNotice" w:id="1">
    <w:p w14:paraId="1BBA1427" w14:textId="77777777" w:rsidR="00C4408F" w:rsidRDefault="00C440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6F33B" w14:textId="7449D08E" w:rsidR="00A81630" w:rsidRPr="00B30078" w:rsidRDefault="00CB1BEF" w:rsidP="00CB1BEF">
    <w:pPr>
      <w:spacing w:after="0" w:line="240" w:lineRule="auto"/>
      <w:rPr>
        <w:rFonts w:ascii="Arial" w:hAnsi="Arial" w:cs="Arial"/>
      </w:rPr>
    </w:pPr>
    <w:r>
      <w:rPr>
        <w:noProof/>
      </w:rPr>
      <w:drawing>
        <wp:anchor distT="0" distB="0" distL="114300" distR="114300" simplePos="0" relativeHeight="251658240" behindDoc="0" locked="0" layoutInCell="1" allowOverlap="1" wp14:anchorId="0A2A3F94" wp14:editId="4203E206">
          <wp:simplePos x="0" y="0"/>
          <wp:positionH relativeFrom="margin">
            <wp:align>right</wp:align>
          </wp:positionH>
          <wp:positionV relativeFrom="paragraph">
            <wp:posOffset>-178435</wp:posOffset>
          </wp:positionV>
          <wp:extent cx="1876425" cy="415199"/>
          <wp:effectExtent l="0" t="0" r="0" b="4445"/>
          <wp:wrapNone/>
          <wp:docPr id="1293541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4151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1630" w:rsidRPr="00B30078">
      <w:rPr>
        <w:rFonts w:ascii="Arial" w:hAnsi="Arial" w:cs="Arial"/>
      </w:rPr>
      <w:t>Logic Model Template for Quality Measures</w:t>
    </w:r>
    <w:r w:rsidRPr="00CB1BE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F5B67"/>
    <w:multiLevelType w:val="hybridMultilevel"/>
    <w:tmpl w:val="58BECFC8"/>
    <w:lvl w:ilvl="0" w:tplc="ABBCC41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975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AA8"/>
    <w:rsid w:val="00000251"/>
    <w:rsid w:val="00002BCF"/>
    <w:rsid w:val="00007B6B"/>
    <w:rsid w:val="00016430"/>
    <w:rsid w:val="000301BB"/>
    <w:rsid w:val="00067944"/>
    <w:rsid w:val="000D6A4D"/>
    <w:rsid w:val="000E2319"/>
    <w:rsid w:val="000F4EF3"/>
    <w:rsid w:val="00113B0B"/>
    <w:rsid w:val="00171F56"/>
    <w:rsid w:val="001F4A49"/>
    <w:rsid w:val="00201B38"/>
    <w:rsid w:val="002167F8"/>
    <w:rsid w:val="002B5824"/>
    <w:rsid w:val="002D5426"/>
    <w:rsid w:val="00353E73"/>
    <w:rsid w:val="003605C5"/>
    <w:rsid w:val="00361405"/>
    <w:rsid w:val="004B542A"/>
    <w:rsid w:val="004C4E8D"/>
    <w:rsid w:val="004C4FA7"/>
    <w:rsid w:val="004F72DF"/>
    <w:rsid w:val="00527214"/>
    <w:rsid w:val="00535096"/>
    <w:rsid w:val="005450AE"/>
    <w:rsid w:val="0056259E"/>
    <w:rsid w:val="00571A97"/>
    <w:rsid w:val="00643F09"/>
    <w:rsid w:val="006600E3"/>
    <w:rsid w:val="006651F4"/>
    <w:rsid w:val="006A702D"/>
    <w:rsid w:val="006C1662"/>
    <w:rsid w:val="00734194"/>
    <w:rsid w:val="00740D42"/>
    <w:rsid w:val="00753E78"/>
    <w:rsid w:val="00755BA3"/>
    <w:rsid w:val="00826780"/>
    <w:rsid w:val="00832F07"/>
    <w:rsid w:val="008C1032"/>
    <w:rsid w:val="008C20B7"/>
    <w:rsid w:val="008D7C4E"/>
    <w:rsid w:val="008E5ED0"/>
    <w:rsid w:val="009100AB"/>
    <w:rsid w:val="009315A5"/>
    <w:rsid w:val="0094169E"/>
    <w:rsid w:val="00947F44"/>
    <w:rsid w:val="00984CA4"/>
    <w:rsid w:val="009A71B6"/>
    <w:rsid w:val="009B18EE"/>
    <w:rsid w:val="00A27888"/>
    <w:rsid w:val="00A315F5"/>
    <w:rsid w:val="00A521DE"/>
    <w:rsid w:val="00A81630"/>
    <w:rsid w:val="00AE40BD"/>
    <w:rsid w:val="00B30078"/>
    <w:rsid w:val="00B504E7"/>
    <w:rsid w:val="00B9552F"/>
    <w:rsid w:val="00BB3E9F"/>
    <w:rsid w:val="00C03B3F"/>
    <w:rsid w:val="00C04AA8"/>
    <w:rsid w:val="00C130E4"/>
    <w:rsid w:val="00C16482"/>
    <w:rsid w:val="00C4408F"/>
    <w:rsid w:val="00CA05F5"/>
    <w:rsid w:val="00CB1BEF"/>
    <w:rsid w:val="00D5538A"/>
    <w:rsid w:val="00E00AED"/>
    <w:rsid w:val="00E12CDE"/>
    <w:rsid w:val="00E33164"/>
    <w:rsid w:val="00E50275"/>
    <w:rsid w:val="00E9137B"/>
    <w:rsid w:val="00EC0664"/>
    <w:rsid w:val="00F64BBB"/>
    <w:rsid w:val="00F84A62"/>
    <w:rsid w:val="00F90C32"/>
    <w:rsid w:val="00FE27CA"/>
    <w:rsid w:val="00FF052C"/>
    <w:rsid w:val="0C5BDD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8E7C4"/>
  <w15:chartTrackingRefBased/>
  <w15:docId w15:val="{32BB9E1D-9C3D-4FCA-BC25-058B0FD6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A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A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A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A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A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A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A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A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A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A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A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A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A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A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A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A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A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AA8"/>
    <w:rPr>
      <w:rFonts w:eastAsiaTheme="majorEastAsia" w:cstheme="majorBidi"/>
      <w:color w:val="272727" w:themeColor="text1" w:themeTint="D8"/>
    </w:rPr>
  </w:style>
  <w:style w:type="paragraph" w:styleId="Title">
    <w:name w:val="Title"/>
    <w:basedOn w:val="Normal"/>
    <w:next w:val="Normal"/>
    <w:link w:val="TitleChar"/>
    <w:uiPriority w:val="10"/>
    <w:qFormat/>
    <w:rsid w:val="00C04A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A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A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A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AA8"/>
    <w:pPr>
      <w:spacing w:before="160"/>
      <w:jc w:val="center"/>
    </w:pPr>
    <w:rPr>
      <w:i/>
      <w:iCs/>
      <w:color w:val="404040" w:themeColor="text1" w:themeTint="BF"/>
    </w:rPr>
  </w:style>
  <w:style w:type="character" w:customStyle="1" w:styleId="QuoteChar">
    <w:name w:val="Quote Char"/>
    <w:basedOn w:val="DefaultParagraphFont"/>
    <w:link w:val="Quote"/>
    <w:uiPriority w:val="29"/>
    <w:rsid w:val="00C04AA8"/>
    <w:rPr>
      <w:i/>
      <w:iCs/>
      <w:color w:val="404040" w:themeColor="text1" w:themeTint="BF"/>
    </w:rPr>
  </w:style>
  <w:style w:type="paragraph" w:styleId="ListParagraph">
    <w:name w:val="List Paragraph"/>
    <w:basedOn w:val="Normal"/>
    <w:uiPriority w:val="34"/>
    <w:qFormat/>
    <w:rsid w:val="00C04AA8"/>
    <w:pPr>
      <w:ind w:left="720"/>
      <w:contextualSpacing/>
    </w:pPr>
  </w:style>
  <w:style w:type="character" w:styleId="IntenseEmphasis">
    <w:name w:val="Intense Emphasis"/>
    <w:basedOn w:val="DefaultParagraphFont"/>
    <w:uiPriority w:val="21"/>
    <w:qFormat/>
    <w:rsid w:val="00C04AA8"/>
    <w:rPr>
      <w:i/>
      <w:iCs/>
      <w:color w:val="0F4761" w:themeColor="accent1" w:themeShade="BF"/>
    </w:rPr>
  </w:style>
  <w:style w:type="paragraph" w:styleId="IntenseQuote">
    <w:name w:val="Intense Quote"/>
    <w:basedOn w:val="Normal"/>
    <w:next w:val="Normal"/>
    <w:link w:val="IntenseQuoteChar"/>
    <w:uiPriority w:val="30"/>
    <w:qFormat/>
    <w:rsid w:val="00C04A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AA8"/>
    <w:rPr>
      <w:i/>
      <w:iCs/>
      <w:color w:val="0F4761" w:themeColor="accent1" w:themeShade="BF"/>
    </w:rPr>
  </w:style>
  <w:style w:type="character" w:styleId="IntenseReference">
    <w:name w:val="Intense Reference"/>
    <w:basedOn w:val="DefaultParagraphFont"/>
    <w:uiPriority w:val="32"/>
    <w:qFormat/>
    <w:rsid w:val="00C04AA8"/>
    <w:rPr>
      <w:b/>
      <w:bCs/>
      <w:smallCaps/>
      <w:color w:val="0F4761" w:themeColor="accent1" w:themeShade="BF"/>
      <w:spacing w:val="5"/>
    </w:rPr>
  </w:style>
  <w:style w:type="table" w:styleId="TableGrid">
    <w:name w:val="Table Grid"/>
    <w:basedOn w:val="TableNormal"/>
    <w:uiPriority w:val="39"/>
    <w:rsid w:val="00C04A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1630"/>
    <w:rPr>
      <w:sz w:val="16"/>
      <w:szCs w:val="16"/>
    </w:rPr>
  </w:style>
  <w:style w:type="paragraph" w:styleId="CommentText">
    <w:name w:val="annotation text"/>
    <w:basedOn w:val="Normal"/>
    <w:link w:val="CommentTextChar"/>
    <w:uiPriority w:val="99"/>
    <w:unhideWhenUsed/>
    <w:rsid w:val="00A81630"/>
    <w:pPr>
      <w:spacing w:line="240" w:lineRule="auto"/>
    </w:pPr>
    <w:rPr>
      <w:sz w:val="20"/>
      <w:szCs w:val="20"/>
    </w:rPr>
  </w:style>
  <w:style w:type="character" w:customStyle="1" w:styleId="CommentTextChar">
    <w:name w:val="Comment Text Char"/>
    <w:basedOn w:val="DefaultParagraphFont"/>
    <w:link w:val="CommentText"/>
    <w:uiPriority w:val="99"/>
    <w:rsid w:val="00A81630"/>
    <w:rPr>
      <w:sz w:val="20"/>
      <w:szCs w:val="20"/>
    </w:rPr>
  </w:style>
  <w:style w:type="paragraph" w:styleId="CommentSubject">
    <w:name w:val="annotation subject"/>
    <w:basedOn w:val="CommentText"/>
    <w:next w:val="CommentText"/>
    <w:link w:val="CommentSubjectChar"/>
    <w:uiPriority w:val="99"/>
    <w:semiHidden/>
    <w:unhideWhenUsed/>
    <w:rsid w:val="00A81630"/>
    <w:rPr>
      <w:b/>
      <w:bCs/>
    </w:rPr>
  </w:style>
  <w:style w:type="character" w:customStyle="1" w:styleId="CommentSubjectChar">
    <w:name w:val="Comment Subject Char"/>
    <w:basedOn w:val="CommentTextChar"/>
    <w:link w:val="CommentSubject"/>
    <w:uiPriority w:val="99"/>
    <w:semiHidden/>
    <w:rsid w:val="00A81630"/>
    <w:rPr>
      <w:b/>
      <w:bCs/>
      <w:sz w:val="20"/>
      <w:szCs w:val="20"/>
    </w:rPr>
  </w:style>
  <w:style w:type="paragraph" w:styleId="Header">
    <w:name w:val="header"/>
    <w:basedOn w:val="Normal"/>
    <w:link w:val="HeaderChar"/>
    <w:uiPriority w:val="99"/>
    <w:unhideWhenUsed/>
    <w:rsid w:val="00A81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630"/>
  </w:style>
  <w:style w:type="paragraph" w:styleId="Footer">
    <w:name w:val="footer"/>
    <w:basedOn w:val="Normal"/>
    <w:link w:val="FooterChar"/>
    <w:uiPriority w:val="99"/>
    <w:unhideWhenUsed/>
    <w:rsid w:val="00A81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630"/>
  </w:style>
  <w:style w:type="paragraph" w:styleId="BodyText">
    <w:name w:val="Body Text"/>
    <w:basedOn w:val="Normal"/>
    <w:link w:val="BodyTextChar"/>
    <w:uiPriority w:val="1"/>
    <w:qFormat/>
    <w:rsid w:val="006C1662"/>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BodyTextChar">
    <w:name w:val="Body Text Char"/>
    <w:basedOn w:val="DefaultParagraphFont"/>
    <w:link w:val="BodyText"/>
    <w:uiPriority w:val="1"/>
    <w:rsid w:val="006C1662"/>
    <w:rPr>
      <w:rFonts w:ascii="Arial" w:eastAsia="Arial" w:hAnsi="Arial" w:cs="Arial"/>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795258">
      <w:bodyDiv w:val="1"/>
      <w:marLeft w:val="0"/>
      <w:marRight w:val="0"/>
      <w:marTop w:val="0"/>
      <w:marBottom w:val="0"/>
      <w:divBdr>
        <w:top w:val="none" w:sz="0" w:space="0" w:color="auto"/>
        <w:left w:val="none" w:sz="0" w:space="0" w:color="auto"/>
        <w:bottom w:val="none" w:sz="0" w:space="0" w:color="auto"/>
        <w:right w:val="none" w:sz="0" w:space="0" w:color="auto"/>
      </w:divBdr>
    </w:div>
    <w:div w:id="1006446991">
      <w:bodyDiv w:val="1"/>
      <w:marLeft w:val="0"/>
      <w:marRight w:val="0"/>
      <w:marTop w:val="0"/>
      <w:marBottom w:val="0"/>
      <w:divBdr>
        <w:top w:val="none" w:sz="0" w:space="0" w:color="auto"/>
        <w:left w:val="none" w:sz="0" w:space="0" w:color="auto"/>
        <w:bottom w:val="none" w:sz="0" w:space="0" w:color="auto"/>
        <w:right w:val="none" w:sz="0" w:space="0" w:color="auto"/>
      </w:divBdr>
      <w:divsChild>
        <w:div w:id="737358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890618-5063-4a10-9269-39309fc44fd8" xsi:nil="true"/>
    <lcf76f155ced4ddcb4097134ff3c332f xmlns="c46a9670-bd66-4586-9525-c163b0e5d59b">
      <Terms xmlns="http://schemas.microsoft.com/office/infopath/2007/PartnerControls"/>
    </lcf76f155ced4ddcb4097134ff3c332f>
    <Comment xmlns="c46a9670-bd66-4586-9525-c163b0e5d5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0D22705296B04B9E99E648B82AFFB2" ma:contentTypeVersion="16" ma:contentTypeDescription="Create a new document." ma:contentTypeScope="" ma:versionID="81745b7c5726a8ebcd4ca1e9d07f4a62">
  <xsd:schema xmlns:xsd="http://www.w3.org/2001/XMLSchema" xmlns:xs="http://www.w3.org/2001/XMLSchema" xmlns:p="http://schemas.microsoft.com/office/2006/metadata/properties" xmlns:ns2="c46a9670-bd66-4586-9525-c163b0e5d59b" xmlns:ns3="2c890618-5063-4a10-9269-39309fc44fd8" targetNamespace="http://schemas.microsoft.com/office/2006/metadata/properties" ma:root="true" ma:fieldsID="8b62105e51364e72827a7723cb38122b" ns2:_="" ns3:_="">
    <xsd:import namespace="c46a9670-bd66-4586-9525-c163b0e5d59b"/>
    <xsd:import namespace="2c890618-5063-4a10-9269-39309fc44f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SearchProperties" minOccurs="0"/>
                <xsd:element ref="ns2:MediaServiceLocatio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a9670-bd66-4586-9525-c163b0e5d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0b95c9-4b07-4b98-a933-278a957ba3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mment" ma:index="23" nillable="true" ma:displayName="Comment" ma:description="e.g., 508 complete, posted to PQM"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90618-5063-4a10-9269-39309fc44f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72bffc1-9a4c-412d-8198-1e07bd163c28}" ma:internalName="TaxCatchAll" ma:showField="CatchAllData" ma:web="2c890618-5063-4a10-9269-39309fc44f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0165CA-D749-4EF0-8874-CFF7322C7B7E}">
  <ds:schemaRefs>
    <ds:schemaRef ds:uri="http://schemas.microsoft.com/sharepoint/v3/contenttype/forms"/>
  </ds:schemaRefs>
</ds:datastoreItem>
</file>

<file path=customXml/itemProps2.xml><?xml version="1.0" encoding="utf-8"?>
<ds:datastoreItem xmlns:ds="http://schemas.openxmlformats.org/officeDocument/2006/customXml" ds:itemID="{162C1BE0-F0A2-4E8D-9189-B8A6428D6FA1}">
  <ds:schemaRefs>
    <ds:schemaRef ds:uri="http://schemas.microsoft.com/office/2006/metadata/properties"/>
    <ds:schemaRef ds:uri="http://schemas.microsoft.com/office/infopath/2007/PartnerControls"/>
    <ds:schemaRef ds:uri="2c890618-5063-4a10-9269-39309fc44fd8"/>
    <ds:schemaRef ds:uri="c46a9670-bd66-4586-9525-c163b0e5d59b"/>
  </ds:schemaRefs>
</ds:datastoreItem>
</file>

<file path=customXml/itemProps3.xml><?xml version="1.0" encoding="utf-8"?>
<ds:datastoreItem xmlns:ds="http://schemas.openxmlformats.org/officeDocument/2006/customXml" ds:itemID="{84FA1486-82EF-4F2F-ADEE-7F2AD135C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a9670-bd66-4586-9525-c163b0e5d59b"/>
    <ds:schemaRef ds:uri="2c890618-5063-4a10-9269-39309fc44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E&amp;M Logic Model Template</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E&amp;M Logic Model Template</dc:title>
  <dc:subject/>
  <dc:creator>Battelle</dc:creator>
  <cp:keywords>E&amp;M, Logic Model Template</cp:keywords>
  <dc:description/>
  <cp:lastModifiedBy>Katie Goodwin</cp:lastModifiedBy>
  <cp:revision>2</cp:revision>
  <dcterms:created xsi:type="dcterms:W3CDTF">2025-04-08T12:44:00Z</dcterms:created>
  <dcterms:modified xsi:type="dcterms:W3CDTF">2025-04-08T12:44:00Z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0x010100990D22705296B04B9E99E648B82AFFB2</vt:lpwstr>
  </property>
  <property fmtid="{D5CDD505-2E9C-101B-9397-08002B2CF9AE}" pid="3" name="MediaServiceImageTags">
    <vt:lpwstr/>
  </property>
</Properties>
</file>