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BF47E3" w14:textId="77777777" w:rsidR="00FB7F82" w:rsidRPr="00FB7F82" w:rsidRDefault="00FB7F82">
      <w:pPr>
        <w:rPr>
          <w:rFonts w:ascii="Calibri" w:hAnsi="Calibri" w:cs="Calibri"/>
        </w:rPr>
      </w:pPr>
      <w:r w:rsidRPr="00FB7F82">
        <w:rPr>
          <w:rFonts w:ascii="Calibri" w:hAnsi="Calibri" w:cs="Calibri"/>
        </w:rPr>
        <w:t>2.1</w:t>
      </w:r>
      <w:r w:rsidR="00C379FC" w:rsidRPr="00FB7F82">
        <w:rPr>
          <w:rFonts w:ascii="Calibri" w:hAnsi="Calibri" w:cs="Calibri"/>
        </w:rPr>
        <w:t xml:space="preserve"> Logic Model Attachment</w:t>
      </w:r>
    </w:p>
    <w:p w14:paraId="46DC2793" w14:textId="36B7C33E" w:rsidR="00194A8F" w:rsidRPr="00FB7F82" w:rsidRDefault="00FB7F82">
      <w:pPr>
        <w:rPr>
          <w:rFonts w:ascii="Calibri" w:hAnsi="Calibri" w:cs="Calibri"/>
        </w:rPr>
      </w:pPr>
      <w:r w:rsidRPr="00FB7F82">
        <w:rPr>
          <w:rFonts w:ascii="Calibri" w:hAnsi="Calibri" w:cs="Calibri"/>
        </w:rPr>
        <w:t>30 Day Unplanned Readmissions for Cancer Patients</w:t>
      </w:r>
      <w:r w:rsidRPr="00FB7F82">
        <w:rPr>
          <w:rFonts w:ascii="Calibri" w:hAnsi="Calibri" w:cs="Calibri"/>
        </w:rPr>
        <w:t xml:space="preserve"> Measure</w:t>
      </w:r>
      <w:r w:rsidR="00C379FC" w:rsidRPr="00FB7F82">
        <w:rPr>
          <w:rFonts w:ascii="Calibri" w:hAnsi="Calibri" w:cs="Calibri"/>
        </w:rPr>
        <w:t xml:space="preserve"> </w:t>
      </w:r>
    </w:p>
    <w:p w14:paraId="314BAC4C" w14:textId="4963B6E9" w:rsidR="00FB7F82" w:rsidRPr="00FB7F82" w:rsidRDefault="00FB7F82">
      <w:pPr>
        <w:rPr>
          <w:rFonts w:ascii="Calibri" w:hAnsi="Calibri" w:cs="Calibri"/>
        </w:rPr>
      </w:pPr>
    </w:p>
    <w:p w14:paraId="6E6C9FB0" w14:textId="77777777" w:rsidR="00C379FC" w:rsidRPr="00FB7F82" w:rsidRDefault="00C379FC">
      <w:pPr>
        <w:rPr>
          <w:rFonts w:ascii="Calibri" w:hAnsi="Calibri" w:cs="Calibri"/>
        </w:rPr>
      </w:pPr>
    </w:p>
    <w:p w14:paraId="5E1D72DE" w14:textId="77777777" w:rsidR="00C379FC" w:rsidRPr="00FB7F82" w:rsidRDefault="00C379FC" w:rsidP="00C379FC">
      <w:pPr>
        <w:ind w:left="432" w:hanging="432"/>
        <w:rPr>
          <w:rFonts w:ascii="Calibri" w:hAnsi="Calibri" w:cs="Calibri"/>
          <w:b/>
          <w:color w:val="0000FF"/>
        </w:rPr>
      </w:pPr>
      <w:r w:rsidRPr="00FB7F82">
        <w:rPr>
          <w:rFonts w:ascii="Calibri" w:hAnsi="Calibri" w:cs="Calibri"/>
          <w:b/>
          <w:noProof/>
          <w:color w:val="0000FF"/>
        </w:rPr>
        <w:drawing>
          <wp:inline distT="0" distB="0" distL="0" distR="0" wp14:anchorId="30D3D5B5" wp14:editId="486D5BDF">
            <wp:extent cx="5486400" cy="3200400"/>
            <wp:effectExtent l="12700" t="12700" r="12700" b="25400"/>
            <wp:docPr id="4" name="Diagram 4" descr="The logic model starts with healthcare processes, giving examples of evidence-based actions to reduce readmission risk. The second step is fostering improved patient care, and the third step is the meaningful outcome of reduced readmission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2ACCA5B6" w14:textId="77777777" w:rsidR="00C379FC" w:rsidRPr="00FB7F82" w:rsidRDefault="00C379FC" w:rsidP="00C379FC">
      <w:pPr>
        <w:ind w:left="432" w:hanging="432"/>
        <w:rPr>
          <w:rFonts w:ascii="Calibri" w:hAnsi="Calibri" w:cs="Calibri"/>
          <w:b/>
          <w:color w:val="0000FF"/>
        </w:rPr>
      </w:pPr>
    </w:p>
    <w:p w14:paraId="07FE02A6" w14:textId="77777777" w:rsidR="00C379FC" w:rsidRPr="00FB7F82" w:rsidRDefault="00C379FC" w:rsidP="00C379FC">
      <w:pPr>
        <w:rPr>
          <w:rFonts w:ascii="Calibri" w:hAnsi="Calibri" w:cs="Calibri"/>
          <w:color w:val="000000" w:themeColor="text1"/>
        </w:rPr>
      </w:pPr>
      <w:r w:rsidRPr="00FB7F82">
        <w:rPr>
          <w:rFonts w:ascii="Calibri" w:hAnsi="Calibri" w:cs="Calibri"/>
          <w:color w:val="000000" w:themeColor="text1"/>
        </w:rPr>
        <w:t xml:space="preserve">This measure was developed to yield risk-adjusted, hospital-level rates of unplanned readmissions that:  </w:t>
      </w:r>
    </w:p>
    <w:p w14:paraId="36B85161" w14:textId="77777777" w:rsidR="00C379FC" w:rsidRPr="00FB7F82" w:rsidRDefault="00C379FC" w:rsidP="00C379FC">
      <w:pPr>
        <w:pStyle w:val="ListParagraph"/>
        <w:numPr>
          <w:ilvl w:val="0"/>
          <w:numId w:val="1"/>
        </w:numPr>
        <w:spacing w:after="200" w:line="276" w:lineRule="auto"/>
        <w:rPr>
          <w:rFonts w:ascii="Calibri" w:hAnsi="Calibri" w:cs="Calibri"/>
          <w:color w:val="000000" w:themeColor="text1"/>
        </w:rPr>
      </w:pPr>
      <w:r w:rsidRPr="00FB7F82">
        <w:rPr>
          <w:rFonts w:ascii="Calibri" w:hAnsi="Calibri" w:cs="Calibri"/>
          <w:color w:val="000000" w:themeColor="text1"/>
        </w:rPr>
        <w:t xml:space="preserve">Are valid and reliable for cancer </w:t>
      </w:r>
      <w:proofErr w:type="gramStart"/>
      <w:r w:rsidRPr="00FB7F82">
        <w:rPr>
          <w:rFonts w:ascii="Calibri" w:hAnsi="Calibri" w:cs="Calibri"/>
          <w:color w:val="000000" w:themeColor="text1"/>
        </w:rPr>
        <w:t>care;</w:t>
      </w:r>
      <w:proofErr w:type="gramEnd"/>
      <w:r w:rsidRPr="00FB7F82">
        <w:rPr>
          <w:rFonts w:ascii="Calibri" w:hAnsi="Calibri" w:cs="Calibri"/>
          <w:color w:val="000000" w:themeColor="text1"/>
        </w:rPr>
        <w:t xml:space="preserve"> </w:t>
      </w:r>
    </w:p>
    <w:p w14:paraId="5816BD1F" w14:textId="77777777" w:rsidR="00C379FC" w:rsidRPr="00FB7F82" w:rsidRDefault="00C379FC" w:rsidP="00C379FC">
      <w:pPr>
        <w:pStyle w:val="ListParagraph"/>
        <w:numPr>
          <w:ilvl w:val="0"/>
          <w:numId w:val="1"/>
        </w:numPr>
        <w:spacing w:after="200" w:line="276" w:lineRule="auto"/>
        <w:rPr>
          <w:rFonts w:ascii="Calibri" w:hAnsi="Calibri" w:cs="Calibri"/>
          <w:color w:val="000000" w:themeColor="text1"/>
        </w:rPr>
      </w:pPr>
      <w:r w:rsidRPr="00FB7F82">
        <w:rPr>
          <w:rFonts w:ascii="Calibri" w:hAnsi="Calibri" w:cs="Calibri"/>
          <w:color w:val="000000" w:themeColor="text1"/>
        </w:rPr>
        <w:t xml:space="preserve">Address cancer measurement gaps in existing readmissions </w:t>
      </w:r>
      <w:proofErr w:type="gramStart"/>
      <w:r w:rsidRPr="00FB7F82">
        <w:rPr>
          <w:rFonts w:ascii="Calibri" w:hAnsi="Calibri" w:cs="Calibri"/>
          <w:color w:val="000000" w:themeColor="text1"/>
        </w:rPr>
        <w:t>measures;</w:t>
      </w:r>
      <w:proofErr w:type="gramEnd"/>
      <w:r w:rsidRPr="00FB7F82">
        <w:rPr>
          <w:rFonts w:ascii="Calibri" w:hAnsi="Calibri" w:cs="Calibri"/>
          <w:color w:val="000000" w:themeColor="text1"/>
        </w:rPr>
        <w:t xml:space="preserve"> </w:t>
      </w:r>
    </w:p>
    <w:p w14:paraId="7B6221A7" w14:textId="77777777" w:rsidR="00C379FC" w:rsidRPr="00FB7F82" w:rsidRDefault="00C379FC" w:rsidP="00C379FC">
      <w:pPr>
        <w:pStyle w:val="ListParagraph"/>
        <w:numPr>
          <w:ilvl w:val="0"/>
          <w:numId w:val="1"/>
        </w:numPr>
        <w:spacing w:after="200" w:line="276" w:lineRule="auto"/>
        <w:rPr>
          <w:rFonts w:ascii="Calibri" w:hAnsi="Calibri" w:cs="Calibri"/>
          <w:color w:val="000000" w:themeColor="text1"/>
        </w:rPr>
      </w:pPr>
      <w:r w:rsidRPr="00FB7F82">
        <w:rPr>
          <w:rFonts w:ascii="Calibri" w:hAnsi="Calibri" w:cs="Calibri"/>
          <w:color w:val="000000" w:themeColor="text1"/>
        </w:rPr>
        <w:t xml:space="preserve">Are capable of differentiating quality of </w:t>
      </w:r>
      <w:proofErr w:type="gramStart"/>
      <w:r w:rsidRPr="00FB7F82">
        <w:rPr>
          <w:rFonts w:ascii="Calibri" w:hAnsi="Calibri" w:cs="Calibri"/>
          <w:color w:val="000000" w:themeColor="text1"/>
        </w:rPr>
        <w:t>care;</w:t>
      </w:r>
      <w:proofErr w:type="gramEnd"/>
      <w:r w:rsidRPr="00FB7F82">
        <w:rPr>
          <w:rFonts w:ascii="Calibri" w:hAnsi="Calibri" w:cs="Calibri"/>
          <w:color w:val="000000" w:themeColor="text1"/>
        </w:rPr>
        <w:t xml:space="preserve"> </w:t>
      </w:r>
    </w:p>
    <w:p w14:paraId="7EB20A3C" w14:textId="77777777" w:rsidR="00C379FC" w:rsidRPr="00FB7F82" w:rsidRDefault="00C379FC" w:rsidP="00C379FC">
      <w:pPr>
        <w:pStyle w:val="ListParagraph"/>
        <w:numPr>
          <w:ilvl w:val="0"/>
          <w:numId w:val="1"/>
        </w:numPr>
        <w:spacing w:after="200" w:line="276" w:lineRule="auto"/>
        <w:rPr>
          <w:rFonts w:ascii="Calibri" w:hAnsi="Calibri" w:cs="Calibri"/>
          <w:color w:val="000000" w:themeColor="text1"/>
        </w:rPr>
      </w:pPr>
      <w:r w:rsidRPr="00FB7F82">
        <w:rPr>
          <w:rFonts w:ascii="Calibri" w:hAnsi="Calibri" w:cs="Calibri"/>
          <w:color w:val="000000" w:themeColor="text1"/>
        </w:rPr>
        <w:t>Are useful for quality improvement; and,</w:t>
      </w:r>
    </w:p>
    <w:p w14:paraId="0F3FA8B2" w14:textId="77777777" w:rsidR="00C379FC" w:rsidRPr="00FB7F82" w:rsidRDefault="00C379FC" w:rsidP="00C379FC">
      <w:pPr>
        <w:pStyle w:val="ListParagraph"/>
        <w:numPr>
          <w:ilvl w:val="0"/>
          <w:numId w:val="1"/>
        </w:numPr>
        <w:spacing w:after="200" w:line="276" w:lineRule="auto"/>
        <w:rPr>
          <w:rFonts w:ascii="Calibri" w:hAnsi="Calibri" w:cs="Calibri"/>
          <w:color w:val="000000" w:themeColor="text1"/>
        </w:rPr>
      </w:pPr>
      <w:r w:rsidRPr="00FB7F82">
        <w:rPr>
          <w:rFonts w:ascii="Calibri" w:hAnsi="Calibri" w:cs="Calibri"/>
          <w:color w:val="000000" w:themeColor="text1"/>
        </w:rPr>
        <w:t xml:space="preserve">May be used in public reporting programs to inform patients, payers, and policymakers regarding the quality of hospital-based cancer care.  </w:t>
      </w:r>
    </w:p>
    <w:p w14:paraId="183762BF" w14:textId="77777777" w:rsidR="00C379FC" w:rsidRPr="00FB7F82" w:rsidRDefault="00C379FC" w:rsidP="00C379FC">
      <w:pPr>
        <w:rPr>
          <w:rFonts w:ascii="Calibri" w:hAnsi="Calibri" w:cs="Calibri"/>
        </w:rPr>
      </w:pPr>
      <w:r w:rsidRPr="00FB7F82">
        <w:rPr>
          <w:rFonts w:ascii="Calibri" w:hAnsi="Calibri" w:cs="Calibri"/>
        </w:rPr>
        <w:t xml:space="preserve">Using </w:t>
      </w:r>
      <w:proofErr w:type="gramStart"/>
      <w:r w:rsidRPr="00FB7F82">
        <w:rPr>
          <w:rFonts w:ascii="Calibri" w:hAnsi="Calibri" w:cs="Calibri"/>
        </w:rPr>
        <w:t>a broad Medicare claims</w:t>
      </w:r>
      <w:proofErr w:type="gramEnd"/>
      <w:r w:rsidRPr="00FB7F82">
        <w:rPr>
          <w:rFonts w:ascii="Calibri" w:hAnsi="Calibri" w:cs="Calibri"/>
        </w:rPr>
        <w:t xml:space="preserve"> set, patients with a Type of Admission/Visit of “emergency” or “urgent” within 30 days of an index admission are considered unplanned readmissions in the measure.  The measure excludes readmissions for patients readmitted for chemotherapy or radiation therapy treatment or with disease progression.  </w:t>
      </w:r>
    </w:p>
    <w:p w14:paraId="1FD40810" w14:textId="77777777" w:rsidR="00C379FC" w:rsidRPr="00FB7F82" w:rsidRDefault="00C379FC" w:rsidP="00C379FC">
      <w:pPr>
        <w:rPr>
          <w:rFonts w:ascii="Calibri" w:hAnsi="Calibri" w:cs="Calibri"/>
          <w:color w:val="000000" w:themeColor="text1"/>
        </w:rPr>
      </w:pPr>
    </w:p>
    <w:p w14:paraId="24461D04" w14:textId="77777777" w:rsidR="00C379FC" w:rsidRPr="00FB7F82" w:rsidRDefault="00C379FC" w:rsidP="00C379FC">
      <w:pPr>
        <w:rPr>
          <w:rFonts w:ascii="Calibri" w:hAnsi="Calibri" w:cs="Calibri"/>
          <w:color w:val="000000" w:themeColor="text1"/>
        </w:rPr>
      </w:pPr>
      <w:r w:rsidRPr="00FB7F82">
        <w:rPr>
          <w:rFonts w:ascii="Calibri" w:hAnsi="Calibri" w:cs="Calibri"/>
          <w:color w:val="000000" w:themeColor="text1"/>
        </w:rPr>
        <w:t xml:space="preserve">By providing an accurate and comprehensive assessment of unplanned readmissions within 30 days of discharge, hospitals can </w:t>
      </w:r>
      <w:r w:rsidRPr="00FB7F82">
        <w:rPr>
          <w:rFonts w:ascii="Calibri" w:hAnsi="Calibri" w:cs="Calibri"/>
        </w:rPr>
        <w:t xml:space="preserve">better identify and address preventable readmissions.  Through routine use, </w:t>
      </w:r>
      <w:r w:rsidRPr="00FB7F82">
        <w:rPr>
          <w:rFonts w:ascii="Calibri" w:hAnsi="Calibri" w:cs="Calibri"/>
          <w:color w:val="000000" w:themeColor="text1"/>
        </w:rPr>
        <w:t xml:space="preserve">this measure can be used to improve patient outcomes and quality of care.  The measure is intended to identify institutions that are performing better or worse than expected and to support improved care delivery and quality of life for this complex patient population.  </w:t>
      </w:r>
    </w:p>
    <w:p w14:paraId="2CF32F30" w14:textId="77777777" w:rsidR="002C3BD3" w:rsidRPr="00FB7F82" w:rsidRDefault="002C3BD3" w:rsidP="00C379FC">
      <w:pPr>
        <w:rPr>
          <w:rFonts w:ascii="Calibri" w:hAnsi="Calibri" w:cs="Calibri"/>
          <w:color w:val="000000" w:themeColor="text1"/>
        </w:rPr>
      </w:pPr>
    </w:p>
    <w:p w14:paraId="4F2B0D63" w14:textId="77777777" w:rsidR="00FB7F82" w:rsidRPr="00FB7F82" w:rsidRDefault="00FB7F82" w:rsidP="00C379FC">
      <w:pPr>
        <w:rPr>
          <w:rFonts w:ascii="Calibri" w:hAnsi="Calibri" w:cs="Calibri"/>
          <w:b/>
          <w:bCs/>
          <w:color w:val="000000" w:themeColor="text1"/>
        </w:rPr>
      </w:pPr>
    </w:p>
    <w:sectPr w:rsidR="00FB7F82" w:rsidRPr="00FB7F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D3065B"/>
    <w:multiLevelType w:val="hybridMultilevel"/>
    <w:tmpl w:val="8DA45794"/>
    <w:lvl w:ilvl="0" w:tplc="53F8A85C">
      <w:start w:val="1"/>
      <w:numFmt w:val="decimal"/>
      <w:lvlText w:val="%1."/>
      <w:lvlJc w:val="left"/>
      <w:pPr>
        <w:ind w:left="720" w:hanging="360"/>
      </w:pPr>
      <w:rPr>
        <w:rFonts w:asciiTheme="minorHAnsi" w:eastAsia="Times New Roman" w:hAnsiTheme="minorHAnsi" w:cstheme="minorHAnsi"/>
        <w:color w:val="2121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D731F0"/>
    <w:multiLevelType w:val="hybridMultilevel"/>
    <w:tmpl w:val="D082A0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AB7158"/>
    <w:multiLevelType w:val="hybridMultilevel"/>
    <w:tmpl w:val="14F437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356BDF"/>
    <w:multiLevelType w:val="hybridMultilevel"/>
    <w:tmpl w:val="7616CD06"/>
    <w:lvl w:ilvl="0" w:tplc="0802A946">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F5748CA"/>
    <w:multiLevelType w:val="hybridMultilevel"/>
    <w:tmpl w:val="41500A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D00A5C"/>
    <w:multiLevelType w:val="multilevel"/>
    <w:tmpl w:val="20409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44102168">
    <w:abstractNumId w:val="1"/>
  </w:num>
  <w:num w:numId="2" w16cid:durableId="2051494203">
    <w:abstractNumId w:val="4"/>
  </w:num>
  <w:num w:numId="3" w16cid:durableId="1877083834">
    <w:abstractNumId w:val="3"/>
  </w:num>
  <w:num w:numId="4" w16cid:durableId="1939681018">
    <w:abstractNumId w:val="2"/>
  </w:num>
  <w:num w:numId="5" w16cid:durableId="1712218358">
    <w:abstractNumId w:val="0"/>
  </w:num>
  <w:num w:numId="6" w16cid:durableId="16674339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9FC"/>
    <w:rsid w:val="00194A8F"/>
    <w:rsid w:val="002C3BD3"/>
    <w:rsid w:val="00343717"/>
    <w:rsid w:val="00412548"/>
    <w:rsid w:val="004E1FFD"/>
    <w:rsid w:val="00562A3E"/>
    <w:rsid w:val="008947AF"/>
    <w:rsid w:val="00C379FC"/>
    <w:rsid w:val="00EA2DCD"/>
    <w:rsid w:val="00FB7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8BB32"/>
  <w15:chartTrackingRefBased/>
  <w15:docId w15:val="{8E25A2C2-5C54-CA49-A743-4F024D01E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BD3"/>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379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79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79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79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79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79F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79F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79F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79F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9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79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79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79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79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79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79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79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79FC"/>
    <w:rPr>
      <w:rFonts w:eastAsiaTheme="majorEastAsia" w:cstheme="majorBidi"/>
      <w:color w:val="272727" w:themeColor="text1" w:themeTint="D8"/>
    </w:rPr>
  </w:style>
  <w:style w:type="paragraph" w:styleId="Title">
    <w:name w:val="Title"/>
    <w:basedOn w:val="Normal"/>
    <w:next w:val="Normal"/>
    <w:link w:val="TitleChar"/>
    <w:uiPriority w:val="10"/>
    <w:qFormat/>
    <w:rsid w:val="00C379F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79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79F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79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79F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379FC"/>
    <w:rPr>
      <w:i/>
      <w:iCs/>
      <w:color w:val="404040" w:themeColor="text1" w:themeTint="BF"/>
    </w:rPr>
  </w:style>
  <w:style w:type="paragraph" w:styleId="ListParagraph">
    <w:name w:val="List Paragraph"/>
    <w:basedOn w:val="Normal"/>
    <w:link w:val="ListParagraphChar"/>
    <w:uiPriority w:val="34"/>
    <w:qFormat/>
    <w:rsid w:val="00C379FC"/>
    <w:pPr>
      <w:ind w:left="720"/>
      <w:contextualSpacing/>
    </w:pPr>
  </w:style>
  <w:style w:type="character" w:styleId="IntenseEmphasis">
    <w:name w:val="Intense Emphasis"/>
    <w:basedOn w:val="DefaultParagraphFont"/>
    <w:uiPriority w:val="21"/>
    <w:qFormat/>
    <w:rsid w:val="00C379FC"/>
    <w:rPr>
      <w:i/>
      <w:iCs/>
      <w:color w:val="0F4761" w:themeColor="accent1" w:themeShade="BF"/>
    </w:rPr>
  </w:style>
  <w:style w:type="paragraph" w:styleId="IntenseQuote">
    <w:name w:val="Intense Quote"/>
    <w:basedOn w:val="Normal"/>
    <w:next w:val="Normal"/>
    <w:link w:val="IntenseQuoteChar"/>
    <w:uiPriority w:val="30"/>
    <w:qFormat/>
    <w:rsid w:val="00C379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79FC"/>
    <w:rPr>
      <w:i/>
      <w:iCs/>
      <w:color w:val="0F4761" w:themeColor="accent1" w:themeShade="BF"/>
    </w:rPr>
  </w:style>
  <w:style w:type="character" w:styleId="IntenseReference">
    <w:name w:val="Intense Reference"/>
    <w:basedOn w:val="DefaultParagraphFont"/>
    <w:uiPriority w:val="32"/>
    <w:qFormat/>
    <w:rsid w:val="00C379FC"/>
    <w:rPr>
      <w:b/>
      <w:bCs/>
      <w:smallCaps/>
      <w:color w:val="0F4761" w:themeColor="accent1" w:themeShade="BF"/>
      <w:spacing w:val="5"/>
    </w:rPr>
  </w:style>
  <w:style w:type="character" w:styleId="Hyperlink">
    <w:name w:val="Hyperlink"/>
    <w:basedOn w:val="DefaultParagraphFont"/>
    <w:uiPriority w:val="99"/>
    <w:unhideWhenUsed/>
    <w:rsid w:val="002C3BD3"/>
    <w:rPr>
      <w:color w:val="467886" w:themeColor="hyperlink"/>
      <w:u w:val="single"/>
    </w:rPr>
  </w:style>
  <w:style w:type="character" w:customStyle="1" w:styleId="Style1">
    <w:name w:val="Style1"/>
    <w:basedOn w:val="DefaultParagraphFont"/>
    <w:uiPriority w:val="1"/>
    <w:rsid w:val="002C3BD3"/>
    <w:rPr>
      <w:rFonts w:asciiTheme="minorHAnsi" w:hAnsiTheme="minorHAnsi"/>
      <w:color w:val="0000FF"/>
      <w:sz w:val="22"/>
    </w:rPr>
  </w:style>
  <w:style w:type="character" w:customStyle="1" w:styleId="ListParagraphChar">
    <w:name w:val="List Paragraph Char"/>
    <w:basedOn w:val="DefaultParagraphFont"/>
    <w:link w:val="ListParagraph"/>
    <w:uiPriority w:val="34"/>
    <w:locked/>
    <w:rsid w:val="002C3BD3"/>
  </w:style>
  <w:style w:type="paragraph" w:customStyle="1" w:styleId="Default">
    <w:name w:val="Default"/>
    <w:rsid w:val="002C3BD3"/>
    <w:pPr>
      <w:autoSpaceDE w:val="0"/>
      <w:autoSpaceDN w:val="0"/>
      <w:adjustRightInd w:val="0"/>
    </w:pPr>
    <w:rPr>
      <w:rFonts w:ascii="Calibri" w:eastAsiaTheme="minorEastAsia" w:hAnsi="Calibri" w:cs="Calibri"/>
      <w:color w:val="000000"/>
      <w:kern w:val="0"/>
      <w14:ligatures w14:val="none"/>
    </w:rPr>
  </w:style>
  <w:style w:type="character" w:styleId="UnresolvedMention">
    <w:name w:val="Unresolved Mention"/>
    <w:basedOn w:val="DefaultParagraphFont"/>
    <w:uiPriority w:val="99"/>
    <w:semiHidden/>
    <w:unhideWhenUsed/>
    <w:rsid w:val="002C3BD3"/>
    <w:rPr>
      <w:color w:val="605E5C"/>
      <w:shd w:val="clear" w:color="auto" w:fill="E1DFDD"/>
    </w:rPr>
  </w:style>
  <w:style w:type="character" w:styleId="FollowedHyperlink">
    <w:name w:val="FollowedHyperlink"/>
    <w:basedOn w:val="DefaultParagraphFont"/>
    <w:uiPriority w:val="99"/>
    <w:semiHidden/>
    <w:unhideWhenUsed/>
    <w:rsid w:val="002C3BD3"/>
    <w:rPr>
      <w:color w:val="96607D" w:themeColor="followedHyperlink"/>
      <w:u w:val="single"/>
    </w:rPr>
  </w:style>
  <w:style w:type="character" w:styleId="Emphasis">
    <w:name w:val="Emphasis"/>
    <w:basedOn w:val="DefaultParagraphFont"/>
    <w:uiPriority w:val="20"/>
    <w:qFormat/>
    <w:rsid w:val="002C3B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1178544">
      <w:bodyDiv w:val="1"/>
      <w:marLeft w:val="0"/>
      <w:marRight w:val="0"/>
      <w:marTop w:val="0"/>
      <w:marBottom w:val="0"/>
      <w:divBdr>
        <w:top w:val="none" w:sz="0" w:space="0" w:color="auto"/>
        <w:left w:val="none" w:sz="0" w:space="0" w:color="auto"/>
        <w:bottom w:val="none" w:sz="0" w:space="0" w:color="auto"/>
        <w:right w:val="none" w:sz="0" w:space="0" w:color="auto"/>
      </w:divBdr>
    </w:div>
    <w:div w:id="1050805653">
      <w:bodyDiv w:val="1"/>
      <w:marLeft w:val="0"/>
      <w:marRight w:val="0"/>
      <w:marTop w:val="0"/>
      <w:marBottom w:val="0"/>
      <w:divBdr>
        <w:top w:val="none" w:sz="0" w:space="0" w:color="auto"/>
        <w:left w:val="none" w:sz="0" w:space="0" w:color="auto"/>
        <w:bottom w:val="none" w:sz="0" w:space="0" w:color="auto"/>
        <w:right w:val="none" w:sz="0" w:space="0" w:color="auto"/>
      </w:divBdr>
    </w:div>
    <w:div w:id="1608660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CBCF448-5E02-41D1-8007-1EF563708F23}" type="doc">
      <dgm:prSet loTypeId="urn:microsoft.com/office/officeart/2005/8/layout/chevron2" loCatId="process" qsTypeId="urn:microsoft.com/office/officeart/2005/8/quickstyle/simple1" qsCatId="simple" csTypeId="urn:microsoft.com/office/officeart/2005/8/colors/colorful3" csCatId="colorful" phldr="1"/>
      <dgm:spPr/>
      <dgm:t>
        <a:bodyPr/>
        <a:lstStyle/>
        <a:p>
          <a:endParaRPr lang="en-US"/>
        </a:p>
      </dgm:t>
    </dgm:pt>
    <dgm:pt modelId="{9E5EDE7F-9226-44B6-AEFE-0F1A081A6291}">
      <dgm:prSet phldrT="[Text]"/>
      <dgm:spPr/>
      <dgm:t>
        <a:bodyPr/>
        <a:lstStyle/>
        <a:p>
          <a:r>
            <a:rPr lang="en-US"/>
            <a:t>Healthcare Processes</a:t>
          </a:r>
        </a:p>
      </dgm:t>
    </dgm:pt>
    <dgm:pt modelId="{E76DBCC3-D3A8-4ED5-948C-D79CB4299C1B}" type="parTrans" cxnId="{5B6D116A-BAEA-47FC-8E33-A848680B96C9}">
      <dgm:prSet/>
      <dgm:spPr/>
      <dgm:t>
        <a:bodyPr/>
        <a:lstStyle/>
        <a:p>
          <a:endParaRPr lang="en-US"/>
        </a:p>
      </dgm:t>
    </dgm:pt>
    <dgm:pt modelId="{75D4BF37-C82B-41BB-B5A7-44B445B4C319}" type="sibTrans" cxnId="{5B6D116A-BAEA-47FC-8E33-A848680B96C9}">
      <dgm:prSet/>
      <dgm:spPr/>
      <dgm:t>
        <a:bodyPr/>
        <a:lstStyle/>
        <a:p>
          <a:endParaRPr lang="en-US"/>
        </a:p>
      </dgm:t>
    </dgm:pt>
    <dgm:pt modelId="{F730E14D-2509-42B7-8EDF-A19DE0C3D40E}">
      <dgm:prSet phldrT="[Text]"/>
      <dgm:spPr/>
      <dgm:t>
        <a:bodyPr/>
        <a:lstStyle/>
        <a:p>
          <a:r>
            <a:rPr lang="en-US"/>
            <a:t>Provide guideline-concordant care </a:t>
          </a:r>
        </a:p>
      </dgm:t>
    </dgm:pt>
    <dgm:pt modelId="{100578B1-E67A-468B-AFCB-6323E9B1ADDD}" type="parTrans" cxnId="{9B014F22-A111-40F0-8EFC-8BFC66C1739E}">
      <dgm:prSet/>
      <dgm:spPr/>
      <dgm:t>
        <a:bodyPr/>
        <a:lstStyle/>
        <a:p>
          <a:endParaRPr lang="en-US"/>
        </a:p>
      </dgm:t>
    </dgm:pt>
    <dgm:pt modelId="{B1796DA1-78EC-400D-8EE6-62C574327060}" type="sibTrans" cxnId="{9B014F22-A111-40F0-8EFC-8BFC66C1739E}">
      <dgm:prSet/>
      <dgm:spPr/>
      <dgm:t>
        <a:bodyPr/>
        <a:lstStyle/>
        <a:p>
          <a:endParaRPr lang="en-US"/>
        </a:p>
      </dgm:t>
    </dgm:pt>
    <dgm:pt modelId="{00DE5625-D573-4350-8172-6CFEF1D667FC}">
      <dgm:prSet phldrT="[Text]"/>
      <dgm:spPr/>
      <dgm:t>
        <a:bodyPr/>
        <a:lstStyle/>
        <a:p>
          <a:r>
            <a:rPr lang="en-US"/>
            <a:t>Foster Improved Patient Care</a:t>
          </a:r>
        </a:p>
      </dgm:t>
    </dgm:pt>
    <dgm:pt modelId="{CAFF759B-62E7-44B5-B0B5-F20684C1E827}" type="parTrans" cxnId="{13488C79-D955-4630-9AC9-14146AEFCD8C}">
      <dgm:prSet/>
      <dgm:spPr/>
      <dgm:t>
        <a:bodyPr/>
        <a:lstStyle/>
        <a:p>
          <a:endParaRPr lang="en-US"/>
        </a:p>
      </dgm:t>
    </dgm:pt>
    <dgm:pt modelId="{D0359D7D-6353-4B73-92E4-03CC284B845D}" type="sibTrans" cxnId="{13488C79-D955-4630-9AC9-14146AEFCD8C}">
      <dgm:prSet/>
      <dgm:spPr/>
      <dgm:t>
        <a:bodyPr/>
        <a:lstStyle/>
        <a:p>
          <a:endParaRPr lang="en-US"/>
        </a:p>
      </dgm:t>
    </dgm:pt>
    <dgm:pt modelId="{C558BDCF-B682-4FCC-97F8-45BA192D9DF9}">
      <dgm:prSet phldrT="[Text]"/>
      <dgm:spPr/>
      <dgm:t>
        <a:bodyPr/>
        <a:lstStyle/>
        <a:p>
          <a:r>
            <a:rPr lang="en-US"/>
            <a:t>Better population health</a:t>
          </a:r>
        </a:p>
      </dgm:t>
    </dgm:pt>
    <dgm:pt modelId="{25390E69-6FA1-4FD8-AC3F-6590CF8162D0}" type="parTrans" cxnId="{F20FFBFA-3B11-436D-A21B-E6334AABC962}">
      <dgm:prSet/>
      <dgm:spPr/>
      <dgm:t>
        <a:bodyPr/>
        <a:lstStyle/>
        <a:p>
          <a:endParaRPr lang="en-US"/>
        </a:p>
      </dgm:t>
    </dgm:pt>
    <dgm:pt modelId="{AE29C94A-DE0B-4DB3-8672-939645285D96}" type="sibTrans" cxnId="{F20FFBFA-3B11-436D-A21B-E6334AABC962}">
      <dgm:prSet/>
      <dgm:spPr/>
      <dgm:t>
        <a:bodyPr/>
        <a:lstStyle/>
        <a:p>
          <a:endParaRPr lang="en-US"/>
        </a:p>
      </dgm:t>
    </dgm:pt>
    <dgm:pt modelId="{CBCC59EB-2882-467B-A916-5313424F4467}">
      <dgm:prSet phldrT="[Text]"/>
      <dgm:spPr/>
      <dgm:t>
        <a:bodyPr/>
        <a:lstStyle/>
        <a:p>
          <a:r>
            <a:rPr lang="en-US"/>
            <a:t>Develop Meaningful Outcomes</a:t>
          </a:r>
        </a:p>
      </dgm:t>
    </dgm:pt>
    <dgm:pt modelId="{14E0627D-9314-45CF-BB7C-883D883E8923}" type="parTrans" cxnId="{778B4DAE-C92D-4CB4-880C-48F572D84DBD}">
      <dgm:prSet/>
      <dgm:spPr/>
      <dgm:t>
        <a:bodyPr/>
        <a:lstStyle/>
        <a:p>
          <a:endParaRPr lang="en-US"/>
        </a:p>
      </dgm:t>
    </dgm:pt>
    <dgm:pt modelId="{2976A530-5130-467E-83FC-F79ED882BB79}" type="sibTrans" cxnId="{778B4DAE-C92D-4CB4-880C-48F572D84DBD}">
      <dgm:prSet/>
      <dgm:spPr/>
      <dgm:t>
        <a:bodyPr/>
        <a:lstStyle/>
        <a:p>
          <a:endParaRPr lang="en-US"/>
        </a:p>
      </dgm:t>
    </dgm:pt>
    <dgm:pt modelId="{A7E1D6A1-C6EB-4999-B310-A50FB10E37BC}">
      <dgm:prSet phldrT="[Text]"/>
      <dgm:spPr/>
      <dgm:t>
        <a:bodyPr/>
        <a:lstStyle/>
        <a:p>
          <a:r>
            <a:rPr lang="en-US"/>
            <a:t>Readmission risk reduced</a:t>
          </a:r>
        </a:p>
      </dgm:t>
    </dgm:pt>
    <dgm:pt modelId="{048B1A2C-2B51-402E-B99A-DE3E195F40DB}" type="parTrans" cxnId="{81904564-DF26-4F57-BC25-4C1AF952BF41}">
      <dgm:prSet/>
      <dgm:spPr/>
      <dgm:t>
        <a:bodyPr/>
        <a:lstStyle/>
        <a:p>
          <a:endParaRPr lang="en-US"/>
        </a:p>
      </dgm:t>
    </dgm:pt>
    <dgm:pt modelId="{D37AEA75-1CC9-4F83-9015-97BD6CAE9E8F}" type="sibTrans" cxnId="{81904564-DF26-4F57-BC25-4C1AF952BF41}">
      <dgm:prSet/>
      <dgm:spPr/>
      <dgm:t>
        <a:bodyPr/>
        <a:lstStyle/>
        <a:p>
          <a:endParaRPr lang="en-US"/>
        </a:p>
      </dgm:t>
    </dgm:pt>
    <dgm:pt modelId="{1EA0CB19-BF5D-4918-97B9-EC2ADE90E467}">
      <dgm:prSet phldrT="[Text]"/>
      <dgm:spPr/>
      <dgm:t>
        <a:bodyPr/>
        <a:lstStyle/>
        <a:p>
          <a:r>
            <a:rPr lang="en-US"/>
            <a:t>Assure patient is clinically ready for discharge; enhance communications re: care transitions</a:t>
          </a:r>
        </a:p>
      </dgm:t>
    </dgm:pt>
    <dgm:pt modelId="{D6DAE747-4D33-4D00-9FE3-96931F70C377}" type="parTrans" cxnId="{2282D213-FE59-4042-94E6-41B416FF364B}">
      <dgm:prSet/>
      <dgm:spPr/>
      <dgm:t>
        <a:bodyPr/>
        <a:lstStyle/>
        <a:p>
          <a:endParaRPr lang="en-US"/>
        </a:p>
      </dgm:t>
    </dgm:pt>
    <dgm:pt modelId="{F6E94156-C9B3-4275-9348-44503CF13743}" type="sibTrans" cxnId="{2282D213-FE59-4042-94E6-41B416FF364B}">
      <dgm:prSet/>
      <dgm:spPr/>
      <dgm:t>
        <a:bodyPr/>
        <a:lstStyle/>
        <a:p>
          <a:endParaRPr lang="en-US"/>
        </a:p>
      </dgm:t>
    </dgm:pt>
    <dgm:pt modelId="{B00BCCE3-DAF3-46EE-A6F6-0E489AC6B8A5}">
      <dgm:prSet phldrT="[Text]"/>
      <dgm:spPr/>
      <dgm:t>
        <a:bodyPr/>
        <a:lstStyle/>
        <a:p>
          <a:r>
            <a:rPr lang="en-US"/>
            <a:t>Clear and appropriate follow-up care planned</a:t>
          </a:r>
        </a:p>
      </dgm:t>
    </dgm:pt>
    <dgm:pt modelId="{CB92DF54-BD62-48B6-AA44-FCA24416B19C}" type="parTrans" cxnId="{5A9DC47F-74C8-49FD-B458-F4C5EB18453C}">
      <dgm:prSet/>
      <dgm:spPr/>
      <dgm:t>
        <a:bodyPr/>
        <a:lstStyle/>
        <a:p>
          <a:endParaRPr lang="en-US"/>
        </a:p>
      </dgm:t>
    </dgm:pt>
    <dgm:pt modelId="{63A0CA91-D585-4F66-89BA-331D3DADC59F}" type="sibTrans" cxnId="{5A9DC47F-74C8-49FD-B458-F4C5EB18453C}">
      <dgm:prSet/>
      <dgm:spPr/>
      <dgm:t>
        <a:bodyPr/>
        <a:lstStyle/>
        <a:p>
          <a:endParaRPr lang="en-US"/>
        </a:p>
      </dgm:t>
    </dgm:pt>
    <dgm:pt modelId="{C7F1181B-173E-40B8-838A-70DEAAEE041E}">
      <dgm:prSet phldrT="[Text]"/>
      <dgm:spPr/>
      <dgm:t>
        <a:bodyPr/>
        <a:lstStyle/>
        <a:p>
          <a:r>
            <a:rPr lang="en-US"/>
            <a:t>Reductions in hospital costs where possible</a:t>
          </a:r>
        </a:p>
      </dgm:t>
    </dgm:pt>
    <dgm:pt modelId="{4DCDB910-0A11-4507-8A48-8BB9A58B3545}" type="parTrans" cxnId="{25EE21A0-36B7-4C8E-8C68-3BA759A5661E}">
      <dgm:prSet/>
      <dgm:spPr/>
      <dgm:t>
        <a:bodyPr/>
        <a:lstStyle/>
        <a:p>
          <a:endParaRPr lang="en-US"/>
        </a:p>
      </dgm:t>
    </dgm:pt>
    <dgm:pt modelId="{D70C8C5A-DFCF-4946-AB72-3AE1BF1469DD}" type="sibTrans" cxnId="{25EE21A0-36B7-4C8E-8C68-3BA759A5661E}">
      <dgm:prSet/>
      <dgm:spPr/>
      <dgm:t>
        <a:bodyPr/>
        <a:lstStyle/>
        <a:p>
          <a:endParaRPr lang="en-US"/>
        </a:p>
      </dgm:t>
    </dgm:pt>
    <dgm:pt modelId="{61E66A34-C8A9-4445-876F-F27D590AC272}">
      <dgm:prSet phldrT="[Text]"/>
      <dgm:spPr/>
      <dgm:t>
        <a:bodyPr/>
        <a:lstStyle/>
        <a:p>
          <a:r>
            <a:rPr lang="en-US"/>
            <a:t>Improved health status for cancer patients</a:t>
          </a:r>
        </a:p>
      </dgm:t>
    </dgm:pt>
    <dgm:pt modelId="{02CF313B-F0E9-B142-B01A-EBCEB7246842}" type="parTrans" cxnId="{9561074B-66C2-3643-9B6D-2B24B13FF445}">
      <dgm:prSet/>
      <dgm:spPr/>
      <dgm:t>
        <a:bodyPr/>
        <a:lstStyle/>
        <a:p>
          <a:endParaRPr lang="en-US"/>
        </a:p>
      </dgm:t>
    </dgm:pt>
    <dgm:pt modelId="{E759FD11-E3DE-7A4A-875F-A53A1C25874D}" type="sibTrans" cxnId="{9561074B-66C2-3643-9B6D-2B24B13FF445}">
      <dgm:prSet/>
      <dgm:spPr/>
      <dgm:t>
        <a:bodyPr/>
        <a:lstStyle/>
        <a:p>
          <a:endParaRPr lang="en-US"/>
        </a:p>
      </dgm:t>
    </dgm:pt>
    <dgm:pt modelId="{8143C619-9FA6-EF43-B5E4-81B18F1CF733}">
      <dgm:prSet phldrT="[Text]"/>
      <dgm:spPr/>
      <dgm:t>
        <a:bodyPr/>
        <a:lstStyle/>
        <a:p>
          <a:r>
            <a:rPr lang="en-US"/>
            <a:t>Evidence-based actions to reduce readmission risk, e.g.:</a:t>
          </a:r>
        </a:p>
      </dgm:t>
    </dgm:pt>
    <dgm:pt modelId="{AEC256FC-E539-4C47-ACD8-FD11412F3226}" type="parTrans" cxnId="{EAD650F8-C2C3-3345-9A38-9A89A9CC5755}">
      <dgm:prSet/>
      <dgm:spPr/>
      <dgm:t>
        <a:bodyPr/>
        <a:lstStyle/>
        <a:p>
          <a:endParaRPr lang="en-US"/>
        </a:p>
      </dgm:t>
    </dgm:pt>
    <dgm:pt modelId="{6355EE43-7C01-3842-B21F-29BFD65645AC}" type="sibTrans" cxnId="{EAD650F8-C2C3-3345-9A38-9A89A9CC5755}">
      <dgm:prSet/>
      <dgm:spPr/>
      <dgm:t>
        <a:bodyPr/>
        <a:lstStyle/>
        <a:p>
          <a:endParaRPr lang="en-US"/>
        </a:p>
      </dgm:t>
    </dgm:pt>
    <dgm:pt modelId="{E3003041-3645-B843-9AF2-3A468F4ED6C5}">
      <dgm:prSet phldrT="[Text]"/>
      <dgm:spPr/>
      <dgm:t>
        <a:bodyPr/>
        <a:lstStyle/>
        <a:p>
          <a:r>
            <a:rPr lang="en-US"/>
            <a:t>Manage symptoms, reduce post-operative complications</a:t>
          </a:r>
        </a:p>
      </dgm:t>
    </dgm:pt>
    <dgm:pt modelId="{1EFFCCD9-579A-8C43-A3E1-68A94A2BD0C5}" type="parTrans" cxnId="{A54FCCE9-5AAC-CB4F-913F-D9C517B553FB}">
      <dgm:prSet/>
      <dgm:spPr/>
      <dgm:t>
        <a:bodyPr/>
        <a:lstStyle/>
        <a:p>
          <a:endParaRPr lang="en-US"/>
        </a:p>
      </dgm:t>
    </dgm:pt>
    <dgm:pt modelId="{AC5C9E71-9D9C-054A-BAB7-AF03F602D382}" type="sibTrans" cxnId="{A54FCCE9-5AAC-CB4F-913F-D9C517B553FB}">
      <dgm:prSet/>
      <dgm:spPr/>
      <dgm:t>
        <a:bodyPr/>
        <a:lstStyle/>
        <a:p>
          <a:endParaRPr lang="en-US"/>
        </a:p>
      </dgm:t>
    </dgm:pt>
    <dgm:pt modelId="{F925BB87-B411-42F9-A86C-E956DC3402AD}" type="pres">
      <dgm:prSet presAssocID="{DCBCF448-5E02-41D1-8007-1EF563708F23}" presName="linearFlow" presStyleCnt="0">
        <dgm:presLayoutVars>
          <dgm:dir/>
          <dgm:animLvl val="lvl"/>
          <dgm:resizeHandles val="exact"/>
        </dgm:presLayoutVars>
      </dgm:prSet>
      <dgm:spPr/>
    </dgm:pt>
    <dgm:pt modelId="{D9564EB0-3DAD-4118-BB98-AB06901A79B0}" type="pres">
      <dgm:prSet presAssocID="{9E5EDE7F-9226-44B6-AEFE-0F1A081A6291}" presName="composite" presStyleCnt="0"/>
      <dgm:spPr/>
    </dgm:pt>
    <dgm:pt modelId="{648EE161-D016-4A34-BAB7-9B7684308F6B}" type="pres">
      <dgm:prSet presAssocID="{9E5EDE7F-9226-44B6-AEFE-0F1A081A6291}" presName="parentText" presStyleLbl="alignNode1" presStyleIdx="0" presStyleCnt="3">
        <dgm:presLayoutVars>
          <dgm:chMax val="1"/>
          <dgm:bulletEnabled val="1"/>
        </dgm:presLayoutVars>
      </dgm:prSet>
      <dgm:spPr/>
    </dgm:pt>
    <dgm:pt modelId="{FDA5DD29-5ABB-4E9A-8AD7-3E93EB75AACB}" type="pres">
      <dgm:prSet presAssocID="{9E5EDE7F-9226-44B6-AEFE-0F1A081A6291}" presName="descendantText" presStyleLbl="alignAcc1" presStyleIdx="0" presStyleCnt="3">
        <dgm:presLayoutVars>
          <dgm:bulletEnabled val="1"/>
        </dgm:presLayoutVars>
      </dgm:prSet>
      <dgm:spPr/>
    </dgm:pt>
    <dgm:pt modelId="{1E150FDA-A016-4772-8806-91FEFFEF5EA7}" type="pres">
      <dgm:prSet presAssocID="{75D4BF37-C82B-41BB-B5A7-44B445B4C319}" presName="sp" presStyleCnt="0"/>
      <dgm:spPr/>
    </dgm:pt>
    <dgm:pt modelId="{96BEABE1-D3C7-4885-B95A-96DD1F950E6D}" type="pres">
      <dgm:prSet presAssocID="{00DE5625-D573-4350-8172-6CFEF1D667FC}" presName="composite" presStyleCnt="0"/>
      <dgm:spPr/>
    </dgm:pt>
    <dgm:pt modelId="{CC19B077-D9CC-42BB-85CB-6C55C6AFF496}" type="pres">
      <dgm:prSet presAssocID="{00DE5625-D573-4350-8172-6CFEF1D667FC}" presName="parentText" presStyleLbl="alignNode1" presStyleIdx="1" presStyleCnt="3">
        <dgm:presLayoutVars>
          <dgm:chMax val="1"/>
          <dgm:bulletEnabled val="1"/>
        </dgm:presLayoutVars>
      </dgm:prSet>
      <dgm:spPr/>
    </dgm:pt>
    <dgm:pt modelId="{A100485D-A9FF-418C-BC15-07DECE19ABB9}" type="pres">
      <dgm:prSet presAssocID="{00DE5625-D573-4350-8172-6CFEF1D667FC}" presName="descendantText" presStyleLbl="alignAcc1" presStyleIdx="1" presStyleCnt="3">
        <dgm:presLayoutVars>
          <dgm:bulletEnabled val="1"/>
        </dgm:presLayoutVars>
      </dgm:prSet>
      <dgm:spPr/>
    </dgm:pt>
    <dgm:pt modelId="{ECB53F12-836B-4067-B63A-B16101A77C49}" type="pres">
      <dgm:prSet presAssocID="{D0359D7D-6353-4B73-92E4-03CC284B845D}" presName="sp" presStyleCnt="0"/>
      <dgm:spPr/>
    </dgm:pt>
    <dgm:pt modelId="{7826C23C-23D8-4071-B30E-F4B01E80A632}" type="pres">
      <dgm:prSet presAssocID="{CBCC59EB-2882-467B-A916-5313424F4467}" presName="composite" presStyleCnt="0"/>
      <dgm:spPr/>
    </dgm:pt>
    <dgm:pt modelId="{61E46B8F-EE17-43C0-8A85-133AB8985A12}" type="pres">
      <dgm:prSet presAssocID="{CBCC59EB-2882-467B-A916-5313424F4467}" presName="parentText" presStyleLbl="alignNode1" presStyleIdx="2" presStyleCnt="3">
        <dgm:presLayoutVars>
          <dgm:chMax val="1"/>
          <dgm:bulletEnabled val="1"/>
        </dgm:presLayoutVars>
      </dgm:prSet>
      <dgm:spPr/>
    </dgm:pt>
    <dgm:pt modelId="{EC64A6CB-9693-4029-B572-35A31CCA8088}" type="pres">
      <dgm:prSet presAssocID="{CBCC59EB-2882-467B-A916-5313424F4467}" presName="descendantText" presStyleLbl="alignAcc1" presStyleIdx="2" presStyleCnt="3">
        <dgm:presLayoutVars>
          <dgm:bulletEnabled val="1"/>
        </dgm:presLayoutVars>
      </dgm:prSet>
      <dgm:spPr/>
    </dgm:pt>
  </dgm:ptLst>
  <dgm:cxnLst>
    <dgm:cxn modelId="{CE07E902-FC43-4CAA-9F37-B6E8E72AF3FD}" type="presOf" srcId="{F730E14D-2509-42B7-8EDF-A19DE0C3D40E}" destId="{FDA5DD29-5ABB-4E9A-8AD7-3E93EB75AACB}" srcOrd="0" destOrd="1" presId="urn:microsoft.com/office/officeart/2005/8/layout/chevron2"/>
    <dgm:cxn modelId="{021EAC13-1826-4EB4-8902-3217D8FBF18E}" type="presOf" srcId="{A7E1D6A1-C6EB-4999-B310-A50FB10E37BC}" destId="{EC64A6CB-9693-4029-B572-35A31CCA8088}" srcOrd="0" destOrd="0" presId="urn:microsoft.com/office/officeart/2005/8/layout/chevron2"/>
    <dgm:cxn modelId="{2282D213-FE59-4042-94E6-41B416FF364B}" srcId="{8143C619-9FA6-EF43-B5E4-81B18F1CF733}" destId="{1EA0CB19-BF5D-4918-97B9-EC2ADE90E467}" srcOrd="2" destOrd="0" parTransId="{D6DAE747-4D33-4D00-9FE3-96931F70C377}" sibTransId="{F6E94156-C9B3-4275-9348-44503CF13743}"/>
    <dgm:cxn modelId="{CCB4FC16-BFEE-4E8F-A416-ADC76EB5BB10}" type="presOf" srcId="{9E5EDE7F-9226-44B6-AEFE-0F1A081A6291}" destId="{648EE161-D016-4A34-BAB7-9B7684308F6B}" srcOrd="0" destOrd="0" presId="urn:microsoft.com/office/officeart/2005/8/layout/chevron2"/>
    <dgm:cxn modelId="{9B014F22-A111-40F0-8EFC-8BFC66C1739E}" srcId="{8143C619-9FA6-EF43-B5E4-81B18F1CF733}" destId="{F730E14D-2509-42B7-8EDF-A19DE0C3D40E}" srcOrd="0" destOrd="0" parTransId="{100578B1-E67A-468B-AFCB-6323E9B1ADDD}" sibTransId="{B1796DA1-78EC-400D-8EE6-62C574327060}"/>
    <dgm:cxn modelId="{46FCF027-3CC8-4943-9594-9FD7C2340988}" type="presOf" srcId="{61E66A34-C8A9-4445-876F-F27D590AC272}" destId="{A100485D-A9FF-418C-BC15-07DECE19ABB9}" srcOrd="0" destOrd="0" presId="urn:microsoft.com/office/officeart/2005/8/layout/chevron2"/>
    <dgm:cxn modelId="{478DA138-C049-AC4A-83BC-16C925A0852D}" type="presOf" srcId="{E3003041-3645-B843-9AF2-3A468F4ED6C5}" destId="{FDA5DD29-5ABB-4E9A-8AD7-3E93EB75AACB}" srcOrd="0" destOrd="2" presId="urn:microsoft.com/office/officeart/2005/8/layout/chevron2"/>
    <dgm:cxn modelId="{0621EE47-BB46-4C65-A4D8-96DF8FBE03E4}" type="presOf" srcId="{1EA0CB19-BF5D-4918-97B9-EC2ADE90E467}" destId="{FDA5DD29-5ABB-4E9A-8AD7-3E93EB75AACB}" srcOrd="0" destOrd="3" presId="urn:microsoft.com/office/officeart/2005/8/layout/chevron2"/>
    <dgm:cxn modelId="{9561074B-66C2-3643-9B6D-2B24B13FF445}" srcId="{00DE5625-D573-4350-8172-6CFEF1D667FC}" destId="{61E66A34-C8A9-4445-876F-F27D590AC272}" srcOrd="0" destOrd="0" parTransId="{02CF313B-F0E9-B142-B01A-EBCEB7246842}" sibTransId="{E759FD11-E3DE-7A4A-875F-A53A1C25874D}"/>
    <dgm:cxn modelId="{AB403C4F-F399-4F99-8A5C-7035BE987082}" type="presOf" srcId="{00DE5625-D573-4350-8172-6CFEF1D667FC}" destId="{CC19B077-D9CC-42BB-85CB-6C55C6AFF496}" srcOrd="0" destOrd="0" presId="urn:microsoft.com/office/officeart/2005/8/layout/chevron2"/>
    <dgm:cxn modelId="{C34B8B59-899C-435B-BA15-1EFD5BACD9DC}" type="presOf" srcId="{C558BDCF-B682-4FCC-97F8-45BA192D9DF9}" destId="{A100485D-A9FF-418C-BC15-07DECE19ABB9}" srcOrd="0" destOrd="1" presId="urn:microsoft.com/office/officeart/2005/8/layout/chevron2"/>
    <dgm:cxn modelId="{81904564-DF26-4F57-BC25-4C1AF952BF41}" srcId="{CBCC59EB-2882-467B-A916-5313424F4467}" destId="{A7E1D6A1-C6EB-4999-B310-A50FB10E37BC}" srcOrd="0" destOrd="0" parTransId="{048B1A2C-2B51-402E-B99A-DE3E195F40DB}" sibTransId="{D37AEA75-1CC9-4F83-9015-97BD6CAE9E8F}"/>
    <dgm:cxn modelId="{5B6D116A-BAEA-47FC-8E33-A848680B96C9}" srcId="{DCBCF448-5E02-41D1-8007-1EF563708F23}" destId="{9E5EDE7F-9226-44B6-AEFE-0F1A081A6291}" srcOrd="0" destOrd="0" parTransId="{E76DBCC3-D3A8-4ED5-948C-D79CB4299C1B}" sibTransId="{75D4BF37-C82B-41BB-B5A7-44B445B4C319}"/>
    <dgm:cxn modelId="{4E12DE6D-1832-4F3D-8576-32683B615F0F}" type="presOf" srcId="{DCBCF448-5E02-41D1-8007-1EF563708F23}" destId="{F925BB87-B411-42F9-A86C-E956DC3402AD}" srcOrd="0" destOrd="0" presId="urn:microsoft.com/office/officeart/2005/8/layout/chevron2"/>
    <dgm:cxn modelId="{24A73973-3E7D-4C4C-8136-7500A9305FE0}" type="presOf" srcId="{CBCC59EB-2882-467B-A916-5313424F4467}" destId="{61E46B8F-EE17-43C0-8A85-133AB8985A12}" srcOrd="0" destOrd="0" presId="urn:microsoft.com/office/officeart/2005/8/layout/chevron2"/>
    <dgm:cxn modelId="{225A8E77-579A-4C4C-84A5-8FC91D026A7F}" type="presOf" srcId="{8143C619-9FA6-EF43-B5E4-81B18F1CF733}" destId="{FDA5DD29-5ABB-4E9A-8AD7-3E93EB75AACB}" srcOrd="0" destOrd="0" presId="urn:microsoft.com/office/officeart/2005/8/layout/chevron2"/>
    <dgm:cxn modelId="{13488C79-D955-4630-9AC9-14146AEFCD8C}" srcId="{DCBCF448-5E02-41D1-8007-1EF563708F23}" destId="{00DE5625-D573-4350-8172-6CFEF1D667FC}" srcOrd="1" destOrd="0" parTransId="{CAFF759B-62E7-44B5-B0B5-F20684C1E827}" sibTransId="{D0359D7D-6353-4B73-92E4-03CC284B845D}"/>
    <dgm:cxn modelId="{99F1637D-7838-4341-8F86-77CAF49C6DA7}" type="presOf" srcId="{C7F1181B-173E-40B8-838A-70DEAAEE041E}" destId="{A100485D-A9FF-418C-BC15-07DECE19ABB9}" srcOrd="0" destOrd="2" presId="urn:microsoft.com/office/officeart/2005/8/layout/chevron2"/>
    <dgm:cxn modelId="{5A9DC47F-74C8-49FD-B458-F4C5EB18453C}" srcId="{8143C619-9FA6-EF43-B5E4-81B18F1CF733}" destId="{B00BCCE3-DAF3-46EE-A6F6-0E489AC6B8A5}" srcOrd="3" destOrd="0" parTransId="{CB92DF54-BD62-48B6-AA44-FCA24416B19C}" sibTransId="{63A0CA91-D585-4F66-89BA-331D3DADC59F}"/>
    <dgm:cxn modelId="{25EE21A0-36B7-4C8E-8C68-3BA759A5661E}" srcId="{00DE5625-D573-4350-8172-6CFEF1D667FC}" destId="{C7F1181B-173E-40B8-838A-70DEAAEE041E}" srcOrd="2" destOrd="0" parTransId="{4DCDB910-0A11-4507-8A48-8BB9A58B3545}" sibTransId="{D70C8C5A-DFCF-4946-AB72-3AE1BF1469DD}"/>
    <dgm:cxn modelId="{767C5AA1-4AA2-485D-8207-FD841F4C8883}" type="presOf" srcId="{B00BCCE3-DAF3-46EE-A6F6-0E489AC6B8A5}" destId="{FDA5DD29-5ABB-4E9A-8AD7-3E93EB75AACB}" srcOrd="0" destOrd="4" presId="urn:microsoft.com/office/officeart/2005/8/layout/chevron2"/>
    <dgm:cxn modelId="{778B4DAE-C92D-4CB4-880C-48F572D84DBD}" srcId="{DCBCF448-5E02-41D1-8007-1EF563708F23}" destId="{CBCC59EB-2882-467B-A916-5313424F4467}" srcOrd="2" destOrd="0" parTransId="{14E0627D-9314-45CF-BB7C-883D883E8923}" sibTransId="{2976A530-5130-467E-83FC-F79ED882BB79}"/>
    <dgm:cxn modelId="{A54FCCE9-5AAC-CB4F-913F-D9C517B553FB}" srcId="{8143C619-9FA6-EF43-B5E4-81B18F1CF733}" destId="{E3003041-3645-B843-9AF2-3A468F4ED6C5}" srcOrd="1" destOrd="0" parTransId="{1EFFCCD9-579A-8C43-A3E1-68A94A2BD0C5}" sibTransId="{AC5C9E71-9D9C-054A-BAB7-AF03F602D382}"/>
    <dgm:cxn modelId="{EAD650F8-C2C3-3345-9A38-9A89A9CC5755}" srcId="{9E5EDE7F-9226-44B6-AEFE-0F1A081A6291}" destId="{8143C619-9FA6-EF43-B5E4-81B18F1CF733}" srcOrd="0" destOrd="0" parTransId="{AEC256FC-E539-4C47-ACD8-FD11412F3226}" sibTransId="{6355EE43-7C01-3842-B21F-29BFD65645AC}"/>
    <dgm:cxn modelId="{F20FFBFA-3B11-436D-A21B-E6334AABC962}" srcId="{00DE5625-D573-4350-8172-6CFEF1D667FC}" destId="{C558BDCF-B682-4FCC-97F8-45BA192D9DF9}" srcOrd="1" destOrd="0" parTransId="{25390E69-6FA1-4FD8-AC3F-6590CF8162D0}" sibTransId="{AE29C94A-DE0B-4DB3-8672-939645285D96}"/>
    <dgm:cxn modelId="{94F960FE-4170-4E2C-9837-FEA820B34435}" type="presParOf" srcId="{F925BB87-B411-42F9-A86C-E956DC3402AD}" destId="{D9564EB0-3DAD-4118-BB98-AB06901A79B0}" srcOrd="0" destOrd="0" presId="urn:microsoft.com/office/officeart/2005/8/layout/chevron2"/>
    <dgm:cxn modelId="{A019AD17-1BAF-424F-B690-9289D330F477}" type="presParOf" srcId="{D9564EB0-3DAD-4118-BB98-AB06901A79B0}" destId="{648EE161-D016-4A34-BAB7-9B7684308F6B}" srcOrd="0" destOrd="0" presId="urn:microsoft.com/office/officeart/2005/8/layout/chevron2"/>
    <dgm:cxn modelId="{FA3A4AE7-B9C7-4E55-8B8A-D03A96DB6FEE}" type="presParOf" srcId="{D9564EB0-3DAD-4118-BB98-AB06901A79B0}" destId="{FDA5DD29-5ABB-4E9A-8AD7-3E93EB75AACB}" srcOrd="1" destOrd="0" presId="urn:microsoft.com/office/officeart/2005/8/layout/chevron2"/>
    <dgm:cxn modelId="{C7003271-A3C2-450A-BF86-0F88621336F7}" type="presParOf" srcId="{F925BB87-B411-42F9-A86C-E956DC3402AD}" destId="{1E150FDA-A016-4772-8806-91FEFFEF5EA7}" srcOrd="1" destOrd="0" presId="urn:microsoft.com/office/officeart/2005/8/layout/chevron2"/>
    <dgm:cxn modelId="{9AD30D41-C7E8-45B1-8E05-6560A13A8EEF}" type="presParOf" srcId="{F925BB87-B411-42F9-A86C-E956DC3402AD}" destId="{96BEABE1-D3C7-4885-B95A-96DD1F950E6D}" srcOrd="2" destOrd="0" presId="urn:microsoft.com/office/officeart/2005/8/layout/chevron2"/>
    <dgm:cxn modelId="{D956D2AF-074C-4608-BA3F-DB6DFD56E24F}" type="presParOf" srcId="{96BEABE1-D3C7-4885-B95A-96DD1F950E6D}" destId="{CC19B077-D9CC-42BB-85CB-6C55C6AFF496}" srcOrd="0" destOrd="0" presId="urn:microsoft.com/office/officeart/2005/8/layout/chevron2"/>
    <dgm:cxn modelId="{427BA0AA-7A38-4A0F-ABA7-5CA3F35AB867}" type="presParOf" srcId="{96BEABE1-D3C7-4885-B95A-96DD1F950E6D}" destId="{A100485D-A9FF-418C-BC15-07DECE19ABB9}" srcOrd="1" destOrd="0" presId="urn:microsoft.com/office/officeart/2005/8/layout/chevron2"/>
    <dgm:cxn modelId="{AE63A7D0-2E42-4988-BF09-5A9A543ACDB5}" type="presParOf" srcId="{F925BB87-B411-42F9-A86C-E956DC3402AD}" destId="{ECB53F12-836B-4067-B63A-B16101A77C49}" srcOrd="3" destOrd="0" presId="urn:microsoft.com/office/officeart/2005/8/layout/chevron2"/>
    <dgm:cxn modelId="{FB9E245E-AB95-4F58-AEC0-A24A263AC0FD}" type="presParOf" srcId="{F925BB87-B411-42F9-A86C-E956DC3402AD}" destId="{7826C23C-23D8-4071-B30E-F4B01E80A632}" srcOrd="4" destOrd="0" presId="urn:microsoft.com/office/officeart/2005/8/layout/chevron2"/>
    <dgm:cxn modelId="{1EB1CCB8-0259-458D-B4CE-99A7CB5A61A6}" type="presParOf" srcId="{7826C23C-23D8-4071-B30E-F4B01E80A632}" destId="{61E46B8F-EE17-43C0-8A85-133AB8985A12}" srcOrd="0" destOrd="0" presId="urn:microsoft.com/office/officeart/2005/8/layout/chevron2"/>
    <dgm:cxn modelId="{168EFD7E-59DB-436E-9105-871C9025D686}" type="presParOf" srcId="{7826C23C-23D8-4071-B30E-F4B01E80A632}" destId="{EC64A6CB-9693-4029-B572-35A31CCA8088}" srcOrd="1" destOrd="0" presId="urn:microsoft.com/office/officeart/2005/8/layout/chevron2"/>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8EE161-D016-4A34-BAB7-9B7684308F6B}">
      <dsp:nvSpPr>
        <dsp:cNvPr id="0" name=""/>
        <dsp:cNvSpPr/>
      </dsp:nvSpPr>
      <dsp:spPr>
        <a:xfrm rot="5400000">
          <a:off x="-180022" y="180877"/>
          <a:ext cx="1200150" cy="840105"/>
        </a:xfrm>
        <a:prstGeom prst="chevron">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Healthcare Processes</a:t>
          </a:r>
        </a:p>
      </dsp:txBody>
      <dsp:txXfrm rot="-5400000">
        <a:off x="1" y="420908"/>
        <a:ext cx="840105" cy="360045"/>
      </dsp:txXfrm>
    </dsp:sp>
    <dsp:sp modelId="{FDA5DD29-5ABB-4E9A-8AD7-3E93EB75AACB}">
      <dsp:nvSpPr>
        <dsp:cNvPr id="0" name=""/>
        <dsp:cNvSpPr/>
      </dsp:nvSpPr>
      <dsp:spPr>
        <a:xfrm rot="5400000">
          <a:off x="2773203" y="-1932243"/>
          <a:ext cx="780097" cy="4646295"/>
        </a:xfrm>
        <a:prstGeom prst="round2SameRect">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US" sz="800" kern="1200"/>
            <a:t>Evidence-based actions to reduce readmission risk, e.g.:</a:t>
          </a:r>
        </a:p>
        <a:p>
          <a:pPr marL="114300" lvl="2" indent="-57150" algn="l" defTabSz="355600">
            <a:lnSpc>
              <a:spcPct val="90000"/>
            </a:lnSpc>
            <a:spcBef>
              <a:spcPct val="0"/>
            </a:spcBef>
            <a:spcAft>
              <a:spcPct val="15000"/>
            </a:spcAft>
            <a:buChar char="•"/>
          </a:pPr>
          <a:r>
            <a:rPr lang="en-US" sz="800" kern="1200"/>
            <a:t>Provide guideline-concordant care </a:t>
          </a:r>
        </a:p>
        <a:p>
          <a:pPr marL="114300" lvl="2" indent="-57150" algn="l" defTabSz="355600">
            <a:lnSpc>
              <a:spcPct val="90000"/>
            </a:lnSpc>
            <a:spcBef>
              <a:spcPct val="0"/>
            </a:spcBef>
            <a:spcAft>
              <a:spcPct val="15000"/>
            </a:spcAft>
            <a:buChar char="•"/>
          </a:pPr>
          <a:r>
            <a:rPr lang="en-US" sz="800" kern="1200"/>
            <a:t>Manage symptoms, reduce post-operative complications</a:t>
          </a:r>
        </a:p>
        <a:p>
          <a:pPr marL="114300" lvl="2" indent="-57150" algn="l" defTabSz="355600">
            <a:lnSpc>
              <a:spcPct val="90000"/>
            </a:lnSpc>
            <a:spcBef>
              <a:spcPct val="0"/>
            </a:spcBef>
            <a:spcAft>
              <a:spcPct val="15000"/>
            </a:spcAft>
            <a:buChar char="•"/>
          </a:pPr>
          <a:r>
            <a:rPr lang="en-US" sz="800" kern="1200"/>
            <a:t>Assure patient is clinically ready for discharge; enhance communications re: care transitions</a:t>
          </a:r>
        </a:p>
        <a:p>
          <a:pPr marL="114300" lvl="2" indent="-57150" algn="l" defTabSz="355600">
            <a:lnSpc>
              <a:spcPct val="90000"/>
            </a:lnSpc>
            <a:spcBef>
              <a:spcPct val="0"/>
            </a:spcBef>
            <a:spcAft>
              <a:spcPct val="15000"/>
            </a:spcAft>
            <a:buChar char="•"/>
          </a:pPr>
          <a:r>
            <a:rPr lang="en-US" sz="800" kern="1200"/>
            <a:t>Clear and appropriate follow-up care planned</a:t>
          </a:r>
        </a:p>
      </dsp:txBody>
      <dsp:txXfrm rot="-5400000">
        <a:off x="840105" y="38936"/>
        <a:ext cx="4608214" cy="703935"/>
      </dsp:txXfrm>
    </dsp:sp>
    <dsp:sp modelId="{CC19B077-D9CC-42BB-85CB-6C55C6AFF496}">
      <dsp:nvSpPr>
        <dsp:cNvPr id="0" name=""/>
        <dsp:cNvSpPr/>
      </dsp:nvSpPr>
      <dsp:spPr>
        <a:xfrm rot="5400000">
          <a:off x="-180022" y="1180147"/>
          <a:ext cx="1200150" cy="840105"/>
        </a:xfrm>
        <a:prstGeom prst="chevron">
          <a:avLst/>
        </a:prstGeom>
        <a:solidFill>
          <a:schemeClr val="accent3">
            <a:hueOff val="2058582"/>
            <a:satOff val="12356"/>
            <a:lumOff val="9413"/>
            <a:alphaOff val="0"/>
          </a:schemeClr>
        </a:solidFill>
        <a:ln w="12700" cap="flat" cmpd="sng" algn="ctr">
          <a:solidFill>
            <a:schemeClr val="accent3">
              <a:hueOff val="2058582"/>
              <a:satOff val="12356"/>
              <a:lumOff val="9413"/>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Foster Improved Patient Care</a:t>
          </a:r>
        </a:p>
      </dsp:txBody>
      <dsp:txXfrm rot="-5400000">
        <a:off x="1" y="1420178"/>
        <a:ext cx="840105" cy="360045"/>
      </dsp:txXfrm>
    </dsp:sp>
    <dsp:sp modelId="{A100485D-A9FF-418C-BC15-07DECE19ABB9}">
      <dsp:nvSpPr>
        <dsp:cNvPr id="0" name=""/>
        <dsp:cNvSpPr/>
      </dsp:nvSpPr>
      <dsp:spPr>
        <a:xfrm rot="5400000">
          <a:off x="2773203" y="-932973"/>
          <a:ext cx="780097" cy="4646295"/>
        </a:xfrm>
        <a:prstGeom prst="round2SameRect">
          <a:avLst/>
        </a:prstGeom>
        <a:solidFill>
          <a:schemeClr val="lt1">
            <a:alpha val="90000"/>
            <a:hueOff val="0"/>
            <a:satOff val="0"/>
            <a:lumOff val="0"/>
            <a:alphaOff val="0"/>
          </a:schemeClr>
        </a:solidFill>
        <a:ln w="12700" cap="flat" cmpd="sng" algn="ctr">
          <a:solidFill>
            <a:schemeClr val="accent3">
              <a:hueOff val="2058582"/>
              <a:satOff val="12356"/>
              <a:lumOff val="9413"/>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US" sz="800" kern="1200"/>
            <a:t>Improved health status for cancer patients</a:t>
          </a:r>
        </a:p>
        <a:p>
          <a:pPr marL="57150" lvl="1" indent="-57150" algn="l" defTabSz="355600">
            <a:lnSpc>
              <a:spcPct val="90000"/>
            </a:lnSpc>
            <a:spcBef>
              <a:spcPct val="0"/>
            </a:spcBef>
            <a:spcAft>
              <a:spcPct val="15000"/>
            </a:spcAft>
            <a:buChar char="•"/>
          </a:pPr>
          <a:r>
            <a:rPr lang="en-US" sz="800" kern="1200"/>
            <a:t>Better population health</a:t>
          </a:r>
        </a:p>
        <a:p>
          <a:pPr marL="57150" lvl="1" indent="-57150" algn="l" defTabSz="355600">
            <a:lnSpc>
              <a:spcPct val="90000"/>
            </a:lnSpc>
            <a:spcBef>
              <a:spcPct val="0"/>
            </a:spcBef>
            <a:spcAft>
              <a:spcPct val="15000"/>
            </a:spcAft>
            <a:buChar char="•"/>
          </a:pPr>
          <a:r>
            <a:rPr lang="en-US" sz="800" kern="1200"/>
            <a:t>Reductions in hospital costs where possible</a:t>
          </a:r>
        </a:p>
      </dsp:txBody>
      <dsp:txXfrm rot="-5400000">
        <a:off x="840105" y="1038206"/>
        <a:ext cx="4608214" cy="703935"/>
      </dsp:txXfrm>
    </dsp:sp>
    <dsp:sp modelId="{61E46B8F-EE17-43C0-8A85-133AB8985A12}">
      <dsp:nvSpPr>
        <dsp:cNvPr id="0" name=""/>
        <dsp:cNvSpPr/>
      </dsp:nvSpPr>
      <dsp:spPr>
        <a:xfrm rot="5400000">
          <a:off x="-180022" y="2179417"/>
          <a:ext cx="1200150" cy="840105"/>
        </a:xfrm>
        <a:prstGeom prst="chevron">
          <a:avLst/>
        </a:prstGeom>
        <a:solidFill>
          <a:schemeClr val="accent3">
            <a:hueOff val="4117163"/>
            <a:satOff val="24712"/>
            <a:lumOff val="18825"/>
            <a:alphaOff val="0"/>
          </a:schemeClr>
        </a:solidFill>
        <a:ln w="12700" cap="flat" cmpd="sng" algn="ctr">
          <a:solidFill>
            <a:schemeClr val="accent3">
              <a:hueOff val="4117163"/>
              <a:satOff val="24712"/>
              <a:lumOff val="18825"/>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Develop Meaningful Outcomes</a:t>
          </a:r>
        </a:p>
      </dsp:txBody>
      <dsp:txXfrm rot="-5400000">
        <a:off x="1" y="2419448"/>
        <a:ext cx="840105" cy="360045"/>
      </dsp:txXfrm>
    </dsp:sp>
    <dsp:sp modelId="{EC64A6CB-9693-4029-B572-35A31CCA8088}">
      <dsp:nvSpPr>
        <dsp:cNvPr id="0" name=""/>
        <dsp:cNvSpPr/>
      </dsp:nvSpPr>
      <dsp:spPr>
        <a:xfrm rot="5400000">
          <a:off x="2773203" y="66296"/>
          <a:ext cx="780097" cy="4646295"/>
        </a:xfrm>
        <a:prstGeom prst="round2SameRect">
          <a:avLst/>
        </a:prstGeom>
        <a:solidFill>
          <a:schemeClr val="lt1">
            <a:alpha val="90000"/>
            <a:hueOff val="0"/>
            <a:satOff val="0"/>
            <a:lumOff val="0"/>
            <a:alphaOff val="0"/>
          </a:schemeClr>
        </a:solidFill>
        <a:ln w="12700" cap="flat" cmpd="sng" algn="ctr">
          <a:solidFill>
            <a:schemeClr val="accent3">
              <a:hueOff val="4117163"/>
              <a:satOff val="24712"/>
              <a:lumOff val="18825"/>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US" sz="800" kern="1200"/>
            <a:t>Readmission risk reduced</a:t>
          </a:r>
        </a:p>
      </dsp:txBody>
      <dsp:txXfrm rot="-5400000">
        <a:off x="840105" y="2037476"/>
        <a:ext cx="4608214" cy="703935"/>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200</Words>
  <Characters>1141</Characters>
  <Application>Microsoft Office Word</Application>
  <DocSecurity>0</DocSecurity>
  <Lines>9</Lines>
  <Paragraphs>2</Paragraphs>
  <ScaleCrop>false</ScaleCrop>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McNiff Landrum</dc:creator>
  <cp:keywords/>
  <dc:description/>
  <cp:lastModifiedBy>Kristen McNiff Landrum</cp:lastModifiedBy>
  <cp:revision>3</cp:revision>
  <cp:lastPrinted>2025-05-01T14:29:00Z</cp:lastPrinted>
  <dcterms:created xsi:type="dcterms:W3CDTF">2025-05-01T14:29:00Z</dcterms:created>
  <dcterms:modified xsi:type="dcterms:W3CDTF">2025-05-01T14:32:00Z</dcterms:modified>
</cp:coreProperties>
</file>