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CD87" w14:textId="1BC71AAC" w:rsidR="007F79FA" w:rsidRDefault="007F79FA" w:rsidP="007F79FA">
      <w:pPr>
        <w:pStyle w:val="Heading1"/>
      </w:pPr>
      <w:r>
        <w:t>Signal-To-Noise</w:t>
      </w:r>
      <w:r w:rsidRPr="009D6F19">
        <w:t xml:space="preserve"> Calculation for </w:t>
      </w:r>
      <w:r w:rsidR="00865E95">
        <w:t>Scale</w:t>
      </w:r>
      <w:r w:rsidRPr="009D6F19">
        <w:t xml:space="preserve"> Measure</w:t>
      </w:r>
      <w:r w:rsidR="009B5A15">
        <w:t>s</w:t>
      </w:r>
    </w:p>
    <w:p w14:paraId="63089E21" w14:textId="77777777" w:rsidR="009B5A15" w:rsidRPr="009B5A15" w:rsidRDefault="009B5A15" w:rsidP="009B5A15"/>
    <w:p w14:paraId="04612D61" w14:textId="019C381E" w:rsidR="002F6AB4" w:rsidRDefault="00A64E74">
      <w:pPr>
        <w:rPr>
          <w:rFonts w:eastAsiaTheme="minorEastAsia"/>
        </w:rPr>
      </w:pPr>
      <w:r>
        <w:t>We calculated</w:t>
      </w:r>
      <w:r w:rsidRPr="009D6F19">
        <w:t xml:space="preserve"> Inter Unit Reliability (IUR) </w:t>
      </w:r>
      <w:r>
        <w:t xml:space="preserve">to measure signal-to-noise ratio. To decompose total variation into between- and within-state components for </w:t>
      </w:r>
      <w:r w:rsidR="00881877">
        <w:t xml:space="preserve">the scale measure, </w:t>
      </w:r>
      <w:r w:rsidR="001E3608" w:rsidRPr="009D6F19">
        <w:rPr>
          <w:rFonts w:eastAsiaTheme="minorEastAsia"/>
        </w:rPr>
        <w:t>we</w:t>
      </w:r>
      <w:r w:rsidR="00F446BE" w:rsidRPr="009D6F19">
        <w:rPr>
          <w:rFonts w:eastAsiaTheme="minorEastAsia"/>
        </w:rPr>
        <w:t xml:space="preserve"> estimat</w:t>
      </w:r>
      <w:r w:rsidR="001E3608" w:rsidRPr="009D6F19">
        <w:rPr>
          <w:rFonts w:eastAsiaTheme="minorEastAsia"/>
        </w:rPr>
        <w:t>ed</w:t>
      </w:r>
      <w:r w:rsidR="00F0254D" w:rsidRPr="009D6F19">
        <w:rPr>
          <w:rFonts w:eastAsiaTheme="minorEastAsia"/>
        </w:rPr>
        <w:t xml:space="preserve"> </w:t>
      </w:r>
      <w:r w:rsidR="0011694B" w:rsidRPr="009D6F19">
        <w:rPr>
          <w:rFonts w:eastAsiaTheme="minorEastAsia"/>
        </w:rPr>
        <w:t xml:space="preserve">a </w:t>
      </w:r>
      <w:r w:rsidR="00F0254D" w:rsidRPr="009D6F19">
        <w:rPr>
          <w:rFonts w:eastAsiaTheme="minorEastAsia"/>
        </w:rPr>
        <w:t xml:space="preserve">one-way </w:t>
      </w:r>
      <w:r w:rsidR="00A40559" w:rsidRPr="009D6F19">
        <w:rPr>
          <w:rFonts w:eastAsiaTheme="minorEastAsia"/>
        </w:rPr>
        <w:t xml:space="preserve">random effects </w:t>
      </w:r>
      <w:r w:rsidR="000C5274" w:rsidRPr="009D6F19">
        <w:rPr>
          <w:rFonts w:eastAsiaTheme="minorEastAsia"/>
        </w:rPr>
        <w:t xml:space="preserve">ANOVA </w:t>
      </w:r>
      <w:r w:rsidR="003F7B74" w:rsidRPr="009D6F19">
        <w:rPr>
          <w:rFonts w:eastAsiaTheme="minorEastAsia"/>
        </w:rPr>
        <w:t xml:space="preserve">to decompose </w:t>
      </w:r>
      <w:r w:rsidR="003F5580" w:rsidRPr="009D6F19">
        <w:rPr>
          <w:rFonts w:eastAsiaTheme="minorEastAsia"/>
        </w:rPr>
        <w:t>the variance into between- and within-state components</w:t>
      </w:r>
      <w:r w:rsidR="00B873BE" w:rsidRPr="009D6F19">
        <w:rPr>
          <w:rFonts w:eastAsiaTheme="minorEastAsia"/>
        </w:rPr>
        <w:t xml:space="preserve"> </w:t>
      </w:r>
      <w:r w:rsidR="00000C95" w:rsidRPr="009D6F19">
        <w:rPr>
          <w:rFonts w:eastAsiaTheme="minorEastAsia"/>
        </w:rPr>
        <w:t>(</w:t>
      </w:r>
      <w:r w:rsidR="00B873BE" w:rsidRPr="009D6F19">
        <w:rPr>
          <w:rFonts w:ascii="Segoe UI" w:hAnsi="Segoe UI" w:cs="Segoe UI"/>
        </w:rPr>
        <w:t>τ</w:t>
      </w:r>
      <w:r w:rsidR="00B873BE" w:rsidRPr="009D6F19">
        <w:rPr>
          <w:vertAlign w:val="superscript"/>
        </w:rPr>
        <w:t xml:space="preserve"> 2</w:t>
      </w:r>
      <w:r w:rsidR="000A71A2" w:rsidRPr="009D6F19">
        <w:t xml:space="preserve"> and σ</w:t>
      </w:r>
      <w:r w:rsidR="0087692B" w:rsidRPr="009D6F19">
        <w:rPr>
          <w:vertAlign w:val="superscript"/>
        </w:rPr>
        <w:t>2</w:t>
      </w:r>
      <w:r w:rsidR="0087692B" w:rsidRPr="009D6F19">
        <w:t>, respectively</w:t>
      </w:r>
      <w:r w:rsidR="00000C95" w:rsidRPr="009D6F19">
        <w:t>)</w:t>
      </w:r>
      <w:r w:rsidR="007D436F" w:rsidRPr="009D6F19">
        <w:rPr>
          <w:rFonts w:eastAsiaTheme="minorEastAsia"/>
        </w:rPr>
        <w:t xml:space="preserve">. </w:t>
      </w:r>
      <w:r w:rsidR="00A1229F" w:rsidRPr="009D6F19">
        <w:rPr>
          <w:rFonts w:eastAsiaTheme="minorEastAsia"/>
        </w:rPr>
        <w:t xml:space="preserve">IUR </w:t>
      </w:r>
      <w:r w:rsidR="00BF23EA" w:rsidRPr="009D6F19">
        <w:rPr>
          <w:rFonts w:eastAsiaTheme="minorEastAsia"/>
        </w:rPr>
        <w:t>was</w:t>
      </w:r>
      <w:r w:rsidR="00A1229F" w:rsidRPr="009D6F19">
        <w:rPr>
          <w:rFonts w:eastAsiaTheme="minorEastAsia"/>
        </w:rPr>
        <w:t xml:space="preserve"> </w:t>
      </w:r>
      <w:r w:rsidR="00D10B94" w:rsidRPr="009D6F19">
        <w:rPr>
          <w:rFonts w:eastAsiaTheme="minorEastAsia"/>
        </w:rPr>
        <w:t>c</w:t>
      </w:r>
      <w:r w:rsidR="00A1229F" w:rsidRPr="009D6F19">
        <w:rPr>
          <w:rFonts w:eastAsiaTheme="minorEastAsia"/>
        </w:rPr>
        <w:t xml:space="preserve">alculated as </w:t>
      </w:r>
      <w:r w:rsidR="00347AD0" w:rsidRPr="009D6F19">
        <w:rPr>
          <w:rFonts w:eastAsiaTheme="minorEastAsia"/>
        </w:rPr>
        <w:t>follows:</w:t>
      </w:r>
    </w:p>
    <w:p w14:paraId="6E37BA50" w14:textId="473810E6" w:rsidR="004A4668" w:rsidRPr="00283747" w:rsidRDefault="008E2DA7" w:rsidP="00A1229F">
      <w:pPr>
        <w:jc w:val="center"/>
        <w:rPr>
          <w:rFonts w:ascii="Cambria Math" w:eastAsiaTheme="minorEastAsia" w:hAnsi="Cambria Math"/>
          <w:sz w:val="30"/>
          <w:szCs w:val="30"/>
        </w:rPr>
      </w:pPr>
      <w:r w:rsidRPr="00283747">
        <w:rPr>
          <w:rFonts w:ascii="Cambria Math" w:eastAsiaTheme="minorEastAsia" w:hAnsi="Cambria Math"/>
          <w:sz w:val="30"/>
          <w:szCs w:val="30"/>
        </w:rPr>
        <w:t>IUR =</w:t>
      </w:r>
      <w:r w:rsidR="00B50FD0" w:rsidRPr="00283747">
        <w:rPr>
          <w:rFonts w:ascii="Cambria Math" w:eastAsiaTheme="minorEastAsia" w:hAnsi="Cambria Math"/>
          <w:sz w:val="30"/>
          <w:szCs w:val="30"/>
        </w:rPr>
        <w:t xml:space="preserve"> </w:t>
      </w:r>
      <w:r w:rsidRPr="00283747">
        <w:rPr>
          <w:rFonts w:ascii="Cambria Math" w:eastAsiaTheme="minorEastAsia" w:hAnsi="Cambria Math"/>
          <w:sz w:val="30"/>
          <w:szCs w:val="30"/>
        </w:rPr>
        <w:t xml:space="preserve"> </w:t>
      </w:r>
      <w:r w:rsidR="00D2073B" w:rsidRPr="00283747">
        <w:rPr>
          <w:rFonts w:ascii="Cambria Math" w:eastAsiaTheme="minorEastAsia" w:hAnsi="Cambria Math"/>
          <w:sz w:val="30"/>
          <w:szCs w:val="3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sz w:val="30"/>
                        <w:szCs w:val="3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Segoe UI"/>
                        <w:sz w:val="30"/>
                        <w:szCs w:val="30"/>
                      </w:rPr>
                      <m:t>τ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-σ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  <w:vertAlign w:val="superscript"/>
                  </w:rPr>
                  <m:t xml:space="preserve"> 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egoe UI"/>
                    <w:sz w:val="30"/>
                    <w:szCs w:val="30"/>
                  </w:rPr>
                  <m:t>τ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</m:den>
        </m:f>
      </m:oMath>
    </w:p>
    <w:p w14:paraId="4EA7C94C" w14:textId="77777777" w:rsidR="009251BA" w:rsidRDefault="009251BA" w:rsidP="003E32D4">
      <w:pPr>
        <w:rPr>
          <w:rFonts w:eastAsiaTheme="minorEastAsia"/>
        </w:rPr>
      </w:pPr>
    </w:p>
    <w:p w14:paraId="0FDCAF46" w14:textId="1C5A48CE" w:rsidR="005127CE" w:rsidRDefault="003E32D4" w:rsidP="003E32D4">
      <w:pPr>
        <w:rPr>
          <w:rFonts w:eastAsiaTheme="minorEastAsia"/>
        </w:rPr>
      </w:pPr>
      <w:r w:rsidRPr="009D6F19">
        <w:rPr>
          <w:rFonts w:eastAsiaTheme="minorEastAsia"/>
        </w:rPr>
        <w:t xml:space="preserve">The </w:t>
      </w:r>
      <w:r w:rsidR="00776DE6" w:rsidRPr="009D6F19">
        <w:rPr>
          <w:rFonts w:eastAsiaTheme="minorEastAsia"/>
        </w:rPr>
        <w:t>coefficient for</w:t>
      </w:r>
      <w:r w:rsidR="00B05970" w:rsidRPr="009D6F19">
        <w:rPr>
          <w:rFonts w:eastAsiaTheme="minorEastAsia"/>
        </w:rPr>
        <w:t xml:space="preserve"> state </w:t>
      </w:r>
      <w:r w:rsidR="00B05970" w:rsidRPr="009D6F19">
        <w:rPr>
          <w:rFonts w:eastAsiaTheme="minorEastAsia"/>
          <w:i/>
          <w:iCs/>
        </w:rPr>
        <w:t>i</w:t>
      </w:r>
      <w:r w:rsidR="00B05970" w:rsidRPr="009D6F19">
        <w:rPr>
          <w:rFonts w:eastAsiaTheme="minorEastAsia"/>
        </w:rPr>
        <w:t xml:space="preserve"> </w:t>
      </w:r>
      <w:r w:rsidR="00776DE6" w:rsidRPr="009D6F19">
        <w:rPr>
          <w:rFonts w:eastAsiaTheme="minorEastAsia"/>
        </w:rPr>
        <w:t>was calculated as:</w:t>
      </w:r>
      <w:r w:rsidR="00B05970" w:rsidRPr="009D6F19">
        <w:rPr>
          <w:rFonts w:eastAsiaTheme="minorEastAsia"/>
        </w:rPr>
        <w:t xml:space="preserve"> </w:t>
      </w:r>
    </w:p>
    <w:p w14:paraId="5E651D10" w14:textId="273A821D" w:rsidR="00476514" w:rsidRPr="00283747" w:rsidRDefault="00476514" w:rsidP="00476514">
      <w:pPr>
        <w:jc w:val="center"/>
        <w:rPr>
          <w:rFonts w:ascii="Cambria Math" w:eastAsiaTheme="minorEastAsia" w:hAnsi="Cambria Math"/>
          <w:sz w:val="30"/>
          <w:szCs w:val="30"/>
        </w:rPr>
      </w:pPr>
      <w:r w:rsidRPr="00283747">
        <w:rPr>
          <w:rFonts w:ascii="Cambria Math" w:eastAsiaTheme="minorEastAsia" w:hAnsi="Cambria Math"/>
          <w:sz w:val="30"/>
          <w:szCs w:val="30"/>
        </w:rPr>
        <w:t>IUR</w:t>
      </w:r>
      <w:r w:rsidRPr="00283747">
        <w:rPr>
          <w:rFonts w:ascii="Cambria Math" w:eastAsiaTheme="minorEastAsia" w:hAnsi="Cambria Math"/>
          <w:i/>
          <w:iCs/>
          <w:sz w:val="30"/>
          <w:szCs w:val="30"/>
          <w:vertAlign w:val="subscript"/>
        </w:rPr>
        <w:t>i</w:t>
      </w:r>
      <w:r w:rsidRPr="00283747">
        <w:rPr>
          <w:rFonts w:ascii="Cambria Math" w:eastAsiaTheme="minorEastAsia" w:hAnsi="Cambria Math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pPr>
              <m:e>
                <m:sSup>
                  <m:sSupPr>
                    <m:ctrlPr>
                      <w:rPr>
                        <w:rFonts w:ascii="Cambria Math" w:hAnsi="Cambria Math"/>
                        <w:sz w:val="30"/>
                        <w:szCs w:val="3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Segoe UI"/>
                        <w:sz w:val="30"/>
                        <w:szCs w:val="30"/>
                      </w:rPr>
                      <m:t>τ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-σ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  <w:vertAlign w:val="superscript"/>
                  </w:rPr>
                  <m:t xml:space="preserve"> </m:t>
                </m:r>
              </m:e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egoe UI"/>
                    <w:sz w:val="30"/>
                    <w:szCs w:val="30"/>
                  </w:rPr>
                  <m:t>τ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  <m:r>
              <w:rPr>
                <w:rFonts w:ascii="Cambria Math" w:hAnsi="Cambria Math"/>
                <w:sz w:val="30"/>
                <w:szCs w:val="30"/>
              </w:rPr>
              <m:t>+(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'</m:t>
                    </m:r>
                  </m:sup>
                </m:sSup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30"/>
                    <w:szCs w:val="30"/>
                  </w:rPr>
                  <m:t>-1</m:t>
                </m:r>
              </m:den>
            </m:f>
            <m:r>
              <w:rPr>
                <w:rFonts w:ascii="Cambria Math" w:hAnsi="Cambria Math"/>
                <w:sz w:val="30"/>
                <w:szCs w:val="30"/>
              </w:rPr>
              <m:t xml:space="preserve"> )</m:t>
            </m:r>
            <m:sSup>
              <m:sSup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0"/>
                    <w:szCs w:val="30"/>
                  </w:rPr>
                  <m:t>σ</m:t>
                </m:r>
              </m:e>
              <m:sup>
                <m:r>
                  <w:rPr>
                    <w:rFonts w:ascii="Cambria Math" w:hAnsi="Cambria Math"/>
                    <w:sz w:val="30"/>
                    <w:szCs w:val="30"/>
                  </w:rPr>
                  <m:t>2</m:t>
                </m:r>
              </m:sup>
            </m:sSup>
          </m:den>
        </m:f>
      </m:oMath>
    </w:p>
    <w:p w14:paraId="72E1DBCF" w14:textId="60F26B7C" w:rsidR="009251BA" w:rsidRDefault="00D0761B" w:rsidP="003E32D4">
      <w:pPr>
        <w:rPr>
          <w:rFonts w:eastAsiaTheme="minorEastAsia"/>
        </w:rPr>
      </w:pPr>
      <w:r>
        <w:rPr>
          <w:rFonts w:eastAsiaTheme="minorEastAsia"/>
        </w:rPr>
        <w:t>where</w:t>
      </w:r>
    </w:p>
    <w:p w14:paraId="64023FEE" w14:textId="0EBB32B0" w:rsidR="00D0761B" w:rsidRPr="00283747" w:rsidRDefault="00C07AF2" w:rsidP="00D0761B">
      <w:pPr>
        <w:jc w:val="center"/>
        <w:rPr>
          <w:rFonts w:ascii="Cambria Math" w:eastAsiaTheme="minorEastAsia" w:hAnsi="Cambria Math"/>
          <w:sz w:val="30"/>
          <w:szCs w:val="30"/>
        </w:rPr>
      </w:pPr>
      <m:oMath>
        <m:sSup>
          <m:s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p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  <m:sup>
            <m:r>
              <w:rPr>
                <w:rFonts w:ascii="Cambria Math" w:hAnsi="Cambria Math"/>
                <w:sz w:val="30"/>
                <w:szCs w:val="30"/>
              </w:rPr>
              <m:t>'</m:t>
            </m:r>
          </m:sup>
        </m:sSup>
      </m:oMath>
      <w:r w:rsidR="00D1625C" w:rsidRPr="00283747">
        <w:rPr>
          <w:rFonts w:ascii="Cambria Math" w:hAnsi="Cambria Math"/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k-1</m:t>
            </m:r>
          </m:den>
        </m:f>
      </m:oMath>
      <w:r w:rsidR="00D1625C" w:rsidRPr="00283747">
        <w:rPr>
          <w:rFonts w:ascii="Cambria Math" w:eastAsiaTheme="minorEastAsia" w:hAnsi="Cambria Math"/>
          <w:sz w:val="30"/>
          <w:szCs w:val="30"/>
        </w:rPr>
        <w:t xml:space="preserve"> * (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naryPr>
          <m:sub>
            <m:r>
              <w:rPr>
                <w:rFonts w:ascii="Cambria Math" w:eastAsiaTheme="minorEastAsia" w:hAnsi="Cambria Math"/>
                <w:sz w:val="30"/>
                <w:szCs w:val="30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30"/>
                <w:szCs w:val="30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i</m:t>
                </m:r>
              </m:sub>
            </m:sSub>
          </m:e>
        </m:nary>
      </m:oMath>
      <w:r w:rsidR="00D1625C" w:rsidRPr="00283747">
        <w:rPr>
          <w:rFonts w:ascii="Cambria Math" w:eastAsiaTheme="minorEastAsia" w:hAnsi="Cambria Math"/>
          <w:sz w:val="30"/>
          <w:szCs w:val="30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k</m:t>
                </m:r>
              </m:sup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2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/>
                    <w:i/>
                    <w:sz w:val="30"/>
                    <w:szCs w:val="30"/>
                  </w:rPr>
                </m:ctrlPr>
              </m:naryPr>
              <m:sub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 w:val="30"/>
                    <w:szCs w:val="30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30"/>
                        <w:szCs w:val="30"/>
                      </w:rPr>
                      <m:t>i</m:t>
                    </m:r>
                  </m:sub>
                </m:sSub>
              </m:e>
            </m:nary>
          </m:den>
        </m:f>
      </m:oMath>
      <w:r w:rsidR="00D1625C" w:rsidRPr="00283747">
        <w:rPr>
          <w:rFonts w:ascii="Cambria Math" w:eastAsiaTheme="minorEastAsia" w:hAnsi="Cambria Math"/>
          <w:sz w:val="30"/>
          <w:szCs w:val="30"/>
        </w:rPr>
        <w:t>)</w:t>
      </w:r>
      <w:r w:rsidR="00275F0F" w:rsidRPr="00283747">
        <w:rPr>
          <w:rFonts w:ascii="Cambria Math" w:eastAsiaTheme="minorEastAsia" w:hAnsi="Cambria Math"/>
          <w:sz w:val="30"/>
          <w:szCs w:val="30"/>
        </w:rPr>
        <w:t>,</w:t>
      </w:r>
    </w:p>
    <w:p w14:paraId="5A1005A4" w14:textId="77777777" w:rsidR="00D0761B" w:rsidRDefault="00D0761B" w:rsidP="003E32D4">
      <w:pPr>
        <w:rPr>
          <w:rFonts w:ascii="Cambria Math" w:eastAsiaTheme="minorEastAsia" w:hAnsi="Cambria Math"/>
          <w:i/>
          <w:iCs/>
        </w:rPr>
      </w:pPr>
    </w:p>
    <w:p w14:paraId="2A8A0D7F" w14:textId="3E944B0D" w:rsidR="00654FD6" w:rsidRDefault="00AA4490" w:rsidP="003E32D4">
      <w:r w:rsidRPr="009D6F19">
        <w:rPr>
          <w:rFonts w:ascii="Cambria Math" w:eastAsiaTheme="minorEastAsia" w:hAnsi="Cambria Math"/>
          <w:i/>
          <w:iCs/>
        </w:rPr>
        <w:t>k</w:t>
      </w:r>
      <w:r w:rsidRPr="009D6F19">
        <w:rPr>
          <w:rFonts w:eastAsiaTheme="minorEastAsia"/>
        </w:rPr>
        <w:t xml:space="preserve"> is the number of states </w:t>
      </w:r>
      <w:r w:rsidR="00AF64C4" w:rsidRPr="009D6F19">
        <w:rPr>
          <w:rFonts w:eastAsiaTheme="minorEastAsia"/>
        </w:rPr>
        <w:t xml:space="preserve">with a valid value </w:t>
      </w:r>
      <w:r w:rsidR="00173C73" w:rsidRPr="009D6F19">
        <w:rPr>
          <w:rFonts w:eastAsiaTheme="minorEastAsia"/>
        </w:rPr>
        <w:t>for</w:t>
      </w:r>
      <w:r w:rsidR="00AF64C4" w:rsidRPr="009D6F19">
        <w:rPr>
          <w:rFonts w:eastAsiaTheme="minorEastAsia"/>
        </w:rPr>
        <w:t xml:space="preserve"> the measure</w:t>
      </w:r>
      <w:r w:rsidR="00275F0F" w:rsidRPr="009D6F19">
        <w:rPr>
          <w:rFonts w:eastAsiaTheme="minorEastAsia"/>
        </w:rPr>
        <w:t xml:space="preserve">, and </w:t>
      </w:r>
      <m:oMath>
        <m:r>
          <w:rPr>
            <w:rFonts w:ascii="Cambria Math" w:hAnsi="Cambria Math"/>
            <w:sz w:val="30"/>
            <w:szCs w:val="30"/>
          </w:rPr>
          <m:t>n</m:t>
        </m:r>
      </m:oMath>
      <w:r w:rsidR="00275F0F" w:rsidRPr="00FB5C99">
        <w:rPr>
          <w:rFonts w:ascii="Cambria Math" w:eastAsiaTheme="minorEastAsia" w:hAnsi="Cambria Math"/>
          <w:i/>
          <w:iCs/>
          <w:sz w:val="30"/>
          <w:szCs w:val="30"/>
          <w:vertAlign w:val="subscript"/>
        </w:rPr>
        <w:t>i</w:t>
      </w:r>
      <w:r w:rsidR="00275F0F" w:rsidRPr="00FB5C99">
        <w:rPr>
          <w:sz w:val="30"/>
          <w:szCs w:val="30"/>
        </w:rPr>
        <w:t xml:space="preserve"> </w:t>
      </w:r>
      <w:r w:rsidR="00275F0F" w:rsidRPr="009D6F19">
        <w:rPr>
          <w:i/>
          <w:iCs/>
          <w:sz w:val="28"/>
          <w:szCs w:val="28"/>
          <w:vertAlign w:val="subscript"/>
        </w:rPr>
        <w:t xml:space="preserve"> </w:t>
      </w:r>
      <w:r w:rsidR="00275F0F" w:rsidRPr="009D6F19">
        <w:t xml:space="preserve">is  the </w:t>
      </w:r>
      <w:r w:rsidR="00275F0F" w:rsidRPr="009D6F19">
        <w:rPr>
          <w:rFonts w:ascii="Cambria Math" w:eastAsiaTheme="minorEastAsia" w:hAnsi="Cambria Math"/>
          <w:i/>
          <w:iCs/>
          <w:sz w:val="28"/>
          <w:szCs w:val="28"/>
        </w:rPr>
        <w:t>i</w:t>
      </w:r>
      <w:r w:rsidR="00275F0F" w:rsidRPr="009D6F19">
        <w:rPr>
          <w:rFonts w:ascii="Cambria Math" w:eastAsiaTheme="minorEastAsia" w:hAnsi="Cambria Math"/>
          <w:i/>
          <w:iCs/>
          <w:sz w:val="28"/>
          <w:szCs w:val="28"/>
          <w:vertAlign w:val="superscript"/>
        </w:rPr>
        <w:t>th</w:t>
      </w:r>
      <w:r w:rsidR="00275F0F" w:rsidRPr="009D6F19">
        <w:rPr>
          <w:rFonts w:ascii="Cambria Math" w:eastAsiaTheme="minorEastAsia" w:hAnsi="Cambria Math"/>
          <w:i/>
          <w:iCs/>
        </w:rPr>
        <w:t xml:space="preserve"> </w:t>
      </w:r>
      <w:r w:rsidR="00275F0F" w:rsidRPr="009D6F19">
        <w:t>state’s sample size.</w:t>
      </w:r>
      <w:r w:rsidR="00C77FB8" w:rsidRPr="009D6F19">
        <w:t xml:space="preserve"> </w:t>
      </w:r>
    </w:p>
    <w:p w14:paraId="7FF68E6C" w14:textId="43983EAB" w:rsidR="003C7F63" w:rsidRDefault="003C7F63" w:rsidP="003E32D4">
      <w:r w:rsidRPr="00843E32">
        <w:rPr>
          <w:rFonts w:eastAsiaTheme="minorEastAsia"/>
        </w:rPr>
        <w:t xml:space="preserve">States </w:t>
      </w:r>
      <w:r>
        <w:rPr>
          <w:rFonts w:eastAsiaTheme="minorEastAsia"/>
        </w:rPr>
        <w:t>with sample size</w:t>
      </w:r>
      <w:r w:rsidR="00E57567">
        <w:rPr>
          <w:rFonts w:eastAsiaTheme="minorEastAsia"/>
        </w:rPr>
        <w:t>s</w:t>
      </w:r>
      <w:r>
        <w:rPr>
          <w:rFonts w:eastAsiaTheme="minorEastAsia"/>
        </w:rPr>
        <w:t xml:space="preserve"> smaller than 20 are excluded from the calculation</w:t>
      </w:r>
      <w:r w:rsidR="00E57567">
        <w:rPr>
          <w:rFonts w:eastAsiaTheme="minorEastAsia"/>
        </w:rPr>
        <w:t>s</w:t>
      </w:r>
      <w:r>
        <w:rPr>
          <w:rFonts w:eastAsiaTheme="minorEastAsia"/>
        </w:rPr>
        <w:t>.</w:t>
      </w:r>
    </w:p>
    <w:p w14:paraId="66D384CB" w14:textId="77777777" w:rsidR="00FE4E9E" w:rsidRDefault="00FE4E9E" w:rsidP="003E32D4"/>
    <w:p w14:paraId="57BA5FE7" w14:textId="1ADC76C9" w:rsidR="00A71FFC" w:rsidRPr="00C526E0" w:rsidRDefault="00A71FFC" w:rsidP="003E32D4">
      <w:pPr>
        <w:rPr>
          <w:b/>
          <w:bCs/>
        </w:rPr>
      </w:pPr>
      <w:r w:rsidRPr="00C526E0">
        <w:rPr>
          <w:b/>
          <w:bCs/>
        </w:rPr>
        <w:t>References</w:t>
      </w:r>
    </w:p>
    <w:p w14:paraId="3D88D656" w14:textId="08B348BB" w:rsidR="00A71FFC" w:rsidRDefault="00A71FFC" w:rsidP="00763DD8">
      <w:pPr>
        <w:spacing w:line="240" w:lineRule="auto"/>
      </w:pPr>
      <w:r w:rsidRPr="00A71FFC">
        <w:t xml:space="preserve">Solomon LS, Zaslavsky AM, Landon BE, Cleary PD. </w:t>
      </w:r>
      <w:r w:rsidR="00DF21E6">
        <w:t xml:space="preserve">(2002). </w:t>
      </w:r>
      <w:r w:rsidRPr="00A71FFC">
        <w:t xml:space="preserve">Variation in patient-reported quality among health care organizations. </w:t>
      </w:r>
      <w:r w:rsidRPr="00DF21E6">
        <w:rPr>
          <w:i/>
          <w:iCs/>
        </w:rPr>
        <w:t>Health Care Financing Review</w:t>
      </w:r>
      <w:r w:rsidR="00142311">
        <w:rPr>
          <w:i/>
          <w:iCs/>
        </w:rPr>
        <w:t xml:space="preserve">, </w:t>
      </w:r>
      <w:r w:rsidRPr="00142311">
        <w:rPr>
          <w:i/>
          <w:iCs/>
        </w:rPr>
        <w:t>23</w:t>
      </w:r>
      <w:r w:rsidRPr="00A71FFC">
        <w:t>(4)</w:t>
      </w:r>
      <w:r w:rsidR="00142311">
        <w:t xml:space="preserve">, </w:t>
      </w:r>
      <w:r w:rsidRPr="00A71FFC">
        <w:t xml:space="preserve">85-100. PMID: 12500472; PMCID: PMC4194762. </w:t>
      </w:r>
      <w:hyperlink r:id="rId11" w:history="1">
        <w:r w:rsidR="00DF21E6" w:rsidRPr="000A345B">
          <w:rPr>
            <w:rStyle w:val="Hyperlink"/>
          </w:rPr>
          <w:t>https://pmc.ncbi.nlm.nih.gov/articles/PMC4194762/</w:t>
        </w:r>
      </w:hyperlink>
    </w:p>
    <w:p w14:paraId="175C3718" w14:textId="76588F40" w:rsidR="00DF21E6" w:rsidRPr="009D6F19" w:rsidRDefault="00DF21E6" w:rsidP="00763DD8">
      <w:pPr>
        <w:spacing w:line="240" w:lineRule="auto"/>
      </w:pPr>
      <w:r w:rsidRPr="00DF21E6">
        <w:t xml:space="preserve">Nieser KJ, Harris AHS. Comparing methods for assessing the reliability of health care quality measures. </w:t>
      </w:r>
      <w:r w:rsidR="00142311">
        <w:t xml:space="preserve">(2024). </w:t>
      </w:r>
      <w:r w:rsidRPr="00142311">
        <w:rPr>
          <w:i/>
          <w:iCs/>
        </w:rPr>
        <w:t>Statistics in Medicine</w:t>
      </w:r>
      <w:r w:rsidR="0025128C">
        <w:rPr>
          <w:i/>
          <w:iCs/>
        </w:rPr>
        <w:t xml:space="preserve">, </w:t>
      </w:r>
      <w:r w:rsidRPr="0025128C">
        <w:rPr>
          <w:i/>
          <w:iCs/>
        </w:rPr>
        <w:t>43</w:t>
      </w:r>
      <w:r w:rsidRPr="00DF21E6">
        <w:t>(23)</w:t>
      </w:r>
      <w:r w:rsidR="0025128C">
        <w:t xml:space="preserve">, </w:t>
      </w:r>
      <w:r w:rsidRPr="00DF21E6">
        <w:t>4575-4594. doi: 10.1002/sim.10197. Epub 2024 Aug 15. PMID: 39145538. https://pubmed.ncbi.nlm.nih.gov/39145538/</w:t>
      </w:r>
    </w:p>
    <w:sectPr w:rsidR="00DF21E6" w:rsidRPr="009D6F19" w:rsidSect="004A78A3">
      <w:pgSz w:w="12240" w:h="15840"/>
      <w:pgMar w:top="90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65480" w14:textId="77777777" w:rsidR="00C73C82" w:rsidRPr="009D6F19" w:rsidRDefault="00C73C82" w:rsidP="003109D2">
      <w:pPr>
        <w:spacing w:after="0" w:line="240" w:lineRule="auto"/>
      </w:pPr>
      <w:r w:rsidRPr="009D6F19">
        <w:separator/>
      </w:r>
    </w:p>
  </w:endnote>
  <w:endnote w:type="continuationSeparator" w:id="0">
    <w:p w14:paraId="126ABDAD" w14:textId="77777777" w:rsidR="00C73C82" w:rsidRPr="009D6F19" w:rsidRDefault="00C73C82" w:rsidP="003109D2">
      <w:pPr>
        <w:spacing w:after="0" w:line="240" w:lineRule="auto"/>
      </w:pPr>
      <w:r w:rsidRPr="009D6F1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0E23" w14:textId="77777777" w:rsidR="00C73C82" w:rsidRPr="009D6F19" w:rsidRDefault="00C73C82" w:rsidP="003109D2">
      <w:pPr>
        <w:spacing w:after="0" w:line="240" w:lineRule="auto"/>
      </w:pPr>
      <w:r w:rsidRPr="009D6F19">
        <w:separator/>
      </w:r>
    </w:p>
  </w:footnote>
  <w:footnote w:type="continuationSeparator" w:id="0">
    <w:p w14:paraId="66A267BD" w14:textId="77777777" w:rsidR="00C73C82" w:rsidRPr="009D6F19" w:rsidRDefault="00C73C82" w:rsidP="003109D2">
      <w:pPr>
        <w:spacing w:after="0" w:line="240" w:lineRule="auto"/>
      </w:pPr>
      <w:r w:rsidRPr="009D6F1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71B67"/>
    <w:multiLevelType w:val="multilevel"/>
    <w:tmpl w:val="E016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29029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32D"/>
    <w:rsid w:val="00000C95"/>
    <w:rsid w:val="00002CD6"/>
    <w:rsid w:val="0001487B"/>
    <w:rsid w:val="0002092A"/>
    <w:rsid w:val="00031B76"/>
    <w:rsid w:val="00040C5E"/>
    <w:rsid w:val="00044C47"/>
    <w:rsid w:val="000452CA"/>
    <w:rsid w:val="00046B9D"/>
    <w:rsid w:val="00076532"/>
    <w:rsid w:val="000807D2"/>
    <w:rsid w:val="0008635C"/>
    <w:rsid w:val="00090965"/>
    <w:rsid w:val="00091C49"/>
    <w:rsid w:val="000A16D8"/>
    <w:rsid w:val="000A3835"/>
    <w:rsid w:val="000A6568"/>
    <w:rsid w:val="000A71A2"/>
    <w:rsid w:val="000B032D"/>
    <w:rsid w:val="000B1DAD"/>
    <w:rsid w:val="000B32BF"/>
    <w:rsid w:val="000B3B74"/>
    <w:rsid w:val="000C5274"/>
    <w:rsid w:val="000D5C62"/>
    <w:rsid w:val="000E4C30"/>
    <w:rsid w:val="000F7760"/>
    <w:rsid w:val="00104EE0"/>
    <w:rsid w:val="00112469"/>
    <w:rsid w:val="0011694B"/>
    <w:rsid w:val="001210C9"/>
    <w:rsid w:val="00122767"/>
    <w:rsid w:val="00125E75"/>
    <w:rsid w:val="00131D1F"/>
    <w:rsid w:val="00133373"/>
    <w:rsid w:val="00140D5B"/>
    <w:rsid w:val="00142311"/>
    <w:rsid w:val="001440CC"/>
    <w:rsid w:val="00156352"/>
    <w:rsid w:val="00161BE6"/>
    <w:rsid w:val="00164B8A"/>
    <w:rsid w:val="001726E6"/>
    <w:rsid w:val="00173C73"/>
    <w:rsid w:val="00184F3A"/>
    <w:rsid w:val="00192056"/>
    <w:rsid w:val="0019227F"/>
    <w:rsid w:val="0019533B"/>
    <w:rsid w:val="001A2617"/>
    <w:rsid w:val="001A2A54"/>
    <w:rsid w:val="001A4798"/>
    <w:rsid w:val="001B4064"/>
    <w:rsid w:val="001B5925"/>
    <w:rsid w:val="001C0319"/>
    <w:rsid w:val="001C071E"/>
    <w:rsid w:val="001C655A"/>
    <w:rsid w:val="001E3608"/>
    <w:rsid w:val="001E4378"/>
    <w:rsid w:val="001F41F0"/>
    <w:rsid w:val="00200F94"/>
    <w:rsid w:val="00207441"/>
    <w:rsid w:val="00207E58"/>
    <w:rsid w:val="00210C5B"/>
    <w:rsid w:val="002410C1"/>
    <w:rsid w:val="0025128C"/>
    <w:rsid w:val="00252BDC"/>
    <w:rsid w:val="00270F0E"/>
    <w:rsid w:val="00275F0F"/>
    <w:rsid w:val="0027658A"/>
    <w:rsid w:val="002766E8"/>
    <w:rsid w:val="00283747"/>
    <w:rsid w:val="00286051"/>
    <w:rsid w:val="00286F1F"/>
    <w:rsid w:val="0029054F"/>
    <w:rsid w:val="002A487E"/>
    <w:rsid w:val="002C2C80"/>
    <w:rsid w:val="002D037C"/>
    <w:rsid w:val="002D4419"/>
    <w:rsid w:val="002D442F"/>
    <w:rsid w:val="002E2FC0"/>
    <w:rsid w:val="002E3938"/>
    <w:rsid w:val="002E3DA6"/>
    <w:rsid w:val="002E5237"/>
    <w:rsid w:val="002E602A"/>
    <w:rsid w:val="002F6AB4"/>
    <w:rsid w:val="003051F4"/>
    <w:rsid w:val="003103D5"/>
    <w:rsid w:val="003109D2"/>
    <w:rsid w:val="00325E14"/>
    <w:rsid w:val="00326210"/>
    <w:rsid w:val="00337EAF"/>
    <w:rsid w:val="003405FB"/>
    <w:rsid w:val="00347AD0"/>
    <w:rsid w:val="0036192D"/>
    <w:rsid w:val="00373421"/>
    <w:rsid w:val="00374690"/>
    <w:rsid w:val="00375AE9"/>
    <w:rsid w:val="00380912"/>
    <w:rsid w:val="003914D5"/>
    <w:rsid w:val="00392A9B"/>
    <w:rsid w:val="00394C0D"/>
    <w:rsid w:val="003A7683"/>
    <w:rsid w:val="003B2572"/>
    <w:rsid w:val="003B425B"/>
    <w:rsid w:val="003B736E"/>
    <w:rsid w:val="003C289A"/>
    <w:rsid w:val="003C7F63"/>
    <w:rsid w:val="003D77D7"/>
    <w:rsid w:val="003E22C5"/>
    <w:rsid w:val="003E32D4"/>
    <w:rsid w:val="003E667A"/>
    <w:rsid w:val="003F5580"/>
    <w:rsid w:val="003F6C12"/>
    <w:rsid w:val="003F7B74"/>
    <w:rsid w:val="00404E7F"/>
    <w:rsid w:val="0040694F"/>
    <w:rsid w:val="00420B9E"/>
    <w:rsid w:val="00421B44"/>
    <w:rsid w:val="00432C58"/>
    <w:rsid w:val="0043501C"/>
    <w:rsid w:val="0043780E"/>
    <w:rsid w:val="004433AF"/>
    <w:rsid w:val="00443BEB"/>
    <w:rsid w:val="00443E22"/>
    <w:rsid w:val="00445CB8"/>
    <w:rsid w:val="004513A1"/>
    <w:rsid w:val="00463A0F"/>
    <w:rsid w:val="004663AF"/>
    <w:rsid w:val="00466487"/>
    <w:rsid w:val="00467E30"/>
    <w:rsid w:val="00473249"/>
    <w:rsid w:val="00476514"/>
    <w:rsid w:val="004801DD"/>
    <w:rsid w:val="004863BA"/>
    <w:rsid w:val="00495850"/>
    <w:rsid w:val="00497E16"/>
    <w:rsid w:val="004A4668"/>
    <w:rsid w:val="004A78A3"/>
    <w:rsid w:val="004B4D06"/>
    <w:rsid w:val="004B60B1"/>
    <w:rsid w:val="004C531F"/>
    <w:rsid w:val="004D02E6"/>
    <w:rsid w:val="004D3D93"/>
    <w:rsid w:val="004E5930"/>
    <w:rsid w:val="004F0FE7"/>
    <w:rsid w:val="00504129"/>
    <w:rsid w:val="005127CE"/>
    <w:rsid w:val="00533305"/>
    <w:rsid w:val="0053404B"/>
    <w:rsid w:val="00547CAA"/>
    <w:rsid w:val="00564041"/>
    <w:rsid w:val="00564707"/>
    <w:rsid w:val="00564EF9"/>
    <w:rsid w:val="005700CB"/>
    <w:rsid w:val="00570688"/>
    <w:rsid w:val="0057443D"/>
    <w:rsid w:val="005863D7"/>
    <w:rsid w:val="00591D7A"/>
    <w:rsid w:val="005B217C"/>
    <w:rsid w:val="005B7B1D"/>
    <w:rsid w:val="005C09BC"/>
    <w:rsid w:val="005D544D"/>
    <w:rsid w:val="005D67AE"/>
    <w:rsid w:val="005F3D66"/>
    <w:rsid w:val="005F57A6"/>
    <w:rsid w:val="00606BE1"/>
    <w:rsid w:val="00610F73"/>
    <w:rsid w:val="006209D3"/>
    <w:rsid w:val="006264E7"/>
    <w:rsid w:val="00642BF5"/>
    <w:rsid w:val="006448FE"/>
    <w:rsid w:val="00644C1C"/>
    <w:rsid w:val="00651042"/>
    <w:rsid w:val="006522A3"/>
    <w:rsid w:val="00654FD6"/>
    <w:rsid w:val="00657931"/>
    <w:rsid w:val="0066224D"/>
    <w:rsid w:val="00663C2E"/>
    <w:rsid w:val="00673487"/>
    <w:rsid w:val="00677429"/>
    <w:rsid w:val="00682FC8"/>
    <w:rsid w:val="00683C3C"/>
    <w:rsid w:val="006957E5"/>
    <w:rsid w:val="006B133E"/>
    <w:rsid w:val="006D6C3E"/>
    <w:rsid w:val="006E503E"/>
    <w:rsid w:val="006F1174"/>
    <w:rsid w:val="006F377A"/>
    <w:rsid w:val="006F4DB6"/>
    <w:rsid w:val="00702B7F"/>
    <w:rsid w:val="00727138"/>
    <w:rsid w:val="0074424B"/>
    <w:rsid w:val="007467C7"/>
    <w:rsid w:val="0075132B"/>
    <w:rsid w:val="00754302"/>
    <w:rsid w:val="00763DD8"/>
    <w:rsid w:val="00770C81"/>
    <w:rsid w:val="007723F6"/>
    <w:rsid w:val="007725E0"/>
    <w:rsid w:val="00776DE6"/>
    <w:rsid w:val="007806DD"/>
    <w:rsid w:val="00780900"/>
    <w:rsid w:val="007816CA"/>
    <w:rsid w:val="0078233D"/>
    <w:rsid w:val="00782C71"/>
    <w:rsid w:val="00782F0B"/>
    <w:rsid w:val="00794125"/>
    <w:rsid w:val="0079553F"/>
    <w:rsid w:val="007A32DE"/>
    <w:rsid w:val="007A38D9"/>
    <w:rsid w:val="007A5186"/>
    <w:rsid w:val="007B7290"/>
    <w:rsid w:val="007C0F71"/>
    <w:rsid w:val="007C230D"/>
    <w:rsid w:val="007C7DF4"/>
    <w:rsid w:val="007D436F"/>
    <w:rsid w:val="007D7B70"/>
    <w:rsid w:val="007E350A"/>
    <w:rsid w:val="007F54D1"/>
    <w:rsid w:val="007F79FA"/>
    <w:rsid w:val="008009A0"/>
    <w:rsid w:val="00821F7F"/>
    <w:rsid w:val="00834FD1"/>
    <w:rsid w:val="00845007"/>
    <w:rsid w:val="00864E9D"/>
    <w:rsid w:val="00865E95"/>
    <w:rsid w:val="0087578C"/>
    <w:rsid w:val="0087692B"/>
    <w:rsid w:val="00881877"/>
    <w:rsid w:val="00894BF3"/>
    <w:rsid w:val="008964FE"/>
    <w:rsid w:val="008A082B"/>
    <w:rsid w:val="008A2050"/>
    <w:rsid w:val="008A5065"/>
    <w:rsid w:val="008A671A"/>
    <w:rsid w:val="008A7E84"/>
    <w:rsid w:val="008B0093"/>
    <w:rsid w:val="008B0334"/>
    <w:rsid w:val="008B2925"/>
    <w:rsid w:val="008B7FDE"/>
    <w:rsid w:val="008C155F"/>
    <w:rsid w:val="008C1F25"/>
    <w:rsid w:val="008C58D2"/>
    <w:rsid w:val="008D24FC"/>
    <w:rsid w:val="008E08E6"/>
    <w:rsid w:val="008E2DA7"/>
    <w:rsid w:val="008F13FB"/>
    <w:rsid w:val="008F2C2B"/>
    <w:rsid w:val="009251BA"/>
    <w:rsid w:val="009363FA"/>
    <w:rsid w:val="00940AE3"/>
    <w:rsid w:val="00971969"/>
    <w:rsid w:val="00975577"/>
    <w:rsid w:val="00977109"/>
    <w:rsid w:val="00990B59"/>
    <w:rsid w:val="00995D0B"/>
    <w:rsid w:val="009A04D0"/>
    <w:rsid w:val="009A06BF"/>
    <w:rsid w:val="009A6115"/>
    <w:rsid w:val="009B2B11"/>
    <w:rsid w:val="009B3FA5"/>
    <w:rsid w:val="009B5A15"/>
    <w:rsid w:val="009B6D67"/>
    <w:rsid w:val="009C0266"/>
    <w:rsid w:val="009C7570"/>
    <w:rsid w:val="009D014F"/>
    <w:rsid w:val="009D5E88"/>
    <w:rsid w:val="009D6F19"/>
    <w:rsid w:val="00A01A55"/>
    <w:rsid w:val="00A11224"/>
    <w:rsid w:val="00A1229F"/>
    <w:rsid w:val="00A30EFF"/>
    <w:rsid w:val="00A31530"/>
    <w:rsid w:val="00A40559"/>
    <w:rsid w:val="00A414B0"/>
    <w:rsid w:val="00A4376A"/>
    <w:rsid w:val="00A57928"/>
    <w:rsid w:val="00A64E74"/>
    <w:rsid w:val="00A66F85"/>
    <w:rsid w:val="00A66FEF"/>
    <w:rsid w:val="00A71FFC"/>
    <w:rsid w:val="00A76BFE"/>
    <w:rsid w:val="00A81667"/>
    <w:rsid w:val="00A81CCA"/>
    <w:rsid w:val="00A90D94"/>
    <w:rsid w:val="00A95D03"/>
    <w:rsid w:val="00AA4490"/>
    <w:rsid w:val="00AA52DA"/>
    <w:rsid w:val="00AC61A1"/>
    <w:rsid w:val="00AE32C1"/>
    <w:rsid w:val="00AE4BF9"/>
    <w:rsid w:val="00AE50F8"/>
    <w:rsid w:val="00AE741F"/>
    <w:rsid w:val="00AF1AA8"/>
    <w:rsid w:val="00AF2E1B"/>
    <w:rsid w:val="00AF5945"/>
    <w:rsid w:val="00AF64C4"/>
    <w:rsid w:val="00B05970"/>
    <w:rsid w:val="00B1217A"/>
    <w:rsid w:val="00B14FB4"/>
    <w:rsid w:val="00B21845"/>
    <w:rsid w:val="00B241C1"/>
    <w:rsid w:val="00B26DB1"/>
    <w:rsid w:val="00B31C3C"/>
    <w:rsid w:val="00B31E84"/>
    <w:rsid w:val="00B32231"/>
    <w:rsid w:val="00B3494F"/>
    <w:rsid w:val="00B42C43"/>
    <w:rsid w:val="00B466A0"/>
    <w:rsid w:val="00B46BBF"/>
    <w:rsid w:val="00B50F7D"/>
    <w:rsid w:val="00B50FD0"/>
    <w:rsid w:val="00B51A4F"/>
    <w:rsid w:val="00B60E72"/>
    <w:rsid w:val="00B63CE3"/>
    <w:rsid w:val="00B76B21"/>
    <w:rsid w:val="00B837F1"/>
    <w:rsid w:val="00B873BE"/>
    <w:rsid w:val="00B90E59"/>
    <w:rsid w:val="00B91946"/>
    <w:rsid w:val="00B975DE"/>
    <w:rsid w:val="00BA7AE0"/>
    <w:rsid w:val="00BB07DF"/>
    <w:rsid w:val="00BC7337"/>
    <w:rsid w:val="00BD4081"/>
    <w:rsid w:val="00BE26EF"/>
    <w:rsid w:val="00BE6DF4"/>
    <w:rsid w:val="00BF0380"/>
    <w:rsid w:val="00BF0FD5"/>
    <w:rsid w:val="00BF23EA"/>
    <w:rsid w:val="00BF4498"/>
    <w:rsid w:val="00C05060"/>
    <w:rsid w:val="00C0519D"/>
    <w:rsid w:val="00C063A2"/>
    <w:rsid w:val="00C07AF2"/>
    <w:rsid w:val="00C27FDE"/>
    <w:rsid w:val="00C32264"/>
    <w:rsid w:val="00C41711"/>
    <w:rsid w:val="00C43125"/>
    <w:rsid w:val="00C4665E"/>
    <w:rsid w:val="00C5139D"/>
    <w:rsid w:val="00C526E0"/>
    <w:rsid w:val="00C542AB"/>
    <w:rsid w:val="00C56667"/>
    <w:rsid w:val="00C61B3C"/>
    <w:rsid w:val="00C61FDA"/>
    <w:rsid w:val="00C65D48"/>
    <w:rsid w:val="00C663BE"/>
    <w:rsid w:val="00C70AC2"/>
    <w:rsid w:val="00C71C47"/>
    <w:rsid w:val="00C73C82"/>
    <w:rsid w:val="00C769E8"/>
    <w:rsid w:val="00C77FB8"/>
    <w:rsid w:val="00C84161"/>
    <w:rsid w:val="00C85024"/>
    <w:rsid w:val="00C937D6"/>
    <w:rsid w:val="00CA3085"/>
    <w:rsid w:val="00CA7BE6"/>
    <w:rsid w:val="00CD309F"/>
    <w:rsid w:val="00CD375B"/>
    <w:rsid w:val="00CE2C2B"/>
    <w:rsid w:val="00CF730F"/>
    <w:rsid w:val="00D010D4"/>
    <w:rsid w:val="00D01C01"/>
    <w:rsid w:val="00D06105"/>
    <w:rsid w:val="00D0761B"/>
    <w:rsid w:val="00D10B94"/>
    <w:rsid w:val="00D15E16"/>
    <w:rsid w:val="00D1625C"/>
    <w:rsid w:val="00D2073B"/>
    <w:rsid w:val="00D22B90"/>
    <w:rsid w:val="00D24666"/>
    <w:rsid w:val="00D26D53"/>
    <w:rsid w:val="00D33B97"/>
    <w:rsid w:val="00D40CEB"/>
    <w:rsid w:val="00D46CF5"/>
    <w:rsid w:val="00D52E06"/>
    <w:rsid w:val="00D5606F"/>
    <w:rsid w:val="00D62D6F"/>
    <w:rsid w:val="00D63BEF"/>
    <w:rsid w:val="00D64C40"/>
    <w:rsid w:val="00D66B3E"/>
    <w:rsid w:val="00D74EBE"/>
    <w:rsid w:val="00D7628F"/>
    <w:rsid w:val="00DA341F"/>
    <w:rsid w:val="00DC44BF"/>
    <w:rsid w:val="00DE5855"/>
    <w:rsid w:val="00DE71DA"/>
    <w:rsid w:val="00DF0448"/>
    <w:rsid w:val="00DF1895"/>
    <w:rsid w:val="00DF21E6"/>
    <w:rsid w:val="00E21BB5"/>
    <w:rsid w:val="00E21FCD"/>
    <w:rsid w:val="00E2778E"/>
    <w:rsid w:val="00E312C1"/>
    <w:rsid w:val="00E34458"/>
    <w:rsid w:val="00E41F56"/>
    <w:rsid w:val="00E469A4"/>
    <w:rsid w:val="00E55494"/>
    <w:rsid w:val="00E56641"/>
    <w:rsid w:val="00E57567"/>
    <w:rsid w:val="00E57A42"/>
    <w:rsid w:val="00E7791C"/>
    <w:rsid w:val="00E9091A"/>
    <w:rsid w:val="00E91152"/>
    <w:rsid w:val="00EA4CD3"/>
    <w:rsid w:val="00EB796A"/>
    <w:rsid w:val="00ED0411"/>
    <w:rsid w:val="00ED0B0C"/>
    <w:rsid w:val="00ED0D1A"/>
    <w:rsid w:val="00ED65B0"/>
    <w:rsid w:val="00EE40BA"/>
    <w:rsid w:val="00EE64DA"/>
    <w:rsid w:val="00EF398E"/>
    <w:rsid w:val="00EF5719"/>
    <w:rsid w:val="00EF5A35"/>
    <w:rsid w:val="00F0254D"/>
    <w:rsid w:val="00F12C2C"/>
    <w:rsid w:val="00F279F8"/>
    <w:rsid w:val="00F31AFC"/>
    <w:rsid w:val="00F41C17"/>
    <w:rsid w:val="00F43E3A"/>
    <w:rsid w:val="00F446BE"/>
    <w:rsid w:val="00F45156"/>
    <w:rsid w:val="00F47AF9"/>
    <w:rsid w:val="00F5006D"/>
    <w:rsid w:val="00F50717"/>
    <w:rsid w:val="00F50A10"/>
    <w:rsid w:val="00F558E5"/>
    <w:rsid w:val="00F6355D"/>
    <w:rsid w:val="00F65E2C"/>
    <w:rsid w:val="00F733B8"/>
    <w:rsid w:val="00F83749"/>
    <w:rsid w:val="00F86024"/>
    <w:rsid w:val="00FB11FA"/>
    <w:rsid w:val="00FB1B11"/>
    <w:rsid w:val="00FB39B5"/>
    <w:rsid w:val="00FB5C99"/>
    <w:rsid w:val="00FC7386"/>
    <w:rsid w:val="00FE4E9E"/>
    <w:rsid w:val="00FF3171"/>
    <w:rsid w:val="00FF6052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4F33D"/>
  <w15:chartTrackingRefBased/>
  <w15:docId w15:val="{C027B49C-8C66-407E-9BB9-1BD53E41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9B3F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75317" w:themeColor="accent6" w:themeShade="80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3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75317" w:themeColor="accent6" w:themeShade="8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1D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3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3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3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3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3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3FA5"/>
    <w:rPr>
      <w:rFonts w:asciiTheme="majorHAnsi" w:eastAsiaTheme="majorEastAsia" w:hAnsiTheme="majorHAnsi" w:cstheme="majorBidi"/>
      <w:color w:val="275317" w:themeColor="accent6" w:themeShade="80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B3FA5"/>
    <w:rPr>
      <w:rFonts w:asciiTheme="majorHAnsi" w:eastAsiaTheme="majorEastAsia" w:hAnsiTheme="majorHAnsi" w:cstheme="majorBidi"/>
      <w:color w:val="275317" w:themeColor="accent6" w:themeShade="8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B1DAD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3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3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3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3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3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3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3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3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3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3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3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3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3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3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3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3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32D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7D7B70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109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9D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109D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7342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342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E2FC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B6D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6D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6D67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6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6D67"/>
    <w:rPr>
      <w:b/>
      <w:bCs/>
      <w:noProof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94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4BF3"/>
    <w:rPr>
      <w:noProof/>
    </w:rPr>
  </w:style>
  <w:style w:type="paragraph" w:styleId="Footer">
    <w:name w:val="footer"/>
    <w:basedOn w:val="Normal"/>
    <w:link w:val="FooterChar"/>
    <w:uiPriority w:val="99"/>
    <w:semiHidden/>
    <w:unhideWhenUsed/>
    <w:rsid w:val="00894B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4BF3"/>
    <w:rPr>
      <w:noProof/>
    </w:rPr>
  </w:style>
  <w:style w:type="character" w:styleId="FollowedHyperlink">
    <w:name w:val="FollowedHyperlink"/>
    <w:basedOn w:val="DefaultParagraphFont"/>
    <w:uiPriority w:val="99"/>
    <w:semiHidden/>
    <w:unhideWhenUsed/>
    <w:rsid w:val="006957E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mc.ncbi.nlm.nih.gov/articles/PMC4194762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A0A6F703A3994481E955F72798B56C" ma:contentTypeVersion="19" ma:contentTypeDescription="Create a new document." ma:contentTypeScope="" ma:versionID="feb335e3d5e25e249381d4c013522c0c">
  <xsd:schema xmlns:xsd="http://www.w3.org/2001/XMLSchema" xmlns:xs="http://www.w3.org/2001/XMLSchema" xmlns:p="http://schemas.microsoft.com/office/2006/metadata/properties" xmlns:ns2="498e54fd-afbd-42c6-88ab-06e98fca0b46" xmlns:ns3="e3fa58b5-f500-4e58-ba50-023ef6eb3155" targetNamespace="http://schemas.microsoft.com/office/2006/metadata/properties" ma:root="true" ma:fieldsID="e8ddaf37a0825f9e72aed997b54e30c5" ns2:_="" ns3:_="">
    <xsd:import namespace="498e54fd-afbd-42c6-88ab-06e98fca0b46"/>
    <xsd:import namespace="e3fa58b5-f500-4e58-ba50-023ef6eb3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e54fd-afbd-42c6-88ab-06e98fca0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9ec7369-dda0-4b84-8af0-ae2f1131ef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fa58b5-f500-4e58-ba50-023ef6eb315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921a23f-59ec-4b50-8cc4-fb6a88db72e7}" ma:internalName="TaxCatchAll" ma:showField="CatchAllData" ma:web="e3fa58b5-f500-4e58-ba50-023ef6eb3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fa58b5-f500-4e58-ba50-023ef6eb3155" xsi:nil="true"/>
    <lcf76f155ced4ddcb4097134ff3c332f xmlns="498e54fd-afbd-42c6-88ab-06e98fca0b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F0DB5E-F9D1-40F6-8874-7337FC790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e54fd-afbd-42c6-88ab-06e98fca0b46"/>
    <ds:schemaRef ds:uri="e3fa58b5-f500-4e58-ba50-023ef6eb3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512D94-8D24-4513-99CF-A5AAC4F20E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5AAD4-0D6B-4C7E-BF38-14E2AA6CD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98EAE1-C047-4215-A355-55B0F1FDA948}">
  <ds:schemaRefs>
    <ds:schemaRef ds:uri="http://schemas.microsoft.com/office/2006/metadata/properties"/>
    <ds:schemaRef ds:uri="http://schemas.microsoft.com/office/infopath/2007/PartnerControls"/>
    <ds:schemaRef ds:uri="e3fa58b5-f500-4e58-ba50-023ef6eb3155"/>
    <ds:schemaRef ds:uri="498e54fd-afbd-42c6-88ab-06e98fca0b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172</Words>
  <Characters>1050</Characters>
  <Application>Microsoft Office Word</Application>
  <DocSecurity>0</DocSecurity>
  <Lines>26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Links>
    <vt:vector size="30" baseType="variant">
      <vt:variant>
        <vt:i4>5767184</vt:i4>
      </vt:variant>
      <vt:variant>
        <vt:i4>12</vt:i4>
      </vt:variant>
      <vt:variant>
        <vt:i4>0</vt:i4>
      </vt:variant>
      <vt:variant>
        <vt:i4>5</vt:i4>
      </vt:variant>
      <vt:variant>
        <vt:lpwstr>https://pmc.ncbi.nlm.nih.gov/articles/PMC11250135/</vt:lpwstr>
      </vt:variant>
      <vt:variant>
        <vt:lpwstr>hesr14310-supitem-0001</vt:lpwstr>
      </vt:variant>
      <vt:variant>
        <vt:i4>1900566</vt:i4>
      </vt:variant>
      <vt:variant>
        <vt:i4>9</vt:i4>
      </vt:variant>
      <vt:variant>
        <vt:i4>0</vt:i4>
      </vt:variant>
      <vt:variant>
        <vt:i4>5</vt:i4>
      </vt:variant>
      <vt:variant>
        <vt:lpwstr>https://pmc.ncbi.nlm.nih.gov/articles/PMC5965596/</vt:lpwstr>
      </vt:variant>
      <vt:variant>
        <vt:lpwstr/>
      </vt:variant>
      <vt:variant>
        <vt:i4>655363</vt:i4>
      </vt:variant>
      <vt:variant>
        <vt:i4>6</vt:i4>
      </vt:variant>
      <vt:variant>
        <vt:i4>0</vt:i4>
      </vt:variant>
      <vt:variant>
        <vt:i4>5</vt:i4>
      </vt:variant>
      <vt:variant>
        <vt:lpwstr>https://pubmed.ncbi.nlm.nih.gov/39145538/</vt:lpwstr>
      </vt:variant>
      <vt:variant>
        <vt:lpwstr/>
      </vt:variant>
      <vt:variant>
        <vt:i4>1376272</vt:i4>
      </vt:variant>
      <vt:variant>
        <vt:i4>3</vt:i4>
      </vt:variant>
      <vt:variant>
        <vt:i4>0</vt:i4>
      </vt:variant>
      <vt:variant>
        <vt:i4>5</vt:i4>
      </vt:variant>
      <vt:variant>
        <vt:lpwstr>https://pmc.ncbi.nlm.nih.gov/articles/PMC4194762/</vt:lpwstr>
      </vt:variant>
      <vt:variant>
        <vt:lpwstr/>
      </vt:variant>
      <vt:variant>
        <vt:i4>1441814</vt:i4>
      </vt:variant>
      <vt:variant>
        <vt:i4>0</vt:i4>
      </vt:variant>
      <vt:variant>
        <vt:i4>0</vt:i4>
      </vt:variant>
      <vt:variant>
        <vt:i4>5</vt:i4>
      </vt:variant>
      <vt:variant>
        <vt:lpwstr>https://pmc.ncbi.nlm.nih.gov/articles/PMC6455941/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Nilufer Isvan</dc:creator>
  <cp:keywords/>
  <dc:description/>
  <cp:lastModifiedBy>Henan Li</cp:lastModifiedBy>
  <cp:revision>30</cp:revision>
  <dcterms:created xsi:type="dcterms:W3CDTF">2026-05-01T12:45:00Z</dcterms:created>
  <dcterms:modified xsi:type="dcterms:W3CDTF">2026-05-01T20:37:00Z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0x01010067A0A6F703A3994481E955F72798B56C</vt:lpwstr>
  </property>
  <property fmtid="{D5CDD505-2E9C-101B-9397-08002B2CF9AE}" pid="3" name="MediaServiceImageTags">
    <vt:lpwstr/>
  </property>
</Properties>
</file>