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A3A8" w14:textId="1EE03951" w:rsidR="008B757E" w:rsidRDefault="2A2FCE5D" w:rsidP="004308C1">
      <w:pPr>
        <w:pStyle w:val="Heading2"/>
        <w:spacing w:before="240" w:after="0"/>
      </w:pPr>
      <w:r w:rsidRPr="0D45AE4E">
        <w:rPr>
          <w:rFonts w:ascii="Arial" w:eastAsia="Arial" w:hAnsi="Arial" w:cs="Arial"/>
          <w:color w:val="44546A"/>
        </w:rPr>
        <w:t>Section 2. Importance</w:t>
      </w:r>
    </w:p>
    <w:p w14:paraId="7C5C24BF" w14:textId="66A65598" w:rsidR="008B757E" w:rsidRDefault="2A2FCE5D" w:rsidP="0D45AE4E">
      <w:pPr>
        <w:spacing w:after="0"/>
      </w:pPr>
      <w:r w:rsidRPr="0D45AE4E">
        <w:rPr>
          <w:rFonts w:ascii="Arial" w:eastAsia="Arial" w:hAnsi="Arial" w:cs="Arial"/>
          <w:b/>
          <w:bCs/>
        </w:rPr>
        <w:t>2.1 Attach Logic Model</w:t>
      </w:r>
      <w:r w:rsidRPr="0D45AE4E">
        <w:rPr>
          <w:rFonts w:ascii="Arial" w:eastAsia="Arial" w:hAnsi="Arial" w:cs="Arial"/>
          <w:color w:val="C00000"/>
          <w:sz w:val="28"/>
          <w:szCs w:val="28"/>
        </w:rPr>
        <w:t>*</w:t>
      </w:r>
    </w:p>
    <w:p w14:paraId="75B12AF2" w14:textId="70366812" w:rsidR="008B757E" w:rsidRDefault="2A2FCE5D" w:rsidP="0D45AE4E">
      <w:pPr>
        <w:spacing w:after="0"/>
      </w:pPr>
      <w:r w:rsidRPr="0D45AE4E">
        <w:rPr>
          <w:rFonts w:ascii="Arial" w:eastAsia="Arial" w:hAnsi="Arial" w:cs="Arial"/>
          <w:i/>
          <w:iCs/>
          <w:color w:val="0070C0"/>
          <w:sz w:val="22"/>
          <w:szCs w:val="22"/>
        </w:rPr>
        <w:t xml:space="preserve">Attach a logic model that illustrates the relationship between health care structures and processes and the desired outcomes. In addition, in the attachment, briefly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 Outcomes should include the measure focus. The relationships depicted in the diagram should be straightforward, ensuring they are easily understood by a general, non-technical audience. Additionally, highlight any assumptions that underpin your model, describe feedback mechanisms, and acknowledge external factors that could influence the success of the measure, ensuring a comprehensive understanding of the measure’s logic and its intended effects. For instrument submissions, the logic model should include each of the associated IDMs. See the </w:t>
      </w:r>
      <w:hyperlink r:id="rId8">
        <w:r w:rsidRPr="0D45AE4E">
          <w:rPr>
            <w:rStyle w:val="Hyperlink"/>
            <w:rFonts w:ascii="Arial" w:eastAsia="Arial" w:hAnsi="Arial" w:cs="Arial"/>
            <w:i/>
            <w:iCs/>
            <w:color w:val="0563C1"/>
            <w:sz w:val="22"/>
            <w:szCs w:val="22"/>
          </w:rPr>
          <w:t>Logic Model Guidance</w:t>
        </w:r>
      </w:hyperlink>
      <w:r w:rsidRPr="0D45AE4E">
        <w:rPr>
          <w:rFonts w:ascii="Arial" w:eastAsia="Arial" w:hAnsi="Arial" w:cs="Arial"/>
          <w:i/>
          <w:iCs/>
          <w:color w:val="0070C0"/>
          <w:sz w:val="22"/>
          <w:szCs w:val="22"/>
        </w:rPr>
        <w:t xml:space="preserve"> for additional information.</w:t>
      </w:r>
    </w:p>
    <w:p w14:paraId="43E1FC6B" w14:textId="60C7325A" w:rsidR="008B757E" w:rsidRDefault="2A2FCE5D" w:rsidP="0D45AE4E">
      <w:pPr>
        <w:spacing w:before="120" w:after="0"/>
      </w:pPr>
      <w:r w:rsidRPr="0D45AE4E">
        <w:rPr>
          <w:rFonts w:ascii="Arial" w:eastAsia="Arial" w:hAnsi="Arial" w:cs="Arial"/>
          <w:i/>
          <w:iCs/>
          <w:color w:val="0070C0"/>
          <w:sz w:val="22"/>
          <w:szCs w:val="22"/>
        </w:rPr>
        <w:t>One file only; 256 MB limit; allowed file types: .</w:t>
      </w:r>
      <w:proofErr w:type="gramStart"/>
      <w:r w:rsidRPr="0D45AE4E">
        <w:rPr>
          <w:rFonts w:ascii="Arial" w:eastAsia="Arial" w:hAnsi="Arial" w:cs="Arial"/>
          <w:i/>
          <w:iCs/>
          <w:color w:val="0070C0"/>
          <w:sz w:val="22"/>
          <w:szCs w:val="22"/>
        </w:rPr>
        <w:t>pdf;</w:t>
      </w:r>
      <w:proofErr w:type="gramEnd"/>
      <w:r w:rsidRPr="0D45AE4E">
        <w:rPr>
          <w:rFonts w:ascii="Arial" w:eastAsia="Arial" w:hAnsi="Arial" w:cs="Arial"/>
          <w:i/>
          <w:iCs/>
          <w:color w:val="0070C0"/>
          <w:sz w:val="22"/>
          <w:szCs w:val="22"/>
        </w:rPr>
        <w:t xml:space="preserve"> .doc; .docx.</w:t>
      </w:r>
    </w:p>
    <w:p w14:paraId="32A8DE7F" w14:textId="33F89BE2" w:rsidR="008B757E" w:rsidRDefault="2A2FCE5D" w:rsidP="0D45AE4E">
      <w:pPr>
        <w:spacing w:before="120" w:after="0"/>
      </w:pPr>
      <w:r w:rsidRPr="22D0511A">
        <w:rPr>
          <w:rFonts w:ascii="Arial" w:eastAsia="Arial" w:hAnsi="Arial" w:cs="Arial"/>
          <w:i/>
          <w:iCs/>
          <w:color w:val="44546A"/>
          <w:sz w:val="20"/>
          <w:szCs w:val="20"/>
        </w:rPr>
        <w:t>[Please use a standard file naming convention; for example, XXXX-2.1-LogicModel-[cycle].docx (where XXXX is the CBE ID).]</w:t>
      </w:r>
    </w:p>
    <w:tbl>
      <w:tblPr>
        <w:tblW w:w="12870" w:type="dxa"/>
        <w:tblInd w:w="180" w:type="dxa"/>
        <w:tblLook w:val="01E0" w:firstRow="1" w:lastRow="1" w:firstColumn="1" w:lastColumn="1" w:noHBand="0" w:noVBand="0"/>
      </w:tblPr>
      <w:tblGrid>
        <w:gridCol w:w="2817"/>
        <w:gridCol w:w="2354"/>
        <w:gridCol w:w="2638"/>
        <w:gridCol w:w="2142"/>
        <w:gridCol w:w="2919"/>
      </w:tblGrid>
      <w:tr w:rsidR="22D0511A" w14:paraId="5A5C7C92" w14:textId="77777777" w:rsidTr="3BA07E5F">
        <w:trPr>
          <w:trHeight w:val="900"/>
        </w:trPr>
        <w:tc>
          <w:tcPr>
            <w:tcW w:w="2820" w:type="dxa"/>
            <w:tcBorders>
              <w:top w:val="single" w:sz="8" w:space="0" w:color="231F20"/>
              <w:left w:val="single" w:sz="8" w:space="0" w:color="231F20"/>
              <w:bottom w:val="single" w:sz="8" w:space="0" w:color="231F20"/>
              <w:right w:val="single" w:sz="8" w:space="0" w:color="231F20"/>
            </w:tcBorders>
            <w:shd w:val="clear" w:color="auto" w:fill="B4C5E7"/>
          </w:tcPr>
          <w:p w14:paraId="0E1E1FC8" w14:textId="5751C7C6" w:rsidR="22D0511A" w:rsidRDefault="22D0511A" w:rsidP="22D0511A">
            <w:pPr>
              <w:spacing w:before="132" w:after="0" w:line="276" w:lineRule="auto"/>
              <w:ind w:left="80"/>
            </w:pPr>
            <w:r w:rsidRPr="22D0511A">
              <w:rPr>
                <w:rFonts w:ascii="Arial" w:eastAsia="Arial" w:hAnsi="Arial" w:cs="Arial"/>
                <w:b/>
                <w:bCs/>
                <w:color w:val="231F20"/>
                <w:sz w:val="22"/>
                <w:szCs w:val="22"/>
              </w:rPr>
              <w:t>Inputs (resources)</w:t>
            </w:r>
          </w:p>
        </w:tc>
        <w:tc>
          <w:tcPr>
            <w:tcW w:w="2355" w:type="dxa"/>
            <w:tcBorders>
              <w:top w:val="single" w:sz="8" w:space="0" w:color="231F20"/>
              <w:left w:val="single" w:sz="8" w:space="0" w:color="231F20"/>
              <w:bottom w:val="single" w:sz="8" w:space="0" w:color="231F20"/>
              <w:right w:val="single" w:sz="8" w:space="0" w:color="231F20"/>
            </w:tcBorders>
            <w:shd w:val="clear" w:color="auto" w:fill="F7C9AC"/>
          </w:tcPr>
          <w:p w14:paraId="4043C328" w14:textId="6DBECC7E" w:rsidR="22D0511A" w:rsidRDefault="22D0511A" w:rsidP="22D0511A">
            <w:pPr>
              <w:spacing w:before="132" w:after="0" w:line="276" w:lineRule="auto"/>
              <w:ind w:left="80" w:right="103"/>
            </w:pPr>
            <w:r w:rsidRPr="22D0511A">
              <w:rPr>
                <w:rFonts w:ascii="Arial" w:eastAsia="Arial" w:hAnsi="Arial" w:cs="Arial"/>
                <w:b/>
                <w:bCs/>
                <w:color w:val="231F20"/>
                <w:sz w:val="22"/>
                <w:szCs w:val="22"/>
              </w:rPr>
              <w:t>Activities (what the program does)</w:t>
            </w:r>
          </w:p>
        </w:tc>
        <w:tc>
          <w:tcPr>
            <w:tcW w:w="2640" w:type="dxa"/>
            <w:tcBorders>
              <w:top w:val="single" w:sz="8" w:space="0" w:color="231F20"/>
              <w:left w:val="single" w:sz="8" w:space="0" w:color="231F20"/>
              <w:bottom w:val="single" w:sz="8" w:space="0" w:color="231F20"/>
              <w:right w:val="single" w:sz="8" w:space="0" w:color="231F20"/>
            </w:tcBorders>
            <w:shd w:val="clear" w:color="auto" w:fill="FFE499"/>
          </w:tcPr>
          <w:p w14:paraId="13CD9E14" w14:textId="4A1C3166" w:rsidR="22D0511A" w:rsidRDefault="22D0511A" w:rsidP="22D0511A">
            <w:pPr>
              <w:spacing w:before="132" w:after="0" w:line="276" w:lineRule="auto"/>
              <w:ind w:left="80" w:right="533"/>
            </w:pPr>
            <w:r w:rsidRPr="22D0511A">
              <w:rPr>
                <w:rFonts w:ascii="Arial" w:eastAsia="Arial" w:hAnsi="Arial" w:cs="Arial"/>
                <w:b/>
                <w:bCs/>
                <w:color w:val="231F20"/>
                <w:sz w:val="22"/>
                <w:szCs w:val="22"/>
              </w:rPr>
              <w:t>Outputs (direct results of the activities)</w:t>
            </w:r>
          </w:p>
        </w:tc>
        <w:tc>
          <w:tcPr>
            <w:tcW w:w="2130" w:type="dxa"/>
            <w:tcBorders>
              <w:top w:val="single" w:sz="8" w:space="0" w:color="231F20"/>
              <w:left w:val="single" w:sz="8" w:space="0" w:color="231F20"/>
              <w:bottom w:val="single" w:sz="8" w:space="0" w:color="231F20"/>
              <w:right w:val="single" w:sz="8" w:space="0" w:color="231F20"/>
            </w:tcBorders>
            <w:shd w:val="clear" w:color="auto" w:fill="C5DFB3"/>
          </w:tcPr>
          <w:p w14:paraId="3AEFCE26" w14:textId="2E5D8527" w:rsidR="22D0511A" w:rsidRDefault="22D0511A" w:rsidP="22D0511A">
            <w:pPr>
              <w:spacing w:before="132" w:after="0" w:line="276" w:lineRule="auto"/>
              <w:ind w:left="79"/>
            </w:pPr>
            <w:r w:rsidRPr="22D0511A">
              <w:rPr>
                <w:rFonts w:ascii="Arial" w:eastAsia="Arial" w:hAnsi="Arial" w:cs="Arial"/>
                <w:b/>
                <w:bCs/>
                <w:color w:val="231F20"/>
                <w:sz w:val="22"/>
                <w:szCs w:val="22"/>
              </w:rPr>
              <w:t>Outcomes</w:t>
            </w:r>
          </w:p>
        </w:tc>
        <w:tc>
          <w:tcPr>
            <w:tcW w:w="2925" w:type="dxa"/>
            <w:tcBorders>
              <w:top w:val="single" w:sz="8" w:space="0" w:color="231F20"/>
              <w:left w:val="single" w:sz="8" w:space="0" w:color="231F20"/>
              <w:bottom w:val="single" w:sz="8" w:space="0" w:color="231F20"/>
              <w:right w:val="single" w:sz="8" w:space="0" w:color="231F20"/>
            </w:tcBorders>
            <w:shd w:val="clear" w:color="auto" w:fill="D9D9D9" w:themeFill="background1" w:themeFillShade="D9"/>
          </w:tcPr>
          <w:p w14:paraId="7962D681" w14:textId="098BFE84" w:rsidR="22D0511A" w:rsidRDefault="22D0511A" w:rsidP="22D0511A">
            <w:pPr>
              <w:spacing w:before="132" w:after="0" w:line="276" w:lineRule="auto"/>
              <w:ind w:left="79" w:right="59"/>
            </w:pPr>
            <w:r w:rsidRPr="22D0511A">
              <w:rPr>
                <w:rFonts w:ascii="Arial" w:eastAsia="Arial" w:hAnsi="Arial" w:cs="Arial"/>
                <w:b/>
                <w:bCs/>
                <w:color w:val="231F20"/>
                <w:sz w:val="22"/>
                <w:szCs w:val="22"/>
              </w:rPr>
              <w:t>Impact (broad, systemic changes influenced by the quality program)</w:t>
            </w:r>
          </w:p>
        </w:tc>
      </w:tr>
      <w:tr w:rsidR="22D0511A" w14:paraId="2AD84C81" w14:textId="77777777" w:rsidTr="3BA07E5F">
        <w:trPr>
          <w:trHeight w:val="3510"/>
        </w:trPr>
        <w:tc>
          <w:tcPr>
            <w:tcW w:w="2820" w:type="dxa"/>
            <w:tcBorders>
              <w:top w:val="single" w:sz="8" w:space="0" w:color="231F20"/>
              <w:left w:val="single" w:sz="8" w:space="0" w:color="231F20"/>
              <w:bottom w:val="single" w:sz="8" w:space="0" w:color="231F20"/>
              <w:right w:val="single" w:sz="8" w:space="0" w:color="231F20"/>
            </w:tcBorders>
          </w:tcPr>
          <w:p w14:paraId="6A26550F" w14:textId="639B7C05"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t>Interdisciplinary Teams:</w:t>
            </w:r>
            <w:r w:rsidRPr="22D0511A">
              <w:rPr>
                <w:rFonts w:ascii="Arial" w:eastAsia="Arial" w:hAnsi="Arial" w:cs="Arial"/>
                <w:sz w:val="22"/>
                <w:szCs w:val="22"/>
              </w:rPr>
              <w:t xml:space="preserve"> Access to palliative care specialists, social workers, chaplains, and nurse navigators.</w:t>
            </w:r>
          </w:p>
          <w:p w14:paraId="470DDA5F" w14:textId="51DD48A3"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t>Information Technology:</w:t>
            </w:r>
            <w:r w:rsidRPr="22D0511A">
              <w:rPr>
                <w:rFonts w:ascii="Arial" w:eastAsia="Arial" w:hAnsi="Arial" w:cs="Arial"/>
                <w:sz w:val="22"/>
                <w:szCs w:val="22"/>
              </w:rPr>
              <w:t xml:space="preserve"> EHR systems capable of tracking Advance Directives and triggering alerts for </w:t>
            </w:r>
            <w:r w:rsidRPr="22D0511A">
              <w:rPr>
                <w:rFonts w:ascii="Arial" w:eastAsia="Arial" w:hAnsi="Arial" w:cs="Arial"/>
                <w:sz w:val="22"/>
                <w:szCs w:val="22"/>
              </w:rPr>
              <w:lastRenderedPageBreak/>
              <w:t>patients with advanced-stage disease.</w:t>
            </w:r>
          </w:p>
          <w:p w14:paraId="38DC0EFC" w14:textId="12FD28A0"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t>Provider Training:</w:t>
            </w:r>
            <w:r w:rsidRPr="22D0511A">
              <w:rPr>
                <w:rFonts w:ascii="Arial" w:eastAsia="Arial" w:hAnsi="Arial" w:cs="Arial"/>
                <w:sz w:val="22"/>
                <w:szCs w:val="22"/>
              </w:rPr>
              <w:t xml:space="preserve"> Formal education for oncologists on "Serious Illness Conversations" and "GOC" (Goals of Care) techniques.</w:t>
            </w:r>
          </w:p>
          <w:p w14:paraId="7BC58E51" w14:textId="36DB19FD"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t>Community Partnerships:</w:t>
            </w:r>
            <w:r w:rsidRPr="22D0511A">
              <w:rPr>
                <w:rFonts w:ascii="Arial" w:eastAsia="Arial" w:hAnsi="Arial" w:cs="Arial"/>
                <w:sz w:val="22"/>
                <w:szCs w:val="22"/>
              </w:rPr>
              <w:t xml:space="preserve"> Contracts and operational links with local hospice providers and home health agencies to ensure 24/7 home support.</w:t>
            </w:r>
          </w:p>
          <w:p w14:paraId="157CEF48" w14:textId="61024590"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Clinical practice guidelines on end-of-life care</w:t>
            </w:r>
          </w:p>
        </w:tc>
        <w:tc>
          <w:tcPr>
            <w:tcW w:w="2355" w:type="dxa"/>
            <w:tcBorders>
              <w:top w:val="single" w:sz="8" w:space="0" w:color="231F20"/>
              <w:left w:val="single" w:sz="8" w:space="0" w:color="231F20"/>
              <w:bottom w:val="single" w:sz="8" w:space="0" w:color="231F20"/>
              <w:right w:val="single" w:sz="8" w:space="0" w:color="231F20"/>
            </w:tcBorders>
          </w:tcPr>
          <w:p w14:paraId="7710717B" w14:textId="55354489"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lastRenderedPageBreak/>
              <w:t>Early Goals-of-Care Discussions:</w:t>
            </w:r>
            <w:r w:rsidRPr="22D0511A">
              <w:rPr>
                <w:rFonts w:ascii="Arial" w:eastAsia="Arial" w:hAnsi="Arial" w:cs="Arial"/>
                <w:sz w:val="22"/>
                <w:szCs w:val="22"/>
              </w:rPr>
              <w:t xml:space="preserve"> Initiating conversations about preferences for life-sustaining treatment early in the disease course.</w:t>
            </w:r>
          </w:p>
          <w:p w14:paraId="6DE418D4" w14:textId="4365A415"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Timely enrollment in palliative care.</w:t>
            </w:r>
          </w:p>
          <w:p w14:paraId="3FCD5CC3" w14:textId="00288778"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lastRenderedPageBreak/>
              <w:t>Symptom Management Protocols:</w:t>
            </w:r>
            <w:r w:rsidRPr="22D0511A">
              <w:rPr>
                <w:rFonts w:ascii="Arial" w:eastAsia="Arial" w:hAnsi="Arial" w:cs="Arial"/>
                <w:sz w:val="22"/>
                <w:szCs w:val="22"/>
              </w:rPr>
              <w:t xml:space="preserve"> Implementing 24/7 "urgent care" pathways for cancer patients to manage pain or breathlessness at home rather than in the ED/ICU.</w:t>
            </w:r>
          </w:p>
          <w:p w14:paraId="5150E897" w14:textId="23A48FAA"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t>Timely Hospice Referral:</w:t>
            </w:r>
            <w:r w:rsidRPr="22D0511A">
              <w:rPr>
                <w:rFonts w:ascii="Arial" w:eastAsia="Arial" w:hAnsi="Arial" w:cs="Arial"/>
                <w:sz w:val="22"/>
                <w:szCs w:val="22"/>
              </w:rPr>
              <w:t xml:space="preserve"> Identifying the transition from curative to comfort care earlier to allow for a smooth transfer to home-based or inpatient hospice.</w:t>
            </w:r>
          </w:p>
          <w:p w14:paraId="15F1B56B" w14:textId="0CE89FC9"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b/>
                <w:bCs/>
                <w:sz w:val="22"/>
                <w:szCs w:val="22"/>
              </w:rPr>
              <w:t>Code Status Documentation:</w:t>
            </w:r>
            <w:r w:rsidRPr="22D0511A">
              <w:rPr>
                <w:rFonts w:ascii="Arial" w:eastAsia="Arial" w:hAnsi="Arial" w:cs="Arial"/>
                <w:sz w:val="22"/>
                <w:szCs w:val="22"/>
              </w:rPr>
              <w:t xml:space="preserve"> Ensuring that "Do Not Resuscitate" (DNR) or "Do Not Intubate" (DNI) orders are recorded and accessible across all care settings.</w:t>
            </w:r>
          </w:p>
        </w:tc>
        <w:tc>
          <w:tcPr>
            <w:tcW w:w="2640" w:type="dxa"/>
            <w:tcBorders>
              <w:top w:val="single" w:sz="8" w:space="0" w:color="231F20"/>
              <w:left w:val="single" w:sz="8" w:space="0" w:color="231F20"/>
              <w:bottom w:val="single" w:sz="8" w:space="0" w:color="231F20"/>
              <w:right w:val="single" w:sz="8" w:space="0" w:color="231F20"/>
            </w:tcBorders>
          </w:tcPr>
          <w:p w14:paraId="04767FC4" w14:textId="0629CCCF" w:rsidR="22D0511A" w:rsidRDefault="22D0511A" w:rsidP="22D0511A">
            <w:pPr>
              <w:pStyle w:val="ListParagraph"/>
              <w:numPr>
                <w:ilvl w:val="0"/>
                <w:numId w:val="3"/>
              </w:numPr>
              <w:spacing w:after="0" w:line="276" w:lineRule="auto"/>
              <w:ind w:left="360" w:right="55"/>
              <w:rPr>
                <w:rFonts w:ascii="Arial" w:eastAsia="Arial" w:hAnsi="Arial" w:cs="Arial"/>
                <w:sz w:val="22"/>
                <w:szCs w:val="22"/>
              </w:rPr>
            </w:pPr>
            <w:r w:rsidRPr="22D0511A">
              <w:rPr>
                <w:rFonts w:ascii="Arial" w:eastAsia="Arial" w:hAnsi="Arial" w:cs="Arial"/>
                <w:b/>
                <w:bCs/>
                <w:sz w:val="22"/>
                <w:szCs w:val="22"/>
              </w:rPr>
              <w:lastRenderedPageBreak/>
              <w:t>Documentation Rates:</w:t>
            </w:r>
            <w:r w:rsidRPr="22D0511A">
              <w:rPr>
                <w:rFonts w:ascii="Arial" w:eastAsia="Arial" w:hAnsi="Arial" w:cs="Arial"/>
                <w:sz w:val="22"/>
                <w:szCs w:val="22"/>
              </w:rPr>
              <w:t xml:space="preserve"> High percentage of advanced cancer patients with an uploaded Advance Directive or GOC note.</w:t>
            </w:r>
          </w:p>
          <w:p w14:paraId="09FF04C4" w14:textId="154BF4E1" w:rsidR="22D0511A" w:rsidRDefault="22D0511A" w:rsidP="22D0511A">
            <w:pPr>
              <w:pStyle w:val="ListParagraph"/>
              <w:numPr>
                <w:ilvl w:val="0"/>
                <w:numId w:val="3"/>
              </w:numPr>
              <w:spacing w:after="0" w:line="276" w:lineRule="auto"/>
              <w:ind w:left="360" w:right="55"/>
              <w:rPr>
                <w:rFonts w:ascii="Arial" w:eastAsia="Arial" w:hAnsi="Arial" w:cs="Arial"/>
                <w:sz w:val="22"/>
                <w:szCs w:val="22"/>
              </w:rPr>
            </w:pPr>
            <w:r w:rsidRPr="22D0511A">
              <w:rPr>
                <w:rFonts w:ascii="Arial" w:eastAsia="Arial" w:hAnsi="Arial" w:cs="Arial"/>
                <w:b/>
                <w:bCs/>
                <w:sz w:val="22"/>
                <w:szCs w:val="22"/>
              </w:rPr>
              <w:t>Consultation Volume:</w:t>
            </w:r>
            <w:r w:rsidRPr="22D0511A">
              <w:rPr>
                <w:rFonts w:ascii="Arial" w:eastAsia="Arial" w:hAnsi="Arial" w:cs="Arial"/>
                <w:sz w:val="22"/>
                <w:szCs w:val="22"/>
              </w:rPr>
              <w:t xml:space="preserve"> Increased number of inpatient and outpatient </w:t>
            </w:r>
            <w:r w:rsidRPr="22D0511A">
              <w:rPr>
                <w:rFonts w:ascii="Arial" w:eastAsia="Arial" w:hAnsi="Arial" w:cs="Arial"/>
                <w:sz w:val="22"/>
                <w:szCs w:val="22"/>
              </w:rPr>
              <w:lastRenderedPageBreak/>
              <w:t>palliative care consultations.</w:t>
            </w:r>
          </w:p>
          <w:p w14:paraId="22C8369D" w14:textId="47CE007C" w:rsidR="22D0511A" w:rsidRDefault="22D0511A" w:rsidP="22D0511A">
            <w:pPr>
              <w:pStyle w:val="ListParagraph"/>
              <w:numPr>
                <w:ilvl w:val="0"/>
                <w:numId w:val="3"/>
              </w:numPr>
              <w:spacing w:after="0" w:line="276" w:lineRule="auto"/>
              <w:ind w:left="360" w:right="55"/>
              <w:rPr>
                <w:rFonts w:ascii="Arial" w:eastAsia="Arial" w:hAnsi="Arial" w:cs="Arial"/>
                <w:sz w:val="22"/>
                <w:szCs w:val="22"/>
              </w:rPr>
            </w:pPr>
            <w:r w:rsidRPr="22D0511A">
              <w:rPr>
                <w:rFonts w:ascii="Arial" w:eastAsia="Arial" w:hAnsi="Arial" w:cs="Arial"/>
                <w:b/>
                <w:bCs/>
                <w:sz w:val="22"/>
                <w:szCs w:val="22"/>
              </w:rPr>
              <w:t>Staff Competency:</w:t>
            </w:r>
            <w:r w:rsidRPr="22D0511A">
              <w:rPr>
                <w:rFonts w:ascii="Arial" w:eastAsia="Arial" w:hAnsi="Arial" w:cs="Arial"/>
                <w:sz w:val="22"/>
                <w:szCs w:val="22"/>
              </w:rPr>
              <w:t xml:space="preserve"> Number of clinicians certified in specialized end-of-life communication.</w:t>
            </w:r>
          </w:p>
          <w:p w14:paraId="31F7F0A0" w14:textId="4FAEDE6F" w:rsidR="22D0511A" w:rsidRDefault="22D0511A" w:rsidP="22D0511A">
            <w:pPr>
              <w:pStyle w:val="ListParagraph"/>
              <w:numPr>
                <w:ilvl w:val="0"/>
                <w:numId w:val="3"/>
              </w:numPr>
              <w:spacing w:after="0" w:line="276" w:lineRule="auto"/>
              <w:ind w:left="360" w:right="55"/>
              <w:rPr>
                <w:rFonts w:ascii="Arial" w:eastAsia="Arial" w:hAnsi="Arial" w:cs="Arial"/>
                <w:sz w:val="22"/>
                <w:szCs w:val="22"/>
              </w:rPr>
            </w:pPr>
            <w:r w:rsidRPr="22D0511A">
              <w:rPr>
                <w:rFonts w:ascii="Arial" w:eastAsia="Arial" w:hAnsi="Arial" w:cs="Arial"/>
                <w:sz w:val="22"/>
                <w:szCs w:val="22"/>
              </w:rPr>
              <w:t>Reduction in treatments that cause undesired harm and prolong the dying process, while providing no benefit.</w:t>
            </w:r>
          </w:p>
          <w:p w14:paraId="298D0273" w14:textId="6AD6384B" w:rsidR="22D0511A" w:rsidRDefault="22D0511A" w:rsidP="22D0511A">
            <w:pPr>
              <w:spacing w:after="0" w:line="276" w:lineRule="auto"/>
              <w:ind w:left="80" w:right="293"/>
            </w:pPr>
            <w:r w:rsidRPr="22D0511A">
              <w:rPr>
                <w:rFonts w:ascii="Arial" w:eastAsia="Arial" w:hAnsi="Arial" w:cs="Arial"/>
                <w:sz w:val="22"/>
                <w:szCs w:val="22"/>
              </w:rPr>
              <w:t xml:space="preserve"> </w:t>
            </w:r>
          </w:p>
        </w:tc>
        <w:tc>
          <w:tcPr>
            <w:tcW w:w="2130" w:type="dxa"/>
            <w:tcBorders>
              <w:top w:val="single" w:sz="8" w:space="0" w:color="231F20"/>
              <w:left w:val="single" w:sz="8" w:space="0" w:color="231F20"/>
              <w:bottom w:val="single" w:sz="8" w:space="0" w:color="231F20"/>
              <w:right w:val="single" w:sz="8" w:space="0" w:color="231F20"/>
            </w:tcBorders>
          </w:tcPr>
          <w:p w14:paraId="19CD2A10" w14:textId="63858D5C"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lastRenderedPageBreak/>
              <w:t>Patients and families report a clearer understanding of the disease trajectory and feel more "prepared" for the end of life.</w:t>
            </w:r>
          </w:p>
          <w:p w14:paraId="6437600A" w14:textId="4C711AD6"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 xml:space="preserve">Reduction in ED visits, hospitalizations, </w:t>
            </w:r>
            <w:r w:rsidRPr="22D0511A">
              <w:rPr>
                <w:rFonts w:ascii="Arial" w:eastAsia="Arial" w:hAnsi="Arial" w:cs="Arial"/>
                <w:sz w:val="22"/>
                <w:szCs w:val="22"/>
              </w:rPr>
              <w:lastRenderedPageBreak/>
              <w:t>and ICU visits (less comfort-focused). Fewer patients are subjected to invasive monitoring or mechanical ventilation when death is imminent.</w:t>
            </w:r>
          </w:p>
          <w:p w14:paraId="338AFA72" w14:textId="36A75C4F"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Increased time in hospice care.</w:t>
            </w:r>
          </w:p>
          <w:p w14:paraId="38B05E56" w14:textId="7D211D1D"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Improved symptom control, comfort, quality of life, patient and caregiver satisfaction. A more positive experience of death.</w:t>
            </w:r>
          </w:p>
        </w:tc>
        <w:tc>
          <w:tcPr>
            <w:tcW w:w="2925" w:type="dxa"/>
            <w:tcBorders>
              <w:top w:val="single" w:sz="8" w:space="0" w:color="231F20"/>
              <w:left w:val="single" w:sz="8" w:space="0" w:color="231F20"/>
              <w:bottom w:val="single" w:sz="8" w:space="0" w:color="231F20"/>
              <w:right w:val="single" w:sz="8" w:space="0" w:color="231F20"/>
            </w:tcBorders>
          </w:tcPr>
          <w:p w14:paraId="0126D780" w14:textId="553B38E4"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lastRenderedPageBreak/>
              <w:t>Improved "Quality of Death" scores from bereaved families.</w:t>
            </w:r>
          </w:p>
          <w:p w14:paraId="4FEC58DA" w14:textId="5618E002"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Reduced overall healthcare expenditures by avoiding futile high-intensity care.</w:t>
            </w:r>
          </w:p>
          <w:p w14:paraId="517EB698" w14:textId="0A977253" w:rsidR="22D0511A" w:rsidRDefault="22D0511A" w:rsidP="22D0511A">
            <w:pPr>
              <w:pStyle w:val="ListParagraph"/>
              <w:numPr>
                <w:ilvl w:val="0"/>
                <w:numId w:val="3"/>
              </w:numPr>
              <w:spacing w:after="0" w:line="276" w:lineRule="auto"/>
              <w:ind w:left="360"/>
              <w:rPr>
                <w:rFonts w:ascii="Arial" w:eastAsia="Arial" w:hAnsi="Arial" w:cs="Arial"/>
                <w:sz w:val="22"/>
                <w:szCs w:val="22"/>
              </w:rPr>
            </w:pPr>
            <w:r w:rsidRPr="22D0511A">
              <w:rPr>
                <w:rFonts w:ascii="Arial" w:eastAsia="Arial" w:hAnsi="Arial" w:cs="Arial"/>
                <w:sz w:val="22"/>
                <w:szCs w:val="22"/>
              </w:rPr>
              <w:t>Increased rates of death at home or in hospice (per patient preference).</w:t>
            </w:r>
          </w:p>
          <w:p w14:paraId="685F0CF2" w14:textId="736C611A" w:rsidR="22D0511A" w:rsidRDefault="22D0511A" w:rsidP="22D0511A">
            <w:pPr>
              <w:spacing w:before="14" w:after="0" w:line="276" w:lineRule="auto"/>
            </w:pPr>
            <w:r w:rsidRPr="22D0511A">
              <w:rPr>
                <w:rFonts w:ascii="Arial" w:eastAsia="Arial" w:hAnsi="Arial" w:cs="Arial"/>
                <w:color w:val="FF0000"/>
                <w:sz w:val="22"/>
                <w:szCs w:val="22"/>
              </w:rPr>
              <w:lastRenderedPageBreak/>
              <w:t xml:space="preserve"> </w:t>
            </w:r>
          </w:p>
          <w:p w14:paraId="2B4B302F" w14:textId="05FA63E5" w:rsidR="22D0511A" w:rsidRDefault="22D0511A" w:rsidP="22D0511A">
            <w:pPr>
              <w:spacing w:after="0" w:line="276" w:lineRule="auto"/>
              <w:ind w:right="59"/>
            </w:pPr>
            <w:r w:rsidRPr="22D0511A">
              <w:rPr>
                <w:rFonts w:ascii="Arial" w:eastAsia="Arial" w:hAnsi="Arial" w:cs="Arial"/>
                <w:color w:val="FF0000"/>
                <w:sz w:val="22"/>
                <w:szCs w:val="22"/>
              </w:rPr>
              <w:t xml:space="preserve"> </w:t>
            </w:r>
          </w:p>
        </w:tc>
      </w:tr>
      <w:tr w:rsidR="22D0511A" w14:paraId="4BC9D3B5" w14:textId="77777777" w:rsidTr="3BA07E5F">
        <w:trPr>
          <w:trHeight w:val="285"/>
        </w:trPr>
        <w:tc>
          <w:tcPr>
            <w:tcW w:w="12870" w:type="dxa"/>
            <w:gridSpan w:val="5"/>
            <w:tcBorders>
              <w:top w:val="single" w:sz="8" w:space="0" w:color="231F20"/>
              <w:left w:val="single" w:sz="8" w:space="0" w:color="231F20"/>
              <w:bottom w:val="single" w:sz="8" w:space="0" w:color="231F20"/>
              <w:right w:val="single" w:sz="8" w:space="0" w:color="231F20"/>
            </w:tcBorders>
            <w:shd w:val="clear" w:color="auto" w:fill="B4C5E7"/>
          </w:tcPr>
          <w:p w14:paraId="19348708" w14:textId="504CAAFC" w:rsidR="22D0511A" w:rsidRDefault="22D0511A" w:rsidP="22D0511A">
            <w:pPr>
              <w:spacing w:before="28" w:after="0" w:line="276" w:lineRule="auto"/>
              <w:ind w:left="79"/>
            </w:pPr>
            <w:r w:rsidRPr="22D0511A">
              <w:rPr>
                <w:rFonts w:ascii="Arial" w:eastAsia="Arial" w:hAnsi="Arial" w:cs="Arial"/>
                <w:b/>
                <w:bCs/>
                <w:color w:val="000000" w:themeColor="text1"/>
                <w:sz w:val="22"/>
                <w:szCs w:val="22"/>
              </w:rPr>
              <w:lastRenderedPageBreak/>
              <w:t>Feedback Mechanisms</w:t>
            </w:r>
          </w:p>
        </w:tc>
      </w:tr>
      <w:tr w:rsidR="22D0511A" w14:paraId="52FF1BA4" w14:textId="77777777" w:rsidTr="3BA07E5F">
        <w:trPr>
          <w:trHeight w:val="525"/>
        </w:trPr>
        <w:tc>
          <w:tcPr>
            <w:tcW w:w="12870" w:type="dxa"/>
            <w:gridSpan w:val="5"/>
            <w:tcBorders>
              <w:top w:val="single" w:sz="8" w:space="0" w:color="231F20"/>
              <w:left w:val="single" w:sz="8" w:space="0" w:color="231F20"/>
              <w:bottom w:val="single" w:sz="8" w:space="0" w:color="231F20"/>
              <w:right w:val="single" w:sz="8" w:space="0" w:color="231F20"/>
            </w:tcBorders>
          </w:tcPr>
          <w:p w14:paraId="64F40A3C" w14:textId="01D26C78" w:rsidR="22D0511A" w:rsidRDefault="22D0511A" w:rsidP="22D0511A">
            <w:pPr>
              <w:spacing w:before="18" w:after="0" w:line="276" w:lineRule="auto"/>
              <w:ind w:left="79"/>
            </w:pPr>
            <w:r w:rsidRPr="22D0511A">
              <w:rPr>
                <w:rFonts w:ascii="Arial" w:eastAsia="Arial" w:hAnsi="Arial" w:cs="Arial"/>
                <w:sz w:val="22"/>
                <w:szCs w:val="22"/>
              </w:rPr>
              <w:t xml:space="preserve">Entities reporting on this measure within ASCO Certified will receive performance results on a regular basis. If scores deviate greatly from benchmarks, a plan to improve performance must be submitted by the practice. Please note that there will be leeway within ASCO Certified to account for patient preferences, rapid patient decline, barriers to access palliative care, and other factors not in the clinician’s control. </w:t>
            </w:r>
          </w:p>
        </w:tc>
      </w:tr>
      <w:tr w:rsidR="22D0511A" w14:paraId="17194AA1" w14:textId="77777777" w:rsidTr="3BA07E5F">
        <w:trPr>
          <w:trHeight w:val="285"/>
        </w:trPr>
        <w:tc>
          <w:tcPr>
            <w:tcW w:w="12870" w:type="dxa"/>
            <w:gridSpan w:val="5"/>
            <w:tcBorders>
              <w:top w:val="single" w:sz="8" w:space="0" w:color="231F20"/>
              <w:left w:val="single" w:sz="8" w:space="0" w:color="231F20"/>
              <w:bottom w:val="single" w:sz="8" w:space="0" w:color="231F20"/>
              <w:right w:val="single" w:sz="8" w:space="0" w:color="231F20"/>
            </w:tcBorders>
            <w:shd w:val="clear" w:color="auto" w:fill="B4C5E7"/>
          </w:tcPr>
          <w:p w14:paraId="54F166F3" w14:textId="25DC0615" w:rsidR="22D0511A" w:rsidRDefault="22D0511A" w:rsidP="22D0511A">
            <w:pPr>
              <w:spacing w:before="28" w:after="0" w:line="276" w:lineRule="auto"/>
              <w:ind w:left="79"/>
            </w:pPr>
            <w:r w:rsidRPr="22D0511A">
              <w:rPr>
                <w:rFonts w:ascii="Arial" w:eastAsia="Arial" w:hAnsi="Arial" w:cs="Arial"/>
                <w:b/>
                <w:bCs/>
                <w:color w:val="000000" w:themeColor="text1"/>
                <w:sz w:val="22"/>
                <w:szCs w:val="22"/>
              </w:rPr>
              <w:t>Assumptions (underlying beliefs about the quality program and context)</w:t>
            </w:r>
          </w:p>
        </w:tc>
      </w:tr>
      <w:tr w:rsidR="22D0511A" w14:paraId="3C5D87B0" w14:textId="77777777" w:rsidTr="3BA07E5F">
        <w:trPr>
          <w:trHeight w:val="1635"/>
        </w:trPr>
        <w:tc>
          <w:tcPr>
            <w:tcW w:w="12870" w:type="dxa"/>
            <w:gridSpan w:val="5"/>
            <w:tcBorders>
              <w:top w:val="single" w:sz="8" w:space="0" w:color="231F20"/>
              <w:left w:val="single" w:sz="8" w:space="0" w:color="231F20"/>
              <w:bottom w:val="single" w:sz="8" w:space="0" w:color="231F20"/>
              <w:right w:val="single" w:sz="8" w:space="0" w:color="231F20"/>
            </w:tcBorders>
          </w:tcPr>
          <w:p w14:paraId="5F2C557F" w14:textId="113F3D93" w:rsidR="22D0511A" w:rsidRDefault="22D0511A" w:rsidP="22D0511A">
            <w:pPr>
              <w:pStyle w:val="ListParagraph"/>
              <w:numPr>
                <w:ilvl w:val="0"/>
                <w:numId w:val="2"/>
              </w:numPr>
              <w:spacing w:after="0" w:line="276" w:lineRule="auto"/>
              <w:ind w:left="439" w:right="93"/>
              <w:rPr>
                <w:rFonts w:ascii="Arial" w:eastAsia="Arial" w:hAnsi="Arial" w:cs="Arial"/>
                <w:sz w:val="22"/>
                <w:szCs w:val="22"/>
              </w:rPr>
            </w:pPr>
            <w:r w:rsidRPr="22D0511A">
              <w:rPr>
                <w:rFonts w:ascii="Arial" w:eastAsia="Arial" w:hAnsi="Arial" w:cs="Arial"/>
                <w:b/>
                <w:bCs/>
                <w:sz w:val="22"/>
                <w:szCs w:val="22"/>
              </w:rPr>
              <w:t>Patient Preference:</w:t>
            </w:r>
            <w:r w:rsidRPr="22D0511A">
              <w:rPr>
                <w:rFonts w:ascii="Arial" w:eastAsia="Arial" w:hAnsi="Arial" w:cs="Arial"/>
                <w:sz w:val="22"/>
                <w:szCs w:val="22"/>
              </w:rPr>
              <w:t xml:space="preserve"> It is assumed that </w:t>
            </w:r>
            <w:proofErr w:type="gramStart"/>
            <w:r w:rsidRPr="22D0511A">
              <w:rPr>
                <w:rFonts w:ascii="Arial" w:eastAsia="Arial" w:hAnsi="Arial" w:cs="Arial"/>
                <w:sz w:val="22"/>
                <w:szCs w:val="22"/>
              </w:rPr>
              <w:t>the majority of</w:t>
            </w:r>
            <w:proofErr w:type="gramEnd"/>
            <w:r w:rsidRPr="22D0511A">
              <w:rPr>
                <w:rFonts w:ascii="Arial" w:eastAsia="Arial" w:hAnsi="Arial" w:cs="Arial"/>
                <w:sz w:val="22"/>
                <w:szCs w:val="22"/>
              </w:rPr>
              <w:t xml:space="preserve"> patients, when fully informed of a terminal prognosis, would prefer comfort-focused care.</w:t>
            </w:r>
          </w:p>
          <w:p w14:paraId="60E4B578" w14:textId="59EA9F5A" w:rsidR="22D0511A" w:rsidRDefault="22D0511A" w:rsidP="22D0511A">
            <w:pPr>
              <w:pStyle w:val="ListParagraph"/>
              <w:numPr>
                <w:ilvl w:val="0"/>
                <w:numId w:val="2"/>
              </w:numPr>
              <w:spacing w:after="0" w:line="276" w:lineRule="auto"/>
              <w:ind w:left="439" w:right="93"/>
              <w:rPr>
                <w:rFonts w:ascii="Arial" w:eastAsia="Arial" w:hAnsi="Arial" w:cs="Arial"/>
                <w:sz w:val="22"/>
                <w:szCs w:val="22"/>
              </w:rPr>
            </w:pPr>
            <w:r w:rsidRPr="22D0511A">
              <w:rPr>
                <w:rFonts w:ascii="Arial" w:eastAsia="Arial" w:hAnsi="Arial" w:cs="Arial"/>
                <w:b/>
                <w:bCs/>
                <w:sz w:val="22"/>
                <w:szCs w:val="22"/>
              </w:rPr>
              <w:t>Provider Engagement:</w:t>
            </w:r>
            <w:r w:rsidRPr="22D0511A">
              <w:rPr>
                <w:rFonts w:ascii="Arial" w:eastAsia="Arial" w:hAnsi="Arial" w:cs="Arial"/>
                <w:sz w:val="22"/>
                <w:szCs w:val="22"/>
              </w:rPr>
              <w:t xml:space="preserve"> It is assumed that oncologists will prioritize these conversations despite the clinical pressure to continue active treatment.</w:t>
            </w:r>
          </w:p>
          <w:p w14:paraId="66A81B86" w14:textId="47305DA0" w:rsidR="22D0511A" w:rsidRDefault="22D0511A" w:rsidP="22D0511A">
            <w:pPr>
              <w:pStyle w:val="ListParagraph"/>
              <w:numPr>
                <w:ilvl w:val="0"/>
                <w:numId w:val="2"/>
              </w:numPr>
              <w:spacing w:after="0" w:line="276" w:lineRule="auto"/>
              <w:ind w:left="439" w:right="93"/>
              <w:rPr>
                <w:rFonts w:ascii="Arial" w:eastAsia="Arial" w:hAnsi="Arial" w:cs="Arial"/>
                <w:sz w:val="22"/>
                <w:szCs w:val="22"/>
              </w:rPr>
            </w:pPr>
            <w:r w:rsidRPr="22D0511A">
              <w:rPr>
                <w:rFonts w:ascii="Arial" w:eastAsia="Arial" w:hAnsi="Arial" w:cs="Arial"/>
                <w:b/>
                <w:bCs/>
                <w:sz w:val="22"/>
                <w:szCs w:val="22"/>
              </w:rPr>
              <w:t>System Integration:</w:t>
            </w:r>
            <w:r w:rsidRPr="22D0511A">
              <w:rPr>
                <w:rFonts w:ascii="Arial" w:eastAsia="Arial" w:hAnsi="Arial" w:cs="Arial"/>
                <w:sz w:val="22"/>
                <w:szCs w:val="22"/>
              </w:rPr>
              <w:t xml:space="preserve"> The model assumes that the claims data are accurate and that different departments communicate effectively.</w:t>
            </w:r>
          </w:p>
        </w:tc>
      </w:tr>
      <w:tr w:rsidR="22D0511A" w14:paraId="07C09F45" w14:textId="77777777" w:rsidTr="3BA07E5F">
        <w:trPr>
          <w:trHeight w:val="285"/>
        </w:trPr>
        <w:tc>
          <w:tcPr>
            <w:tcW w:w="12870" w:type="dxa"/>
            <w:gridSpan w:val="5"/>
            <w:tcBorders>
              <w:top w:val="single" w:sz="8" w:space="0" w:color="231F20"/>
              <w:left w:val="single" w:sz="8" w:space="0" w:color="231F20"/>
              <w:bottom w:val="single" w:sz="8" w:space="0" w:color="231F20"/>
              <w:right w:val="single" w:sz="8" w:space="0" w:color="231F20"/>
            </w:tcBorders>
            <w:shd w:val="clear" w:color="auto" w:fill="B4C5E7"/>
          </w:tcPr>
          <w:p w14:paraId="53E81316" w14:textId="08A0EA4C" w:rsidR="22D0511A" w:rsidRDefault="22D0511A" w:rsidP="22D0511A">
            <w:pPr>
              <w:spacing w:before="28" w:after="0" w:line="276" w:lineRule="auto"/>
              <w:ind w:left="79"/>
            </w:pPr>
            <w:r w:rsidRPr="22D0511A">
              <w:rPr>
                <w:rFonts w:ascii="Arial" w:eastAsia="Arial" w:hAnsi="Arial" w:cs="Arial"/>
                <w:b/>
                <w:bCs/>
                <w:color w:val="000000" w:themeColor="text1"/>
                <w:sz w:val="22"/>
                <w:szCs w:val="22"/>
              </w:rPr>
              <w:t>External Factors (conditions outside the quality program’s control)</w:t>
            </w:r>
          </w:p>
        </w:tc>
      </w:tr>
      <w:tr w:rsidR="22D0511A" w14:paraId="4E2058D9" w14:textId="77777777" w:rsidTr="3BA07E5F">
        <w:trPr>
          <w:trHeight w:val="945"/>
        </w:trPr>
        <w:tc>
          <w:tcPr>
            <w:tcW w:w="12870" w:type="dxa"/>
            <w:gridSpan w:val="5"/>
            <w:tcBorders>
              <w:top w:val="single" w:sz="8" w:space="0" w:color="231F20"/>
              <w:left w:val="single" w:sz="8" w:space="0" w:color="231F20"/>
              <w:bottom w:val="single" w:sz="8" w:space="0" w:color="231F20"/>
              <w:right w:val="single" w:sz="8" w:space="0" w:color="231F20"/>
            </w:tcBorders>
          </w:tcPr>
          <w:p w14:paraId="28FF21BE" w14:textId="1F4AB064" w:rsidR="22D0511A" w:rsidRDefault="22D0511A" w:rsidP="22D0511A">
            <w:pPr>
              <w:pStyle w:val="ListParagraph"/>
              <w:numPr>
                <w:ilvl w:val="0"/>
                <w:numId w:val="1"/>
              </w:numPr>
              <w:spacing w:after="0" w:line="276" w:lineRule="auto"/>
              <w:ind w:left="439"/>
              <w:rPr>
                <w:rFonts w:ascii="Arial" w:eastAsia="Arial" w:hAnsi="Arial" w:cs="Arial"/>
                <w:sz w:val="22"/>
                <w:szCs w:val="22"/>
              </w:rPr>
            </w:pPr>
            <w:r w:rsidRPr="22D0511A">
              <w:rPr>
                <w:rFonts w:ascii="Arial" w:eastAsia="Arial" w:hAnsi="Arial" w:cs="Arial"/>
                <w:b/>
                <w:bCs/>
                <w:sz w:val="22"/>
                <w:szCs w:val="22"/>
              </w:rPr>
              <w:t xml:space="preserve">Cultural &amp; Religious Beliefs: </w:t>
            </w:r>
            <w:r w:rsidRPr="22D0511A">
              <w:rPr>
                <w:rFonts w:ascii="Arial" w:eastAsia="Arial" w:hAnsi="Arial" w:cs="Arial"/>
                <w:sz w:val="22"/>
                <w:szCs w:val="22"/>
              </w:rPr>
              <w:t>Certain communities may view the withdrawal cancer-directed care as a violation of religious or cultural values, regardless of medical futility.</w:t>
            </w:r>
          </w:p>
          <w:p w14:paraId="54E03470" w14:textId="4B0340B1" w:rsidR="22D0511A" w:rsidRDefault="22D0511A" w:rsidP="22D0511A">
            <w:pPr>
              <w:pStyle w:val="ListParagraph"/>
              <w:numPr>
                <w:ilvl w:val="0"/>
                <w:numId w:val="1"/>
              </w:numPr>
              <w:spacing w:after="0" w:line="276" w:lineRule="auto"/>
              <w:ind w:left="439"/>
              <w:rPr>
                <w:rFonts w:ascii="Arial" w:eastAsia="Arial" w:hAnsi="Arial" w:cs="Arial"/>
                <w:sz w:val="22"/>
                <w:szCs w:val="22"/>
              </w:rPr>
            </w:pPr>
            <w:r w:rsidRPr="22D0511A">
              <w:rPr>
                <w:rFonts w:ascii="Arial" w:eastAsia="Arial" w:hAnsi="Arial" w:cs="Arial"/>
                <w:b/>
                <w:bCs/>
                <w:sz w:val="22"/>
                <w:szCs w:val="22"/>
              </w:rPr>
              <w:t xml:space="preserve">Patient preferences: </w:t>
            </w:r>
            <w:r w:rsidRPr="22D0511A">
              <w:rPr>
                <w:rFonts w:ascii="Arial" w:eastAsia="Arial" w:hAnsi="Arial" w:cs="Arial"/>
                <w:sz w:val="22"/>
                <w:szCs w:val="22"/>
              </w:rPr>
              <w:t xml:space="preserve">Patients and their caregivers may prefer to receive care in the ICU, hospital, or ED. </w:t>
            </w:r>
          </w:p>
          <w:p w14:paraId="3F0C56DC" w14:textId="7E74930F" w:rsidR="22D0511A" w:rsidRDefault="22D0511A" w:rsidP="22D0511A">
            <w:pPr>
              <w:pStyle w:val="ListParagraph"/>
              <w:numPr>
                <w:ilvl w:val="0"/>
                <w:numId w:val="1"/>
              </w:numPr>
              <w:spacing w:after="0" w:line="276" w:lineRule="auto"/>
              <w:ind w:left="439"/>
              <w:rPr>
                <w:rFonts w:ascii="Arial" w:eastAsia="Arial" w:hAnsi="Arial" w:cs="Arial"/>
                <w:sz w:val="22"/>
                <w:szCs w:val="22"/>
              </w:rPr>
            </w:pPr>
            <w:r w:rsidRPr="22D0511A">
              <w:rPr>
                <w:rFonts w:ascii="Arial" w:eastAsia="Arial" w:hAnsi="Arial" w:cs="Arial"/>
                <w:b/>
                <w:bCs/>
                <w:sz w:val="22"/>
                <w:szCs w:val="22"/>
              </w:rPr>
              <w:t xml:space="preserve">Access: </w:t>
            </w:r>
            <w:r w:rsidRPr="22D0511A">
              <w:rPr>
                <w:rFonts w:ascii="Arial" w:eastAsia="Arial" w:hAnsi="Arial" w:cs="Arial"/>
                <w:sz w:val="22"/>
                <w:szCs w:val="22"/>
              </w:rPr>
              <w:t>In rural areas, a lack of available hospice beds or home nurses may force patients into EDs because there is simply nowhere else for them to go for symptom management.</w:t>
            </w:r>
          </w:p>
        </w:tc>
      </w:tr>
    </w:tbl>
    <w:p w14:paraId="503C8A83" w14:textId="3765C8B6" w:rsidR="008B757E" w:rsidRDefault="008B757E" w:rsidP="0D45AE4E">
      <w:pPr>
        <w:spacing w:before="120" w:after="0"/>
        <w:rPr>
          <w:rFonts w:ascii="Arial" w:eastAsia="Arial" w:hAnsi="Arial" w:cs="Arial"/>
          <w:color w:val="44546A"/>
          <w:sz w:val="20"/>
          <w:szCs w:val="20"/>
        </w:rPr>
      </w:pPr>
    </w:p>
    <w:p w14:paraId="2C078E63" w14:textId="2E39A20C" w:rsidR="008B757E" w:rsidRDefault="008B757E"/>
    <w:sectPr w:rsidR="008B75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A199"/>
    <w:multiLevelType w:val="hybridMultilevel"/>
    <w:tmpl w:val="DA2EAD42"/>
    <w:lvl w:ilvl="0" w:tplc="703C14A6">
      <w:start w:val="1"/>
      <w:numFmt w:val="bullet"/>
      <w:lvlText w:val="·"/>
      <w:lvlJc w:val="left"/>
      <w:pPr>
        <w:ind w:left="720" w:hanging="360"/>
      </w:pPr>
      <w:rPr>
        <w:rFonts w:ascii="Symbol" w:hAnsi="Symbol" w:hint="default"/>
      </w:rPr>
    </w:lvl>
    <w:lvl w:ilvl="1" w:tplc="99667C7C">
      <w:start w:val="1"/>
      <w:numFmt w:val="bullet"/>
      <w:lvlText w:val="o"/>
      <w:lvlJc w:val="left"/>
      <w:pPr>
        <w:ind w:left="1440" w:hanging="360"/>
      </w:pPr>
      <w:rPr>
        <w:rFonts w:ascii="Courier New" w:hAnsi="Courier New" w:hint="default"/>
      </w:rPr>
    </w:lvl>
    <w:lvl w:ilvl="2" w:tplc="28E67F18">
      <w:start w:val="1"/>
      <w:numFmt w:val="bullet"/>
      <w:lvlText w:val=""/>
      <w:lvlJc w:val="left"/>
      <w:pPr>
        <w:ind w:left="2160" w:hanging="360"/>
      </w:pPr>
      <w:rPr>
        <w:rFonts w:ascii="Wingdings" w:hAnsi="Wingdings" w:hint="default"/>
      </w:rPr>
    </w:lvl>
    <w:lvl w:ilvl="3" w:tplc="5CE65120">
      <w:start w:val="1"/>
      <w:numFmt w:val="bullet"/>
      <w:lvlText w:val=""/>
      <w:lvlJc w:val="left"/>
      <w:pPr>
        <w:ind w:left="2880" w:hanging="360"/>
      </w:pPr>
      <w:rPr>
        <w:rFonts w:ascii="Symbol" w:hAnsi="Symbol" w:hint="default"/>
      </w:rPr>
    </w:lvl>
    <w:lvl w:ilvl="4" w:tplc="B1B62288">
      <w:start w:val="1"/>
      <w:numFmt w:val="bullet"/>
      <w:lvlText w:val="o"/>
      <w:lvlJc w:val="left"/>
      <w:pPr>
        <w:ind w:left="3600" w:hanging="360"/>
      </w:pPr>
      <w:rPr>
        <w:rFonts w:ascii="Courier New" w:hAnsi="Courier New" w:hint="default"/>
      </w:rPr>
    </w:lvl>
    <w:lvl w:ilvl="5" w:tplc="24E6D516">
      <w:start w:val="1"/>
      <w:numFmt w:val="bullet"/>
      <w:lvlText w:val=""/>
      <w:lvlJc w:val="left"/>
      <w:pPr>
        <w:ind w:left="4320" w:hanging="360"/>
      </w:pPr>
      <w:rPr>
        <w:rFonts w:ascii="Wingdings" w:hAnsi="Wingdings" w:hint="default"/>
      </w:rPr>
    </w:lvl>
    <w:lvl w:ilvl="6" w:tplc="35D6A1DC">
      <w:start w:val="1"/>
      <w:numFmt w:val="bullet"/>
      <w:lvlText w:val=""/>
      <w:lvlJc w:val="left"/>
      <w:pPr>
        <w:ind w:left="5040" w:hanging="360"/>
      </w:pPr>
      <w:rPr>
        <w:rFonts w:ascii="Symbol" w:hAnsi="Symbol" w:hint="default"/>
      </w:rPr>
    </w:lvl>
    <w:lvl w:ilvl="7" w:tplc="0D804E5C">
      <w:start w:val="1"/>
      <w:numFmt w:val="bullet"/>
      <w:lvlText w:val="o"/>
      <w:lvlJc w:val="left"/>
      <w:pPr>
        <w:ind w:left="5760" w:hanging="360"/>
      </w:pPr>
      <w:rPr>
        <w:rFonts w:ascii="Courier New" w:hAnsi="Courier New" w:hint="default"/>
      </w:rPr>
    </w:lvl>
    <w:lvl w:ilvl="8" w:tplc="6FFECF80">
      <w:start w:val="1"/>
      <w:numFmt w:val="bullet"/>
      <w:lvlText w:val=""/>
      <w:lvlJc w:val="left"/>
      <w:pPr>
        <w:ind w:left="6480" w:hanging="360"/>
      </w:pPr>
      <w:rPr>
        <w:rFonts w:ascii="Wingdings" w:hAnsi="Wingdings" w:hint="default"/>
      </w:rPr>
    </w:lvl>
  </w:abstractNum>
  <w:abstractNum w:abstractNumId="1" w15:restartNumberingAfterBreak="0">
    <w:nsid w:val="12669B3C"/>
    <w:multiLevelType w:val="hybridMultilevel"/>
    <w:tmpl w:val="6E9A69E4"/>
    <w:lvl w:ilvl="0" w:tplc="A8B0FFD8">
      <w:start w:val="1"/>
      <w:numFmt w:val="bullet"/>
      <w:lvlText w:val="·"/>
      <w:lvlJc w:val="left"/>
      <w:pPr>
        <w:ind w:left="720" w:hanging="360"/>
      </w:pPr>
      <w:rPr>
        <w:rFonts w:ascii="Symbol" w:hAnsi="Symbol" w:hint="default"/>
      </w:rPr>
    </w:lvl>
    <w:lvl w:ilvl="1" w:tplc="A7888DFA">
      <w:start w:val="1"/>
      <w:numFmt w:val="bullet"/>
      <w:lvlText w:val="o"/>
      <w:lvlJc w:val="left"/>
      <w:pPr>
        <w:ind w:left="1440" w:hanging="360"/>
      </w:pPr>
      <w:rPr>
        <w:rFonts w:ascii="Courier New" w:hAnsi="Courier New" w:hint="default"/>
      </w:rPr>
    </w:lvl>
    <w:lvl w:ilvl="2" w:tplc="535A3C7C">
      <w:start w:val="1"/>
      <w:numFmt w:val="bullet"/>
      <w:lvlText w:val=""/>
      <w:lvlJc w:val="left"/>
      <w:pPr>
        <w:ind w:left="2160" w:hanging="360"/>
      </w:pPr>
      <w:rPr>
        <w:rFonts w:ascii="Wingdings" w:hAnsi="Wingdings" w:hint="default"/>
      </w:rPr>
    </w:lvl>
    <w:lvl w:ilvl="3" w:tplc="AA6EDFF0">
      <w:start w:val="1"/>
      <w:numFmt w:val="bullet"/>
      <w:lvlText w:val=""/>
      <w:lvlJc w:val="left"/>
      <w:pPr>
        <w:ind w:left="2880" w:hanging="360"/>
      </w:pPr>
      <w:rPr>
        <w:rFonts w:ascii="Symbol" w:hAnsi="Symbol" w:hint="default"/>
      </w:rPr>
    </w:lvl>
    <w:lvl w:ilvl="4" w:tplc="8132DDEE">
      <w:start w:val="1"/>
      <w:numFmt w:val="bullet"/>
      <w:lvlText w:val="o"/>
      <w:lvlJc w:val="left"/>
      <w:pPr>
        <w:ind w:left="3600" w:hanging="360"/>
      </w:pPr>
      <w:rPr>
        <w:rFonts w:ascii="Courier New" w:hAnsi="Courier New" w:hint="default"/>
      </w:rPr>
    </w:lvl>
    <w:lvl w:ilvl="5" w:tplc="B7EA45F2">
      <w:start w:val="1"/>
      <w:numFmt w:val="bullet"/>
      <w:lvlText w:val=""/>
      <w:lvlJc w:val="left"/>
      <w:pPr>
        <w:ind w:left="4320" w:hanging="360"/>
      </w:pPr>
      <w:rPr>
        <w:rFonts w:ascii="Wingdings" w:hAnsi="Wingdings" w:hint="default"/>
      </w:rPr>
    </w:lvl>
    <w:lvl w:ilvl="6" w:tplc="AAA02A4A">
      <w:start w:val="1"/>
      <w:numFmt w:val="bullet"/>
      <w:lvlText w:val=""/>
      <w:lvlJc w:val="left"/>
      <w:pPr>
        <w:ind w:left="5040" w:hanging="360"/>
      </w:pPr>
      <w:rPr>
        <w:rFonts w:ascii="Symbol" w:hAnsi="Symbol" w:hint="default"/>
      </w:rPr>
    </w:lvl>
    <w:lvl w:ilvl="7" w:tplc="BCFA7292">
      <w:start w:val="1"/>
      <w:numFmt w:val="bullet"/>
      <w:lvlText w:val="o"/>
      <w:lvlJc w:val="left"/>
      <w:pPr>
        <w:ind w:left="5760" w:hanging="360"/>
      </w:pPr>
      <w:rPr>
        <w:rFonts w:ascii="Courier New" w:hAnsi="Courier New" w:hint="default"/>
      </w:rPr>
    </w:lvl>
    <w:lvl w:ilvl="8" w:tplc="E6282B88">
      <w:start w:val="1"/>
      <w:numFmt w:val="bullet"/>
      <w:lvlText w:val=""/>
      <w:lvlJc w:val="left"/>
      <w:pPr>
        <w:ind w:left="6480" w:hanging="360"/>
      </w:pPr>
      <w:rPr>
        <w:rFonts w:ascii="Wingdings" w:hAnsi="Wingdings" w:hint="default"/>
      </w:rPr>
    </w:lvl>
  </w:abstractNum>
  <w:abstractNum w:abstractNumId="2" w15:restartNumberingAfterBreak="0">
    <w:nsid w:val="1351EA31"/>
    <w:multiLevelType w:val="hybridMultilevel"/>
    <w:tmpl w:val="5AF28738"/>
    <w:lvl w:ilvl="0" w:tplc="0EC0197E">
      <w:start w:val="1"/>
      <w:numFmt w:val="bullet"/>
      <w:lvlText w:val="·"/>
      <w:lvlJc w:val="left"/>
      <w:pPr>
        <w:ind w:left="720" w:hanging="360"/>
      </w:pPr>
      <w:rPr>
        <w:rFonts w:ascii="Symbol" w:hAnsi="Symbol" w:hint="default"/>
      </w:rPr>
    </w:lvl>
    <w:lvl w:ilvl="1" w:tplc="79982AFA">
      <w:start w:val="1"/>
      <w:numFmt w:val="bullet"/>
      <w:lvlText w:val="o"/>
      <w:lvlJc w:val="left"/>
      <w:pPr>
        <w:ind w:left="1440" w:hanging="360"/>
      </w:pPr>
      <w:rPr>
        <w:rFonts w:ascii="Courier New" w:hAnsi="Courier New" w:hint="default"/>
      </w:rPr>
    </w:lvl>
    <w:lvl w:ilvl="2" w:tplc="40927C32">
      <w:start w:val="1"/>
      <w:numFmt w:val="bullet"/>
      <w:lvlText w:val=""/>
      <w:lvlJc w:val="left"/>
      <w:pPr>
        <w:ind w:left="2160" w:hanging="360"/>
      </w:pPr>
      <w:rPr>
        <w:rFonts w:ascii="Wingdings" w:hAnsi="Wingdings" w:hint="default"/>
      </w:rPr>
    </w:lvl>
    <w:lvl w:ilvl="3" w:tplc="18A84970">
      <w:start w:val="1"/>
      <w:numFmt w:val="bullet"/>
      <w:lvlText w:val=""/>
      <w:lvlJc w:val="left"/>
      <w:pPr>
        <w:ind w:left="2880" w:hanging="360"/>
      </w:pPr>
      <w:rPr>
        <w:rFonts w:ascii="Symbol" w:hAnsi="Symbol" w:hint="default"/>
      </w:rPr>
    </w:lvl>
    <w:lvl w:ilvl="4" w:tplc="DCC8A1E6">
      <w:start w:val="1"/>
      <w:numFmt w:val="bullet"/>
      <w:lvlText w:val="o"/>
      <w:lvlJc w:val="left"/>
      <w:pPr>
        <w:ind w:left="3600" w:hanging="360"/>
      </w:pPr>
      <w:rPr>
        <w:rFonts w:ascii="Courier New" w:hAnsi="Courier New" w:hint="default"/>
      </w:rPr>
    </w:lvl>
    <w:lvl w:ilvl="5" w:tplc="7826A48A">
      <w:start w:val="1"/>
      <w:numFmt w:val="bullet"/>
      <w:lvlText w:val=""/>
      <w:lvlJc w:val="left"/>
      <w:pPr>
        <w:ind w:left="4320" w:hanging="360"/>
      </w:pPr>
      <w:rPr>
        <w:rFonts w:ascii="Wingdings" w:hAnsi="Wingdings" w:hint="default"/>
      </w:rPr>
    </w:lvl>
    <w:lvl w:ilvl="6" w:tplc="F622098E">
      <w:start w:val="1"/>
      <w:numFmt w:val="bullet"/>
      <w:lvlText w:val=""/>
      <w:lvlJc w:val="left"/>
      <w:pPr>
        <w:ind w:left="5040" w:hanging="360"/>
      </w:pPr>
      <w:rPr>
        <w:rFonts w:ascii="Symbol" w:hAnsi="Symbol" w:hint="default"/>
      </w:rPr>
    </w:lvl>
    <w:lvl w:ilvl="7" w:tplc="043267C8">
      <w:start w:val="1"/>
      <w:numFmt w:val="bullet"/>
      <w:lvlText w:val="o"/>
      <w:lvlJc w:val="left"/>
      <w:pPr>
        <w:ind w:left="5760" w:hanging="360"/>
      </w:pPr>
      <w:rPr>
        <w:rFonts w:ascii="Courier New" w:hAnsi="Courier New" w:hint="default"/>
      </w:rPr>
    </w:lvl>
    <w:lvl w:ilvl="8" w:tplc="F6D4BD04">
      <w:start w:val="1"/>
      <w:numFmt w:val="bullet"/>
      <w:lvlText w:val=""/>
      <w:lvlJc w:val="left"/>
      <w:pPr>
        <w:ind w:left="6480" w:hanging="360"/>
      </w:pPr>
      <w:rPr>
        <w:rFonts w:ascii="Wingdings" w:hAnsi="Wingdings" w:hint="default"/>
      </w:rPr>
    </w:lvl>
  </w:abstractNum>
  <w:abstractNum w:abstractNumId="3" w15:restartNumberingAfterBreak="0">
    <w:nsid w:val="43D9B817"/>
    <w:multiLevelType w:val="hybridMultilevel"/>
    <w:tmpl w:val="3CC6CF34"/>
    <w:lvl w:ilvl="0" w:tplc="72629D0A">
      <w:start w:val="1"/>
      <w:numFmt w:val="bullet"/>
      <w:lvlText w:val="·"/>
      <w:lvlJc w:val="left"/>
      <w:pPr>
        <w:ind w:left="720" w:hanging="360"/>
      </w:pPr>
      <w:rPr>
        <w:rFonts w:ascii="Symbol" w:hAnsi="Symbol" w:hint="default"/>
      </w:rPr>
    </w:lvl>
    <w:lvl w:ilvl="1" w:tplc="378663EE">
      <w:start w:val="1"/>
      <w:numFmt w:val="bullet"/>
      <w:lvlText w:val="o"/>
      <w:lvlJc w:val="left"/>
      <w:pPr>
        <w:ind w:left="1440" w:hanging="360"/>
      </w:pPr>
      <w:rPr>
        <w:rFonts w:ascii="Courier New" w:hAnsi="Courier New" w:hint="default"/>
      </w:rPr>
    </w:lvl>
    <w:lvl w:ilvl="2" w:tplc="035EA740">
      <w:start w:val="1"/>
      <w:numFmt w:val="bullet"/>
      <w:lvlText w:val=""/>
      <w:lvlJc w:val="left"/>
      <w:pPr>
        <w:ind w:left="2160" w:hanging="360"/>
      </w:pPr>
      <w:rPr>
        <w:rFonts w:ascii="Wingdings" w:hAnsi="Wingdings" w:hint="default"/>
      </w:rPr>
    </w:lvl>
    <w:lvl w:ilvl="3" w:tplc="E5D848DE">
      <w:start w:val="1"/>
      <w:numFmt w:val="bullet"/>
      <w:lvlText w:val=""/>
      <w:lvlJc w:val="left"/>
      <w:pPr>
        <w:ind w:left="2880" w:hanging="360"/>
      </w:pPr>
      <w:rPr>
        <w:rFonts w:ascii="Symbol" w:hAnsi="Symbol" w:hint="default"/>
      </w:rPr>
    </w:lvl>
    <w:lvl w:ilvl="4" w:tplc="D682D88A">
      <w:start w:val="1"/>
      <w:numFmt w:val="bullet"/>
      <w:lvlText w:val="o"/>
      <w:lvlJc w:val="left"/>
      <w:pPr>
        <w:ind w:left="3600" w:hanging="360"/>
      </w:pPr>
      <w:rPr>
        <w:rFonts w:ascii="Courier New" w:hAnsi="Courier New" w:hint="default"/>
      </w:rPr>
    </w:lvl>
    <w:lvl w:ilvl="5" w:tplc="AB068700">
      <w:start w:val="1"/>
      <w:numFmt w:val="bullet"/>
      <w:lvlText w:val=""/>
      <w:lvlJc w:val="left"/>
      <w:pPr>
        <w:ind w:left="4320" w:hanging="360"/>
      </w:pPr>
      <w:rPr>
        <w:rFonts w:ascii="Wingdings" w:hAnsi="Wingdings" w:hint="default"/>
      </w:rPr>
    </w:lvl>
    <w:lvl w:ilvl="6" w:tplc="A0C2E46A">
      <w:start w:val="1"/>
      <w:numFmt w:val="bullet"/>
      <w:lvlText w:val=""/>
      <w:lvlJc w:val="left"/>
      <w:pPr>
        <w:ind w:left="5040" w:hanging="360"/>
      </w:pPr>
      <w:rPr>
        <w:rFonts w:ascii="Symbol" w:hAnsi="Symbol" w:hint="default"/>
      </w:rPr>
    </w:lvl>
    <w:lvl w:ilvl="7" w:tplc="7BB66FA4">
      <w:start w:val="1"/>
      <w:numFmt w:val="bullet"/>
      <w:lvlText w:val="o"/>
      <w:lvlJc w:val="left"/>
      <w:pPr>
        <w:ind w:left="5760" w:hanging="360"/>
      </w:pPr>
      <w:rPr>
        <w:rFonts w:ascii="Courier New" w:hAnsi="Courier New" w:hint="default"/>
      </w:rPr>
    </w:lvl>
    <w:lvl w:ilvl="8" w:tplc="612415FE">
      <w:start w:val="1"/>
      <w:numFmt w:val="bullet"/>
      <w:lvlText w:val=""/>
      <w:lvlJc w:val="left"/>
      <w:pPr>
        <w:ind w:left="6480" w:hanging="360"/>
      </w:pPr>
      <w:rPr>
        <w:rFonts w:ascii="Wingdings" w:hAnsi="Wingdings" w:hint="default"/>
      </w:rPr>
    </w:lvl>
  </w:abstractNum>
  <w:abstractNum w:abstractNumId="4" w15:restartNumberingAfterBreak="0">
    <w:nsid w:val="6B453A54"/>
    <w:multiLevelType w:val="hybridMultilevel"/>
    <w:tmpl w:val="049E73F4"/>
    <w:lvl w:ilvl="0" w:tplc="E892EE90">
      <w:start w:val="1"/>
      <w:numFmt w:val="bullet"/>
      <w:lvlText w:val="·"/>
      <w:lvlJc w:val="left"/>
      <w:pPr>
        <w:ind w:left="720" w:hanging="360"/>
      </w:pPr>
      <w:rPr>
        <w:rFonts w:ascii="Symbol" w:hAnsi="Symbol" w:hint="default"/>
      </w:rPr>
    </w:lvl>
    <w:lvl w:ilvl="1" w:tplc="B7B052DC">
      <w:start w:val="1"/>
      <w:numFmt w:val="bullet"/>
      <w:lvlText w:val="o"/>
      <w:lvlJc w:val="left"/>
      <w:pPr>
        <w:ind w:left="1440" w:hanging="360"/>
      </w:pPr>
      <w:rPr>
        <w:rFonts w:ascii="Courier New" w:hAnsi="Courier New" w:hint="default"/>
      </w:rPr>
    </w:lvl>
    <w:lvl w:ilvl="2" w:tplc="26F86B46">
      <w:start w:val="1"/>
      <w:numFmt w:val="bullet"/>
      <w:lvlText w:val=""/>
      <w:lvlJc w:val="left"/>
      <w:pPr>
        <w:ind w:left="2160" w:hanging="360"/>
      </w:pPr>
      <w:rPr>
        <w:rFonts w:ascii="Wingdings" w:hAnsi="Wingdings" w:hint="default"/>
      </w:rPr>
    </w:lvl>
    <w:lvl w:ilvl="3" w:tplc="E7869ED6">
      <w:start w:val="1"/>
      <w:numFmt w:val="bullet"/>
      <w:lvlText w:val=""/>
      <w:lvlJc w:val="left"/>
      <w:pPr>
        <w:ind w:left="2880" w:hanging="360"/>
      </w:pPr>
      <w:rPr>
        <w:rFonts w:ascii="Symbol" w:hAnsi="Symbol" w:hint="default"/>
      </w:rPr>
    </w:lvl>
    <w:lvl w:ilvl="4" w:tplc="0F64B584">
      <w:start w:val="1"/>
      <w:numFmt w:val="bullet"/>
      <w:lvlText w:val="o"/>
      <w:lvlJc w:val="left"/>
      <w:pPr>
        <w:ind w:left="3600" w:hanging="360"/>
      </w:pPr>
      <w:rPr>
        <w:rFonts w:ascii="Courier New" w:hAnsi="Courier New" w:hint="default"/>
      </w:rPr>
    </w:lvl>
    <w:lvl w:ilvl="5" w:tplc="1CE8771A">
      <w:start w:val="1"/>
      <w:numFmt w:val="bullet"/>
      <w:lvlText w:val=""/>
      <w:lvlJc w:val="left"/>
      <w:pPr>
        <w:ind w:left="4320" w:hanging="360"/>
      </w:pPr>
      <w:rPr>
        <w:rFonts w:ascii="Wingdings" w:hAnsi="Wingdings" w:hint="default"/>
      </w:rPr>
    </w:lvl>
    <w:lvl w:ilvl="6" w:tplc="9CC24EB4">
      <w:start w:val="1"/>
      <w:numFmt w:val="bullet"/>
      <w:lvlText w:val=""/>
      <w:lvlJc w:val="left"/>
      <w:pPr>
        <w:ind w:left="5040" w:hanging="360"/>
      </w:pPr>
      <w:rPr>
        <w:rFonts w:ascii="Symbol" w:hAnsi="Symbol" w:hint="default"/>
      </w:rPr>
    </w:lvl>
    <w:lvl w:ilvl="7" w:tplc="9DB22DD8">
      <w:start w:val="1"/>
      <w:numFmt w:val="bullet"/>
      <w:lvlText w:val="o"/>
      <w:lvlJc w:val="left"/>
      <w:pPr>
        <w:ind w:left="5760" w:hanging="360"/>
      </w:pPr>
      <w:rPr>
        <w:rFonts w:ascii="Courier New" w:hAnsi="Courier New" w:hint="default"/>
      </w:rPr>
    </w:lvl>
    <w:lvl w:ilvl="8" w:tplc="39BC686A">
      <w:start w:val="1"/>
      <w:numFmt w:val="bullet"/>
      <w:lvlText w:val=""/>
      <w:lvlJc w:val="left"/>
      <w:pPr>
        <w:ind w:left="6480" w:hanging="360"/>
      </w:pPr>
      <w:rPr>
        <w:rFonts w:ascii="Wingdings" w:hAnsi="Wingdings" w:hint="default"/>
      </w:rPr>
    </w:lvl>
  </w:abstractNum>
  <w:abstractNum w:abstractNumId="5" w15:restartNumberingAfterBreak="0">
    <w:nsid w:val="72318A62"/>
    <w:multiLevelType w:val="hybridMultilevel"/>
    <w:tmpl w:val="A13E609C"/>
    <w:lvl w:ilvl="0" w:tplc="BC9C5090">
      <w:start w:val="1"/>
      <w:numFmt w:val="bullet"/>
      <w:lvlText w:val="·"/>
      <w:lvlJc w:val="left"/>
      <w:pPr>
        <w:ind w:left="720" w:hanging="360"/>
      </w:pPr>
      <w:rPr>
        <w:rFonts w:ascii="Symbol" w:hAnsi="Symbol" w:hint="default"/>
      </w:rPr>
    </w:lvl>
    <w:lvl w:ilvl="1" w:tplc="1B5014A2">
      <w:start w:val="1"/>
      <w:numFmt w:val="bullet"/>
      <w:lvlText w:val="o"/>
      <w:lvlJc w:val="left"/>
      <w:pPr>
        <w:ind w:left="1440" w:hanging="360"/>
      </w:pPr>
      <w:rPr>
        <w:rFonts w:ascii="Courier New" w:hAnsi="Courier New" w:hint="default"/>
      </w:rPr>
    </w:lvl>
    <w:lvl w:ilvl="2" w:tplc="E5B63600">
      <w:start w:val="1"/>
      <w:numFmt w:val="bullet"/>
      <w:lvlText w:val=""/>
      <w:lvlJc w:val="left"/>
      <w:pPr>
        <w:ind w:left="2160" w:hanging="360"/>
      </w:pPr>
      <w:rPr>
        <w:rFonts w:ascii="Wingdings" w:hAnsi="Wingdings" w:hint="default"/>
      </w:rPr>
    </w:lvl>
    <w:lvl w:ilvl="3" w:tplc="025AADC0">
      <w:start w:val="1"/>
      <w:numFmt w:val="bullet"/>
      <w:lvlText w:val=""/>
      <w:lvlJc w:val="left"/>
      <w:pPr>
        <w:ind w:left="2880" w:hanging="360"/>
      </w:pPr>
      <w:rPr>
        <w:rFonts w:ascii="Symbol" w:hAnsi="Symbol" w:hint="default"/>
      </w:rPr>
    </w:lvl>
    <w:lvl w:ilvl="4" w:tplc="0F1C01CE">
      <w:start w:val="1"/>
      <w:numFmt w:val="bullet"/>
      <w:lvlText w:val="o"/>
      <w:lvlJc w:val="left"/>
      <w:pPr>
        <w:ind w:left="3600" w:hanging="360"/>
      </w:pPr>
      <w:rPr>
        <w:rFonts w:ascii="Courier New" w:hAnsi="Courier New" w:hint="default"/>
      </w:rPr>
    </w:lvl>
    <w:lvl w:ilvl="5" w:tplc="8878F95C">
      <w:start w:val="1"/>
      <w:numFmt w:val="bullet"/>
      <w:lvlText w:val=""/>
      <w:lvlJc w:val="left"/>
      <w:pPr>
        <w:ind w:left="4320" w:hanging="360"/>
      </w:pPr>
      <w:rPr>
        <w:rFonts w:ascii="Wingdings" w:hAnsi="Wingdings" w:hint="default"/>
      </w:rPr>
    </w:lvl>
    <w:lvl w:ilvl="6" w:tplc="C63EE234">
      <w:start w:val="1"/>
      <w:numFmt w:val="bullet"/>
      <w:lvlText w:val=""/>
      <w:lvlJc w:val="left"/>
      <w:pPr>
        <w:ind w:left="5040" w:hanging="360"/>
      </w:pPr>
      <w:rPr>
        <w:rFonts w:ascii="Symbol" w:hAnsi="Symbol" w:hint="default"/>
      </w:rPr>
    </w:lvl>
    <w:lvl w:ilvl="7" w:tplc="6F8A7762">
      <w:start w:val="1"/>
      <w:numFmt w:val="bullet"/>
      <w:lvlText w:val="o"/>
      <w:lvlJc w:val="left"/>
      <w:pPr>
        <w:ind w:left="5760" w:hanging="360"/>
      </w:pPr>
      <w:rPr>
        <w:rFonts w:ascii="Courier New" w:hAnsi="Courier New" w:hint="default"/>
      </w:rPr>
    </w:lvl>
    <w:lvl w:ilvl="8" w:tplc="4CBE6F88">
      <w:start w:val="1"/>
      <w:numFmt w:val="bullet"/>
      <w:lvlText w:val=""/>
      <w:lvlJc w:val="left"/>
      <w:pPr>
        <w:ind w:left="6480" w:hanging="360"/>
      </w:pPr>
      <w:rPr>
        <w:rFonts w:ascii="Wingdings" w:hAnsi="Wingdings" w:hint="default"/>
      </w:rPr>
    </w:lvl>
  </w:abstractNum>
  <w:num w:numId="1" w16cid:durableId="1135634052">
    <w:abstractNumId w:val="4"/>
  </w:num>
  <w:num w:numId="2" w16cid:durableId="218590838">
    <w:abstractNumId w:val="5"/>
  </w:num>
  <w:num w:numId="3" w16cid:durableId="1226643460">
    <w:abstractNumId w:val="0"/>
  </w:num>
  <w:num w:numId="4" w16cid:durableId="625698468">
    <w:abstractNumId w:val="1"/>
  </w:num>
  <w:num w:numId="5" w16cid:durableId="1407074837">
    <w:abstractNumId w:val="2"/>
  </w:num>
  <w:num w:numId="6" w16cid:durableId="1850175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E2934"/>
    <w:rsid w:val="00241E8F"/>
    <w:rsid w:val="004308C1"/>
    <w:rsid w:val="008B757E"/>
    <w:rsid w:val="0D45AE4E"/>
    <w:rsid w:val="22D0511A"/>
    <w:rsid w:val="2A2FCE5D"/>
    <w:rsid w:val="2B5E2934"/>
    <w:rsid w:val="3BA0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C160"/>
  <w15:chartTrackingRefBased/>
  <w15:docId w15:val="{CAF2D974-ADA2-439C-8F08-49F79066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4qm.org/document/388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9" ma:contentTypeDescription="Create a new document." ma:contentTypeScope="" ma:versionID="69198fd7e44866b7443acdedeae73269">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d4cad2a7d4dd8055077789fd9dc339e1"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b00968-f3d3-4a8b-8d95-fabeccc63a44}" ma:internalName="TaxCatchAll" ma:showField="CatchAllData" ma:web="c2b84374-c7b4-4c9f-a8cd-f2be2dc1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9ba519-fdf0-4d1e-822f-a497148b3b76">
      <Terms xmlns="http://schemas.microsoft.com/office/infopath/2007/PartnerControls"/>
    </lcf76f155ced4ddcb4097134ff3c332f>
    <TaxCatchAll xmlns="c2b84374-c7b4-4c9f-a8cd-f2be2dc14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B2F86-317B-4232-8910-CB580540F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ba519-fdf0-4d1e-822f-a497148b3b76"/>
    <ds:schemaRef ds:uri="c2b84374-c7b4-4c9f-a8cd-f2be2dc14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17207-F02C-4D48-B4C2-82E991A68CB7}">
  <ds:schemaRefs>
    <ds:schemaRef ds:uri="http://schemas.microsoft.com/office/2006/metadata/properties"/>
    <ds:schemaRef ds:uri="http://schemas.microsoft.com/office/infopath/2007/PartnerControls"/>
    <ds:schemaRef ds:uri="729ba519-fdf0-4d1e-822f-a497148b3b76"/>
    <ds:schemaRef ds:uri="c2b84374-c7b4-4c9f-a8cd-f2be2dc14ae3"/>
  </ds:schemaRefs>
</ds:datastoreItem>
</file>

<file path=customXml/itemProps3.xml><?xml version="1.0" encoding="utf-8"?>
<ds:datastoreItem xmlns:ds="http://schemas.openxmlformats.org/officeDocument/2006/customXml" ds:itemID="{98223F50-DA03-489A-9F20-EE5514BD9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Agrawal</dc:creator>
  <cp:keywords/>
  <dc:description/>
  <cp:lastModifiedBy>Neha Agrawal</cp:lastModifiedBy>
  <cp:revision>2</cp:revision>
  <dcterms:created xsi:type="dcterms:W3CDTF">2026-05-01T17:14:00Z</dcterms:created>
  <dcterms:modified xsi:type="dcterms:W3CDTF">2026-05-01T17:20:00Z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y fmtid="{D5CDD505-2E9C-101B-9397-08002B2CF9AE}" pid="3" name="MediaServiceImageTags">
    <vt:lpwstr/>
  </property>
</Properties>
</file>