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BD866BC" wp14:paraId="49A26516" wp14:textId="5F4CC6C2">
      <w:pPr>
        <w:pStyle w:val="Heading2"/>
        <w:spacing w:before="240" w:beforeAutospacing="off" w:after="0" w:afterAutospacing="off"/>
      </w:pPr>
      <w:r w:rsidRPr="1BD866BC" w:rsidR="1A035321">
        <w:rPr>
          <w:rFonts w:ascii="Arial" w:hAnsi="Arial" w:eastAsia="Arial" w:cs="Arial"/>
          <w:b w:val="0"/>
          <w:bCs w:val="0"/>
          <w:noProof w:val="0"/>
          <w:color w:val="44546A"/>
          <w:sz w:val="32"/>
          <w:szCs w:val="32"/>
          <w:lang w:val="en-US"/>
        </w:rPr>
        <w:t>Section 2. Importance</w:t>
      </w:r>
    </w:p>
    <w:p xmlns:wp14="http://schemas.microsoft.com/office/word/2010/wordml" w:rsidP="1BD866BC" wp14:paraId="6BF4FD88" wp14:textId="58EF7F05">
      <w:pPr>
        <w:spacing w:before="0" w:beforeAutospacing="off" w:after="0" w:afterAutospacing="off"/>
      </w:pPr>
      <w:r w:rsidRPr="1BD866BC" w:rsidR="1A035321">
        <w:rPr>
          <w:rFonts w:ascii="Arial" w:hAnsi="Arial" w:eastAsia="Arial" w:cs="Arial"/>
          <w:noProof w:val="0"/>
          <w:sz w:val="24"/>
          <w:szCs w:val="24"/>
          <w:lang w:val="en-US"/>
        </w:rPr>
        <w:t xml:space="preserve"> </w:t>
      </w:r>
    </w:p>
    <w:p xmlns:wp14="http://schemas.microsoft.com/office/word/2010/wordml" w:rsidP="1BD866BC" wp14:paraId="1F637B78" wp14:textId="5CF61E74">
      <w:pPr>
        <w:spacing w:before="0" w:beforeAutospacing="off" w:after="0" w:afterAutospacing="off"/>
      </w:pPr>
      <w:r w:rsidRPr="1BD866BC" w:rsidR="1A035321">
        <w:rPr>
          <w:rFonts w:ascii="Arial" w:hAnsi="Arial" w:eastAsia="Arial" w:cs="Arial"/>
          <w:b w:val="1"/>
          <w:bCs w:val="1"/>
          <w:noProof w:val="0"/>
          <w:sz w:val="24"/>
          <w:szCs w:val="24"/>
          <w:lang w:val="en-US"/>
        </w:rPr>
        <w:t>2.1 Attach Logic Model</w:t>
      </w:r>
      <w:r w:rsidRPr="1BD866BC" w:rsidR="1A035321">
        <w:rPr>
          <w:rFonts w:ascii="Arial" w:hAnsi="Arial" w:eastAsia="Arial" w:cs="Arial"/>
          <w:noProof w:val="0"/>
          <w:color w:val="C00000"/>
          <w:sz w:val="28"/>
          <w:szCs w:val="28"/>
          <w:lang w:val="en-US"/>
        </w:rPr>
        <w:t>*</w:t>
      </w:r>
    </w:p>
    <w:p xmlns:wp14="http://schemas.microsoft.com/office/word/2010/wordml" w:rsidP="1BD866BC" wp14:paraId="118542F5" wp14:textId="784C6645">
      <w:pPr>
        <w:spacing w:before="0" w:beforeAutospacing="off" w:after="0" w:afterAutospacing="off"/>
      </w:pPr>
      <w:r w:rsidRPr="1BD866BC" w:rsidR="1A035321">
        <w:rPr>
          <w:rFonts w:ascii="Arial" w:hAnsi="Arial" w:eastAsia="Arial" w:cs="Arial"/>
          <w:i w:val="1"/>
          <w:iCs w:val="1"/>
          <w:noProof w:val="0"/>
          <w:color w:val="0070C0"/>
          <w:sz w:val="22"/>
          <w:szCs w:val="22"/>
          <w:lang w:val="en-US"/>
        </w:rPr>
        <w:t xml:space="preserve">Attach a logic model that illustrates the relationship between health care structures and processes and the desired outcomes. In addition, in the attachment, briefly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 Outcomes should include the measure focus. The relationships depicted in the diagram should be straightforward, ensuring they are easily understood by a general, non-technical audience. Additionally, highlight any assumptions that underpin your model, describe feedback mechanisms, and acknowledge external factors that could influence the success of the measure, ensuring a comprehensive understanding of the measure’s logic and its intended effects. For instrument submissions, the logic model should include each of the associated IDMs. See the </w:t>
      </w:r>
      <w:hyperlink r:id="R98a25e8e00c44249">
        <w:r w:rsidRPr="1BD866BC" w:rsidR="1A035321">
          <w:rPr>
            <w:rStyle w:val="Hyperlink"/>
            <w:rFonts w:ascii="Arial" w:hAnsi="Arial" w:eastAsia="Arial" w:cs="Arial"/>
            <w:i w:val="1"/>
            <w:iCs w:val="1"/>
            <w:strike w:val="0"/>
            <w:dstrike w:val="0"/>
            <w:noProof w:val="0"/>
            <w:color w:val="0563C1"/>
            <w:sz w:val="22"/>
            <w:szCs w:val="22"/>
            <w:u w:val="single"/>
            <w:lang w:val="en-US"/>
          </w:rPr>
          <w:t>Logic Model Guidance</w:t>
        </w:r>
      </w:hyperlink>
      <w:r w:rsidRPr="1BD866BC" w:rsidR="1A035321">
        <w:rPr>
          <w:rFonts w:ascii="Arial" w:hAnsi="Arial" w:eastAsia="Arial" w:cs="Arial"/>
          <w:i w:val="1"/>
          <w:iCs w:val="1"/>
          <w:noProof w:val="0"/>
          <w:color w:val="0070C0"/>
          <w:sz w:val="22"/>
          <w:szCs w:val="22"/>
          <w:lang w:val="en-US"/>
        </w:rPr>
        <w:t xml:space="preserve"> for additional information.</w:t>
      </w:r>
    </w:p>
    <w:p xmlns:wp14="http://schemas.microsoft.com/office/word/2010/wordml" w:rsidP="1BD866BC" wp14:paraId="4920CCD5" wp14:textId="1F07F6B1">
      <w:pPr>
        <w:spacing w:before="120" w:beforeAutospacing="off" w:after="0" w:afterAutospacing="off"/>
      </w:pPr>
      <w:r w:rsidRPr="1BD866BC" w:rsidR="1A035321">
        <w:rPr>
          <w:rFonts w:ascii="Arial" w:hAnsi="Arial" w:eastAsia="Arial" w:cs="Arial"/>
          <w:i w:val="1"/>
          <w:iCs w:val="1"/>
          <w:noProof w:val="0"/>
          <w:color w:val="0070C0"/>
          <w:sz w:val="22"/>
          <w:szCs w:val="22"/>
          <w:lang w:val="en-US"/>
        </w:rPr>
        <w:t>One file only; 256 MB limit; allowed file types: .pdf; .doc; .docx.</w:t>
      </w:r>
    </w:p>
    <w:p xmlns:wp14="http://schemas.microsoft.com/office/word/2010/wordml" w:rsidP="1BD866BC" wp14:paraId="4F7ED31F" wp14:textId="469D8170">
      <w:pPr>
        <w:spacing w:before="120" w:beforeAutospacing="off" w:after="0" w:afterAutospacing="off"/>
      </w:pPr>
      <w:r w:rsidRPr="1BD866BC" w:rsidR="1A035321">
        <w:rPr>
          <w:rFonts w:ascii="Arial" w:hAnsi="Arial" w:eastAsia="Arial" w:cs="Arial"/>
          <w:i w:val="1"/>
          <w:iCs w:val="1"/>
          <w:noProof w:val="0"/>
          <w:color w:val="44546A"/>
          <w:sz w:val="20"/>
          <w:szCs w:val="20"/>
          <w:lang w:val="en-US"/>
        </w:rPr>
        <w:t>[Please use a standard file naming convention; for example, XXXX-2.1-LogicModel-[cycle].docx (where XXXX is the CBE ID).]</w:t>
      </w:r>
    </w:p>
    <w:p xmlns:wp14="http://schemas.microsoft.com/office/word/2010/wordml" w:rsidP="1BD866BC" wp14:paraId="7B5AF293" wp14:textId="47350927">
      <w:pPr>
        <w:spacing w:before="0" w:beforeAutospacing="off" w:after="0" w:afterAutospacing="off"/>
      </w:pPr>
      <w:r w:rsidRPr="1BD866BC" w:rsidR="1A035321">
        <w:rPr>
          <w:rFonts w:ascii="Arial" w:hAnsi="Arial" w:eastAsia="Arial" w:cs="Arial"/>
          <w:noProof w:val="0"/>
          <w:sz w:val="22"/>
          <w:szCs w:val="22"/>
          <w:lang w:val="en-US"/>
        </w:rPr>
        <w:t xml:space="preserve"> </w:t>
      </w:r>
    </w:p>
    <w:tbl>
      <w:tblPr>
        <w:tblStyle w:val="TableNormal"/>
        <w:bidiVisual w:val="0"/>
        <w:tblW w:w="0" w:type="auto"/>
        <w:tblInd w:w="180" w:type="dxa"/>
        <w:tblLook w:val="01E0" w:firstRow="1" w:lastRow="1" w:firstColumn="1" w:lastColumn="1" w:noHBand="0" w:noVBand="0"/>
      </w:tblPr>
      <w:tblGrid>
        <w:gridCol w:w="3150"/>
        <w:gridCol w:w="2355"/>
        <w:gridCol w:w="2610"/>
        <w:gridCol w:w="2490"/>
        <w:gridCol w:w="2100"/>
      </w:tblGrid>
      <w:tr w:rsidR="1BD866BC" w:rsidTr="1BD866BC" w14:paraId="64CC3911">
        <w:trPr>
          <w:trHeight w:val="900"/>
        </w:trPr>
        <w:tc>
          <w:tcPr>
            <w:tcW w:w="3150" w:type="dxa"/>
            <w:tcBorders>
              <w:top w:val="single" w:color="231F20" w:sz="8"/>
              <w:left w:val="single" w:color="231F20" w:sz="8"/>
              <w:bottom w:val="single" w:color="231F20" w:sz="8"/>
              <w:right w:val="single" w:color="231F20" w:sz="8"/>
            </w:tcBorders>
            <w:shd w:val="clear" w:color="auto" w:fill="B4C5E7"/>
            <w:tcMar/>
            <w:vAlign w:val="top"/>
          </w:tcPr>
          <w:p w:rsidR="1BD866BC" w:rsidP="1BD866BC" w:rsidRDefault="1BD866BC" w14:paraId="6336A908" w14:textId="1733A194">
            <w:pPr>
              <w:spacing w:before="132" w:beforeAutospacing="off" w:after="0" w:afterAutospacing="off" w:line="276" w:lineRule="auto"/>
              <w:ind w:left="80" w:right="0"/>
            </w:pPr>
            <w:r w:rsidRPr="1BD866BC" w:rsidR="1BD866BC">
              <w:rPr>
                <w:rFonts w:ascii="Arial" w:hAnsi="Arial" w:eastAsia="Arial" w:cs="Arial"/>
                <w:b w:val="1"/>
                <w:bCs w:val="1"/>
                <w:color w:val="231F20"/>
                <w:sz w:val="22"/>
                <w:szCs w:val="22"/>
              </w:rPr>
              <w:t>Inputs (resources)</w:t>
            </w:r>
          </w:p>
        </w:tc>
        <w:tc>
          <w:tcPr>
            <w:tcW w:w="2355" w:type="dxa"/>
            <w:tcBorders>
              <w:top w:val="single" w:color="231F20" w:sz="8"/>
              <w:left w:val="single" w:color="231F20" w:sz="8"/>
              <w:bottom w:val="single" w:color="231F20" w:sz="8"/>
              <w:right w:val="single" w:color="231F20" w:sz="8"/>
            </w:tcBorders>
            <w:shd w:val="clear" w:color="auto" w:fill="F7C9AC"/>
            <w:tcMar/>
            <w:vAlign w:val="top"/>
          </w:tcPr>
          <w:p w:rsidR="1BD866BC" w:rsidP="1BD866BC" w:rsidRDefault="1BD866BC" w14:paraId="27D90D70" w14:textId="6DC3D8A2">
            <w:pPr>
              <w:spacing w:before="132" w:beforeAutospacing="off" w:after="0" w:afterAutospacing="off" w:line="276" w:lineRule="auto"/>
              <w:ind w:left="80" w:right="103"/>
            </w:pPr>
            <w:r w:rsidRPr="1BD866BC" w:rsidR="1BD866BC">
              <w:rPr>
                <w:rFonts w:ascii="Arial" w:hAnsi="Arial" w:eastAsia="Arial" w:cs="Arial"/>
                <w:b w:val="1"/>
                <w:bCs w:val="1"/>
                <w:color w:val="231F20"/>
                <w:sz w:val="22"/>
                <w:szCs w:val="22"/>
              </w:rPr>
              <w:t>Activities (what the program does)</w:t>
            </w:r>
          </w:p>
        </w:tc>
        <w:tc>
          <w:tcPr>
            <w:tcW w:w="2610" w:type="dxa"/>
            <w:tcBorders>
              <w:top w:val="single" w:color="231F20" w:sz="8"/>
              <w:left w:val="single" w:color="231F20" w:sz="8"/>
              <w:bottom w:val="single" w:color="231F20" w:sz="8"/>
              <w:right w:val="single" w:color="231F20" w:sz="8"/>
            </w:tcBorders>
            <w:shd w:val="clear" w:color="auto" w:fill="FFE499"/>
            <w:tcMar/>
            <w:vAlign w:val="top"/>
          </w:tcPr>
          <w:p w:rsidR="1BD866BC" w:rsidP="1BD866BC" w:rsidRDefault="1BD866BC" w14:paraId="68A18F5D" w14:textId="2416113C">
            <w:pPr>
              <w:spacing w:before="132" w:beforeAutospacing="off" w:after="0" w:afterAutospacing="off" w:line="276" w:lineRule="auto"/>
              <w:ind w:left="80" w:right="533"/>
            </w:pPr>
            <w:r w:rsidRPr="1BD866BC" w:rsidR="1BD866BC">
              <w:rPr>
                <w:rFonts w:ascii="Arial" w:hAnsi="Arial" w:eastAsia="Arial" w:cs="Arial"/>
                <w:b w:val="1"/>
                <w:bCs w:val="1"/>
                <w:color w:val="231F20"/>
                <w:sz w:val="22"/>
                <w:szCs w:val="22"/>
              </w:rPr>
              <w:t>Outputs (direct results of the activities)</w:t>
            </w:r>
          </w:p>
        </w:tc>
        <w:tc>
          <w:tcPr>
            <w:tcW w:w="2490" w:type="dxa"/>
            <w:tcBorders>
              <w:top w:val="single" w:color="231F20" w:sz="8"/>
              <w:left w:val="single" w:color="231F20" w:sz="8"/>
              <w:bottom w:val="single" w:color="231F20" w:sz="8"/>
              <w:right w:val="single" w:color="231F20" w:sz="8"/>
            </w:tcBorders>
            <w:shd w:val="clear" w:color="auto" w:fill="C5DFB3"/>
            <w:tcMar/>
            <w:vAlign w:val="top"/>
          </w:tcPr>
          <w:p w:rsidR="1BD866BC" w:rsidP="1BD866BC" w:rsidRDefault="1BD866BC" w14:paraId="463E57D8" w14:textId="6DF91AD1">
            <w:pPr>
              <w:spacing w:before="132" w:beforeAutospacing="off" w:after="0" w:afterAutospacing="off" w:line="276" w:lineRule="auto"/>
              <w:ind w:left="79" w:right="0"/>
            </w:pPr>
            <w:r w:rsidRPr="1BD866BC" w:rsidR="1BD866BC">
              <w:rPr>
                <w:rFonts w:ascii="Arial" w:hAnsi="Arial" w:eastAsia="Arial" w:cs="Arial"/>
                <w:b w:val="1"/>
                <w:bCs w:val="1"/>
                <w:color w:val="231F20"/>
                <w:sz w:val="22"/>
                <w:szCs w:val="22"/>
              </w:rPr>
              <w:t>Outcomes</w:t>
            </w:r>
          </w:p>
        </w:tc>
        <w:tc>
          <w:tcPr>
            <w:tcW w:w="2100" w:type="dxa"/>
            <w:tcBorders>
              <w:top w:val="single" w:color="231F20" w:sz="8"/>
              <w:left w:val="single" w:color="231F20" w:sz="8"/>
              <w:bottom w:val="single" w:color="231F20" w:sz="8"/>
              <w:right w:val="single" w:color="231F20" w:sz="8"/>
            </w:tcBorders>
            <w:shd w:val="clear" w:color="auto" w:fill="D9D9D9" w:themeFill="background1" w:themeFillShade="D9"/>
            <w:tcMar/>
            <w:vAlign w:val="top"/>
          </w:tcPr>
          <w:p w:rsidR="1BD866BC" w:rsidP="1BD866BC" w:rsidRDefault="1BD866BC" w14:paraId="51F2D6B3" w14:textId="1047E88D">
            <w:pPr>
              <w:spacing w:before="132" w:beforeAutospacing="off" w:after="0" w:afterAutospacing="off" w:line="276" w:lineRule="auto"/>
              <w:ind w:left="79" w:right="59"/>
            </w:pPr>
            <w:r w:rsidRPr="1BD866BC" w:rsidR="1BD866BC">
              <w:rPr>
                <w:rFonts w:ascii="Arial" w:hAnsi="Arial" w:eastAsia="Arial" w:cs="Arial"/>
                <w:b w:val="1"/>
                <w:bCs w:val="1"/>
                <w:color w:val="231F20"/>
                <w:sz w:val="22"/>
                <w:szCs w:val="22"/>
              </w:rPr>
              <w:t>Impact (broad, systemic changes influenced by the quality program)</w:t>
            </w:r>
          </w:p>
        </w:tc>
      </w:tr>
      <w:tr w:rsidR="1BD866BC" w:rsidTr="1BD866BC" w14:paraId="3E16DB91">
        <w:trPr>
          <w:trHeight w:val="1350"/>
        </w:trPr>
        <w:tc>
          <w:tcPr>
            <w:tcW w:w="3150" w:type="dxa"/>
            <w:tcBorders>
              <w:top w:val="single" w:color="231F20" w:sz="8"/>
              <w:left w:val="single" w:color="231F20" w:sz="8"/>
              <w:bottom w:val="single" w:color="231F20" w:sz="8"/>
              <w:right w:val="single" w:color="231F20" w:sz="8"/>
            </w:tcBorders>
            <w:tcMar/>
            <w:vAlign w:val="top"/>
          </w:tcPr>
          <w:p w:rsidR="1BD866BC" w:rsidP="1BD866BC" w:rsidRDefault="1BD866BC" w14:paraId="1D550456" w14:textId="6BB0C027">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Specialized Staff:</w:t>
            </w:r>
            <w:r w:rsidRPr="1BD866BC" w:rsidR="1BD866BC">
              <w:rPr>
                <w:rFonts w:ascii="Arial" w:hAnsi="Arial" w:eastAsia="Arial" w:cs="Arial"/>
                <w:sz w:val="22"/>
                <w:szCs w:val="22"/>
              </w:rPr>
              <w:t xml:space="preserve"> Access to interdisciplinary palliative care teams (physicians, nurses, social workers, and chaplains).</w:t>
            </w:r>
          </w:p>
          <w:p w:rsidR="1BD866BC" w:rsidP="1BD866BC" w:rsidRDefault="1BD866BC" w14:paraId="31F9E501" w14:textId="720355A5">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Information Technology:</w:t>
            </w:r>
            <w:r w:rsidRPr="1BD866BC" w:rsidR="1BD866BC">
              <w:rPr>
                <w:rFonts w:ascii="Arial" w:hAnsi="Arial" w:eastAsia="Arial" w:cs="Arial"/>
                <w:sz w:val="22"/>
                <w:szCs w:val="22"/>
              </w:rPr>
              <w:t xml:space="preserve"> EHR-integrated prognostic tools and "triggers" that flag patients with declining functional status.</w:t>
            </w:r>
          </w:p>
          <w:p w:rsidR="1BD866BC" w:rsidP="1BD866BC" w:rsidRDefault="1BD866BC" w14:paraId="010AA62C" w14:textId="436799C2">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Clinician Training:</w:t>
            </w:r>
            <w:r w:rsidRPr="1BD866BC" w:rsidR="1BD866BC">
              <w:rPr>
                <w:rFonts w:ascii="Arial" w:hAnsi="Arial" w:eastAsia="Arial" w:cs="Arial"/>
                <w:sz w:val="22"/>
                <w:szCs w:val="22"/>
              </w:rPr>
              <w:t xml:space="preserve"> Resources for training oncologists in "Serious Illness Conversation" protocols.</w:t>
            </w:r>
          </w:p>
          <w:p w:rsidR="1BD866BC" w:rsidP="1BD866BC" w:rsidRDefault="1BD866BC" w14:paraId="6BF45707" w14:textId="39182F11">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Guidelines:</w:t>
            </w:r>
            <w:r w:rsidRPr="1BD866BC" w:rsidR="1BD866BC">
              <w:rPr>
                <w:rFonts w:ascii="Arial" w:hAnsi="Arial" w:eastAsia="Arial" w:cs="Arial"/>
                <w:sz w:val="22"/>
                <w:szCs w:val="22"/>
              </w:rPr>
              <w:t xml:space="preserve"> Clinical pathways based on ASCO and NCCN recommendations regarding the futility of late-stage systemic therapy.</w:t>
            </w:r>
          </w:p>
        </w:tc>
        <w:tc>
          <w:tcPr>
            <w:tcW w:w="2355" w:type="dxa"/>
            <w:tcBorders>
              <w:top w:val="single" w:color="231F20" w:sz="8"/>
              <w:left w:val="single" w:color="231F20" w:sz="8"/>
              <w:bottom w:val="single" w:color="231F20" w:sz="8"/>
              <w:right w:val="single" w:color="231F20" w:sz="8"/>
            </w:tcBorders>
            <w:tcMar/>
            <w:vAlign w:val="top"/>
          </w:tcPr>
          <w:p w:rsidR="1BD866BC" w:rsidP="1BD866BC" w:rsidRDefault="1BD866BC" w14:paraId="497EB349" w14:textId="18E66126">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Prognostic Disclosure:</w:t>
            </w:r>
            <w:r w:rsidRPr="1BD866BC" w:rsidR="1BD866BC">
              <w:rPr>
                <w:rFonts w:ascii="Arial" w:hAnsi="Arial" w:eastAsia="Arial" w:cs="Arial"/>
                <w:sz w:val="22"/>
                <w:szCs w:val="22"/>
              </w:rPr>
              <w:t xml:space="preserve"> Clinicians hold meetings to discuss the realistic expected course of the disease.</w:t>
            </w:r>
          </w:p>
          <w:p w:rsidR="1BD866BC" w:rsidP="1BD866BC" w:rsidRDefault="1BD866BC" w14:paraId="126B0FB8" w14:textId="50C50039">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Early Palliative Integration:</w:t>
            </w:r>
            <w:r w:rsidRPr="1BD866BC" w:rsidR="1BD866BC">
              <w:rPr>
                <w:rFonts w:ascii="Arial" w:hAnsi="Arial" w:eastAsia="Arial" w:cs="Arial"/>
                <w:sz w:val="22"/>
                <w:szCs w:val="22"/>
              </w:rPr>
              <w:t xml:space="preserve"> Referring patients to palliative care at the time of advanced cancer diagnosis, not just at the end.</w:t>
            </w:r>
          </w:p>
          <w:p w:rsidR="1BD866BC" w:rsidP="1BD866BC" w:rsidRDefault="1BD866BC" w14:paraId="5AB7CD00" w14:textId="5A814A6F">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Shared Decision-Making:</w:t>
            </w:r>
            <w:r w:rsidRPr="1BD866BC" w:rsidR="1BD866BC">
              <w:rPr>
                <w:rFonts w:ascii="Arial" w:hAnsi="Arial" w:eastAsia="Arial" w:cs="Arial"/>
                <w:sz w:val="22"/>
                <w:szCs w:val="22"/>
              </w:rPr>
              <w:t xml:space="preserve"> Using decision aids to help patients choose between further systemic therapy and comfort-focused care.</w:t>
            </w:r>
          </w:p>
          <w:p w:rsidR="1BD866BC" w:rsidP="1BD866BC" w:rsidRDefault="1BD866BC" w14:paraId="0DC7D4C9" w14:textId="271EFBB2">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b w:val="1"/>
                <w:bCs w:val="1"/>
                <w:sz w:val="22"/>
                <w:szCs w:val="22"/>
              </w:rPr>
              <w:t>Treatment De-escalation:</w:t>
            </w:r>
            <w:r w:rsidRPr="1BD866BC" w:rsidR="1BD866BC">
              <w:rPr>
                <w:rFonts w:ascii="Arial" w:hAnsi="Arial" w:eastAsia="Arial" w:cs="Arial"/>
                <w:sz w:val="22"/>
                <w:szCs w:val="22"/>
              </w:rPr>
              <w:t xml:space="preserve"> Actively reviewing and stopping systemic agents when the risks of toxicity outweigh the minimal chance of benefit.</w:t>
            </w:r>
          </w:p>
        </w:tc>
        <w:tc>
          <w:tcPr>
            <w:tcW w:w="2610" w:type="dxa"/>
            <w:tcBorders>
              <w:top w:val="single" w:color="231F20" w:sz="8"/>
              <w:left w:val="single" w:color="231F20" w:sz="8"/>
              <w:bottom w:val="single" w:color="231F20" w:sz="8"/>
              <w:right w:val="single" w:color="231F20" w:sz="8"/>
            </w:tcBorders>
            <w:tcMar/>
            <w:vAlign w:val="top"/>
          </w:tcPr>
          <w:p w:rsidR="1BD866BC" w:rsidP="1BD866BC" w:rsidRDefault="1BD866BC" w14:paraId="0E1844B1" w14:textId="67C7D078">
            <w:pPr>
              <w:pStyle w:val="ListParagraph"/>
              <w:numPr>
                <w:ilvl w:val="0"/>
                <w:numId w:val="2"/>
              </w:numPr>
              <w:spacing w:before="0" w:beforeAutospacing="off" w:after="0" w:afterAutospacing="off" w:line="276" w:lineRule="auto"/>
              <w:ind w:left="360" w:right="55" w:hanging="360"/>
              <w:rPr>
                <w:rFonts w:ascii="Arial" w:hAnsi="Arial" w:eastAsia="Arial" w:cs="Arial"/>
                <w:sz w:val="22"/>
                <w:szCs w:val="22"/>
              </w:rPr>
            </w:pPr>
            <w:r w:rsidRPr="1BD866BC" w:rsidR="1BD866BC">
              <w:rPr>
                <w:rFonts w:ascii="Arial" w:hAnsi="Arial" w:eastAsia="Arial" w:cs="Arial"/>
                <w:b w:val="1"/>
                <w:bCs w:val="1"/>
                <w:sz w:val="22"/>
                <w:szCs w:val="22"/>
              </w:rPr>
              <w:t>GOC Documentation:</w:t>
            </w:r>
            <w:r w:rsidRPr="1BD866BC" w:rsidR="1BD866BC">
              <w:rPr>
                <w:rFonts w:ascii="Arial" w:hAnsi="Arial" w:eastAsia="Arial" w:cs="Arial"/>
                <w:sz w:val="22"/>
                <w:szCs w:val="22"/>
              </w:rPr>
              <w:t xml:space="preserve"> A high percentage of patients having a "Goals of Care" (GOC) note in their electronic record.</w:t>
            </w:r>
          </w:p>
          <w:p w:rsidR="1BD866BC" w:rsidP="1BD866BC" w:rsidRDefault="1BD866BC" w14:paraId="4CF5F99C" w14:textId="07A97363">
            <w:pPr>
              <w:pStyle w:val="ListParagraph"/>
              <w:numPr>
                <w:ilvl w:val="0"/>
                <w:numId w:val="2"/>
              </w:numPr>
              <w:spacing w:before="0" w:beforeAutospacing="off" w:after="0" w:afterAutospacing="off" w:line="276" w:lineRule="auto"/>
              <w:ind w:left="360" w:right="55" w:hanging="360"/>
              <w:rPr>
                <w:rFonts w:ascii="Arial" w:hAnsi="Arial" w:eastAsia="Arial" w:cs="Arial"/>
                <w:sz w:val="22"/>
                <w:szCs w:val="22"/>
              </w:rPr>
            </w:pPr>
            <w:r w:rsidRPr="1BD866BC" w:rsidR="1BD866BC">
              <w:rPr>
                <w:rFonts w:ascii="Arial" w:hAnsi="Arial" w:eastAsia="Arial" w:cs="Arial"/>
                <w:b w:val="1"/>
                <w:bCs w:val="1"/>
                <w:sz w:val="22"/>
                <w:szCs w:val="22"/>
              </w:rPr>
              <w:t>Consultation Rates:</w:t>
            </w:r>
            <w:r w:rsidRPr="1BD866BC" w:rsidR="1BD866BC">
              <w:rPr>
                <w:rFonts w:ascii="Arial" w:hAnsi="Arial" w:eastAsia="Arial" w:cs="Arial"/>
                <w:sz w:val="22"/>
                <w:szCs w:val="22"/>
              </w:rPr>
              <w:t xml:space="preserve"> An increase in the number of palliative care consults per stage IV patient.</w:t>
            </w:r>
          </w:p>
          <w:p w:rsidR="1BD866BC" w:rsidP="1BD866BC" w:rsidRDefault="1BD866BC" w14:paraId="669A3B00" w14:textId="55564277">
            <w:pPr>
              <w:pStyle w:val="ListParagraph"/>
              <w:numPr>
                <w:ilvl w:val="0"/>
                <w:numId w:val="2"/>
              </w:numPr>
              <w:spacing w:before="0" w:beforeAutospacing="off" w:after="0" w:afterAutospacing="off" w:line="276" w:lineRule="auto"/>
              <w:ind w:left="360" w:right="55" w:hanging="360"/>
              <w:rPr>
                <w:rFonts w:ascii="Arial" w:hAnsi="Arial" w:eastAsia="Arial" w:cs="Arial"/>
                <w:sz w:val="22"/>
                <w:szCs w:val="22"/>
              </w:rPr>
            </w:pPr>
            <w:r w:rsidRPr="1BD866BC" w:rsidR="1BD866BC">
              <w:rPr>
                <w:rFonts w:ascii="Arial" w:hAnsi="Arial" w:eastAsia="Arial" w:cs="Arial"/>
                <w:b w:val="1"/>
                <w:bCs w:val="1"/>
                <w:sz w:val="22"/>
                <w:szCs w:val="22"/>
              </w:rPr>
              <w:t>Referral Timelines:</w:t>
            </w:r>
            <w:r w:rsidRPr="1BD866BC" w:rsidR="1BD866BC">
              <w:rPr>
                <w:rFonts w:ascii="Arial" w:hAnsi="Arial" w:eastAsia="Arial" w:cs="Arial"/>
                <w:sz w:val="22"/>
                <w:szCs w:val="22"/>
              </w:rPr>
              <w:t xml:space="preserve"> Earlier timing of hospice referrals (weeks before death rather than days).</w:t>
            </w:r>
          </w:p>
          <w:p w:rsidR="1BD866BC" w:rsidP="1BD866BC" w:rsidRDefault="1BD866BC" w14:paraId="6429BDE5" w14:textId="3B9020AE">
            <w:pPr>
              <w:spacing w:before="0" w:beforeAutospacing="off" w:after="0" w:afterAutospacing="off" w:line="276" w:lineRule="auto"/>
              <w:ind w:left="80" w:right="293"/>
            </w:pPr>
            <w:r w:rsidRPr="1BD866BC" w:rsidR="1BD866BC">
              <w:rPr>
                <w:rFonts w:ascii="Arial" w:hAnsi="Arial" w:eastAsia="Arial" w:cs="Arial"/>
                <w:sz w:val="22"/>
                <w:szCs w:val="22"/>
              </w:rPr>
              <w:t xml:space="preserve"> </w:t>
            </w:r>
          </w:p>
        </w:tc>
        <w:tc>
          <w:tcPr>
            <w:tcW w:w="2490" w:type="dxa"/>
            <w:tcBorders>
              <w:top w:val="single" w:color="231F20" w:sz="8"/>
              <w:left w:val="single" w:color="231F20" w:sz="8"/>
              <w:bottom w:val="single" w:color="231F20" w:sz="8"/>
              <w:right w:val="single" w:color="231F20" w:sz="8"/>
            </w:tcBorders>
            <w:tcMar/>
            <w:vAlign w:val="top"/>
          </w:tcPr>
          <w:p w:rsidR="1BD866BC" w:rsidP="1BD866BC" w:rsidRDefault="1BD866BC" w14:paraId="4F8D0B00" w14:textId="22A0DE42">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Patients and families report a clearer understanding of the disease trajectory and feel more "prepared" for the end of life.</w:t>
            </w:r>
          </w:p>
          <w:p w:rsidR="1BD866BC" w:rsidP="1BD866BC" w:rsidRDefault="1BD866BC" w14:paraId="2C72C0E6" w14:textId="1D538432">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Reduction in systemic cancer-directed therapy in the last 14-30 days of life.</w:t>
            </w:r>
          </w:p>
          <w:p w:rsidR="1BD866BC" w:rsidP="1BD866BC" w:rsidRDefault="1BD866BC" w14:paraId="3DD30997" w14:textId="58194179">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Reduction in ED visits, hospitalizations, and ICU visits (less comfort-focused). Fewer patients are subjected to invasive monitoring or mechanical ventilation when death is imminent.</w:t>
            </w:r>
          </w:p>
          <w:p w:rsidR="1BD866BC" w:rsidP="1BD866BC" w:rsidRDefault="1BD866BC" w14:paraId="25CF7221" w14:textId="3A15E752">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Increased time in hospice care.</w:t>
            </w:r>
          </w:p>
          <w:p w:rsidR="1BD866BC" w:rsidP="1BD866BC" w:rsidRDefault="1BD866BC" w14:paraId="6C81820F" w14:textId="1E46B34A">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Improved symptom control, comfort, quality of life, patient and caregiver satisfaction. A more positive experience of death.</w:t>
            </w:r>
          </w:p>
        </w:tc>
        <w:tc>
          <w:tcPr>
            <w:tcW w:w="2100" w:type="dxa"/>
            <w:tcBorders>
              <w:top w:val="single" w:color="231F20" w:sz="8"/>
              <w:left w:val="single" w:color="231F20" w:sz="8"/>
              <w:bottom w:val="single" w:color="231F20" w:sz="8"/>
              <w:right w:val="single" w:color="231F20" w:sz="8"/>
            </w:tcBorders>
            <w:tcMar/>
            <w:vAlign w:val="top"/>
          </w:tcPr>
          <w:p w:rsidR="1BD866BC" w:rsidP="1BD866BC" w:rsidRDefault="1BD866BC" w14:paraId="7013F7E6" w14:textId="36CCFC69">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Improved "Quality of Death" scores from bereaved families.</w:t>
            </w:r>
          </w:p>
          <w:p w:rsidR="1BD866BC" w:rsidP="1BD866BC" w:rsidRDefault="1BD866BC" w14:paraId="043B13F1" w14:textId="059137E9">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Reduced overall healthcare expenditures by avoiding futile high-intensity care.</w:t>
            </w:r>
          </w:p>
          <w:p w:rsidR="1BD866BC" w:rsidP="1BD866BC" w:rsidRDefault="1BD866BC" w14:paraId="45C85929" w14:textId="4443D062">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1BD866BC" w:rsidR="1BD866BC">
              <w:rPr>
                <w:rFonts w:ascii="Arial" w:hAnsi="Arial" w:eastAsia="Arial" w:cs="Arial"/>
                <w:sz w:val="22"/>
                <w:szCs w:val="22"/>
              </w:rPr>
              <w:t>Increased rates of death at home or in hospice (per patient preference).</w:t>
            </w:r>
          </w:p>
          <w:p w:rsidR="1BD866BC" w:rsidP="1BD866BC" w:rsidRDefault="1BD866BC" w14:paraId="52DD191A" w14:textId="0D2BF645">
            <w:pPr>
              <w:spacing w:before="14" w:beforeAutospacing="off" w:after="0" w:afterAutospacing="off" w:line="276" w:lineRule="auto"/>
            </w:pPr>
            <w:r w:rsidRPr="1BD866BC" w:rsidR="1BD866BC">
              <w:rPr>
                <w:rFonts w:ascii="Arial" w:hAnsi="Arial" w:eastAsia="Arial" w:cs="Arial"/>
                <w:color w:val="FF0000"/>
                <w:sz w:val="22"/>
                <w:szCs w:val="22"/>
              </w:rPr>
              <w:t xml:space="preserve"> </w:t>
            </w:r>
          </w:p>
          <w:p w:rsidR="1BD866BC" w:rsidP="1BD866BC" w:rsidRDefault="1BD866BC" w14:paraId="35A64B71" w14:textId="0E79AF76">
            <w:pPr>
              <w:spacing w:before="0" w:beforeAutospacing="off" w:after="0" w:afterAutospacing="off" w:line="276" w:lineRule="auto"/>
              <w:ind w:left="0" w:right="59"/>
            </w:pPr>
            <w:r w:rsidRPr="1BD866BC" w:rsidR="1BD866BC">
              <w:rPr>
                <w:rFonts w:ascii="Arial" w:hAnsi="Arial" w:eastAsia="Arial" w:cs="Arial"/>
                <w:color w:val="FF0000"/>
                <w:sz w:val="22"/>
                <w:szCs w:val="22"/>
              </w:rPr>
              <w:t xml:space="preserve"> </w:t>
            </w:r>
          </w:p>
        </w:tc>
      </w:tr>
      <w:tr w:rsidR="1BD866BC" w:rsidTr="1BD866BC" w14:paraId="255BC998">
        <w:trPr>
          <w:trHeight w:val="285"/>
        </w:trPr>
        <w:tc>
          <w:tcPr>
            <w:tcW w:w="12705" w:type="dxa"/>
            <w:gridSpan w:val="5"/>
            <w:tcBorders>
              <w:top w:val="single" w:color="231F20" w:sz="8"/>
              <w:left w:val="single" w:color="231F20" w:sz="8"/>
              <w:bottom w:val="single" w:color="231F20" w:sz="8"/>
              <w:right w:val="single" w:color="231F20" w:sz="8"/>
            </w:tcBorders>
            <w:shd w:val="clear" w:color="auto" w:fill="B4C5E7"/>
            <w:tcMar/>
            <w:vAlign w:val="top"/>
          </w:tcPr>
          <w:p w:rsidR="1BD866BC" w:rsidP="1BD866BC" w:rsidRDefault="1BD866BC" w14:paraId="045763A0" w14:textId="13D2C2B8">
            <w:pPr>
              <w:spacing w:before="28" w:beforeAutospacing="off" w:after="0" w:afterAutospacing="off" w:line="276" w:lineRule="auto"/>
              <w:ind w:left="79" w:right="0"/>
            </w:pPr>
            <w:r w:rsidRPr="1BD866BC" w:rsidR="1BD866BC">
              <w:rPr>
                <w:rFonts w:ascii="Arial" w:hAnsi="Arial" w:eastAsia="Arial" w:cs="Arial"/>
                <w:b w:val="1"/>
                <w:bCs w:val="1"/>
                <w:color w:val="000000" w:themeColor="text1" w:themeTint="FF" w:themeShade="FF"/>
                <w:sz w:val="22"/>
                <w:szCs w:val="22"/>
              </w:rPr>
              <w:t>Feedback Mechanisms</w:t>
            </w:r>
          </w:p>
        </w:tc>
      </w:tr>
      <w:tr w:rsidR="1BD866BC" w:rsidTr="1BD866BC" w14:paraId="2E81EE8D">
        <w:trPr>
          <w:trHeight w:val="525"/>
        </w:trPr>
        <w:tc>
          <w:tcPr>
            <w:tcW w:w="12705" w:type="dxa"/>
            <w:gridSpan w:val="5"/>
            <w:tcBorders>
              <w:top w:val="single" w:color="231F20" w:sz="8"/>
              <w:left w:val="single" w:color="231F20" w:sz="8"/>
              <w:bottom w:val="single" w:color="231F20" w:sz="8"/>
              <w:right w:val="single" w:color="231F20" w:sz="8"/>
            </w:tcBorders>
            <w:tcMar/>
            <w:vAlign w:val="top"/>
          </w:tcPr>
          <w:p w:rsidR="1BD866BC" w:rsidP="1BD866BC" w:rsidRDefault="1BD866BC" w14:paraId="07287B4A" w14:textId="44E32E2F">
            <w:pPr>
              <w:spacing w:before="18" w:beforeAutospacing="off" w:after="0" w:afterAutospacing="off" w:line="276" w:lineRule="auto"/>
              <w:ind w:left="79" w:right="0"/>
            </w:pPr>
            <w:r w:rsidRPr="1BD866BC" w:rsidR="1BD866BC">
              <w:rPr>
                <w:rFonts w:ascii="Arial" w:hAnsi="Arial" w:eastAsia="Arial" w:cs="Arial"/>
                <w:sz w:val="22"/>
                <w:szCs w:val="22"/>
              </w:rPr>
              <w:t xml:space="preserve">Entities reporting on this measure within ASCO Certified will receive performance results on a regular basis. If scores deviate greatly from benchmarks, a plan to improve performance must be submitted by the practice. </w:t>
            </w:r>
          </w:p>
        </w:tc>
      </w:tr>
      <w:tr w:rsidR="1BD866BC" w:rsidTr="1BD866BC" w14:paraId="5EB9F3AB">
        <w:trPr>
          <w:trHeight w:val="285"/>
        </w:trPr>
        <w:tc>
          <w:tcPr>
            <w:tcW w:w="12705" w:type="dxa"/>
            <w:gridSpan w:val="5"/>
            <w:tcBorders>
              <w:top w:val="single" w:color="231F20" w:sz="8"/>
              <w:left w:val="single" w:color="231F20" w:sz="8"/>
              <w:bottom w:val="single" w:color="231F20" w:sz="8"/>
              <w:right w:val="single" w:color="231F20" w:sz="8"/>
            </w:tcBorders>
            <w:shd w:val="clear" w:color="auto" w:fill="B4C5E7"/>
            <w:tcMar/>
            <w:vAlign w:val="top"/>
          </w:tcPr>
          <w:p w:rsidR="1BD866BC" w:rsidP="1BD866BC" w:rsidRDefault="1BD866BC" w14:paraId="41899861" w14:textId="0E3AE1CD">
            <w:pPr>
              <w:spacing w:before="28" w:beforeAutospacing="off" w:after="0" w:afterAutospacing="off" w:line="276" w:lineRule="auto"/>
              <w:ind w:left="79" w:right="0"/>
            </w:pPr>
            <w:r w:rsidRPr="1BD866BC" w:rsidR="1BD866BC">
              <w:rPr>
                <w:rFonts w:ascii="Arial" w:hAnsi="Arial" w:eastAsia="Arial" w:cs="Arial"/>
                <w:b w:val="1"/>
                <w:bCs w:val="1"/>
                <w:color w:val="000000" w:themeColor="text1" w:themeTint="FF" w:themeShade="FF"/>
                <w:sz w:val="22"/>
                <w:szCs w:val="22"/>
              </w:rPr>
              <w:t>Assumptions (underlying beliefs about the quality program and context)</w:t>
            </w:r>
          </w:p>
        </w:tc>
      </w:tr>
      <w:tr w:rsidR="1BD866BC" w:rsidTr="1BD866BC" w14:paraId="0556CBEA">
        <w:trPr>
          <w:trHeight w:val="1125"/>
        </w:trPr>
        <w:tc>
          <w:tcPr>
            <w:tcW w:w="12705" w:type="dxa"/>
            <w:gridSpan w:val="5"/>
            <w:tcBorders>
              <w:top w:val="single" w:color="231F20" w:sz="8"/>
              <w:left w:val="single" w:color="231F20" w:sz="8"/>
              <w:bottom w:val="single" w:color="231F20" w:sz="8"/>
              <w:right w:val="single" w:color="231F20" w:sz="8"/>
            </w:tcBorders>
            <w:tcMar/>
            <w:vAlign w:val="top"/>
          </w:tcPr>
          <w:p w:rsidR="1BD866BC" w:rsidP="1BD866BC" w:rsidRDefault="1BD866BC" w14:paraId="485610EC" w14:textId="06E8C7E8">
            <w:pPr>
              <w:pStyle w:val="ListParagraph"/>
              <w:numPr>
                <w:ilvl w:val="0"/>
                <w:numId w:val="3"/>
              </w:numPr>
              <w:spacing w:before="0" w:beforeAutospacing="off" w:after="0" w:afterAutospacing="off" w:line="276" w:lineRule="auto"/>
              <w:ind w:left="439" w:right="93" w:hanging="360"/>
              <w:rPr>
                <w:rFonts w:ascii="Arial" w:hAnsi="Arial" w:eastAsia="Arial" w:cs="Arial"/>
                <w:sz w:val="22"/>
                <w:szCs w:val="22"/>
              </w:rPr>
            </w:pPr>
            <w:r w:rsidRPr="1BD866BC" w:rsidR="1BD866BC">
              <w:rPr>
                <w:rFonts w:ascii="Arial" w:hAnsi="Arial" w:eastAsia="Arial" w:cs="Arial"/>
                <w:b w:val="1"/>
                <w:bCs w:val="1"/>
                <w:sz w:val="22"/>
                <w:szCs w:val="22"/>
              </w:rPr>
              <w:t xml:space="preserve">Patient Preference: </w:t>
            </w:r>
            <w:r w:rsidRPr="1BD866BC" w:rsidR="1BD866BC">
              <w:rPr>
                <w:rFonts w:ascii="Arial" w:hAnsi="Arial" w:eastAsia="Arial" w:cs="Arial"/>
                <w:sz w:val="22"/>
                <w:szCs w:val="22"/>
              </w:rPr>
              <w:t>We assume that when provided with accurate prognostic information, many patients will prioritize comfort and quality of life over high-toxicity treatments with low efficacy.</w:t>
            </w:r>
          </w:p>
          <w:p w:rsidR="1BD866BC" w:rsidP="1BD866BC" w:rsidRDefault="1BD866BC" w14:paraId="40462A9F" w14:textId="1060F456">
            <w:pPr>
              <w:pStyle w:val="ListParagraph"/>
              <w:numPr>
                <w:ilvl w:val="0"/>
                <w:numId w:val="3"/>
              </w:numPr>
              <w:spacing w:before="0" w:beforeAutospacing="off" w:after="0" w:afterAutospacing="off" w:line="276" w:lineRule="auto"/>
              <w:ind w:left="439" w:right="93" w:hanging="360"/>
              <w:rPr>
                <w:rFonts w:ascii="Arial" w:hAnsi="Arial" w:eastAsia="Arial" w:cs="Arial"/>
                <w:sz w:val="22"/>
                <w:szCs w:val="22"/>
              </w:rPr>
            </w:pPr>
            <w:r w:rsidRPr="1BD866BC" w:rsidR="1BD866BC">
              <w:rPr>
                <w:rFonts w:ascii="Arial" w:hAnsi="Arial" w:eastAsia="Arial" w:cs="Arial"/>
                <w:b w:val="1"/>
                <w:bCs w:val="1"/>
                <w:sz w:val="22"/>
                <w:szCs w:val="22"/>
              </w:rPr>
              <w:t xml:space="preserve">Access: </w:t>
            </w:r>
            <w:r w:rsidRPr="1BD866BC" w:rsidR="1BD866BC">
              <w:rPr>
                <w:rFonts w:ascii="Arial" w:hAnsi="Arial" w:eastAsia="Arial" w:cs="Arial"/>
                <w:sz w:val="22"/>
                <w:szCs w:val="22"/>
              </w:rPr>
              <w:t>We assume that patients have access to the recommended alternatives, such as home-based hospice or palliative supportive care.</w:t>
            </w:r>
          </w:p>
        </w:tc>
      </w:tr>
      <w:tr w:rsidR="1BD866BC" w:rsidTr="1BD866BC" w14:paraId="2F21D3F1">
        <w:trPr>
          <w:trHeight w:val="285"/>
        </w:trPr>
        <w:tc>
          <w:tcPr>
            <w:tcW w:w="12705" w:type="dxa"/>
            <w:gridSpan w:val="5"/>
            <w:tcBorders>
              <w:top w:val="single" w:color="231F20" w:sz="8"/>
              <w:left w:val="single" w:color="231F20" w:sz="8"/>
              <w:bottom w:val="single" w:color="231F20" w:sz="8"/>
              <w:right w:val="single" w:color="231F20" w:sz="8"/>
            </w:tcBorders>
            <w:shd w:val="clear" w:color="auto" w:fill="B4C5E7"/>
            <w:tcMar/>
            <w:vAlign w:val="top"/>
          </w:tcPr>
          <w:p w:rsidR="1BD866BC" w:rsidP="1BD866BC" w:rsidRDefault="1BD866BC" w14:paraId="0B29E59B" w14:textId="0F4344D9">
            <w:pPr>
              <w:spacing w:before="28" w:beforeAutospacing="off" w:after="0" w:afterAutospacing="off" w:line="276" w:lineRule="auto"/>
              <w:ind w:left="79" w:right="0"/>
            </w:pPr>
            <w:r w:rsidRPr="1BD866BC" w:rsidR="1BD866BC">
              <w:rPr>
                <w:rFonts w:ascii="Arial" w:hAnsi="Arial" w:eastAsia="Arial" w:cs="Arial"/>
                <w:b w:val="1"/>
                <w:bCs w:val="1"/>
                <w:color w:val="000000" w:themeColor="text1" w:themeTint="FF" w:themeShade="FF"/>
                <w:sz w:val="22"/>
                <w:szCs w:val="22"/>
              </w:rPr>
              <w:t>External Factors (conditions outside the quality program’s control)</w:t>
            </w:r>
          </w:p>
        </w:tc>
      </w:tr>
      <w:tr w:rsidR="1BD866BC" w:rsidTr="1BD866BC" w14:paraId="73E52EAF">
        <w:trPr>
          <w:trHeight w:val="945"/>
        </w:trPr>
        <w:tc>
          <w:tcPr>
            <w:tcW w:w="12705" w:type="dxa"/>
            <w:gridSpan w:val="5"/>
            <w:tcBorders>
              <w:top w:val="single" w:color="231F20" w:sz="8"/>
              <w:left w:val="single" w:color="231F20" w:sz="8"/>
              <w:bottom w:val="single" w:color="231F20" w:sz="8"/>
              <w:right w:val="single" w:color="231F20" w:sz="8"/>
            </w:tcBorders>
            <w:tcMar/>
            <w:vAlign w:val="top"/>
          </w:tcPr>
          <w:p w:rsidR="1BD866BC" w:rsidP="1BD866BC" w:rsidRDefault="1BD866BC" w14:paraId="5D082162" w14:textId="74EFB2D6">
            <w:pPr>
              <w:pStyle w:val="ListParagraph"/>
              <w:numPr>
                <w:ilvl w:val="0"/>
                <w:numId w:val="4"/>
              </w:numPr>
              <w:spacing w:before="0" w:beforeAutospacing="off" w:after="0" w:afterAutospacing="off" w:line="276" w:lineRule="auto"/>
              <w:ind w:left="439" w:right="0" w:hanging="360"/>
              <w:rPr>
                <w:rFonts w:ascii="Arial" w:hAnsi="Arial" w:eastAsia="Arial" w:cs="Arial"/>
                <w:sz w:val="22"/>
                <w:szCs w:val="22"/>
              </w:rPr>
            </w:pPr>
            <w:r w:rsidRPr="1BD866BC" w:rsidR="1BD866BC">
              <w:rPr>
                <w:rFonts w:ascii="Arial" w:hAnsi="Arial" w:eastAsia="Arial" w:cs="Arial"/>
                <w:b w:val="1"/>
                <w:bCs w:val="1"/>
                <w:sz w:val="22"/>
                <w:szCs w:val="22"/>
              </w:rPr>
              <w:t xml:space="preserve">New Drug Approvals: </w:t>
            </w:r>
            <w:r w:rsidRPr="1BD866BC" w:rsidR="1BD866BC">
              <w:rPr>
                <w:rFonts w:ascii="Arial" w:hAnsi="Arial" w:eastAsia="Arial" w:cs="Arial"/>
                <w:sz w:val="22"/>
                <w:szCs w:val="22"/>
              </w:rPr>
              <w:t>The availability of “low toxicity” oral therapies or immunotherapies can make it harder for clinicians to stop treatment, as they may feel the risk is lower even if the benefit is negligible.</w:t>
            </w:r>
          </w:p>
          <w:p w:rsidR="1BD866BC" w:rsidP="1BD866BC" w:rsidRDefault="1BD866BC" w14:paraId="72843023" w14:textId="019BBBC8">
            <w:pPr>
              <w:pStyle w:val="ListParagraph"/>
              <w:numPr>
                <w:ilvl w:val="0"/>
                <w:numId w:val="4"/>
              </w:numPr>
              <w:spacing w:before="0" w:beforeAutospacing="off" w:after="0" w:afterAutospacing="off" w:line="276" w:lineRule="auto"/>
              <w:ind w:left="439" w:right="0" w:hanging="360"/>
              <w:rPr>
                <w:rFonts w:ascii="Arial" w:hAnsi="Arial" w:eastAsia="Arial" w:cs="Arial"/>
                <w:sz w:val="22"/>
                <w:szCs w:val="22"/>
              </w:rPr>
            </w:pPr>
            <w:r w:rsidRPr="1BD866BC" w:rsidR="1BD866BC">
              <w:rPr>
                <w:rFonts w:ascii="Arial" w:hAnsi="Arial" w:eastAsia="Arial" w:cs="Arial"/>
                <w:b w:val="1"/>
                <w:bCs w:val="1"/>
                <w:sz w:val="22"/>
                <w:szCs w:val="22"/>
              </w:rPr>
              <w:t xml:space="preserve">Cultural Beliefs: </w:t>
            </w:r>
            <w:r w:rsidRPr="1BD866BC" w:rsidR="1BD866BC">
              <w:rPr>
                <w:rFonts w:ascii="Arial" w:hAnsi="Arial" w:eastAsia="Arial" w:cs="Arial"/>
                <w:sz w:val="22"/>
                <w:szCs w:val="22"/>
              </w:rPr>
              <w:t>Some patients or cultures view stopping therapy as "giving up," which may lead them to demand treatment regardless of clinical futility.</w:t>
            </w:r>
          </w:p>
          <w:p w:rsidR="1BD866BC" w:rsidP="1BD866BC" w:rsidRDefault="1BD866BC" w14:paraId="70328606" w14:textId="59E9AB7D">
            <w:pPr>
              <w:pStyle w:val="ListParagraph"/>
              <w:numPr>
                <w:ilvl w:val="0"/>
                <w:numId w:val="4"/>
              </w:numPr>
              <w:spacing w:before="0" w:beforeAutospacing="off" w:after="0" w:afterAutospacing="off" w:line="276" w:lineRule="auto"/>
              <w:ind w:left="439" w:right="0" w:hanging="360"/>
              <w:rPr>
                <w:rFonts w:ascii="Arial" w:hAnsi="Arial" w:eastAsia="Arial" w:cs="Arial"/>
                <w:sz w:val="22"/>
                <w:szCs w:val="22"/>
              </w:rPr>
            </w:pPr>
            <w:r w:rsidRPr="1BD866BC" w:rsidR="1BD866BC">
              <w:rPr>
                <w:rFonts w:ascii="Arial" w:hAnsi="Arial" w:eastAsia="Arial" w:cs="Arial"/>
                <w:b w:val="1"/>
                <w:bCs w:val="1"/>
                <w:sz w:val="22"/>
                <w:szCs w:val="22"/>
              </w:rPr>
              <w:t xml:space="preserve">Patient preference: </w:t>
            </w:r>
            <w:r w:rsidRPr="1BD866BC" w:rsidR="1BD866BC">
              <w:rPr>
                <w:rFonts w:ascii="Arial" w:hAnsi="Arial" w:eastAsia="Arial" w:cs="Arial"/>
                <w:sz w:val="22"/>
                <w:szCs w:val="22"/>
              </w:rPr>
              <w:t>Patients and their families may prefer to continue with systemic cancer-directed treatment.</w:t>
            </w:r>
          </w:p>
        </w:tc>
      </w:tr>
    </w:tbl>
    <w:p xmlns:wp14="http://schemas.microsoft.com/office/word/2010/wordml" w:rsidP="1BD866BC" wp14:paraId="31DFDAA9" wp14:textId="7E7F993F">
      <w:pPr>
        <w:bidi w:val="0"/>
        <w:spacing w:before="0" w:beforeAutospacing="off" w:after="0" w:afterAutospacing="off"/>
        <w:rPr>
          <w:rFonts w:ascii="Arial" w:hAnsi="Arial" w:eastAsia="Arial" w:cs="Arial"/>
          <w:noProof w:val="0"/>
          <w:sz w:val="22"/>
          <w:szCs w:val="22"/>
          <w:lang w:val="en-US"/>
        </w:rPr>
      </w:pPr>
    </w:p>
    <w:p xmlns:wp14="http://schemas.microsoft.com/office/word/2010/wordml" wp14:paraId="2C078E63" wp14:textId="3B7C34F8"/>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08e9b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df98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f50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83aa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6EABD"/>
    <w:rsid w:val="1A035321"/>
    <w:rsid w:val="1A06EABD"/>
    <w:rsid w:val="1BD8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42F3"/>
  <w15:chartTrackingRefBased/>
  <w15:docId w15:val="{F231FEE1-043B-4F6B-91E1-8D59692A35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4qm.org/document/3881" TargetMode="External" Id="R98a25e8e00c44249" /><Relationship Type="http://schemas.openxmlformats.org/officeDocument/2006/relationships/numbering" Target="numbering.xml" Id="Ra6da025af81c48d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9" ma:contentTypeDescription="Create a new document." ma:contentTypeScope="" ma:versionID="69198fd7e44866b7443acdedeae73269">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d4cad2a7d4dd8055077789fd9dc339e1"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b00968-f3d3-4a8b-8d95-fabeccc63a44}" ma:internalName="TaxCatchAll" ma:showField="CatchAllData" ma:web="c2b84374-c7b4-4c9f-a8cd-f2be2dc1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9ba519-fdf0-4d1e-822f-a497148b3b76">
      <Terms xmlns="http://schemas.microsoft.com/office/infopath/2007/PartnerControls"/>
    </lcf76f155ced4ddcb4097134ff3c332f>
    <TaxCatchAll xmlns="c2b84374-c7b4-4c9f-a8cd-f2be2dc14ae3" xsi:nil="true"/>
  </documentManagement>
</p:properties>
</file>

<file path=customXml/itemProps1.xml><?xml version="1.0" encoding="utf-8"?>
<ds:datastoreItem xmlns:ds="http://schemas.openxmlformats.org/officeDocument/2006/customXml" ds:itemID="{C417A240-5F02-427F-BD81-8A96E47E4847}"/>
</file>

<file path=customXml/itemProps2.xml><?xml version="1.0" encoding="utf-8"?>
<ds:datastoreItem xmlns:ds="http://schemas.openxmlformats.org/officeDocument/2006/customXml" ds:itemID="{C24ADD92-C515-4330-A2D2-89E6AD379D3E}"/>
</file>

<file path=customXml/itemProps3.xml><?xml version="1.0" encoding="utf-8"?>
<ds:datastoreItem xmlns:ds="http://schemas.openxmlformats.org/officeDocument/2006/customXml" ds:itemID="{5DA5B575-7CCE-461A-95B5-A9FAF459BA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Agrawal</dc:creator>
  <cp:keywords/>
  <dc:description/>
  <cp:lastModifiedBy>Neha Agrawal</cp:lastModifiedBy>
  <dcterms:created xsi:type="dcterms:W3CDTF">2026-05-01T19:16:11Z</dcterms:created>
  <dcterms:modified xsi:type="dcterms:W3CDTF">2026-05-01T19:16:51Z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y fmtid="{D5CDD505-2E9C-101B-9397-08002B2CF9AE}" pid="3" name="MediaServiceImageTags">
    <vt:lpwstr/>
  </property>
</Properties>
</file>