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E6578">
            <w:rPr>
              <w:rStyle w:val="Style1"/>
            </w:rPr>
            <w:t>0178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E6578">
            <w:rPr>
              <w:rStyle w:val="Style1"/>
            </w:rPr>
            <w:t>Improvement in Status of Surgical Wounds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15T00:00:00Z">
            <w:dateFormat w:val="M/d/yyyy"/>
            <w:lid w:val="en-US"/>
            <w:storeMappedDataAs w:val="dateTime"/>
            <w:calendar w:val="gregorian"/>
          </w:date>
        </w:sdtPr>
        <w:sdtEndPr>
          <w:rPr>
            <w:rStyle w:val="DefaultParagraphFont"/>
            <w:noProof/>
            <w:color w:val="auto"/>
            <w:u w:val="none"/>
          </w:rPr>
        </w:sdtEndPr>
        <w:sdtContent>
          <w:r w:rsidR="00AE6578">
            <w:rPr>
              <w:rStyle w:val="Style2"/>
            </w:rPr>
            <w:t>3/15/2014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E42AFC"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AE6578">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E42AFC"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E42AFC"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E42AFC"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E42AF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E42AF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AE6578" w:rsidRPr="003B1CC5" w:rsidRDefault="00AE6578" w:rsidP="002B06BD">
      <w:pPr>
        <w:ind w:left="432" w:hanging="432"/>
        <w:rPr>
          <w:iCs/>
        </w:rPr>
      </w:pPr>
    </w:p>
    <w:p w:rsidR="002B06BD" w:rsidRDefault="00AE6578" w:rsidP="00AE6578">
      <w:pPr>
        <w:ind w:left="90" w:firstLine="0"/>
        <w:rPr>
          <w:color w:val="0000FF"/>
        </w:rPr>
      </w:pPr>
      <w:r w:rsidRPr="00AE6578">
        <w:rPr>
          <w:color w:val="0000FF"/>
        </w:rPr>
        <w:t xml:space="preserve">Appropriate home health care interventions should improve the rates of surgical wounds that show </w:t>
      </w:r>
      <w:proofErr w:type="gramStart"/>
      <w:r w:rsidRPr="00AE6578">
        <w:rPr>
          <w:color w:val="0000FF"/>
        </w:rPr>
        <w:t>improvement .</w:t>
      </w:r>
      <w:proofErr w:type="gramEnd"/>
    </w:p>
    <w:p w:rsidR="00AE6578" w:rsidRPr="003B1CC5" w:rsidRDefault="00AE6578" w:rsidP="00AE6578">
      <w:pPr>
        <w:ind w:left="90" w:firstLine="0"/>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bookmarkStart w:id="5" w:name="_GoBack"/>
      <w:bookmarkEnd w:id="5"/>
    </w:p>
    <w:p w:rsidR="00AE6578" w:rsidRDefault="00AE6578" w:rsidP="00AE6578">
      <w:pPr>
        <w:ind w:left="0" w:firstLine="0"/>
      </w:pPr>
    </w:p>
    <w:p w:rsidR="00AE6578" w:rsidRPr="00AE6578" w:rsidRDefault="00AE6578" w:rsidP="00AE6578">
      <w:pPr>
        <w:ind w:left="0" w:firstLine="0"/>
        <w:rPr>
          <w:color w:val="0000FF"/>
        </w:rPr>
      </w:pPr>
      <w:r w:rsidRPr="00AE6578">
        <w:rPr>
          <w:color w:val="0000FF"/>
        </w:rPr>
        <w:t xml:space="preserve">There is evidence that there are strategies that can be undertaken </w:t>
      </w:r>
      <w:r w:rsidR="00FC552A">
        <w:rPr>
          <w:color w:val="0000FF"/>
        </w:rPr>
        <w:t xml:space="preserve">in the home health setting </w:t>
      </w:r>
      <w:r w:rsidRPr="00AE6578">
        <w:rPr>
          <w:color w:val="0000FF"/>
        </w:rPr>
        <w:t>to</w:t>
      </w:r>
      <w:r w:rsidR="00FC552A">
        <w:rPr>
          <w:color w:val="0000FF"/>
        </w:rPr>
        <w:t xml:space="preserve"> promote surgical wound healing. These include </w:t>
      </w:r>
      <w:r w:rsidRPr="00AE6578">
        <w:rPr>
          <w:color w:val="0000FF"/>
        </w:rPr>
        <w:t xml:space="preserve">the use of moist wound healing approaches, </w:t>
      </w:r>
      <w:r w:rsidR="00FC552A">
        <w:rPr>
          <w:color w:val="0000FF"/>
        </w:rPr>
        <w:t xml:space="preserve">ensuring </w:t>
      </w:r>
      <w:r w:rsidRPr="00AE6578">
        <w:rPr>
          <w:color w:val="0000FF"/>
        </w:rPr>
        <w:t>adequate nutritional intake</w:t>
      </w:r>
      <w:r w:rsidR="00FC552A">
        <w:rPr>
          <w:color w:val="0000FF"/>
        </w:rPr>
        <w:t>,</w:t>
      </w:r>
      <w:r w:rsidRPr="00AE6578">
        <w:rPr>
          <w:color w:val="0000FF"/>
        </w:rPr>
        <w:t xml:space="preserve"> and </w:t>
      </w:r>
      <w:r w:rsidR="00FC552A">
        <w:rPr>
          <w:color w:val="0000FF"/>
        </w:rPr>
        <w:t xml:space="preserve">providing patient education on </w:t>
      </w:r>
      <w:r w:rsidRPr="00AE6578">
        <w:rPr>
          <w:color w:val="0000FF"/>
        </w:rPr>
        <w:t xml:space="preserve">self-care </w:t>
      </w:r>
      <w:r w:rsidR="00FC552A">
        <w:rPr>
          <w:color w:val="0000FF"/>
        </w:rPr>
        <w:t xml:space="preserve">measures such as </w:t>
      </w:r>
      <w:r w:rsidRPr="00AE6578">
        <w:rPr>
          <w:color w:val="0000FF"/>
        </w:rPr>
        <w:t>keepi</w:t>
      </w:r>
      <w:r w:rsidR="00FC552A">
        <w:rPr>
          <w:color w:val="0000FF"/>
        </w:rPr>
        <w:t>ng the wound bed clean and dry,</w:t>
      </w:r>
      <w:r w:rsidR="00FC552A" w:rsidRPr="00FC552A">
        <w:rPr>
          <w:color w:val="0000FF"/>
        </w:rPr>
        <w:t xml:space="preserve"> avoiding activities that cause skin torsion or tension near the wound, lifting restrictions, and </w:t>
      </w:r>
      <w:r w:rsidR="00FC552A">
        <w:rPr>
          <w:color w:val="0000FF"/>
        </w:rPr>
        <w:t xml:space="preserve">identifying </w:t>
      </w:r>
      <w:r w:rsidR="00FC552A" w:rsidRPr="00FC552A">
        <w:rPr>
          <w:color w:val="0000FF"/>
        </w:rPr>
        <w:t xml:space="preserve"> signs and symptoms of wound deterioration and/or infection that need to be reported </w:t>
      </w:r>
      <w:r w:rsidR="00FC552A">
        <w:rPr>
          <w:color w:val="0000FF"/>
        </w:rPr>
        <w:t>.</w:t>
      </w:r>
    </w:p>
    <w:p w:rsidR="00D14F0B"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AE6578" w:rsidRPr="00766614" w:rsidRDefault="00AE6578" w:rsidP="002E2177">
      <w:pPr>
        <w:ind w:left="0" w:firstLine="0"/>
        <w:rPr>
          <w:color w:val="1F497D" w:themeColor="text2"/>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E42AFC"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E42AFC"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E42AFC"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E42AFC"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Default="00AE6578" w:rsidP="00E42AFC">
      <w:pPr>
        <w:ind w:left="0" w:firstLine="0"/>
        <w:rPr>
          <w:color w:val="0000FF"/>
        </w:rPr>
      </w:pPr>
      <w:r w:rsidRPr="00AE6578">
        <w:rPr>
          <w:color w:val="0000FF"/>
        </w:rPr>
        <w:t>A search of guideline.gov with the terms “surgical wounds” or “surgical wounds” and “home care” did not return any relevant guidelines. There are condition-specific guidelines (e.g. peripheral arterial disease) but no guidelines that provide evidence on care of surgical wounds post-hospital discharge.</w:t>
      </w:r>
      <w:r w:rsidR="00FC552A">
        <w:rPr>
          <w:color w:val="0000FF"/>
        </w:rPr>
        <w:t xml:space="preserve"> </w:t>
      </w:r>
      <w:r w:rsidR="00FC552A" w:rsidRPr="00FC552A">
        <w:rPr>
          <w:color w:val="0000FF"/>
        </w:rPr>
        <w:t xml:space="preserve">Most of the clinical practice guidelines and recommendations for preventing surgical site infections are pre-, </w:t>
      </w:r>
      <w:proofErr w:type="spellStart"/>
      <w:r w:rsidR="00FC552A" w:rsidRPr="00FC552A">
        <w:rPr>
          <w:color w:val="0000FF"/>
        </w:rPr>
        <w:t>peri</w:t>
      </w:r>
      <w:proofErr w:type="spellEnd"/>
      <w:r w:rsidR="00FC552A" w:rsidRPr="00FC552A">
        <w:rPr>
          <w:color w:val="0000FF"/>
        </w:rPr>
        <w:t xml:space="preserve">- and immediately post-operative, including work from the Centers for Disease Control (CDC) on surgical site infections. </w:t>
      </w:r>
    </w:p>
    <w:p w:rsidR="00AE6578" w:rsidRPr="003B1CC5" w:rsidRDefault="00AE6578"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766614" w:rsidRPr="00766614" w:rsidRDefault="00766614" w:rsidP="00766614">
      <w:pPr>
        <w:ind w:left="0" w:firstLine="0"/>
      </w:pPr>
    </w:p>
    <w:p w:rsidR="00766614" w:rsidRPr="00766614" w:rsidRDefault="00766614" w:rsidP="00766614">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E42AFC"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E42AFC"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E42AFC" w:rsidRDefault="00E42AFC" w:rsidP="002E2177">
      <w:pPr>
        <w:ind w:left="0" w:firstLine="0"/>
        <w:rPr>
          <w:i/>
        </w:rPr>
      </w:pPr>
    </w:p>
    <w:p w:rsidR="00E42AFC" w:rsidRPr="00E42AFC" w:rsidRDefault="00E42AFC" w:rsidP="00E42AFC">
      <w:pPr>
        <w:ind w:left="0" w:firstLine="0"/>
        <w:rPr>
          <w:color w:val="0000FF"/>
        </w:rPr>
      </w:pPr>
      <w:r w:rsidRPr="00E42AFC">
        <w:rPr>
          <w:color w:val="0000FF"/>
        </w:rPr>
        <w:t xml:space="preserve">Home-based surgical wound care follows well-known tenets, including keeping the wound clean and dry, avoiding activities that cause skin torsion or tension near the wound, lifting restrictions, and adequate nutritional intake.  Patient education practices for surgical wound care include these items as well as education on signs and symptoms of wound deterioration and/or infection that need to be reported (Doughty, 2004).  Patients cared for by wound, ostomy, </w:t>
      </w:r>
      <w:proofErr w:type="gramStart"/>
      <w:r w:rsidRPr="00E42AFC">
        <w:rPr>
          <w:color w:val="0000FF"/>
        </w:rPr>
        <w:t>continence</w:t>
      </w:r>
      <w:proofErr w:type="gramEnd"/>
      <w:r w:rsidRPr="00E42AFC">
        <w:rPr>
          <w:color w:val="0000FF"/>
        </w:rPr>
        <w:t xml:space="preserve"> certified nurses have better outcomes for all wound types, including surgical wounds than patients whose care is provided by non-WOCN nurses (Bliss et al., 2013)</w:t>
      </w:r>
    </w:p>
    <w:p w:rsidR="00E42AFC" w:rsidRPr="00E42AFC" w:rsidRDefault="00E42AFC" w:rsidP="002E2177">
      <w:pPr>
        <w:ind w:left="0" w:firstLine="0"/>
        <w:rPr>
          <w:color w:val="0000FF"/>
        </w:rPr>
      </w:pPr>
    </w:p>
    <w:p w:rsidR="00E42AFC" w:rsidRPr="00E42AFC" w:rsidRDefault="00E42AFC" w:rsidP="002E2177">
      <w:pPr>
        <w:ind w:left="0" w:firstLine="0"/>
        <w:rPr>
          <w:color w:val="0000FF"/>
        </w:rPr>
      </w:pPr>
      <w:r w:rsidRPr="00E42AFC">
        <w:rPr>
          <w:color w:val="0000FF"/>
        </w:rPr>
        <w:t>Although there is evidence to support the benefits of specialized wound care dressings (e.g., moist wound healing) in reducing surgical site infections, the evidence remains controversial due to the low quality of the studies, which compromises the randomized controlled trials (RCTs) used in the meta-analyses and systematic reviews (</w:t>
      </w:r>
      <w:proofErr w:type="spellStart"/>
      <w:r w:rsidRPr="00E42AFC">
        <w:rPr>
          <w:color w:val="0000FF"/>
        </w:rPr>
        <w:t>Dumville</w:t>
      </w:r>
      <w:proofErr w:type="spellEnd"/>
      <w:r w:rsidRPr="00E42AFC">
        <w:rPr>
          <w:color w:val="0000FF"/>
        </w:rPr>
        <w:t xml:space="preserve"> et al., 2011). The primary limitations in the RCTs include small sample sizes and low event rates, affecting the statistical power. There is no recent (i.e., in last 5 years) published research on the resource use associated with surgical wound deterioration in home health care.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E42AFC" w:rsidRPr="00E42AFC" w:rsidRDefault="00E42AFC" w:rsidP="00E42AFC">
      <w:pPr>
        <w:ind w:left="0" w:firstLine="0"/>
        <w:rPr>
          <w:color w:val="0000FF"/>
        </w:rPr>
      </w:pPr>
      <w:r w:rsidRPr="00E42AFC">
        <w:rPr>
          <w:color w:val="0000FF"/>
        </w:rPr>
        <w:t xml:space="preserve">Bliss, D. Z., </w:t>
      </w:r>
      <w:proofErr w:type="spellStart"/>
      <w:r w:rsidRPr="00E42AFC">
        <w:rPr>
          <w:color w:val="0000FF"/>
        </w:rPr>
        <w:t>Westra</w:t>
      </w:r>
      <w:proofErr w:type="spellEnd"/>
      <w:r w:rsidRPr="00E42AFC">
        <w:rPr>
          <w:color w:val="0000FF"/>
        </w:rPr>
        <w:t xml:space="preserve">, B. L., </w:t>
      </w:r>
      <w:proofErr w:type="spellStart"/>
      <w:r w:rsidRPr="00E42AFC">
        <w:rPr>
          <w:color w:val="0000FF"/>
        </w:rPr>
        <w:t>Savik</w:t>
      </w:r>
      <w:proofErr w:type="spellEnd"/>
      <w:r w:rsidRPr="00E42AFC">
        <w:rPr>
          <w:color w:val="0000FF"/>
        </w:rPr>
        <w:t xml:space="preserve">, K., &amp; </w:t>
      </w:r>
      <w:proofErr w:type="spellStart"/>
      <w:r w:rsidRPr="00E42AFC">
        <w:rPr>
          <w:color w:val="0000FF"/>
        </w:rPr>
        <w:t>Hou</w:t>
      </w:r>
      <w:proofErr w:type="spellEnd"/>
      <w:r w:rsidRPr="00E42AFC">
        <w:rPr>
          <w:color w:val="0000FF"/>
        </w:rPr>
        <w:t xml:space="preserve">, Y. (2013). </w:t>
      </w:r>
      <w:proofErr w:type="gramStart"/>
      <w:r w:rsidRPr="00E42AFC">
        <w:rPr>
          <w:color w:val="0000FF"/>
        </w:rPr>
        <w:t>Effectiveness of wound, ostomy and continence-certified nurses on individual patient outcomes in home health care.</w:t>
      </w:r>
      <w:proofErr w:type="gramEnd"/>
      <w:r w:rsidRPr="00E42AFC">
        <w:rPr>
          <w:color w:val="0000FF"/>
        </w:rPr>
        <w:t xml:space="preserve"> J </w:t>
      </w:r>
      <w:proofErr w:type="spellStart"/>
      <w:proofErr w:type="gramStart"/>
      <w:r w:rsidRPr="00E42AFC">
        <w:rPr>
          <w:color w:val="0000FF"/>
        </w:rPr>
        <w:t>Wound.Ostomy.Continence.Nurs</w:t>
      </w:r>
      <w:proofErr w:type="spellEnd"/>
      <w:r w:rsidRPr="00E42AFC">
        <w:rPr>
          <w:color w:val="0000FF"/>
        </w:rPr>
        <w:t>.,</w:t>
      </w:r>
      <w:proofErr w:type="gramEnd"/>
      <w:r w:rsidRPr="00E42AFC">
        <w:rPr>
          <w:color w:val="0000FF"/>
        </w:rPr>
        <w:t xml:space="preserve"> 40, 135-142.</w:t>
      </w:r>
    </w:p>
    <w:p w:rsidR="00E42AFC" w:rsidRPr="00E42AFC" w:rsidRDefault="00E42AFC" w:rsidP="00E42AFC">
      <w:pPr>
        <w:ind w:left="0" w:firstLine="0"/>
        <w:rPr>
          <w:color w:val="0000FF"/>
        </w:rPr>
      </w:pPr>
    </w:p>
    <w:p w:rsidR="00E42AFC" w:rsidRPr="00E42AFC" w:rsidRDefault="00E42AFC" w:rsidP="00E42AFC">
      <w:pPr>
        <w:ind w:left="0" w:firstLine="0"/>
        <w:rPr>
          <w:color w:val="0000FF"/>
        </w:rPr>
      </w:pPr>
      <w:proofErr w:type="gramStart"/>
      <w:r w:rsidRPr="00E42AFC">
        <w:rPr>
          <w:color w:val="0000FF"/>
        </w:rPr>
        <w:t>Doughty, D. B. (2004).</w:t>
      </w:r>
      <w:proofErr w:type="gramEnd"/>
      <w:r w:rsidRPr="00E42AFC">
        <w:rPr>
          <w:color w:val="0000FF"/>
        </w:rPr>
        <w:t xml:space="preserve"> Preventing and managing surgical wound dehiscence. </w:t>
      </w:r>
      <w:proofErr w:type="spellStart"/>
      <w:r w:rsidRPr="00E42AFC">
        <w:rPr>
          <w:color w:val="0000FF"/>
        </w:rPr>
        <w:t>Home.Healthc.Nurse</w:t>
      </w:r>
      <w:proofErr w:type="spellEnd"/>
      <w:r w:rsidRPr="00E42AFC">
        <w:rPr>
          <w:color w:val="0000FF"/>
        </w:rPr>
        <w:t>, 22, 364-367.</w:t>
      </w:r>
    </w:p>
    <w:p w:rsidR="00E42AFC" w:rsidRPr="00E42AFC" w:rsidRDefault="00E42AFC" w:rsidP="00E42AFC">
      <w:pPr>
        <w:ind w:left="0" w:firstLine="0"/>
        <w:rPr>
          <w:color w:val="0000FF"/>
        </w:rPr>
      </w:pPr>
    </w:p>
    <w:p w:rsidR="00E42AFC" w:rsidRPr="00E42AFC" w:rsidRDefault="00E42AFC" w:rsidP="00E42AFC">
      <w:pPr>
        <w:ind w:left="0" w:firstLine="0"/>
        <w:rPr>
          <w:color w:val="0000FF"/>
        </w:rPr>
      </w:pPr>
      <w:proofErr w:type="spellStart"/>
      <w:proofErr w:type="gramStart"/>
      <w:r w:rsidRPr="00E42AFC">
        <w:rPr>
          <w:color w:val="0000FF"/>
        </w:rPr>
        <w:t>Dumville</w:t>
      </w:r>
      <w:proofErr w:type="spellEnd"/>
      <w:r w:rsidRPr="00E42AFC">
        <w:rPr>
          <w:color w:val="0000FF"/>
        </w:rPr>
        <w:t>, J. C., Walter, C. J., Sharp, C. A., &amp; Page, T. (2011).</w:t>
      </w:r>
      <w:proofErr w:type="gramEnd"/>
      <w:r w:rsidRPr="00E42AFC">
        <w:rPr>
          <w:color w:val="0000FF"/>
        </w:rPr>
        <w:t xml:space="preserve"> </w:t>
      </w:r>
      <w:proofErr w:type="gramStart"/>
      <w:r w:rsidRPr="00E42AFC">
        <w:rPr>
          <w:color w:val="0000FF"/>
        </w:rPr>
        <w:t>Dressings for the prevention of surgical site infection.</w:t>
      </w:r>
      <w:proofErr w:type="gramEnd"/>
      <w:r w:rsidRPr="00E42AFC">
        <w:rPr>
          <w:color w:val="0000FF"/>
        </w:rPr>
        <w:t xml:space="preserve"> </w:t>
      </w:r>
      <w:proofErr w:type="spellStart"/>
      <w:proofErr w:type="gramStart"/>
      <w:r w:rsidRPr="00E42AFC">
        <w:rPr>
          <w:color w:val="0000FF"/>
        </w:rPr>
        <w:t>Cochrane.Database.Syst.Rev</w:t>
      </w:r>
      <w:proofErr w:type="spellEnd"/>
      <w:r w:rsidRPr="00E42AFC">
        <w:rPr>
          <w:color w:val="0000FF"/>
        </w:rPr>
        <w:t>.,</w:t>
      </w:r>
      <w:proofErr w:type="gramEnd"/>
      <w:r w:rsidRPr="00E42AFC">
        <w:rPr>
          <w:color w:val="0000FF"/>
        </w:rPr>
        <w:t xml:space="preserve"> CD003091.</w:t>
      </w:r>
    </w:p>
    <w:sectPr w:rsidR="00E42AFC" w:rsidRPr="00E42AFC">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42AFC">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6614"/>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57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42AFC"/>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C552A"/>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E15BFD"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15BFD"/>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DBD7-6446-485A-B32F-A512BE78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Deborah Deitz</cp:lastModifiedBy>
  <cp:revision>2</cp:revision>
  <dcterms:created xsi:type="dcterms:W3CDTF">2014-03-13T18:32:00Z</dcterms:created>
  <dcterms:modified xsi:type="dcterms:W3CDTF">2014-03-13T18:32:00Z</dcterms:modified>
</cp:coreProperties>
</file>