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260C81">
            <w:rPr>
              <w:rStyle w:val="Style1"/>
            </w:rPr>
            <w:t>0178</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260C81">
            <w:rPr>
              <w:rStyle w:val="Style1"/>
              <w:rFonts w:cstheme="minorHAnsi"/>
            </w:rPr>
            <w:t>Improvement in Status of Surgical Wounds</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3-17T00:00:00Z">
            <w:dateFormat w:val="M/d/yyyy"/>
            <w:lid w:val="en-US"/>
            <w:storeMappedDataAs w:val="dateTime"/>
            <w:calendar w:val="gregorian"/>
          </w:date>
        </w:sdtPr>
        <w:sdtEndPr>
          <w:rPr>
            <w:rStyle w:val="DefaultParagraphFont"/>
            <w:noProof/>
            <w:color w:val="auto"/>
            <w:u w:val="none"/>
          </w:rPr>
        </w:sdtEndPr>
        <w:sdtContent>
          <w:r w:rsidR="00260C81">
            <w:rPr>
              <w:rStyle w:val="Style2"/>
              <w:rFonts w:cstheme="minorHAnsi"/>
            </w:rPr>
            <w:t>3/17/2014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2C3650"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2C3650"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2C3650"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2C3650"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2C3650"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2C3650"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2C3650"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2C3650"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2C3650" w:rsidP="00260C81">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260C81">
                  <w:rPr>
                    <w:rStyle w:val="Style1"/>
                  </w:rPr>
                  <w:t>Electronic Clinical Data</w:t>
                </w:r>
              </w:sdtContent>
            </w:sdt>
          </w:p>
        </w:tc>
        <w:tc>
          <w:tcPr>
            <w:tcW w:w="4847" w:type="dxa"/>
          </w:tcPr>
          <w:p w:rsidR="00A01494" w:rsidRPr="00A01494" w:rsidRDefault="002C3650" w:rsidP="00260C81">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260C81">
                  <w:rPr>
                    <w:rStyle w:val="Style1"/>
                  </w:rPr>
                  <w:t>Electronic Clinical Data</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Pr="0032079E" w:rsidRDefault="00260C81" w:rsidP="00DB3627">
      <w:pPr>
        <w:autoSpaceDE w:val="0"/>
        <w:autoSpaceDN w:val="0"/>
        <w:adjustRightInd w:val="0"/>
        <w:spacing w:after="0" w:line="240" w:lineRule="auto"/>
        <w:rPr>
          <w:rFonts w:cstheme="minorHAnsi"/>
          <w:bCs/>
        </w:rPr>
      </w:pPr>
      <w:r>
        <w:t>Home Health OASIS-C</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id w:val="950514773"/>
          <w:text/>
        </w:sdtPr>
        <w:sdtEndPr/>
        <w:sdtContent>
          <w:r w:rsidR="00260C81">
            <w:t>July 1, 2012 to June 30, 2013</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260C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2C3650"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2A104C" w:rsidRDefault="002B5016" w:rsidP="0032079E">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2A104C">
        <w:t>To calculate the intra</w:t>
      </w:r>
      <w:r w:rsidR="00302997">
        <w:t>-</w:t>
      </w:r>
      <w:r w:rsidR="002A104C">
        <w:t xml:space="preserve">class correlation (ICC) </w:t>
      </w:r>
      <w:r w:rsidR="00793860">
        <w:t>as part of</w:t>
      </w:r>
      <w:r w:rsidR="002A104C">
        <w:t xml:space="preserve"> </w:t>
      </w:r>
      <w:r w:rsidR="002A104C" w:rsidRPr="00BB35E1">
        <w:t>reliability test</w:t>
      </w:r>
      <w:r w:rsidR="002A104C">
        <w:t>ing</w:t>
      </w:r>
      <w:r w:rsidR="002A104C" w:rsidRPr="00BB35E1">
        <w:t xml:space="preserve">, </w:t>
      </w:r>
      <w:r w:rsidR="002A104C">
        <w:t xml:space="preserve">the measure developer included Medicare-certified agencies with at least 40 home health quality episodes </w:t>
      </w:r>
      <w:r w:rsidR="007007C3">
        <w:t>ending</w:t>
      </w:r>
      <w:r w:rsidR="002A104C">
        <w:t xml:space="preserve"> between July 1, 2012 and June 30, 2013 and meeting the measure denominator criteria. There were </w:t>
      </w:r>
      <w:r w:rsidR="00DC493A">
        <w:t>2,905</w:t>
      </w:r>
      <w:r w:rsidR="002A104C">
        <w:t xml:space="preserve"> such agencies (</w:t>
      </w:r>
      <w:r w:rsidR="00DC493A">
        <w:t xml:space="preserve">30.4 </w:t>
      </w:r>
      <w:r w:rsidR="002A104C">
        <w:t xml:space="preserve">percent of the </w:t>
      </w:r>
      <w:r w:rsidR="00DC493A">
        <w:t>9,556</w:t>
      </w:r>
      <w:r w:rsidR="00E24109">
        <w:t xml:space="preserve"> </w:t>
      </w:r>
      <w:r w:rsidR="002A104C">
        <w:t xml:space="preserve">agencies with at least one quality episode </w:t>
      </w:r>
      <w:r w:rsidR="007007C3">
        <w:t>ending</w:t>
      </w:r>
      <w:r w:rsidR="002A104C">
        <w:t xml:space="preserve"> du</w:t>
      </w:r>
      <w:r w:rsidR="00793860">
        <w:t>ring the same time period).  The</w:t>
      </w:r>
      <w:r w:rsidR="002A104C">
        <w:t xml:space="preserve"> sample included all quality episodes (</w:t>
      </w:r>
      <w:r w:rsidR="00302997">
        <w:t>511,636</w:t>
      </w:r>
      <w:r w:rsidR="00E24109">
        <w:t xml:space="preserve"> </w:t>
      </w:r>
      <w:r w:rsidR="002A104C">
        <w:t>in total) from July 1, 2012 to June 30, 2013.</w:t>
      </w:r>
    </w:p>
    <w:p w:rsidR="002E78A0" w:rsidRDefault="00302997" w:rsidP="00DF2415">
      <w:r>
        <w:lastRenderedPageBreak/>
        <w:t>To calcul</w:t>
      </w:r>
      <w:r w:rsidR="00793860">
        <w:t>ate the beta-binomial scores (as part of</w:t>
      </w:r>
      <w:r>
        <w:t xml:space="preserve"> reliability testing</w:t>
      </w:r>
      <w:r w:rsidR="00793860">
        <w:t>)</w:t>
      </w:r>
      <w:r>
        <w:t xml:space="preserve"> and conduct analyses related to</w:t>
      </w:r>
      <w:r w:rsidR="0032079E" w:rsidRPr="00BB35E1">
        <w:t xml:space="preserve"> </w:t>
      </w:r>
      <w:r w:rsidR="00A27B3E">
        <w:t>validity</w:t>
      </w:r>
      <w:r w:rsidR="002A104C">
        <w:t xml:space="preserve"> </w:t>
      </w:r>
      <w:r w:rsidR="0032079E" w:rsidRPr="00BB35E1">
        <w:t>testing</w:t>
      </w:r>
      <w:r w:rsidR="008B687B">
        <w:t xml:space="preserve"> and </w:t>
      </w:r>
      <w:r w:rsidR="002A104C">
        <w:t xml:space="preserve">exclusions, the measure developer included Medicare-certified agencies with at least 20 home health quality episodes </w:t>
      </w:r>
      <w:r w:rsidR="007007C3">
        <w:t>ending</w:t>
      </w:r>
      <w:r w:rsidR="002A104C">
        <w:t xml:space="preserve"> between July 1, 2012 and June 30, 2013 and meeting the measure denominator criteria. There were </w:t>
      </w:r>
      <w:r w:rsidR="00DC493A">
        <w:t>4,258</w:t>
      </w:r>
      <w:r w:rsidR="00E24109">
        <w:t xml:space="preserve"> </w:t>
      </w:r>
      <w:r w:rsidR="002A104C">
        <w:t>such agencies (</w:t>
      </w:r>
      <w:r w:rsidR="00DC493A">
        <w:t>44.6</w:t>
      </w:r>
      <w:r w:rsidR="00E24109">
        <w:t xml:space="preserve"> </w:t>
      </w:r>
      <w:r w:rsidR="002A104C">
        <w:t xml:space="preserve">percent of the </w:t>
      </w:r>
      <w:r w:rsidR="00DC493A">
        <w:t>9,556</w:t>
      </w:r>
      <w:r w:rsidR="00E24109">
        <w:t xml:space="preserve"> </w:t>
      </w:r>
      <w:r w:rsidR="002A104C">
        <w:t>agencies with at least one quality episode ending du</w:t>
      </w:r>
      <w:r w:rsidR="00793860">
        <w:t>ring the same time period).  The</w:t>
      </w:r>
      <w:r w:rsidR="002A104C">
        <w:t xml:space="preserve"> sample included all quality episodes (</w:t>
      </w:r>
      <w:r>
        <w:t>549,983</w:t>
      </w:r>
      <w:r w:rsidR="00E24109">
        <w:t xml:space="preserve"> </w:t>
      </w:r>
      <w:r w:rsidR="002A104C">
        <w:t>in total) from July 1, 2012 to June 30, 2013.</w:t>
      </w:r>
    </w:p>
    <w:p w:rsidR="008B687B" w:rsidRDefault="008B687B" w:rsidP="00DF2415">
      <w:r>
        <w:t>The risk adjustment model was developed using OASIS national repository data from assessments submitted between January 1, 2010 and September 30, 2010 (</w:t>
      </w:r>
      <w:r w:rsidR="00941A17">
        <w:t xml:space="preserve">which included </w:t>
      </w:r>
      <w:r>
        <w:t xml:space="preserve">~ 3 million episodes of care).  </w:t>
      </w:r>
    </w:p>
    <w:p w:rsidR="0032079E" w:rsidRDefault="002B5016" w:rsidP="0032079E">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32079E">
        <w:t xml:space="preserve">In terms of Medicare-certified agencies with at </w:t>
      </w:r>
      <w:r w:rsidR="003737B1">
        <w:t xml:space="preserve">least 40 home health quality episodes </w:t>
      </w:r>
      <w:r w:rsidR="007007C3">
        <w:t>ending</w:t>
      </w:r>
      <w:r w:rsidR="003737B1">
        <w:t xml:space="preserve"> between July 1, 2012 and June 30, 2013 and meeting the measure denominator criteria, </w:t>
      </w:r>
      <w:r w:rsidR="0032079E">
        <w:t xml:space="preserve">the data represented </w:t>
      </w:r>
      <w:r w:rsidR="00DC493A">
        <w:t>496,279</w:t>
      </w:r>
      <w:r w:rsidR="0032079E" w:rsidRPr="00BB35E1">
        <w:rPr>
          <w:rFonts w:eastAsia="Times New Roman" w:cs="Segoe UI"/>
          <w:color w:val="000000"/>
        </w:rPr>
        <w:t xml:space="preserve"> </w:t>
      </w:r>
      <w:r w:rsidR="0032079E">
        <w:t xml:space="preserve">patients.  The table below identifies these patients by population group. </w:t>
      </w:r>
    </w:p>
    <w:p w:rsidR="000736E0" w:rsidRDefault="0032079E" w:rsidP="0032079E">
      <w:pPr>
        <w:spacing w:after="0"/>
        <w:jc w:val="center"/>
        <w:rPr>
          <w:b/>
        </w:rPr>
      </w:pPr>
      <w:r w:rsidRPr="00DF2415">
        <w:rPr>
          <w:b/>
        </w:rPr>
        <w:t>Number/Percentage of Patients Represente</w:t>
      </w:r>
      <w:r w:rsidR="003737B1">
        <w:rPr>
          <w:b/>
        </w:rPr>
        <w:t>d in HHAs with At Least 40</w:t>
      </w:r>
      <w:r w:rsidR="000736E0">
        <w:rPr>
          <w:b/>
        </w:rPr>
        <w:t xml:space="preserve"> Valid</w:t>
      </w:r>
      <w:r w:rsidR="003737B1">
        <w:rPr>
          <w:b/>
        </w:rPr>
        <w:t xml:space="preserve"> Episodes</w:t>
      </w:r>
      <w:r w:rsidRPr="00DF2415">
        <w:rPr>
          <w:b/>
        </w:rPr>
        <w:t xml:space="preserve">, </w:t>
      </w:r>
    </w:p>
    <w:p w:rsidR="0032079E" w:rsidRDefault="0032079E" w:rsidP="0032079E">
      <w:pPr>
        <w:spacing w:after="0"/>
        <w:jc w:val="center"/>
        <w:rPr>
          <w:b/>
        </w:rPr>
      </w:pPr>
      <w:r w:rsidRPr="00DF2415">
        <w:rPr>
          <w:b/>
        </w:rPr>
        <w:t>By Population Group</w:t>
      </w:r>
    </w:p>
    <w:tbl>
      <w:tblPr>
        <w:tblW w:w="6095" w:type="dxa"/>
        <w:jc w:val="center"/>
        <w:tblInd w:w="93" w:type="dxa"/>
        <w:tblLook w:val="04A0" w:firstRow="1" w:lastRow="0" w:firstColumn="1" w:lastColumn="0" w:noHBand="0" w:noVBand="1"/>
      </w:tblPr>
      <w:tblGrid>
        <w:gridCol w:w="1580"/>
        <w:gridCol w:w="1520"/>
        <w:gridCol w:w="1472"/>
        <w:gridCol w:w="1523"/>
      </w:tblGrid>
      <w:tr w:rsidR="00DC493A" w:rsidRPr="00DC493A" w:rsidTr="00302997">
        <w:trPr>
          <w:trHeight w:val="300"/>
          <w:jc w:val="center"/>
        </w:trPr>
        <w:tc>
          <w:tcPr>
            <w:tcW w:w="3100" w:type="dxa"/>
            <w:gridSpan w:val="2"/>
            <w:tcBorders>
              <w:top w:val="single" w:sz="8" w:space="0" w:color="auto"/>
              <w:left w:val="single" w:sz="8" w:space="0" w:color="auto"/>
              <w:bottom w:val="single" w:sz="4" w:space="0" w:color="auto"/>
              <w:right w:val="single" w:sz="4" w:space="0" w:color="auto"/>
            </w:tcBorders>
            <w:shd w:val="clear" w:color="auto" w:fill="CDECFF"/>
            <w:noWrap/>
            <w:vAlign w:val="center"/>
            <w:hideMark/>
          </w:tcPr>
          <w:p w:rsidR="00DC493A" w:rsidRPr="00DC493A" w:rsidRDefault="00DC493A" w:rsidP="00DC493A">
            <w:pPr>
              <w:spacing w:after="0" w:line="240" w:lineRule="auto"/>
              <w:jc w:val="center"/>
              <w:rPr>
                <w:rFonts w:ascii="Calibri" w:eastAsia="Times New Roman" w:hAnsi="Calibri" w:cs="Times New Roman"/>
                <w:b/>
                <w:bCs/>
                <w:color w:val="000000"/>
              </w:rPr>
            </w:pPr>
            <w:r w:rsidRPr="00DC493A">
              <w:rPr>
                <w:rFonts w:ascii="Calibri" w:eastAsia="Times New Roman" w:hAnsi="Calibri" w:cs="Times New Roman"/>
                <w:b/>
                <w:bCs/>
                <w:color w:val="000000"/>
              </w:rPr>
              <w:t>Population Group</w:t>
            </w:r>
          </w:p>
        </w:tc>
        <w:tc>
          <w:tcPr>
            <w:tcW w:w="1472" w:type="dxa"/>
            <w:tcBorders>
              <w:top w:val="single" w:sz="8" w:space="0" w:color="auto"/>
              <w:left w:val="nil"/>
              <w:bottom w:val="single" w:sz="4" w:space="0" w:color="auto"/>
              <w:right w:val="single" w:sz="4" w:space="0" w:color="auto"/>
            </w:tcBorders>
            <w:shd w:val="clear" w:color="auto" w:fill="CDECFF"/>
            <w:noWrap/>
            <w:vAlign w:val="center"/>
            <w:hideMark/>
          </w:tcPr>
          <w:p w:rsidR="00DC493A" w:rsidRPr="00DC493A" w:rsidRDefault="00DC493A" w:rsidP="00DC493A">
            <w:pPr>
              <w:spacing w:after="0" w:line="240" w:lineRule="auto"/>
              <w:jc w:val="center"/>
              <w:rPr>
                <w:rFonts w:ascii="Calibri" w:eastAsia="Times New Roman" w:hAnsi="Calibri" w:cs="Times New Roman"/>
                <w:b/>
                <w:bCs/>
                <w:color w:val="000000"/>
              </w:rPr>
            </w:pPr>
            <w:r w:rsidRPr="00DC493A">
              <w:rPr>
                <w:rFonts w:ascii="Calibri" w:eastAsia="Times New Roman" w:hAnsi="Calibri" w:cs="Times New Roman"/>
                <w:b/>
                <w:bCs/>
                <w:color w:val="000000"/>
              </w:rPr>
              <w:t># of Patients</w:t>
            </w:r>
          </w:p>
        </w:tc>
        <w:tc>
          <w:tcPr>
            <w:tcW w:w="1523" w:type="dxa"/>
            <w:tcBorders>
              <w:top w:val="single" w:sz="8" w:space="0" w:color="auto"/>
              <w:left w:val="nil"/>
              <w:bottom w:val="single" w:sz="4" w:space="0" w:color="auto"/>
              <w:right w:val="single" w:sz="8" w:space="0" w:color="auto"/>
            </w:tcBorders>
            <w:shd w:val="clear" w:color="auto" w:fill="CDECFF"/>
            <w:noWrap/>
            <w:vAlign w:val="center"/>
            <w:hideMark/>
          </w:tcPr>
          <w:p w:rsidR="00DC493A" w:rsidRPr="00DC493A" w:rsidRDefault="00DC493A" w:rsidP="00DC493A">
            <w:pPr>
              <w:spacing w:after="0" w:line="240" w:lineRule="auto"/>
              <w:jc w:val="center"/>
              <w:rPr>
                <w:rFonts w:ascii="Calibri" w:eastAsia="Times New Roman" w:hAnsi="Calibri" w:cs="Times New Roman"/>
                <w:b/>
                <w:bCs/>
                <w:color w:val="000000"/>
              </w:rPr>
            </w:pPr>
            <w:r w:rsidRPr="00DC493A">
              <w:rPr>
                <w:rFonts w:ascii="Calibri" w:eastAsia="Times New Roman" w:hAnsi="Calibri" w:cs="Times New Roman"/>
                <w:b/>
                <w:bCs/>
                <w:color w:val="000000"/>
              </w:rPr>
              <w:t>% of Patients</w:t>
            </w:r>
          </w:p>
        </w:tc>
      </w:tr>
      <w:tr w:rsidR="00DC493A" w:rsidRPr="00DC493A" w:rsidTr="00302997">
        <w:trPr>
          <w:trHeight w:val="300"/>
          <w:jc w:val="center"/>
        </w:trPr>
        <w:tc>
          <w:tcPr>
            <w:tcW w:w="310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b/>
                <w:bCs/>
                <w:color w:val="000000"/>
              </w:rPr>
            </w:pPr>
            <w:r w:rsidRPr="00DC493A">
              <w:rPr>
                <w:rFonts w:eastAsia="Times New Roman" w:cs="Times New Roman"/>
                <w:b/>
                <w:bCs/>
                <w:color w:val="000000"/>
              </w:rPr>
              <w:t>Total</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b/>
                <w:bCs/>
                <w:color w:val="000000"/>
              </w:rPr>
            </w:pPr>
            <w:r w:rsidRPr="00DC493A">
              <w:rPr>
                <w:rFonts w:eastAsia="Times New Roman" w:cs="Times New Roman"/>
                <w:b/>
                <w:bCs/>
                <w:color w:val="000000"/>
              </w:rPr>
              <w:t>496,279</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b/>
                <w:bCs/>
                <w:color w:val="000000"/>
              </w:rPr>
            </w:pPr>
            <w:r w:rsidRPr="00DC493A">
              <w:rPr>
                <w:rFonts w:eastAsia="Times New Roman" w:cs="Times New Roman"/>
                <w:b/>
                <w:bCs/>
                <w:color w:val="000000"/>
              </w:rPr>
              <w:t>100%</w:t>
            </w:r>
          </w:p>
        </w:tc>
      </w:tr>
      <w:tr w:rsidR="00DC493A" w:rsidRPr="00DC493A" w:rsidTr="00302997">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Gender</w:t>
            </w: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Male</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211,695</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43%</w:t>
            </w:r>
          </w:p>
        </w:tc>
      </w:tr>
      <w:tr w:rsidR="00DC493A" w:rsidRPr="00DC493A"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Female</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284,584</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57%</w:t>
            </w:r>
          </w:p>
        </w:tc>
      </w:tr>
      <w:tr w:rsidR="00DC493A" w:rsidRPr="00DC493A" w:rsidTr="00302997">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Race</w:t>
            </w: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White</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411,557</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83%</w:t>
            </w:r>
          </w:p>
        </w:tc>
      </w:tr>
      <w:tr w:rsidR="00DC493A" w:rsidRPr="00DC493A"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Black</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48,832</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10%</w:t>
            </w:r>
          </w:p>
        </w:tc>
      </w:tr>
      <w:tr w:rsidR="00DC493A" w:rsidRPr="00DC493A"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Hispanic</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26,251</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5%</w:t>
            </w:r>
          </w:p>
        </w:tc>
      </w:tr>
      <w:tr w:rsidR="00DC493A" w:rsidRPr="00DC493A"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Other</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9,639</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2%</w:t>
            </w:r>
          </w:p>
        </w:tc>
      </w:tr>
      <w:tr w:rsidR="00DC493A" w:rsidRPr="00DC493A" w:rsidTr="00302997">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Age</w:t>
            </w: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Under 65</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111,375</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22%</w:t>
            </w:r>
          </w:p>
        </w:tc>
      </w:tr>
      <w:tr w:rsidR="00DC493A" w:rsidRPr="00DC493A"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65-74</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199,164</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40%</w:t>
            </w:r>
          </w:p>
        </w:tc>
      </w:tr>
      <w:tr w:rsidR="00DC493A" w:rsidRPr="00DC493A"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75-84</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140,263</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28%</w:t>
            </w:r>
          </w:p>
        </w:tc>
      </w:tr>
      <w:tr w:rsidR="00DC493A" w:rsidRPr="00DC493A"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85 and Over</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45,477</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9%</w:t>
            </w:r>
          </w:p>
        </w:tc>
      </w:tr>
      <w:tr w:rsidR="00DC493A" w:rsidRPr="00DC493A" w:rsidTr="00302997">
        <w:trPr>
          <w:trHeight w:val="1185"/>
          <w:jc w:val="center"/>
        </w:trPr>
        <w:tc>
          <w:tcPr>
            <w:tcW w:w="1580" w:type="dxa"/>
            <w:vMerge w:val="restart"/>
            <w:tcBorders>
              <w:top w:val="nil"/>
              <w:left w:val="single" w:sz="8" w:space="0" w:color="auto"/>
              <w:bottom w:val="single" w:sz="4" w:space="0" w:color="auto"/>
              <w:right w:val="single" w:sz="4" w:space="0" w:color="auto"/>
            </w:tcBorders>
            <w:shd w:val="clear" w:color="auto" w:fill="auto"/>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Currently or Originally Eligible for Medicare Due to Disability</w:t>
            </w: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Yes</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113,421</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23%</w:t>
            </w:r>
          </w:p>
        </w:tc>
      </w:tr>
      <w:tr w:rsidR="00DC493A" w:rsidRPr="00DC493A"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No</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382,858</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77%</w:t>
            </w:r>
          </w:p>
        </w:tc>
      </w:tr>
      <w:tr w:rsidR="00DC493A" w:rsidRPr="00DC493A" w:rsidTr="00302997">
        <w:trPr>
          <w:trHeight w:val="585"/>
          <w:jc w:val="center"/>
        </w:trPr>
        <w:tc>
          <w:tcPr>
            <w:tcW w:w="1580" w:type="dxa"/>
            <w:vMerge w:val="restart"/>
            <w:tcBorders>
              <w:top w:val="nil"/>
              <w:left w:val="single" w:sz="8" w:space="0" w:color="auto"/>
              <w:bottom w:val="single" w:sz="8" w:space="0" w:color="000000"/>
              <w:right w:val="single" w:sz="4" w:space="0" w:color="auto"/>
            </w:tcBorders>
            <w:shd w:val="clear" w:color="auto" w:fill="auto"/>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Dual Enrollment in Medicare and Medicaid</w:t>
            </w:r>
          </w:p>
        </w:tc>
        <w:tc>
          <w:tcPr>
            <w:tcW w:w="1520"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Yes</w:t>
            </w:r>
          </w:p>
        </w:tc>
        <w:tc>
          <w:tcPr>
            <w:tcW w:w="1472" w:type="dxa"/>
            <w:tcBorders>
              <w:top w:val="nil"/>
              <w:left w:val="nil"/>
              <w:bottom w:val="single" w:sz="4"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75,843</w:t>
            </w:r>
          </w:p>
        </w:tc>
        <w:tc>
          <w:tcPr>
            <w:tcW w:w="1523" w:type="dxa"/>
            <w:tcBorders>
              <w:top w:val="nil"/>
              <w:left w:val="nil"/>
              <w:bottom w:val="single" w:sz="4"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15%</w:t>
            </w:r>
          </w:p>
        </w:tc>
      </w:tr>
      <w:tr w:rsidR="00DC493A" w:rsidRPr="00DC493A" w:rsidTr="00302997">
        <w:trPr>
          <w:trHeight w:val="315"/>
          <w:jc w:val="center"/>
        </w:trPr>
        <w:tc>
          <w:tcPr>
            <w:tcW w:w="1580" w:type="dxa"/>
            <w:vMerge/>
            <w:tcBorders>
              <w:top w:val="nil"/>
              <w:left w:val="single" w:sz="8" w:space="0" w:color="auto"/>
              <w:bottom w:val="single" w:sz="8" w:space="0" w:color="000000"/>
              <w:right w:val="single" w:sz="4" w:space="0" w:color="auto"/>
            </w:tcBorders>
            <w:vAlign w:val="center"/>
            <w:hideMark/>
          </w:tcPr>
          <w:p w:rsidR="00DC493A" w:rsidRPr="00DC493A" w:rsidRDefault="00DC493A" w:rsidP="00DC493A">
            <w:pPr>
              <w:spacing w:after="0" w:line="240" w:lineRule="auto"/>
              <w:rPr>
                <w:rFonts w:eastAsia="Times New Roman" w:cs="Times New Roman"/>
                <w:color w:val="000000"/>
              </w:rPr>
            </w:pPr>
          </w:p>
        </w:tc>
        <w:tc>
          <w:tcPr>
            <w:tcW w:w="1520" w:type="dxa"/>
            <w:tcBorders>
              <w:top w:val="nil"/>
              <w:left w:val="nil"/>
              <w:bottom w:val="single" w:sz="8"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No</w:t>
            </w:r>
          </w:p>
        </w:tc>
        <w:tc>
          <w:tcPr>
            <w:tcW w:w="1472" w:type="dxa"/>
            <w:tcBorders>
              <w:top w:val="nil"/>
              <w:left w:val="nil"/>
              <w:bottom w:val="single" w:sz="8" w:space="0" w:color="auto"/>
              <w:right w:val="single" w:sz="4"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420,436</w:t>
            </w:r>
          </w:p>
        </w:tc>
        <w:tc>
          <w:tcPr>
            <w:tcW w:w="1523" w:type="dxa"/>
            <w:tcBorders>
              <w:top w:val="nil"/>
              <w:left w:val="nil"/>
              <w:bottom w:val="single" w:sz="8" w:space="0" w:color="auto"/>
              <w:right w:val="single" w:sz="8" w:space="0" w:color="auto"/>
            </w:tcBorders>
            <w:shd w:val="clear" w:color="auto" w:fill="auto"/>
            <w:noWrap/>
            <w:vAlign w:val="center"/>
            <w:hideMark/>
          </w:tcPr>
          <w:p w:rsidR="00DC493A" w:rsidRPr="00DC493A" w:rsidRDefault="00DC493A" w:rsidP="00DC493A">
            <w:pPr>
              <w:spacing w:after="0" w:line="240" w:lineRule="auto"/>
              <w:jc w:val="center"/>
              <w:rPr>
                <w:rFonts w:eastAsia="Times New Roman" w:cs="Times New Roman"/>
                <w:color w:val="000000"/>
              </w:rPr>
            </w:pPr>
            <w:r w:rsidRPr="00DC493A">
              <w:rPr>
                <w:rFonts w:eastAsia="Times New Roman" w:cs="Times New Roman"/>
                <w:color w:val="000000"/>
              </w:rPr>
              <w:t>85%</w:t>
            </w:r>
          </w:p>
        </w:tc>
      </w:tr>
    </w:tbl>
    <w:p w:rsidR="0032079E" w:rsidRDefault="0032079E" w:rsidP="0032079E"/>
    <w:p w:rsidR="002D454E" w:rsidRDefault="002D454E" w:rsidP="002D454E">
      <w:pPr>
        <w:spacing w:after="0"/>
      </w:pPr>
      <w:r>
        <w:t xml:space="preserve">In terms of Medicare-certified agencies with at least 20 home health quality episodes </w:t>
      </w:r>
      <w:r w:rsidR="007007C3">
        <w:t>ending</w:t>
      </w:r>
      <w:r>
        <w:t xml:space="preserve"> between July 1, 2012 and June 30, 2013 and meeting the measure denominator criteria, the data represented </w:t>
      </w:r>
      <w:r w:rsidR="00DC493A">
        <w:rPr>
          <w:rFonts w:eastAsia="Times New Roman" w:cs="Segoe UI"/>
          <w:color w:val="000000"/>
        </w:rPr>
        <w:t>533,302</w:t>
      </w:r>
      <w:r w:rsidRPr="00BB35E1">
        <w:rPr>
          <w:rFonts w:eastAsia="Times New Roman" w:cs="Segoe UI"/>
          <w:color w:val="000000"/>
        </w:rPr>
        <w:t xml:space="preserve"> </w:t>
      </w:r>
      <w:r>
        <w:t xml:space="preserve">patients.  The table below identifies these patients by population group. </w:t>
      </w:r>
    </w:p>
    <w:p w:rsidR="002D454E" w:rsidRDefault="002D454E" w:rsidP="002D454E">
      <w:pPr>
        <w:spacing w:after="0"/>
      </w:pPr>
    </w:p>
    <w:p w:rsidR="000736E0" w:rsidRDefault="0032079E" w:rsidP="000736E0">
      <w:pPr>
        <w:spacing w:after="0"/>
        <w:jc w:val="center"/>
        <w:rPr>
          <w:b/>
        </w:rPr>
      </w:pPr>
      <w:r w:rsidRPr="00DF2415">
        <w:rPr>
          <w:b/>
        </w:rPr>
        <w:t xml:space="preserve">Number/Percentage of Patients Represented in HHAs with At Least 20 </w:t>
      </w:r>
      <w:r w:rsidR="000736E0">
        <w:rPr>
          <w:b/>
        </w:rPr>
        <w:t xml:space="preserve">Valid </w:t>
      </w:r>
      <w:r w:rsidR="002D454E">
        <w:rPr>
          <w:b/>
        </w:rPr>
        <w:t>Episodes</w:t>
      </w:r>
      <w:r w:rsidRPr="00DF2415">
        <w:rPr>
          <w:b/>
        </w:rPr>
        <w:t xml:space="preserve">, </w:t>
      </w:r>
    </w:p>
    <w:p w:rsidR="007422FD" w:rsidRDefault="0032079E" w:rsidP="00DC493A">
      <w:pPr>
        <w:spacing w:after="0"/>
        <w:jc w:val="center"/>
        <w:rPr>
          <w:b/>
        </w:rPr>
      </w:pPr>
      <w:r w:rsidRPr="00DF2415">
        <w:rPr>
          <w:b/>
        </w:rPr>
        <w:t>By Population Group</w:t>
      </w:r>
    </w:p>
    <w:tbl>
      <w:tblPr>
        <w:tblW w:w="6095" w:type="dxa"/>
        <w:jc w:val="center"/>
        <w:tblInd w:w="93" w:type="dxa"/>
        <w:tblLook w:val="04A0" w:firstRow="1" w:lastRow="0" w:firstColumn="1" w:lastColumn="0" w:noHBand="0" w:noVBand="1"/>
      </w:tblPr>
      <w:tblGrid>
        <w:gridCol w:w="1580"/>
        <w:gridCol w:w="1520"/>
        <w:gridCol w:w="1472"/>
        <w:gridCol w:w="1523"/>
      </w:tblGrid>
      <w:tr w:rsidR="00B10111" w:rsidRPr="00B10111" w:rsidTr="00302997">
        <w:trPr>
          <w:trHeight w:val="300"/>
          <w:jc w:val="center"/>
        </w:trPr>
        <w:tc>
          <w:tcPr>
            <w:tcW w:w="3100" w:type="dxa"/>
            <w:gridSpan w:val="2"/>
            <w:tcBorders>
              <w:top w:val="single" w:sz="8" w:space="0" w:color="auto"/>
              <w:left w:val="single" w:sz="8" w:space="0" w:color="auto"/>
              <w:bottom w:val="single" w:sz="4" w:space="0" w:color="auto"/>
              <w:right w:val="single" w:sz="4" w:space="0" w:color="auto"/>
            </w:tcBorders>
            <w:shd w:val="clear" w:color="auto" w:fill="CDECFF"/>
            <w:noWrap/>
            <w:vAlign w:val="center"/>
            <w:hideMark/>
          </w:tcPr>
          <w:p w:rsidR="00B10111" w:rsidRPr="00B10111" w:rsidRDefault="00B10111" w:rsidP="00B10111">
            <w:pPr>
              <w:spacing w:after="0" w:line="240" w:lineRule="auto"/>
              <w:jc w:val="center"/>
              <w:rPr>
                <w:rFonts w:eastAsia="Times New Roman" w:cs="Times New Roman"/>
                <w:b/>
                <w:bCs/>
                <w:color w:val="000000"/>
              </w:rPr>
            </w:pPr>
            <w:r w:rsidRPr="00B10111">
              <w:rPr>
                <w:rFonts w:eastAsia="Times New Roman" w:cs="Times New Roman"/>
                <w:b/>
                <w:bCs/>
                <w:color w:val="000000"/>
              </w:rPr>
              <w:t>Population Group</w:t>
            </w:r>
          </w:p>
        </w:tc>
        <w:tc>
          <w:tcPr>
            <w:tcW w:w="1472" w:type="dxa"/>
            <w:tcBorders>
              <w:top w:val="single" w:sz="8" w:space="0" w:color="auto"/>
              <w:left w:val="nil"/>
              <w:bottom w:val="single" w:sz="4" w:space="0" w:color="auto"/>
              <w:right w:val="single" w:sz="4" w:space="0" w:color="auto"/>
            </w:tcBorders>
            <w:shd w:val="clear" w:color="auto" w:fill="CDECFF"/>
            <w:noWrap/>
            <w:vAlign w:val="center"/>
            <w:hideMark/>
          </w:tcPr>
          <w:p w:rsidR="00B10111" w:rsidRPr="00B10111" w:rsidRDefault="00B10111" w:rsidP="00B10111">
            <w:pPr>
              <w:spacing w:after="0" w:line="240" w:lineRule="auto"/>
              <w:jc w:val="center"/>
              <w:rPr>
                <w:rFonts w:eastAsia="Times New Roman" w:cs="Times New Roman"/>
                <w:b/>
                <w:bCs/>
                <w:color w:val="000000"/>
              </w:rPr>
            </w:pPr>
            <w:r w:rsidRPr="00B10111">
              <w:rPr>
                <w:rFonts w:eastAsia="Times New Roman" w:cs="Times New Roman"/>
                <w:b/>
                <w:bCs/>
                <w:color w:val="000000"/>
              </w:rPr>
              <w:t># of Patients</w:t>
            </w:r>
          </w:p>
        </w:tc>
        <w:tc>
          <w:tcPr>
            <w:tcW w:w="1523" w:type="dxa"/>
            <w:tcBorders>
              <w:top w:val="single" w:sz="8" w:space="0" w:color="auto"/>
              <w:left w:val="nil"/>
              <w:bottom w:val="single" w:sz="4" w:space="0" w:color="auto"/>
              <w:right w:val="single" w:sz="8" w:space="0" w:color="auto"/>
            </w:tcBorders>
            <w:shd w:val="clear" w:color="auto" w:fill="CDECFF"/>
            <w:noWrap/>
            <w:vAlign w:val="center"/>
            <w:hideMark/>
          </w:tcPr>
          <w:p w:rsidR="00B10111" w:rsidRPr="00B10111" w:rsidRDefault="00B10111" w:rsidP="00B10111">
            <w:pPr>
              <w:spacing w:after="0" w:line="240" w:lineRule="auto"/>
              <w:jc w:val="center"/>
              <w:rPr>
                <w:rFonts w:eastAsia="Times New Roman" w:cs="Times New Roman"/>
                <w:b/>
                <w:bCs/>
                <w:color w:val="000000"/>
              </w:rPr>
            </w:pPr>
            <w:r w:rsidRPr="00B10111">
              <w:rPr>
                <w:rFonts w:eastAsia="Times New Roman" w:cs="Times New Roman"/>
                <w:b/>
                <w:bCs/>
                <w:color w:val="000000"/>
              </w:rPr>
              <w:t>% of Patients</w:t>
            </w:r>
          </w:p>
        </w:tc>
      </w:tr>
      <w:tr w:rsidR="00B10111" w:rsidRPr="00B10111" w:rsidTr="00302997">
        <w:trPr>
          <w:trHeight w:val="300"/>
          <w:jc w:val="center"/>
        </w:trPr>
        <w:tc>
          <w:tcPr>
            <w:tcW w:w="310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b/>
                <w:bCs/>
                <w:color w:val="000000"/>
              </w:rPr>
            </w:pPr>
            <w:r w:rsidRPr="00B10111">
              <w:rPr>
                <w:rFonts w:eastAsia="Times New Roman" w:cs="Times New Roman"/>
                <w:b/>
                <w:bCs/>
                <w:color w:val="000000"/>
              </w:rPr>
              <w:t>Total</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b/>
                <w:bCs/>
                <w:color w:val="000000"/>
              </w:rPr>
            </w:pPr>
            <w:r w:rsidRPr="00B10111">
              <w:rPr>
                <w:rFonts w:eastAsia="Times New Roman" w:cs="Times New Roman"/>
                <w:b/>
                <w:bCs/>
                <w:color w:val="000000"/>
              </w:rPr>
              <w:t>533,302</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b/>
                <w:bCs/>
                <w:color w:val="000000"/>
              </w:rPr>
            </w:pPr>
            <w:r w:rsidRPr="00B10111">
              <w:rPr>
                <w:rFonts w:eastAsia="Times New Roman" w:cs="Times New Roman"/>
                <w:b/>
                <w:bCs/>
                <w:color w:val="000000"/>
              </w:rPr>
              <w:t>100%</w:t>
            </w:r>
          </w:p>
        </w:tc>
      </w:tr>
      <w:tr w:rsidR="00B10111" w:rsidRPr="00B10111" w:rsidTr="00302997">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Gender</w:t>
            </w: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Male</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227,080</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43%</w:t>
            </w:r>
          </w:p>
        </w:tc>
      </w:tr>
      <w:tr w:rsidR="00B10111" w:rsidRPr="00B10111"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Female</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306,222</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57%</w:t>
            </w:r>
          </w:p>
        </w:tc>
      </w:tr>
      <w:tr w:rsidR="00B10111" w:rsidRPr="00B10111" w:rsidTr="00302997">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Race</w:t>
            </w: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White</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440,898</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83%</w:t>
            </w:r>
          </w:p>
        </w:tc>
      </w:tr>
      <w:tr w:rsidR="00B10111" w:rsidRPr="00B10111"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Black</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52,046</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10%</w:t>
            </w:r>
          </w:p>
        </w:tc>
      </w:tr>
      <w:tr w:rsidR="00B10111" w:rsidRPr="00B10111"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Hispanic</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29,642</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6%</w:t>
            </w:r>
          </w:p>
        </w:tc>
      </w:tr>
      <w:tr w:rsidR="00B10111" w:rsidRPr="00B10111"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Other</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10,716</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2%</w:t>
            </w:r>
          </w:p>
        </w:tc>
      </w:tr>
      <w:tr w:rsidR="00B10111" w:rsidRPr="00B10111" w:rsidTr="00302997">
        <w:trPr>
          <w:trHeight w:val="300"/>
          <w:jc w:val="center"/>
        </w:trPr>
        <w:tc>
          <w:tcPr>
            <w:tcW w:w="15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Age</w:t>
            </w: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Under 65</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120,001</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23%</w:t>
            </w:r>
          </w:p>
        </w:tc>
      </w:tr>
      <w:tr w:rsidR="00B10111" w:rsidRPr="00B10111"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65-74</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212,716</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40%</w:t>
            </w:r>
          </w:p>
        </w:tc>
      </w:tr>
      <w:tr w:rsidR="00B10111" w:rsidRPr="00B10111"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75-84</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150,961</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28%</w:t>
            </w:r>
          </w:p>
        </w:tc>
      </w:tr>
      <w:tr w:rsidR="00B10111" w:rsidRPr="00B10111"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85 and Over</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49,624</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9%</w:t>
            </w:r>
          </w:p>
        </w:tc>
      </w:tr>
      <w:tr w:rsidR="00B10111" w:rsidRPr="00B10111" w:rsidTr="00302997">
        <w:trPr>
          <w:trHeight w:val="1185"/>
          <w:jc w:val="center"/>
        </w:trPr>
        <w:tc>
          <w:tcPr>
            <w:tcW w:w="1580" w:type="dxa"/>
            <w:vMerge w:val="restart"/>
            <w:tcBorders>
              <w:top w:val="nil"/>
              <w:left w:val="single" w:sz="8" w:space="0" w:color="auto"/>
              <w:bottom w:val="single" w:sz="4" w:space="0" w:color="auto"/>
              <w:right w:val="single" w:sz="4" w:space="0" w:color="auto"/>
            </w:tcBorders>
            <w:shd w:val="clear" w:color="auto" w:fill="auto"/>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Currently or Originally Eligible for Medicare Due to Disability</w:t>
            </w: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Yes</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122,901</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23%</w:t>
            </w:r>
          </w:p>
        </w:tc>
      </w:tr>
      <w:tr w:rsidR="00B10111" w:rsidRPr="00B10111" w:rsidTr="00302997">
        <w:trPr>
          <w:trHeight w:val="300"/>
          <w:jc w:val="center"/>
        </w:trPr>
        <w:tc>
          <w:tcPr>
            <w:tcW w:w="1580" w:type="dxa"/>
            <w:vMerge/>
            <w:tcBorders>
              <w:top w:val="nil"/>
              <w:left w:val="single" w:sz="8" w:space="0" w:color="auto"/>
              <w:bottom w:val="single" w:sz="4" w:space="0" w:color="auto"/>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No</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410,401</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77%</w:t>
            </w:r>
          </w:p>
        </w:tc>
      </w:tr>
      <w:tr w:rsidR="00B10111" w:rsidRPr="00B10111" w:rsidTr="00302997">
        <w:trPr>
          <w:trHeight w:val="585"/>
          <w:jc w:val="center"/>
        </w:trPr>
        <w:tc>
          <w:tcPr>
            <w:tcW w:w="1580" w:type="dxa"/>
            <w:vMerge w:val="restart"/>
            <w:tcBorders>
              <w:top w:val="nil"/>
              <w:left w:val="single" w:sz="8" w:space="0" w:color="auto"/>
              <w:bottom w:val="single" w:sz="8" w:space="0" w:color="000000"/>
              <w:right w:val="single" w:sz="4" w:space="0" w:color="auto"/>
            </w:tcBorders>
            <w:shd w:val="clear" w:color="auto" w:fill="auto"/>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Dual Enrollment in Medicare and Medicaid</w:t>
            </w:r>
          </w:p>
        </w:tc>
        <w:tc>
          <w:tcPr>
            <w:tcW w:w="1520"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Yes</w:t>
            </w:r>
          </w:p>
        </w:tc>
        <w:tc>
          <w:tcPr>
            <w:tcW w:w="1472" w:type="dxa"/>
            <w:tcBorders>
              <w:top w:val="nil"/>
              <w:left w:val="nil"/>
              <w:bottom w:val="single" w:sz="4"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83,741</w:t>
            </w:r>
          </w:p>
        </w:tc>
        <w:tc>
          <w:tcPr>
            <w:tcW w:w="1523" w:type="dxa"/>
            <w:tcBorders>
              <w:top w:val="nil"/>
              <w:left w:val="nil"/>
              <w:bottom w:val="single" w:sz="4"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16%</w:t>
            </w:r>
          </w:p>
        </w:tc>
      </w:tr>
      <w:tr w:rsidR="00B10111" w:rsidRPr="00B10111" w:rsidTr="00302997">
        <w:trPr>
          <w:trHeight w:val="315"/>
          <w:jc w:val="center"/>
        </w:trPr>
        <w:tc>
          <w:tcPr>
            <w:tcW w:w="1580" w:type="dxa"/>
            <w:vMerge/>
            <w:tcBorders>
              <w:top w:val="nil"/>
              <w:left w:val="single" w:sz="8" w:space="0" w:color="auto"/>
              <w:bottom w:val="single" w:sz="8" w:space="0" w:color="000000"/>
              <w:right w:val="single" w:sz="4" w:space="0" w:color="auto"/>
            </w:tcBorders>
            <w:vAlign w:val="center"/>
            <w:hideMark/>
          </w:tcPr>
          <w:p w:rsidR="00B10111" w:rsidRPr="00B10111" w:rsidRDefault="00B10111" w:rsidP="00B10111">
            <w:pPr>
              <w:spacing w:after="0" w:line="240" w:lineRule="auto"/>
              <w:rPr>
                <w:rFonts w:eastAsia="Times New Roman" w:cs="Times New Roman"/>
                <w:color w:val="000000"/>
              </w:rPr>
            </w:pPr>
          </w:p>
        </w:tc>
        <w:tc>
          <w:tcPr>
            <w:tcW w:w="1520" w:type="dxa"/>
            <w:tcBorders>
              <w:top w:val="nil"/>
              <w:left w:val="nil"/>
              <w:bottom w:val="single" w:sz="8"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No</w:t>
            </w:r>
          </w:p>
        </w:tc>
        <w:tc>
          <w:tcPr>
            <w:tcW w:w="1472" w:type="dxa"/>
            <w:tcBorders>
              <w:top w:val="nil"/>
              <w:left w:val="nil"/>
              <w:bottom w:val="single" w:sz="8" w:space="0" w:color="auto"/>
              <w:right w:val="single" w:sz="4"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449,561</w:t>
            </w:r>
          </w:p>
        </w:tc>
        <w:tc>
          <w:tcPr>
            <w:tcW w:w="1523" w:type="dxa"/>
            <w:tcBorders>
              <w:top w:val="nil"/>
              <w:left w:val="nil"/>
              <w:bottom w:val="single" w:sz="8" w:space="0" w:color="auto"/>
              <w:right w:val="single" w:sz="8" w:space="0" w:color="auto"/>
            </w:tcBorders>
            <w:shd w:val="clear" w:color="auto" w:fill="auto"/>
            <w:noWrap/>
            <w:vAlign w:val="center"/>
            <w:hideMark/>
          </w:tcPr>
          <w:p w:rsidR="00B10111" w:rsidRPr="00B10111" w:rsidRDefault="00B10111" w:rsidP="00B10111">
            <w:pPr>
              <w:spacing w:after="0" w:line="240" w:lineRule="auto"/>
              <w:jc w:val="center"/>
              <w:rPr>
                <w:rFonts w:eastAsia="Times New Roman" w:cs="Times New Roman"/>
                <w:color w:val="000000"/>
              </w:rPr>
            </w:pPr>
            <w:r w:rsidRPr="00B10111">
              <w:rPr>
                <w:rFonts w:eastAsia="Times New Roman" w:cs="Times New Roman"/>
                <w:color w:val="000000"/>
              </w:rPr>
              <w:t>84%</w:t>
            </w:r>
          </w:p>
        </w:tc>
      </w:tr>
    </w:tbl>
    <w:p w:rsidR="00DC493A" w:rsidRDefault="00DC493A" w:rsidP="00DC493A">
      <w:pPr>
        <w:spacing w:after="0"/>
        <w:jc w:val="center"/>
        <w:rPr>
          <w:rFonts w:cstheme="minorHAnsi"/>
          <w:bCs/>
        </w:rPr>
      </w:pPr>
    </w:p>
    <w:p w:rsidR="00991FF5" w:rsidRDefault="00991FF5"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302997" w:rsidRDefault="00302997" w:rsidP="00302997">
      <w:r>
        <w:t>To calculate the ICC</w:t>
      </w:r>
      <w:r w:rsidR="00793860">
        <w:t xml:space="preserve"> as part of</w:t>
      </w:r>
      <w:r>
        <w:t xml:space="preserve"> </w:t>
      </w:r>
      <w:r w:rsidRPr="00BB35E1">
        <w:t>reliability test</w:t>
      </w:r>
      <w:r>
        <w:t>ing</w:t>
      </w:r>
      <w:r w:rsidRPr="00BB35E1">
        <w:t xml:space="preserve">, </w:t>
      </w:r>
      <w:r>
        <w:t xml:space="preserve">the measure developer included Medicare-certified agencies with at least 40 home health quality episodes </w:t>
      </w:r>
      <w:r w:rsidR="007007C3">
        <w:t>ending</w:t>
      </w:r>
      <w:r>
        <w:t xml:space="preserve"> between July 1, 2012 and June 30, 2013 and meeting the measure denominator criteria. There were 2,905 such agencies (30.4 percent of the 9,556 agencies with at least one quality episode </w:t>
      </w:r>
      <w:r w:rsidR="007007C3">
        <w:t>ending</w:t>
      </w:r>
      <w:r>
        <w:t xml:space="preserve"> during the same time period).  Our sample included all quality episodes (511,636 in total) from July 1, 2012 to June 30, 2013.</w:t>
      </w:r>
    </w:p>
    <w:p w:rsidR="00302997" w:rsidRDefault="00302997" w:rsidP="00302997">
      <w:r>
        <w:t xml:space="preserve">To calculate the beta-binomial scores </w:t>
      </w:r>
      <w:r w:rsidR="00793860">
        <w:t xml:space="preserve">as part of </w:t>
      </w:r>
      <w:r>
        <w:t>reliability testing and conduct analyses related to</w:t>
      </w:r>
      <w:r w:rsidRPr="00BB35E1">
        <w:t xml:space="preserve"> </w:t>
      </w:r>
      <w:r>
        <w:t xml:space="preserve">validity </w:t>
      </w:r>
      <w:r w:rsidRPr="00BB35E1">
        <w:t>testing</w:t>
      </w:r>
      <w:r w:rsidR="008B687B">
        <w:t xml:space="preserve"> and</w:t>
      </w:r>
      <w:r>
        <w:t xml:space="preserve"> exclusions, the measure developer included Medicare-certified agencies with at least 20 home health quality episodes </w:t>
      </w:r>
      <w:r w:rsidR="007007C3">
        <w:t>ending</w:t>
      </w:r>
      <w:r>
        <w:t xml:space="preserve"> between July 1, 2012 and June 30, 2013 and meeting the measure denominator criteria. There were 4,258 such agencies (44.6 percent of the 9,556 agencies with at least one quality episode ending during the same time period).  Our sample included all quality episodes (549,983 in total) from July 1, 2012 to June 30, 2013.</w:t>
      </w:r>
    </w:p>
    <w:p w:rsidR="008B687B" w:rsidRDefault="008B687B" w:rsidP="008B687B">
      <w:r>
        <w:t xml:space="preserve">The risk adjustment model was developed using OASIS national repository data from assessments submitted between January 1, 2010 and September 30, 2010 (~ 3 million episodes of care).  </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A724E2" w:rsidRDefault="00A724E2" w:rsidP="00A724E2">
      <w:r>
        <w:t>To address the reliability of the performance scores, Acumen measured the extent to which differences in each quality measure were due to actual differences in agency performance versus variation that arises from measurement error.  Statistically, reliability depends on performance variation for a measure across agencies, the random variation in performance for a measure within an agency’s panel of attributed beneficiaries, and the number of beneficiaries attributed to the agency.  High reliability for a measure suggests that comparisons of relative performance across agencies are likely to be stable over different performance periods, and that the performance of one agency on the quality measure can confidently be distinguished from another.  Potential reliability values range from zero to one, where one (highest possible reliability) means that all variation in the measure’s rates is the result of variation in differences in performance across agencies, while zero (lowest possible reliability) means that all variation is a result of measurement error.</w:t>
      </w:r>
    </w:p>
    <w:p w:rsidR="00A724E2" w:rsidRDefault="00A724E2" w:rsidP="00A724E2">
      <w:r>
        <w:t>Following the approach described by Adams,</w:t>
      </w:r>
      <w:r>
        <w:rPr>
          <w:rStyle w:val="FootnoteReference"/>
        </w:rPr>
        <w:footnoteReference w:id="1"/>
      </w:r>
      <w:r>
        <w:t xml:space="preserve"> </w:t>
      </w:r>
      <w:r w:rsidRPr="002413C2">
        <w:t>Acumen fit a beta-binomial model</w:t>
      </w:r>
      <w:r>
        <w:t xml:space="preserve"> to estimate measure reliability. The beta-binomial model is appropriate because a particular agency’s measure rate follows a binomial distribution (i.e., all measures are pass/fail), and it is reasonable to assume that the agencies’ true measure rates vary and follow a beta distribution.  The true measure rates among the agencies vary because of differences in agency styles, for example. It is reasonable to use the beta distribution to fit the true measure rates because it is a flexible distribution on the interval from 0 to 1, can have any mean on the interval, and can be skewed left, right, or U-shaped. </w:t>
      </w:r>
    </w:p>
    <w:p w:rsidR="00A724E2" w:rsidRDefault="00A724E2" w:rsidP="00A724E2">
      <w:r>
        <w:t>Equation (1), which is based on the beta-binomial model, shows that reliability is dependent on two variance components: the variation across agencies, and variation within agencies. In general, reliability for agencies will be higher when the measure rates across agencies are more heterogeneous (as measured by the agency-to-agency variation).  Agencies with larger samples (</w:t>
      </w:r>
      <w:r w:rsidRPr="007E04A2">
        <w:t>n</w:t>
      </w:r>
      <w:r>
        <w:t>) and pass rates (</w:t>
      </w:r>
      <w:r w:rsidRPr="007E04A2">
        <w:t>p</w:t>
      </w:r>
      <w:r>
        <w:t xml:space="preserve">) nearer to 0 or 1 will have higher levels of reliability because the agency-specific error is reduced (i.e. the estimated agency rates are more precise).    </w:t>
      </w:r>
    </w:p>
    <w:p w:rsidR="00A724E2" w:rsidRDefault="00A724E2" w:rsidP="00A724E2">
      <w:pPr>
        <w:pStyle w:val="Body125"/>
      </w:pPr>
      <m:oMath>
        <m:r>
          <m:rPr>
            <m:sty m:val="p"/>
          </m:rPr>
          <w:rPr>
            <w:rFonts w:ascii="Cambria Math" w:hAnsi="Cambria Math"/>
          </w:rPr>
          <m:t xml:space="preserve">Reliability=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agency-specific-error</m:t>
                </m:r>
              </m:sub>
              <m:sup>
                <m:r>
                  <m:rPr>
                    <m:sty m:val="p"/>
                  </m:rPr>
                  <w:rPr>
                    <w:rFonts w:ascii="Cambria Math" w:hAnsi="Cambria Math"/>
                  </w:rPr>
                  <m:t>2</m:t>
                </m:r>
              </m:sup>
            </m:sSubSup>
          </m:den>
        </m:f>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p(1-p)</m:t>
                </m:r>
              </m:num>
              <m:den>
                <m:r>
                  <m:rPr>
                    <m:sty m:val="p"/>
                  </m:rPr>
                  <w:rPr>
                    <w:rFonts w:ascii="Cambria Math" w:hAnsi="Cambria Math"/>
                  </w:rPr>
                  <m:t>n</m:t>
                </m:r>
              </m:den>
            </m:f>
          </m:den>
        </m:f>
      </m:oMath>
      <w:r w:rsidRPr="00D41096">
        <w:rPr>
          <w:rFonts w:eastAsia="Times New Roman"/>
        </w:rPr>
        <w:t xml:space="preserve">   (1)</w:t>
      </w:r>
    </w:p>
    <w:p w:rsidR="00A724E2" w:rsidRPr="00A25024" w:rsidRDefault="00A724E2" w:rsidP="00A724E2">
      <w:pPr>
        <w:rPr>
          <w:rFonts w:cstheme="minorHAnsi"/>
          <w:bCs/>
        </w:rPr>
      </w:pPr>
      <w:r>
        <w:t>Acumen also calculated the test-retest reliability using the ICC to measure between-agency variation and within-agency variation.  Home health episodes within each agency were randomly divided into two separate equally-sized groups. Performance rates were obtained for each set within a measure. Then, a measure-level mean and variance were estimated using the paired performance rates, and an ICC statistic was derived.  ICC values that approach 1 indicate that the fraction of the total variance due to between-agency variation is high.</w:t>
      </w:r>
    </w:p>
    <w:p w:rsidR="00A724E2" w:rsidRDefault="00092566" w:rsidP="00A724E2">
      <w:pPr>
        <w:spacing w:after="0"/>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rsidR="00B10111" w:rsidRDefault="00625CDE" w:rsidP="00B10111">
      <w:r>
        <w:t>The table below summarizes the distribution of reliability scores for</w:t>
      </w:r>
      <w:r w:rsidR="00B10111">
        <w:t xml:space="preserve"> the 4,258 </w:t>
      </w:r>
      <w:r>
        <w:t xml:space="preserve">agencies </w:t>
      </w:r>
      <w:r w:rsidR="00B10111">
        <w:t>that had</w:t>
      </w:r>
      <w:r>
        <w:t xml:space="preserve"> at least 20 valid episodes.</w:t>
      </w:r>
    </w:p>
    <w:p w:rsidR="00A724E2" w:rsidRPr="003E3095" w:rsidRDefault="00A724E2" w:rsidP="00B10111">
      <w:pPr>
        <w:spacing w:after="0"/>
        <w:jc w:val="center"/>
        <w:rPr>
          <w:b/>
        </w:rPr>
      </w:pPr>
      <w:r>
        <w:rPr>
          <w:b/>
        </w:rPr>
        <w:t>Distribution of Beta Binomial Reliability Scores for Agencies with at Least 20 Valid Episodes</w:t>
      </w:r>
    </w:p>
    <w:tbl>
      <w:tblPr>
        <w:tblW w:w="0" w:type="auto"/>
        <w:jc w:val="center"/>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30"/>
        <w:gridCol w:w="1069"/>
        <w:gridCol w:w="1091"/>
        <w:gridCol w:w="1003"/>
        <w:gridCol w:w="1091"/>
        <w:gridCol w:w="1163"/>
        <w:gridCol w:w="1163"/>
      </w:tblGrid>
      <w:tr w:rsidR="00A724E2" w:rsidTr="00D35804">
        <w:trPr>
          <w:trHeight w:val="330"/>
          <w:jc w:val="center"/>
        </w:trPr>
        <w:tc>
          <w:tcPr>
            <w:tcW w:w="798" w:type="dxa"/>
            <w:shd w:val="clear" w:color="auto" w:fill="CDECFF"/>
            <w:vAlign w:val="center"/>
          </w:tcPr>
          <w:p w:rsidR="00A724E2" w:rsidRPr="00B833B3" w:rsidRDefault="00A724E2" w:rsidP="00D35804">
            <w:pPr>
              <w:spacing w:after="0" w:line="240" w:lineRule="auto"/>
              <w:rPr>
                <w:b/>
                <w:sz w:val="20"/>
                <w:szCs w:val="20"/>
              </w:rPr>
            </w:pPr>
            <w:r w:rsidRPr="00B833B3">
              <w:rPr>
                <w:b/>
                <w:sz w:val="20"/>
                <w:szCs w:val="20"/>
              </w:rPr>
              <w:t>Mean</w:t>
            </w:r>
          </w:p>
        </w:tc>
        <w:tc>
          <w:tcPr>
            <w:tcW w:w="1030" w:type="dxa"/>
            <w:shd w:val="clear" w:color="auto" w:fill="CDECFF"/>
            <w:vAlign w:val="center"/>
          </w:tcPr>
          <w:p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Minimum</w:t>
            </w:r>
          </w:p>
        </w:tc>
        <w:tc>
          <w:tcPr>
            <w:tcW w:w="1069" w:type="dxa"/>
            <w:shd w:val="clear" w:color="auto" w:fill="CDECFF"/>
            <w:vAlign w:val="center"/>
          </w:tcPr>
          <w:p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10</w:t>
            </w:r>
            <w:r w:rsidRPr="00B833B3">
              <w:rPr>
                <w:rFonts w:ascii="Calibri" w:hAnsi="Calibri"/>
                <w:b/>
                <w:sz w:val="20"/>
                <w:vertAlign w:val="superscript"/>
              </w:rPr>
              <w:t>th</w:t>
            </w:r>
            <w:r w:rsidRPr="00B833B3">
              <w:rPr>
                <w:rFonts w:ascii="Calibri" w:hAnsi="Calibri"/>
                <w:b/>
                <w:sz w:val="20"/>
              </w:rPr>
              <w:t xml:space="preserve"> Percentile</w:t>
            </w:r>
          </w:p>
        </w:tc>
        <w:tc>
          <w:tcPr>
            <w:tcW w:w="1091" w:type="dxa"/>
            <w:shd w:val="clear" w:color="auto" w:fill="CDECFF"/>
            <w:vAlign w:val="center"/>
          </w:tcPr>
          <w:p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25th Percentile</w:t>
            </w:r>
          </w:p>
        </w:tc>
        <w:tc>
          <w:tcPr>
            <w:tcW w:w="1003" w:type="dxa"/>
            <w:shd w:val="clear" w:color="auto" w:fill="CDECFF"/>
            <w:vAlign w:val="center"/>
          </w:tcPr>
          <w:p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Median</w:t>
            </w:r>
          </w:p>
        </w:tc>
        <w:tc>
          <w:tcPr>
            <w:tcW w:w="1091" w:type="dxa"/>
            <w:shd w:val="clear" w:color="auto" w:fill="CDECFF"/>
            <w:vAlign w:val="center"/>
          </w:tcPr>
          <w:p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75th Percentile</w:t>
            </w:r>
          </w:p>
        </w:tc>
        <w:tc>
          <w:tcPr>
            <w:tcW w:w="1163" w:type="dxa"/>
            <w:shd w:val="clear" w:color="auto" w:fill="CDECFF"/>
          </w:tcPr>
          <w:p w:rsidR="00A724E2" w:rsidRPr="00B833B3" w:rsidRDefault="00A724E2" w:rsidP="00D35804">
            <w:pPr>
              <w:pStyle w:val="tt"/>
              <w:spacing w:before="0" w:after="0"/>
              <w:ind w:left="0"/>
              <w:jc w:val="center"/>
              <w:rPr>
                <w:rFonts w:ascii="Calibri" w:hAnsi="Calibri"/>
                <w:b/>
                <w:sz w:val="20"/>
              </w:rPr>
            </w:pPr>
            <w:r>
              <w:rPr>
                <w:rFonts w:ascii="Calibri" w:hAnsi="Calibri"/>
                <w:b/>
                <w:sz w:val="20"/>
              </w:rPr>
              <w:t>90</w:t>
            </w:r>
            <w:r w:rsidRPr="00B833B3">
              <w:rPr>
                <w:rFonts w:ascii="Calibri" w:hAnsi="Calibri"/>
                <w:b/>
                <w:sz w:val="20"/>
              </w:rPr>
              <w:t>th Percentile</w:t>
            </w:r>
          </w:p>
        </w:tc>
        <w:tc>
          <w:tcPr>
            <w:tcW w:w="1163" w:type="dxa"/>
            <w:shd w:val="clear" w:color="auto" w:fill="CDECFF"/>
            <w:vAlign w:val="center"/>
          </w:tcPr>
          <w:p w:rsidR="00A724E2" w:rsidRPr="00B833B3" w:rsidRDefault="00A724E2" w:rsidP="00D35804">
            <w:pPr>
              <w:pStyle w:val="tt"/>
              <w:spacing w:before="0" w:after="0"/>
              <w:ind w:left="0"/>
              <w:jc w:val="center"/>
              <w:rPr>
                <w:rFonts w:ascii="Calibri" w:hAnsi="Calibri"/>
                <w:b/>
                <w:sz w:val="20"/>
              </w:rPr>
            </w:pPr>
            <w:r w:rsidRPr="00B833B3">
              <w:rPr>
                <w:rFonts w:ascii="Calibri" w:hAnsi="Calibri"/>
                <w:b/>
                <w:sz w:val="20"/>
              </w:rPr>
              <w:t>Maximum</w:t>
            </w:r>
          </w:p>
        </w:tc>
      </w:tr>
      <w:tr w:rsidR="00B10111" w:rsidTr="00D35804">
        <w:trPr>
          <w:trHeight w:val="260"/>
          <w:jc w:val="center"/>
        </w:trPr>
        <w:tc>
          <w:tcPr>
            <w:tcW w:w="798" w:type="dxa"/>
            <w:shd w:val="clear" w:color="auto" w:fill="auto"/>
            <w:vAlign w:val="bottom"/>
          </w:tcPr>
          <w:p w:rsidR="00B10111" w:rsidRDefault="00B10111" w:rsidP="00B10111">
            <w:pPr>
              <w:spacing w:after="0" w:line="240" w:lineRule="auto"/>
              <w:jc w:val="center"/>
              <w:rPr>
                <w:rFonts w:ascii="Calibri" w:hAnsi="Calibri"/>
                <w:color w:val="000000"/>
              </w:rPr>
            </w:pPr>
            <w:r>
              <w:rPr>
                <w:rFonts w:ascii="Calibri" w:hAnsi="Calibri"/>
                <w:color w:val="000000"/>
              </w:rPr>
              <w:t>0.71</w:t>
            </w:r>
          </w:p>
        </w:tc>
        <w:tc>
          <w:tcPr>
            <w:tcW w:w="1030" w:type="dxa"/>
            <w:shd w:val="clear" w:color="auto" w:fill="auto"/>
            <w:vAlign w:val="bottom"/>
          </w:tcPr>
          <w:p w:rsidR="00B10111" w:rsidRDefault="00B10111" w:rsidP="00B10111">
            <w:pPr>
              <w:spacing w:after="0" w:line="240" w:lineRule="auto"/>
              <w:jc w:val="center"/>
              <w:rPr>
                <w:rFonts w:ascii="Calibri" w:hAnsi="Calibri"/>
                <w:color w:val="000000"/>
              </w:rPr>
            </w:pPr>
            <w:r>
              <w:rPr>
                <w:rFonts w:ascii="Calibri" w:hAnsi="Calibri"/>
                <w:color w:val="000000"/>
              </w:rPr>
              <w:t>0.20</w:t>
            </w:r>
          </w:p>
        </w:tc>
        <w:tc>
          <w:tcPr>
            <w:tcW w:w="1069" w:type="dxa"/>
            <w:shd w:val="clear" w:color="auto" w:fill="auto"/>
            <w:vAlign w:val="bottom"/>
          </w:tcPr>
          <w:p w:rsidR="00B10111" w:rsidRDefault="00B10111" w:rsidP="00B10111">
            <w:pPr>
              <w:spacing w:after="0" w:line="240" w:lineRule="auto"/>
              <w:jc w:val="center"/>
              <w:rPr>
                <w:rFonts w:ascii="Calibri" w:hAnsi="Calibri"/>
                <w:color w:val="000000"/>
              </w:rPr>
            </w:pPr>
            <w:r>
              <w:rPr>
                <w:rFonts w:ascii="Calibri" w:hAnsi="Calibri"/>
                <w:color w:val="000000"/>
              </w:rPr>
              <w:t>0.41</w:t>
            </w:r>
          </w:p>
        </w:tc>
        <w:tc>
          <w:tcPr>
            <w:tcW w:w="1091" w:type="dxa"/>
            <w:shd w:val="clear" w:color="auto" w:fill="auto"/>
            <w:vAlign w:val="bottom"/>
          </w:tcPr>
          <w:p w:rsidR="00B10111" w:rsidRDefault="00B10111" w:rsidP="00B10111">
            <w:pPr>
              <w:spacing w:after="0" w:line="240" w:lineRule="auto"/>
              <w:jc w:val="center"/>
              <w:rPr>
                <w:rFonts w:ascii="Calibri" w:hAnsi="Calibri"/>
                <w:color w:val="000000"/>
              </w:rPr>
            </w:pPr>
            <w:r>
              <w:rPr>
                <w:rFonts w:ascii="Calibri" w:hAnsi="Calibri"/>
                <w:color w:val="000000"/>
              </w:rPr>
              <w:t>0.57</w:t>
            </w:r>
          </w:p>
        </w:tc>
        <w:tc>
          <w:tcPr>
            <w:tcW w:w="1003" w:type="dxa"/>
            <w:shd w:val="clear" w:color="auto" w:fill="auto"/>
            <w:vAlign w:val="bottom"/>
          </w:tcPr>
          <w:p w:rsidR="00B10111" w:rsidRDefault="00B10111" w:rsidP="00B10111">
            <w:pPr>
              <w:spacing w:after="0" w:line="240" w:lineRule="auto"/>
              <w:jc w:val="center"/>
              <w:rPr>
                <w:rFonts w:ascii="Calibri" w:hAnsi="Calibri"/>
                <w:color w:val="000000"/>
              </w:rPr>
            </w:pPr>
            <w:r>
              <w:rPr>
                <w:rFonts w:ascii="Calibri" w:hAnsi="Calibri"/>
                <w:color w:val="000000"/>
              </w:rPr>
              <w:t>0.74</w:t>
            </w:r>
          </w:p>
        </w:tc>
        <w:tc>
          <w:tcPr>
            <w:tcW w:w="1091" w:type="dxa"/>
            <w:shd w:val="clear" w:color="auto" w:fill="auto"/>
            <w:vAlign w:val="bottom"/>
          </w:tcPr>
          <w:p w:rsidR="00B10111" w:rsidRDefault="00B10111" w:rsidP="00B10111">
            <w:pPr>
              <w:spacing w:after="0" w:line="240" w:lineRule="auto"/>
              <w:jc w:val="center"/>
              <w:rPr>
                <w:rFonts w:ascii="Calibri" w:hAnsi="Calibri"/>
                <w:color w:val="000000"/>
              </w:rPr>
            </w:pPr>
            <w:r>
              <w:rPr>
                <w:rFonts w:ascii="Calibri" w:hAnsi="Calibri"/>
                <w:color w:val="000000"/>
              </w:rPr>
              <w:t>0.87</w:t>
            </w:r>
          </w:p>
        </w:tc>
        <w:tc>
          <w:tcPr>
            <w:tcW w:w="1163" w:type="dxa"/>
            <w:vAlign w:val="bottom"/>
          </w:tcPr>
          <w:p w:rsidR="00B10111" w:rsidRDefault="00B10111" w:rsidP="00B10111">
            <w:pPr>
              <w:spacing w:after="0" w:line="240" w:lineRule="auto"/>
              <w:jc w:val="center"/>
              <w:rPr>
                <w:rFonts w:ascii="Calibri" w:hAnsi="Calibri"/>
                <w:color w:val="000000"/>
              </w:rPr>
            </w:pPr>
            <w:r>
              <w:rPr>
                <w:rFonts w:ascii="Calibri" w:hAnsi="Calibri"/>
                <w:color w:val="000000"/>
              </w:rPr>
              <w:t>0.95</w:t>
            </w:r>
          </w:p>
        </w:tc>
        <w:tc>
          <w:tcPr>
            <w:tcW w:w="1163" w:type="dxa"/>
            <w:shd w:val="clear" w:color="auto" w:fill="auto"/>
            <w:vAlign w:val="bottom"/>
          </w:tcPr>
          <w:p w:rsidR="00B10111" w:rsidRDefault="00B10111" w:rsidP="00B10111">
            <w:pPr>
              <w:spacing w:after="0" w:line="240" w:lineRule="auto"/>
              <w:jc w:val="center"/>
              <w:rPr>
                <w:rFonts w:ascii="Calibri" w:hAnsi="Calibri"/>
                <w:color w:val="000000"/>
              </w:rPr>
            </w:pPr>
            <w:r>
              <w:rPr>
                <w:rFonts w:ascii="Calibri" w:hAnsi="Calibri"/>
                <w:color w:val="000000"/>
              </w:rPr>
              <w:t>1.00</w:t>
            </w:r>
          </w:p>
        </w:tc>
      </w:tr>
    </w:tbl>
    <w:p w:rsidR="00A724E2" w:rsidRDefault="00A724E2" w:rsidP="00DF2415">
      <w:pPr>
        <w:rPr>
          <w:b/>
        </w:rPr>
      </w:pPr>
    </w:p>
    <w:p w:rsidR="00625CDE" w:rsidRDefault="00092566" w:rsidP="00625CDE">
      <w:r>
        <w:rPr>
          <w:b/>
        </w:rPr>
        <w:t xml:space="preserve">2a2.4 </w:t>
      </w:r>
      <w:r w:rsidR="007422FD" w:rsidRPr="00A25024">
        <w:rPr>
          <w:b/>
        </w:rPr>
        <w:t xml:space="preserve">What </w:t>
      </w:r>
      <w:r w:rsidR="000B2DF7" w:rsidRPr="00A25024">
        <w:rPr>
          <w:b/>
        </w:rPr>
        <w:t>is your interpretation of the results in terms of</w:t>
      </w:r>
      <w:r w:rsidR="007422FD" w:rsidRPr="00A25024">
        <w:rPr>
          <w:b/>
        </w:rPr>
        <w:t xml:space="preserve"> demonstrating reliability</w:t>
      </w:r>
      <w:r w:rsidR="007422FD" w:rsidRPr="00A25024">
        <w:t xml:space="preserve">? </w:t>
      </w:r>
      <w:r w:rsidR="000B2DF7" w:rsidRPr="00A25024">
        <w:t>(i</w:t>
      </w:r>
      <w:r w:rsidR="000B2DF7" w:rsidRPr="00A25024">
        <w:rPr>
          <w:i/>
        </w:rPr>
        <w:t>.e., what do the results mean and what are the norms for the test conducted</w:t>
      </w:r>
      <w:r w:rsidR="007757CE" w:rsidRPr="00A25024">
        <w:rPr>
          <w:i/>
        </w:rPr>
        <w:t>?</w:t>
      </w:r>
      <w:r w:rsidR="000B2DF7" w:rsidRPr="00A25024">
        <w:t>)</w:t>
      </w:r>
      <w:r w:rsidR="007422FD" w:rsidRPr="00A25024">
        <w:br/>
      </w:r>
      <w:r w:rsidR="00625CDE">
        <w:t>Using the beta-binomial model, Acumen concluded that the measure reliability was high</w:t>
      </w:r>
      <w:r w:rsidR="00625CDE" w:rsidRPr="004F4778">
        <w:t xml:space="preserve">.  </w:t>
      </w:r>
      <w:r w:rsidR="00625CDE">
        <w:t xml:space="preserve">The </w:t>
      </w:r>
      <w:r w:rsidR="00793860">
        <w:t xml:space="preserve">mean and </w:t>
      </w:r>
      <w:r w:rsidR="006171AF">
        <w:t>median</w:t>
      </w:r>
      <w:r w:rsidR="00625CDE">
        <w:t xml:space="preserve"> reliability score</w:t>
      </w:r>
      <w:r w:rsidR="00793860">
        <w:t xml:space="preserve">s of </w:t>
      </w:r>
      <w:r w:rsidR="00793860">
        <w:rPr>
          <w:b/>
        </w:rPr>
        <w:t xml:space="preserve">0.71 </w:t>
      </w:r>
      <w:r w:rsidR="00793860">
        <w:t>and</w:t>
      </w:r>
      <w:r w:rsidR="00625CDE">
        <w:t xml:space="preserve"> </w:t>
      </w:r>
      <w:r w:rsidR="006171AF" w:rsidRPr="00793860">
        <w:rPr>
          <w:b/>
        </w:rPr>
        <w:t>0.74</w:t>
      </w:r>
      <w:r w:rsidR="00625CDE">
        <w:t xml:space="preserve">, </w:t>
      </w:r>
      <w:r w:rsidR="00793860">
        <w:t>respectively, are</w:t>
      </w:r>
      <w:r w:rsidR="00625CDE">
        <w:t xml:space="preserve"> above the range considered acceptable (0.70 – 0.80) for drawing inferences about home health agencies</w:t>
      </w:r>
      <w:r w:rsidR="00625CDE" w:rsidRPr="004F4778">
        <w:t xml:space="preserve">.  </w:t>
      </w:r>
    </w:p>
    <w:p w:rsidR="00625CDE" w:rsidRPr="00D41096" w:rsidRDefault="00625CDE" w:rsidP="00625CDE">
      <w:pPr>
        <w:spacing w:after="120"/>
        <w:rPr>
          <w:rFonts w:ascii="Calibri" w:hAnsi="Calibri"/>
          <w:b/>
        </w:rPr>
      </w:pPr>
      <w:r>
        <w:t>Furthermore, the ICC coefficient is</w:t>
      </w:r>
      <w:r w:rsidR="006171AF">
        <w:t xml:space="preserve"> </w:t>
      </w:r>
      <w:r w:rsidR="006171AF" w:rsidRPr="00793860">
        <w:rPr>
          <w:b/>
        </w:rPr>
        <w:t>0.63</w:t>
      </w:r>
      <w:r>
        <w:rPr>
          <w:b/>
        </w:rPr>
        <w:t xml:space="preserve"> </w:t>
      </w:r>
      <w:r>
        <w:t>for agencies with at least 40 valid episodes (recall that an ICC statistic is derived from paired perf</w:t>
      </w:r>
      <w:r w:rsidR="006171AF">
        <w:t>ormance rates), suggesting acceptable test-retest reliability</w:t>
      </w:r>
      <w:r w:rsidRPr="004F4778">
        <w:t xml:space="preserve">.  </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2A425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2C3650"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2C3650"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32079E">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746654" w:rsidRDefault="00092566" w:rsidP="00746654">
      <w:pPr>
        <w:spacing w:after="120"/>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32079E">
        <w:t>The measure developer assessed the conv</w:t>
      </w:r>
      <w:r w:rsidR="00746654">
        <w:t xml:space="preserve">ergent validity of the measure.  Convergent validity </w:t>
      </w:r>
      <w:r w:rsidR="0032079E">
        <w:t xml:space="preserve">refers to the extent to which measures that are designed to assess the same construct are related to each other.  </w:t>
      </w:r>
      <w:r w:rsidR="00746654">
        <w:t xml:space="preserve">To evaluate the convergent validity of the measure, Acumen calculated the Spearman rank correlations of the </w:t>
      </w:r>
      <w:r w:rsidR="00746654">
        <w:rPr>
          <w:i/>
        </w:rPr>
        <w:t xml:space="preserve">Improvement in Status of Surgical Wounds </w:t>
      </w:r>
      <w:r w:rsidR="00746654">
        <w:t xml:space="preserve">measure with other relevant measures, </w:t>
      </w:r>
      <w:r w:rsidR="00793860">
        <w:t>including the publicly-reported</w:t>
      </w:r>
      <w:r w:rsidR="00746654">
        <w:t xml:space="preserve"> measures of home health quality derived from OASIS assessments</w:t>
      </w:r>
      <w:r w:rsidR="00793860">
        <w:t xml:space="preserve"> and patient experience of care measures derived from the Home Health Clinician and Group Consumer Assessment of Healthcare Providers and Systems (HHCAHPS) survey</w:t>
      </w:r>
      <w:r w:rsidR="00746654">
        <w:t xml:space="preserve">. </w:t>
      </w:r>
    </w:p>
    <w:p w:rsidR="00746654" w:rsidRPr="008D563B" w:rsidRDefault="00092566" w:rsidP="00746654">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746654">
        <w:t xml:space="preserve">The table below shows the Spearman rank correlations of the </w:t>
      </w:r>
      <w:r w:rsidR="00746654">
        <w:rPr>
          <w:i/>
        </w:rPr>
        <w:t xml:space="preserve">Improvement in Status of Surgical Wounds </w:t>
      </w:r>
      <w:r w:rsidR="00746654">
        <w:t xml:space="preserve">measure with other </w:t>
      </w:r>
      <w:r w:rsidR="002C3650">
        <w:t>publicly-reported</w:t>
      </w:r>
      <w:bookmarkStart w:id="11" w:name="_GoBack"/>
      <w:bookmarkEnd w:id="11"/>
      <w:r w:rsidR="00746654">
        <w:t xml:space="preserve"> measures of home health quality derived from OASIS assessments</w:t>
      </w:r>
      <w:r w:rsidR="00B41855">
        <w:t xml:space="preserve"> and </w:t>
      </w:r>
      <w:r w:rsidR="00793860">
        <w:t>HHCAHPS survey.</w:t>
      </w:r>
    </w:p>
    <w:p w:rsidR="00746654" w:rsidRPr="006F082D" w:rsidRDefault="00746654" w:rsidP="00746654">
      <w:pPr>
        <w:spacing w:after="0" w:line="240" w:lineRule="auto"/>
        <w:jc w:val="center"/>
        <w:rPr>
          <w:b/>
        </w:rPr>
      </w:pPr>
      <w:r>
        <w:rPr>
          <w:b/>
        </w:rPr>
        <w:t xml:space="preserve">Spearman Rank Correlations of </w:t>
      </w:r>
      <w:r>
        <w:rPr>
          <w:b/>
          <w:i/>
        </w:rPr>
        <w:t xml:space="preserve">Improvement in Status of Surgical Wounds </w:t>
      </w:r>
      <w:r>
        <w:rPr>
          <w:b/>
        </w:rPr>
        <w:t>Measure with Other Measures of Home Health Quality</w:t>
      </w:r>
    </w:p>
    <w:tbl>
      <w:tblPr>
        <w:tblW w:w="9462" w:type="dxa"/>
        <w:jc w:val="center"/>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3"/>
        <w:gridCol w:w="1789"/>
      </w:tblGrid>
      <w:tr w:rsidR="00746654" w:rsidRPr="006F082D" w:rsidTr="00B41855">
        <w:trPr>
          <w:trHeight w:val="206"/>
          <w:jc w:val="center"/>
        </w:trPr>
        <w:tc>
          <w:tcPr>
            <w:tcW w:w="7673" w:type="dxa"/>
            <w:shd w:val="clear" w:color="auto" w:fill="CDECFF"/>
            <w:noWrap/>
            <w:vAlign w:val="center"/>
            <w:hideMark/>
          </w:tcPr>
          <w:p w:rsidR="00746654" w:rsidRPr="00D41096" w:rsidRDefault="006C43B6" w:rsidP="006C43B6">
            <w:pPr>
              <w:spacing w:after="0" w:line="240" w:lineRule="auto"/>
              <w:jc w:val="center"/>
              <w:rPr>
                <w:rFonts w:ascii="Calibri" w:hAnsi="Calibri"/>
                <w:b/>
                <w:bCs/>
                <w:color w:val="000000"/>
                <w:sz w:val="20"/>
                <w:szCs w:val="20"/>
              </w:rPr>
            </w:pPr>
            <w:r>
              <w:rPr>
                <w:rFonts w:ascii="Calibri" w:hAnsi="Calibri"/>
                <w:b/>
                <w:bCs/>
                <w:color w:val="000000"/>
                <w:sz w:val="20"/>
                <w:szCs w:val="20"/>
              </w:rPr>
              <w:t xml:space="preserve">Home Health Quality </w:t>
            </w:r>
            <w:r w:rsidR="00746654" w:rsidRPr="00D41096">
              <w:rPr>
                <w:rFonts w:ascii="Calibri" w:hAnsi="Calibri"/>
                <w:b/>
                <w:bCs/>
                <w:color w:val="000000"/>
                <w:sz w:val="20"/>
                <w:szCs w:val="20"/>
              </w:rPr>
              <w:t>Measure</w:t>
            </w:r>
            <w:r>
              <w:rPr>
                <w:rFonts w:ascii="Calibri" w:hAnsi="Calibri"/>
                <w:b/>
                <w:bCs/>
                <w:color w:val="000000"/>
                <w:sz w:val="20"/>
                <w:szCs w:val="20"/>
              </w:rPr>
              <w:t>s</w:t>
            </w:r>
          </w:p>
        </w:tc>
        <w:tc>
          <w:tcPr>
            <w:tcW w:w="1789" w:type="dxa"/>
            <w:shd w:val="clear" w:color="auto" w:fill="CDECFF"/>
            <w:vAlign w:val="center"/>
            <w:hideMark/>
          </w:tcPr>
          <w:p w:rsidR="00746654" w:rsidRPr="00D41096" w:rsidRDefault="00746654" w:rsidP="00D35804">
            <w:pPr>
              <w:spacing w:after="0" w:line="240" w:lineRule="auto"/>
              <w:jc w:val="center"/>
              <w:rPr>
                <w:rFonts w:ascii="Calibri" w:hAnsi="Calibri"/>
                <w:b/>
                <w:bCs/>
                <w:color w:val="000000"/>
                <w:sz w:val="20"/>
                <w:szCs w:val="20"/>
              </w:rPr>
            </w:pPr>
            <w:r w:rsidRPr="00D41096">
              <w:rPr>
                <w:rFonts w:ascii="Calibri" w:hAnsi="Calibri"/>
                <w:b/>
                <w:bCs/>
                <w:color w:val="000000"/>
                <w:sz w:val="20"/>
                <w:szCs w:val="20"/>
              </w:rPr>
              <w:t>Spearman Rank Correlations</w:t>
            </w:r>
          </w:p>
        </w:tc>
      </w:tr>
      <w:tr w:rsidR="0036045F" w:rsidRPr="006F082D" w:rsidTr="00B41855">
        <w:trPr>
          <w:trHeight w:val="300"/>
          <w:jc w:val="center"/>
        </w:trPr>
        <w:tc>
          <w:tcPr>
            <w:tcW w:w="7673" w:type="dxa"/>
            <w:shd w:val="clear" w:color="auto" w:fill="auto"/>
            <w:noWrap/>
            <w:vAlign w:val="bottom"/>
          </w:tcPr>
          <w:p w:rsidR="0036045F" w:rsidRDefault="0036045F" w:rsidP="0036045F">
            <w:pPr>
              <w:spacing w:after="0" w:line="240" w:lineRule="auto"/>
              <w:rPr>
                <w:rFonts w:ascii="Calibri" w:hAnsi="Calibri"/>
                <w:color w:val="000000"/>
              </w:rPr>
            </w:pPr>
            <w:r>
              <w:rPr>
                <w:rFonts w:ascii="Calibri" w:hAnsi="Calibri"/>
                <w:color w:val="000000"/>
              </w:rPr>
              <w:t>Improvement in Ambulation</w:t>
            </w:r>
          </w:p>
        </w:tc>
        <w:tc>
          <w:tcPr>
            <w:tcW w:w="1789" w:type="dxa"/>
            <w:shd w:val="clear" w:color="auto" w:fill="auto"/>
            <w:noWrap/>
            <w:vAlign w:val="bottom"/>
          </w:tcPr>
          <w:p w:rsidR="0036045F" w:rsidRDefault="0036045F" w:rsidP="0036045F">
            <w:pPr>
              <w:spacing w:after="0" w:line="240" w:lineRule="auto"/>
              <w:jc w:val="center"/>
              <w:rPr>
                <w:rFonts w:ascii="Calibri" w:hAnsi="Calibri"/>
                <w:color w:val="000000"/>
              </w:rPr>
            </w:pPr>
            <w:r>
              <w:rPr>
                <w:rFonts w:ascii="Calibri" w:hAnsi="Calibri"/>
                <w:color w:val="000000"/>
              </w:rPr>
              <w:t>0.4488</w:t>
            </w:r>
          </w:p>
        </w:tc>
      </w:tr>
      <w:tr w:rsidR="0036045F" w:rsidRPr="006F082D" w:rsidTr="00B41855">
        <w:trPr>
          <w:trHeight w:val="300"/>
          <w:jc w:val="center"/>
        </w:trPr>
        <w:tc>
          <w:tcPr>
            <w:tcW w:w="7673" w:type="dxa"/>
            <w:shd w:val="clear" w:color="auto" w:fill="auto"/>
            <w:noWrap/>
            <w:vAlign w:val="bottom"/>
          </w:tcPr>
          <w:p w:rsidR="0036045F" w:rsidRDefault="0036045F" w:rsidP="00D35804">
            <w:pPr>
              <w:spacing w:after="0" w:line="240" w:lineRule="auto"/>
              <w:rPr>
                <w:rFonts w:ascii="Calibri" w:hAnsi="Calibri"/>
                <w:color w:val="000000"/>
              </w:rPr>
            </w:pPr>
            <w:r>
              <w:rPr>
                <w:rFonts w:ascii="Calibri" w:hAnsi="Calibri"/>
                <w:color w:val="000000"/>
              </w:rPr>
              <w:t>Improvement in Pain Interfering With Activity</w:t>
            </w:r>
          </w:p>
        </w:tc>
        <w:tc>
          <w:tcPr>
            <w:tcW w:w="1789" w:type="dxa"/>
            <w:shd w:val="clear" w:color="auto" w:fill="auto"/>
            <w:noWrap/>
            <w:vAlign w:val="bottom"/>
          </w:tcPr>
          <w:p w:rsidR="0036045F" w:rsidRDefault="0036045F" w:rsidP="00D35804">
            <w:pPr>
              <w:spacing w:after="0" w:line="240" w:lineRule="auto"/>
              <w:jc w:val="center"/>
              <w:rPr>
                <w:rFonts w:ascii="Calibri" w:hAnsi="Calibri"/>
                <w:color w:val="000000"/>
              </w:rPr>
            </w:pPr>
            <w:r>
              <w:rPr>
                <w:rFonts w:ascii="Calibri" w:hAnsi="Calibri"/>
                <w:color w:val="000000"/>
              </w:rPr>
              <w:t>0.3966</w:t>
            </w:r>
          </w:p>
        </w:tc>
      </w:tr>
      <w:tr w:rsidR="0036045F" w:rsidRPr="006F082D" w:rsidTr="00B41855">
        <w:trPr>
          <w:trHeight w:val="300"/>
          <w:jc w:val="center"/>
        </w:trPr>
        <w:tc>
          <w:tcPr>
            <w:tcW w:w="7673" w:type="dxa"/>
            <w:shd w:val="clear" w:color="auto" w:fill="auto"/>
            <w:noWrap/>
            <w:vAlign w:val="bottom"/>
          </w:tcPr>
          <w:p w:rsidR="0036045F" w:rsidRDefault="0036045F" w:rsidP="00D35804">
            <w:pPr>
              <w:spacing w:after="0" w:line="240" w:lineRule="auto"/>
              <w:rPr>
                <w:rFonts w:ascii="Calibri" w:hAnsi="Calibri"/>
                <w:color w:val="000000"/>
              </w:rPr>
            </w:pPr>
            <w:r>
              <w:rPr>
                <w:rFonts w:ascii="Calibri" w:hAnsi="Calibri"/>
                <w:color w:val="000000"/>
              </w:rPr>
              <w:t>Improvement in Bathing</w:t>
            </w:r>
          </w:p>
        </w:tc>
        <w:tc>
          <w:tcPr>
            <w:tcW w:w="1789" w:type="dxa"/>
            <w:shd w:val="clear" w:color="auto" w:fill="auto"/>
            <w:noWrap/>
            <w:vAlign w:val="bottom"/>
          </w:tcPr>
          <w:p w:rsidR="0036045F" w:rsidRDefault="0036045F" w:rsidP="00D35804">
            <w:pPr>
              <w:spacing w:after="0" w:line="240" w:lineRule="auto"/>
              <w:jc w:val="center"/>
              <w:rPr>
                <w:rFonts w:ascii="Calibri" w:hAnsi="Calibri"/>
                <w:color w:val="000000"/>
              </w:rPr>
            </w:pPr>
            <w:r>
              <w:rPr>
                <w:rFonts w:ascii="Calibri" w:hAnsi="Calibri"/>
                <w:color w:val="000000"/>
              </w:rPr>
              <w:t>0.3636</w:t>
            </w:r>
          </w:p>
        </w:tc>
      </w:tr>
      <w:tr w:rsidR="0036045F" w:rsidRPr="006F082D" w:rsidTr="00B41855">
        <w:trPr>
          <w:trHeight w:val="300"/>
          <w:jc w:val="center"/>
        </w:trPr>
        <w:tc>
          <w:tcPr>
            <w:tcW w:w="7673" w:type="dxa"/>
            <w:shd w:val="clear" w:color="auto" w:fill="auto"/>
            <w:noWrap/>
            <w:vAlign w:val="bottom"/>
          </w:tcPr>
          <w:p w:rsidR="0036045F" w:rsidRDefault="0036045F" w:rsidP="00D35804">
            <w:pPr>
              <w:spacing w:after="0" w:line="240" w:lineRule="auto"/>
              <w:rPr>
                <w:rFonts w:ascii="Calibri" w:hAnsi="Calibri"/>
                <w:color w:val="000000"/>
              </w:rPr>
            </w:pPr>
            <w:r>
              <w:rPr>
                <w:rFonts w:ascii="Calibri" w:hAnsi="Calibri"/>
                <w:color w:val="000000"/>
              </w:rPr>
              <w:t>Improvement in Management of Oral Medications</w:t>
            </w:r>
          </w:p>
        </w:tc>
        <w:tc>
          <w:tcPr>
            <w:tcW w:w="1789" w:type="dxa"/>
            <w:shd w:val="clear" w:color="auto" w:fill="auto"/>
            <w:noWrap/>
            <w:vAlign w:val="bottom"/>
          </w:tcPr>
          <w:p w:rsidR="0036045F" w:rsidRDefault="0036045F" w:rsidP="00D35804">
            <w:pPr>
              <w:spacing w:after="0" w:line="240" w:lineRule="auto"/>
              <w:jc w:val="center"/>
              <w:rPr>
                <w:rFonts w:ascii="Calibri" w:hAnsi="Calibri"/>
                <w:color w:val="000000"/>
              </w:rPr>
            </w:pPr>
            <w:r>
              <w:rPr>
                <w:rFonts w:ascii="Calibri" w:hAnsi="Calibri"/>
                <w:color w:val="000000"/>
              </w:rPr>
              <w:t>0.2910</w:t>
            </w:r>
          </w:p>
        </w:tc>
      </w:tr>
      <w:tr w:rsidR="0036045F" w:rsidRPr="006F082D" w:rsidTr="00B41855">
        <w:trPr>
          <w:trHeight w:val="300"/>
          <w:jc w:val="center"/>
        </w:trPr>
        <w:tc>
          <w:tcPr>
            <w:tcW w:w="7673" w:type="dxa"/>
            <w:shd w:val="clear" w:color="auto" w:fill="auto"/>
            <w:noWrap/>
            <w:vAlign w:val="bottom"/>
          </w:tcPr>
          <w:p w:rsidR="0036045F" w:rsidRDefault="0036045F" w:rsidP="0036045F">
            <w:pPr>
              <w:spacing w:after="0" w:line="240" w:lineRule="auto"/>
              <w:rPr>
                <w:rFonts w:ascii="Calibri" w:hAnsi="Calibri"/>
                <w:color w:val="000000"/>
              </w:rPr>
            </w:pPr>
            <w:r>
              <w:rPr>
                <w:rFonts w:ascii="Calibri" w:hAnsi="Calibri"/>
                <w:color w:val="000000"/>
              </w:rPr>
              <w:t>Improvement in Bed Transfer</w:t>
            </w:r>
          </w:p>
        </w:tc>
        <w:tc>
          <w:tcPr>
            <w:tcW w:w="1789" w:type="dxa"/>
            <w:shd w:val="clear" w:color="auto" w:fill="auto"/>
            <w:noWrap/>
            <w:vAlign w:val="bottom"/>
          </w:tcPr>
          <w:p w:rsidR="0036045F" w:rsidRDefault="0036045F" w:rsidP="0036045F">
            <w:pPr>
              <w:spacing w:after="0" w:line="240" w:lineRule="auto"/>
              <w:jc w:val="center"/>
              <w:rPr>
                <w:rFonts w:ascii="Calibri" w:hAnsi="Calibri"/>
                <w:color w:val="000000"/>
              </w:rPr>
            </w:pPr>
            <w:r>
              <w:rPr>
                <w:rFonts w:ascii="Calibri" w:hAnsi="Calibri"/>
                <w:color w:val="000000"/>
              </w:rPr>
              <w:t>0.2809</w:t>
            </w:r>
          </w:p>
        </w:tc>
      </w:tr>
      <w:tr w:rsidR="0036045F" w:rsidRPr="006F082D" w:rsidTr="00B41855">
        <w:trPr>
          <w:trHeight w:val="300"/>
          <w:jc w:val="center"/>
        </w:trPr>
        <w:tc>
          <w:tcPr>
            <w:tcW w:w="7673" w:type="dxa"/>
            <w:shd w:val="clear" w:color="auto" w:fill="auto"/>
            <w:noWrap/>
            <w:vAlign w:val="bottom"/>
          </w:tcPr>
          <w:p w:rsidR="0036045F" w:rsidRPr="00D41096" w:rsidRDefault="0036045F" w:rsidP="00D35804">
            <w:pPr>
              <w:spacing w:after="0" w:line="240" w:lineRule="auto"/>
              <w:rPr>
                <w:rFonts w:ascii="Calibri" w:hAnsi="Calibri"/>
                <w:color w:val="000000"/>
                <w:sz w:val="20"/>
                <w:szCs w:val="20"/>
              </w:rPr>
            </w:pPr>
            <w:r>
              <w:rPr>
                <w:rFonts w:ascii="Calibri" w:hAnsi="Calibri"/>
                <w:color w:val="000000"/>
              </w:rPr>
              <w:t>Pressure Ulcer Risk Assessment Conducted</w:t>
            </w:r>
          </w:p>
        </w:tc>
        <w:tc>
          <w:tcPr>
            <w:tcW w:w="1789" w:type="dxa"/>
            <w:shd w:val="clear" w:color="auto" w:fill="auto"/>
            <w:noWrap/>
            <w:vAlign w:val="bottom"/>
          </w:tcPr>
          <w:p w:rsidR="0036045F" w:rsidRPr="008D563B" w:rsidRDefault="0036045F" w:rsidP="00D35804">
            <w:pPr>
              <w:spacing w:after="0" w:line="240" w:lineRule="auto"/>
              <w:jc w:val="center"/>
              <w:rPr>
                <w:rFonts w:ascii="Calibri" w:hAnsi="Calibri"/>
                <w:sz w:val="20"/>
                <w:szCs w:val="20"/>
              </w:rPr>
            </w:pPr>
            <w:r>
              <w:rPr>
                <w:rFonts w:ascii="Calibri" w:hAnsi="Calibri"/>
                <w:color w:val="000000"/>
              </w:rPr>
              <w:t>0.2275</w:t>
            </w:r>
          </w:p>
        </w:tc>
      </w:tr>
      <w:tr w:rsidR="0036045F" w:rsidRPr="006F082D" w:rsidTr="00B41855">
        <w:trPr>
          <w:trHeight w:val="300"/>
          <w:jc w:val="center"/>
        </w:trPr>
        <w:tc>
          <w:tcPr>
            <w:tcW w:w="7673" w:type="dxa"/>
            <w:shd w:val="clear" w:color="auto" w:fill="auto"/>
            <w:noWrap/>
            <w:vAlign w:val="bottom"/>
          </w:tcPr>
          <w:p w:rsidR="0036045F" w:rsidRDefault="0036045F" w:rsidP="00D35804">
            <w:pPr>
              <w:spacing w:after="0" w:line="240" w:lineRule="auto"/>
              <w:rPr>
                <w:rFonts w:ascii="Calibri" w:hAnsi="Calibri"/>
                <w:color w:val="000000"/>
              </w:rPr>
            </w:pPr>
            <w:r>
              <w:rPr>
                <w:rFonts w:ascii="Calibri" w:hAnsi="Calibri"/>
                <w:color w:val="000000"/>
              </w:rPr>
              <w:t>CAHPS: Did the home health team discuss medicines, pain, and home safety with patients</w:t>
            </w:r>
          </w:p>
        </w:tc>
        <w:tc>
          <w:tcPr>
            <w:tcW w:w="1789" w:type="dxa"/>
            <w:shd w:val="clear" w:color="auto" w:fill="auto"/>
            <w:noWrap/>
            <w:vAlign w:val="bottom"/>
          </w:tcPr>
          <w:p w:rsidR="0036045F" w:rsidRDefault="0036045F" w:rsidP="00D35804">
            <w:pPr>
              <w:spacing w:after="0" w:line="240" w:lineRule="auto"/>
              <w:jc w:val="center"/>
              <w:rPr>
                <w:rFonts w:ascii="Calibri" w:hAnsi="Calibri"/>
                <w:color w:val="000000"/>
              </w:rPr>
            </w:pPr>
            <w:r>
              <w:rPr>
                <w:rFonts w:ascii="Calibri" w:hAnsi="Calibri"/>
                <w:color w:val="000000"/>
              </w:rPr>
              <w:t>0.1993</w:t>
            </w:r>
          </w:p>
        </w:tc>
      </w:tr>
      <w:tr w:rsidR="0036045F" w:rsidRPr="006F082D" w:rsidTr="00B41855">
        <w:trPr>
          <w:trHeight w:val="300"/>
          <w:jc w:val="center"/>
        </w:trPr>
        <w:tc>
          <w:tcPr>
            <w:tcW w:w="7673" w:type="dxa"/>
            <w:shd w:val="clear" w:color="auto" w:fill="auto"/>
            <w:noWrap/>
            <w:vAlign w:val="bottom"/>
          </w:tcPr>
          <w:p w:rsidR="0036045F" w:rsidRDefault="0036045F" w:rsidP="00B41855">
            <w:pPr>
              <w:spacing w:after="0" w:line="240" w:lineRule="auto"/>
              <w:rPr>
                <w:rFonts w:ascii="Calibri" w:hAnsi="Calibri"/>
                <w:color w:val="000000"/>
              </w:rPr>
            </w:pPr>
            <w:r>
              <w:rPr>
                <w:rFonts w:ascii="Calibri" w:hAnsi="Calibri"/>
                <w:color w:val="000000"/>
              </w:rPr>
              <w:t>CAHPS: Number of completed surveys</w:t>
            </w:r>
          </w:p>
        </w:tc>
        <w:tc>
          <w:tcPr>
            <w:tcW w:w="1789" w:type="dxa"/>
            <w:shd w:val="clear" w:color="auto" w:fill="auto"/>
            <w:noWrap/>
            <w:vAlign w:val="bottom"/>
          </w:tcPr>
          <w:p w:rsidR="0036045F" w:rsidRDefault="0036045F" w:rsidP="00D35804">
            <w:pPr>
              <w:spacing w:after="0" w:line="240" w:lineRule="auto"/>
              <w:jc w:val="center"/>
              <w:rPr>
                <w:rFonts w:ascii="Calibri" w:hAnsi="Calibri"/>
                <w:color w:val="000000"/>
              </w:rPr>
            </w:pPr>
            <w:r>
              <w:rPr>
                <w:rFonts w:ascii="Calibri" w:hAnsi="Calibri"/>
                <w:color w:val="000000"/>
              </w:rPr>
              <w:t>0.1950</w:t>
            </w:r>
          </w:p>
        </w:tc>
      </w:tr>
      <w:tr w:rsidR="00B41855" w:rsidRPr="006F082D" w:rsidTr="00B41855">
        <w:trPr>
          <w:trHeight w:val="300"/>
          <w:jc w:val="center"/>
        </w:trPr>
        <w:tc>
          <w:tcPr>
            <w:tcW w:w="7673" w:type="dxa"/>
            <w:shd w:val="clear" w:color="auto" w:fill="auto"/>
            <w:noWrap/>
            <w:vAlign w:val="bottom"/>
          </w:tcPr>
          <w:p w:rsidR="00B41855" w:rsidRDefault="00B41855" w:rsidP="00D35804">
            <w:pPr>
              <w:spacing w:after="0" w:line="240" w:lineRule="auto"/>
              <w:rPr>
                <w:rFonts w:ascii="Calibri" w:hAnsi="Calibri"/>
                <w:color w:val="000000"/>
              </w:rPr>
            </w:pPr>
            <w:r>
              <w:rPr>
                <w:rFonts w:ascii="Calibri" w:hAnsi="Calibri"/>
                <w:color w:val="000000"/>
              </w:rPr>
              <w:t>CAHPS: Would patients recommend the home health agency to friends and family</w:t>
            </w:r>
          </w:p>
        </w:tc>
        <w:tc>
          <w:tcPr>
            <w:tcW w:w="1789" w:type="dxa"/>
            <w:shd w:val="clear" w:color="auto" w:fill="auto"/>
            <w:noWrap/>
            <w:vAlign w:val="bottom"/>
          </w:tcPr>
          <w:p w:rsidR="00B41855" w:rsidRDefault="00B41855" w:rsidP="00D35804">
            <w:pPr>
              <w:spacing w:after="0" w:line="240" w:lineRule="auto"/>
              <w:jc w:val="center"/>
              <w:rPr>
                <w:rFonts w:ascii="Calibri" w:hAnsi="Calibri"/>
                <w:color w:val="000000"/>
              </w:rPr>
            </w:pPr>
            <w:r>
              <w:rPr>
                <w:rFonts w:ascii="Calibri" w:hAnsi="Calibri"/>
                <w:color w:val="000000"/>
              </w:rPr>
              <w:t>0.1799</w:t>
            </w:r>
          </w:p>
        </w:tc>
      </w:tr>
      <w:tr w:rsidR="00B41855" w:rsidRPr="006F082D" w:rsidTr="00B41855">
        <w:trPr>
          <w:trHeight w:val="300"/>
          <w:jc w:val="center"/>
        </w:trPr>
        <w:tc>
          <w:tcPr>
            <w:tcW w:w="7673" w:type="dxa"/>
            <w:shd w:val="clear" w:color="auto" w:fill="auto"/>
            <w:noWrap/>
            <w:vAlign w:val="bottom"/>
          </w:tcPr>
          <w:p w:rsidR="00B41855" w:rsidRDefault="00B41855" w:rsidP="00D35804">
            <w:pPr>
              <w:spacing w:after="0" w:line="240" w:lineRule="auto"/>
              <w:rPr>
                <w:rFonts w:ascii="Calibri" w:hAnsi="Calibri"/>
                <w:color w:val="000000"/>
              </w:rPr>
            </w:pPr>
            <w:r>
              <w:rPr>
                <w:rFonts w:ascii="Calibri" w:hAnsi="Calibri"/>
                <w:color w:val="000000"/>
              </w:rPr>
              <w:t>CAHPS: How well did the home health team communicate with patients</w:t>
            </w:r>
          </w:p>
        </w:tc>
        <w:tc>
          <w:tcPr>
            <w:tcW w:w="1789" w:type="dxa"/>
            <w:shd w:val="clear" w:color="auto" w:fill="auto"/>
            <w:noWrap/>
            <w:vAlign w:val="bottom"/>
          </w:tcPr>
          <w:p w:rsidR="00B41855" w:rsidRDefault="00B41855" w:rsidP="00D35804">
            <w:pPr>
              <w:spacing w:after="0" w:line="240" w:lineRule="auto"/>
              <w:jc w:val="center"/>
              <w:rPr>
                <w:rFonts w:ascii="Calibri" w:hAnsi="Calibri"/>
                <w:color w:val="000000"/>
              </w:rPr>
            </w:pPr>
            <w:r>
              <w:rPr>
                <w:rFonts w:ascii="Calibri" w:hAnsi="Calibri"/>
                <w:color w:val="000000"/>
              </w:rPr>
              <w:t>0.1721</w:t>
            </w:r>
          </w:p>
        </w:tc>
      </w:tr>
      <w:tr w:rsidR="00B41855" w:rsidRPr="006F082D" w:rsidTr="00B41855">
        <w:trPr>
          <w:trHeight w:val="300"/>
          <w:jc w:val="center"/>
        </w:trPr>
        <w:tc>
          <w:tcPr>
            <w:tcW w:w="7673" w:type="dxa"/>
            <w:shd w:val="clear" w:color="auto" w:fill="auto"/>
            <w:noWrap/>
            <w:vAlign w:val="bottom"/>
          </w:tcPr>
          <w:p w:rsidR="00B41855" w:rsidRDefault="00B41855" w:rsidP="00D35804">
            <w:pPr>
              <w:spacing w:after="0" w:line="240" w:lineRule="auto"/>
              <w:rPr>
                <w:rFonts w:ascii="Calibri" w:hAnsi="Calibri"/>
                <w:color w:val="000000"/>
              </w:rPr>
            </w:pPr>
            <w:r>
              <w:rPr>
                <w:rFonts w:ascii="Calibri" w:hAnsi="Calibri"/>
                <w:color w:val="000000"/>
              </w:rPr>
              <w:t>CAHPS: How do patients rate the overall care from the home health agency</w:t>
            </w:r>
          </w:p>
        </w:tc>
        <w:tc>
          <w:tcPr>
            <w:tcW w:w="1789" w:type="dxa"/>
            <w:shd w:val="clear" w:color="auto" w:fill="auto"/>
            <w:noWrap/>
            <w:vAlign w:val="bottom"/>
          </w:tcPr>
          <w:p w:rsidR="00B41855" w:rsidRDefault="00B41855" w:rsidP="00D35804">
            <w:pPr>
              <w:spacing w:after="0" w:line="240" w:lineRule="auto"/>
              <w:jc w:val="center"/>
              <w:rPr>
                <w:rFonts w:ascii="Calibri" w:hAnsi="Calibri"/>
                <w:color w:val="000000"/>
              </w:rPr>
            </w:pPr>
            <w:r>
              <w:rPr>
                <w:rFonts w:ascii="Calibri" w:hAnsi="Calibri"/>
                <w:color w:val="000000"/>
              </w:rPr>
              <w:t>0.1584</w:t>
            </w:r>
          </w:p>
        </w:tc>
      </w:tr>
      <w:tr w:rsidR="00B41855" w:rsidRPr="006F082D" w:rsidTr="00B41855">
        <w:trPr>
          <w:trHeight w:val="300"/>
          <w:jc w:val="center"/>
        </w:trPr>
        <w:tc>
          <w:tcPr>
            <w:tcW w:w="7673" w:type="dxa"/>
            <w:shd w:val="clear" w:color="auto" w:fill="auto"/>
            <w:noWrap/>
            <w:vAlign w:val="bottom"/>
          </w:tcPr>
          <w:p w:rsidR="00B41855" w:rsidRDefault="00B41855" w:rsidP="00D35804">
            <w:pPr>
              <w:spacing w:after="0" w:line="240" w:lineRule="auto"/>
              <w:rPr>
                <w:rFonts w:ascii="Calibri" w:hAnsi="Calibri"/>
                <w:color w:val="000000"/>
              </w:rPr>
            </w:pPr>
            <w:r>
              <w:rPr>
                <w:rFonts w:ascii="Calibri" w:hAnsi="Calibri"/>
                <w:color w:val="000000"/>
              </w:rPr>
              <w:t>CAHPS: How often the home health team gave care in a professional way</w:t>
            </w:r>
          </w:p>
        </w:tc>
        <w:tc>
          <w:tcPr>
            <w:tcW w:w="1789" w:type="dxa"/>
            <w:shd w:val="clear" w:color="auto" w:fill="auto"/>
            <w:noWrap/>
            <w:vAlign w:val="bottom"/>
          </w:tcPr>
          <w:p w:rsidR="00B41855" w:rsidRDefault="00B41855" w:rsidP="00D35804">
            <w:pPr>
              <w:spacing w:after="0" w:line="240" w:lineRule="auto"/>
              <w:jc w:val="center"/>
              <w:rPr>
                <w:rFonts w:ascii="Calibri" w:hAnsi="Calibri"/>
                <w:color w:val="000000"/>
              </w:rPr>
            </w:pPr>
            <w:r>
              <w:rPr>
                <w:rFonts w:ascii="Calibri" w:hAnsi="Calibri"/>
                <w:color w:val="000000"/>
              </w:rPr>
              <w:t>0.1425</w:t>
            </w:r>
          </w:p>
        </w:tc>
      </w:tr>
      <w:tr w:rsidR="00B41855" w:rsidRPr="006F082D" w:rsidTr="00B41855">
        <w:trPr>
          <w:trHeight w:val="300"/>
          <w:jc w:val="center"/>
        </w:trPr>
        <w:tc>
          <w:tcPr>
            <w:tcW w:w="7673" w:type="dxa"/>
            <w:shd w:val="clear" w:color="auto" w:fill="auto"/>
            <w:noWrap/>
            <w:vAlign w:val="bottom"/>
          </w:tcPr>
          <w:p w:rsidR="00B41855" w:rsidRDefault="00B41855" w:rsidP="00D35804">
            <w:pPr>
              <w:spacing w:after="0" w:line="240" w:lineRule="auto"/>
              <w:rPr>
                <w:rFonts w:ascii="Calibri" w:hAnsi="Calibri"/>
                <w:color w:val="000000"/>
              </w:rPr>
            </w:pPr>
            <w:r>
              <w:rPr>
                <w:rFonts w:ascii="Calibri" w:hAnsi="Calibri"/>
                <w:color w:val="000000"/>
              </w:rPr>
              <w:t>Timely Initiation of Care</w:t>
            </w:r>
          </w:p>
        </w:tc>
        <w:tc>
          <w:tcPr>
            <w:tcW w:w="1789" w:type="dxa"/>
            <w:shd w:val="clear" w:color="auto" w:fill="auto"/>
            <w:noWrap/>
            <w:vAlign w:val="bottom"/>
          </w:tcPr>
          <w:p w:rsidR="00B41855" w:rsidRDefault="00B41855" w:rsidP="00D35804">
            <w:pPr>
              <w:spacing w:after="0" w:line="240" w:lineRule="auto"/>
              <w:jc w:val="center"/>
              <w:rPr>
                <w:rFonts w:ascii="Calibri" w:hAnsi="Calibri"/>
                <w:color w:val="000000"/>
              </w:rPr>
            </w:pPr>
            <w:r>
              <w:rPr>
                <w:rFonts w:ascii="Calibri" w:hAnsi="Calibri"/>
                <w:color w:val="000000"/>
              </w:rPr>
              <w:t>0.1384</w:t>
            </w:r>
          </w:p>
        </w:tc>
      </w:tr>
      <w:tr w:rsidR="00B41855" w:rsidRPr="006F082D" w:rsidTr="00B41855">
        <w:trPr>
          <w:trHeight w:val="300"/>
          <w:jc w:val="center"/>
        </w:trPr>
        <w:tc>
          <w:tcPr>
            <w:tcW w:w="7673" w:type="dxa"/>
            <w:shd w:val="clear" w:color="auto" w:fill="auto"/>
            <w:noWrap/>
            <w:vAlign w:val="bottom"/>
          </w:tcPr>
          <w:p w:rsidR="00B41855" w:rsidRDefault="00B41855" w:rsidP="00D35804">
            <w:pPr>
              <w:spacing w:after="0" w:line="240" w:lineRule="auto"/>
              <w:rPr>
                <w:rFonts w:ascii="Calibri" w:hAnsi="Calibri"/>
                <w:color w:val="000000"/>
              </w:rPr>
            </w:pPr>
            <w:r>
              <w:rPr>
                <w:rFonts w:ascii="Calibri" w:hAnsi="Calibri"/>
                <w:color w:val="000000"/>
              </w:rPr>
              <w:t>CAHPS: Percentage of patients contacted who completed survey</w:t>
            </w:r>
          </w:p>
        </w:tc>
        <w:tc>
          <w:tcPr>
            <w:tcW w:w="1789" w:type="dxa"/>
            <w:shd w:val="clear" w:color="auto" w:fill="auto"/>
            <w:noWrap/>
            <w:vAlign w:val="bottom"/>
          </w:tcPr>
          <w:p w:rsidR="00B41855" w:rsidRDefault="00B41855" w:rsidP="00D35804">
            <w:pPr>
              <w:spacing w:after="0" w:line="240" w:lineRule="auto"/>
              <w:jc w:val="center"/>
              <w:rPr>
                <w:rFonts w:ascii="Calibri" w:hAnsi="Calibri"/>
                <w:color w:val="000000"/>
              </w:rPr>
            </w:pPr>
            <w:r>
              <w:rPr>
                <w:rFonts w:ascii="Calibri" w:hAnsi="Calibri"/>
                <w:color w:val="000000"/>
              </w:rPr>
              <w:t>0.1366</w:t>
            </w:r>
          </w:p>
        </w:tc>
      </w:tr>
    </w:tbl>
    <w:p w:rsidR="007422FD" w:rsidRPr="00092566" w:rsidRDefault="007422FD" w:rsidP="00092566">
      <w:pPr>
        <w:autoSpaceDE w:val="0"/>
        <w:autoSpaceDN w:val="0"/>
        <w:adjustRightInd w:val="0"/>
        <w:spacing w:after="0" w:line="240" w:lineRule="auto"/>
        <w:rPr>
          <w:rFonts w:cstheme="minorHAnsi"/>
          <w:bCs/>
        </w:rPr>
      </w:pPr>
    </w:p>
    <w:p w:rsidR="007422FD" w:rsidRDefault="00092566" w:rsidP="00DF2415">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6C43B6">
        <w:t xml:space="preserve">As detailed in the table, the </w:t>
      </w:r>
      <w:r w:rsidR="006C43B6">
        <w:rPr>
          <w:i/>
        </w:rPr>
        <w:t xml:space="preserve">Improvement in Status of Surgical Wounds </w:t>
      </w:r>
      <w:r w:rsidR="006C43B6">
        <w:t xml:space="preserve">measure displays a statistically significant positive correlation with several publicly-reported measures </w:t>
      </w:r>
      <w:r w:rsidR="00B41855">
        <w:t xml:space="preserve">and </w:t>
      </w:r>
      <w:r w:rsidR="006C43B6">
        <w:t>th</w:t>
      </w:r>
      <w:r w:rsidR="00B41855">
        <w:t>at similarly assess the quality of home health care</w:t>
      </w:r>
      <w:r w:rsidR="006C43B6">
        <w:t xml:space="preserve">, which lends evidence to the measure’s validity.  </w:t>
      </w:r>
      <w:r w:rsidR="0032079E">
        <w:t>It may be that strong performance on the other measur</w:t>
      </w:r>
      <w:r w:rsidR="006C43B6">
        <w:t>es directly leads to an improvement in surgical wounds</w:t>
      </w:r>
      <w:r w:rsidR="0032079E">
        <w:t xml:space="preserve">.  It may also be the case that high quality agencies </w:t>
      </w:r>
      <w:r w:rsidR="006C43B6">
        <w:t xml:space="preserve">perform well on both the </w:t>
      </w:r>
      <w:r w:rsidR="006C43B6">
        <w:rPr>
          <w:i/>
        </w:rPr>
        <w:t>Improvement in Status of Surgical Wounds</w:t>
      </w:r>
      <w:r w:rsidR="0032079E">
        <w:t xml:space="preserve"> measure and other OASIS-based  measures due to cultural or organization</w:t>
      </w:r>
      <w:r w:rsidR="006C43B6">
        <w:t>-level</w:t>
      </w:r>
      <w:r w:rsidR="0032079E">
        <w:t xml:space="preserve"> factors.</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A23CE2" w:rsidRDefault="00092566" w:rsidP="00A23CE2">
      <w:pPr>
        <w:spacing w:after="0"/>
      </w:pPr>
      <w:r>
        <w:rPr>
          <w:b/>
        </w:rPr>
        <w:t>2b3.</w:t>
      </w:r>
      <w:r w:rsidR="00A25024" w:rsidRPr="00A25024">
        <w:rPr>
          <w:b/>
        </w:rPr>
        <w:t>1. Describe the method of</w:t>
      </w:r>
      <w:r w:rsidR="00E672D6" w:rsidRPr="00A25024">
        <w:rPr>
          <w:b/>
        </w:rPr>
        <w:t xml:space="preserve"> </w:t>
      </w:r>
      <w:r w:rsidR="005333CC" w:rsidRPr="00A25024">
        <w:rPr>
          <w:b/>
        </w:rPr>
        <w:t>testing</w:t>
      </w:r>
      <w:r w:rsidR="00833325" w:rsidRPr="00A25024">
        <w:rPr>
          <w:b/>
        </w:rPr>
        <w:t xml:space="preserve"> </w:t>
      </w:r>
      <w:r w:rsidR="004B6CEE" w:rsidRPr="00A25024">
        <w:rPr>
          <w:b/>
        </w:rPr>
        <w:t xml:space="preserve">exclusions </w:t>
      </w:r>
      <w:r w:rsidR="00A25024" w:rsidRPr="00A25024">
        <w:rPr>
          <w:b/>
        </w:rPr>
        <w:t>and what it tests</w:t>
      </w:r>
      <w:r w:rsidR="00833325" w:rsidRPr="00A25024">
        <w:t xml:space="preserve"> </w:t>
      </w:r>
      <w:r w:rsidR="00833325" w:rsidRPr="00A23CE2">
        <w:rPr>
          <w:i/>
        </w:rPr>
        <w:t>(</w:t>
      </w:r>
      <w:r w:rsidR="00A25024" w:rsidRPr="00A23CE2">
        <w:rPr>
          <w:i/>
        </w:rPr>
        <w:t>describe the steps―do not just name a method; what was tested, e.g., whether exclusions affect overall performance scores</w:t>
      </w:r>
      <w:r w:rsidR="0022691B" w:rsidRPr="00A23CE2">
        <w:rPr>
          <w:i/>
        </w:rPr>
        <w:t>; what statistical analysis was used</w:t>
      </w:r>
      <w:r w:rsidR="0032079E" w:rsidRPr="00A23CE2">
        <w:rPr>
          <w:i/>
        </w:rPr>
        <w:t>)</w:t>
      </w:r>
    </w:p>
    <w:p w:rsidR="00A23CE2" w:rsidRDefault="00A23CE2" w:rsidP="00A23CE2">
      <w:r>
        <w:t>There are two major exclusion types</w:t>
      </w:r>
      <w:r w:rsidR="00941A17">
        <w:t xml:space="preserve"> for the </w:t>
      </w:r>
      <w:r w:rsidR="00941A17">
        <w:rPr>
          <w:i/>
        </w:rPr>
        <w:t xml:space="preserve">Improvement in Status of Surgical Wounds </w:t>
      </w:r>
      <w:r w:rsidR="00941A17">
        <w:t>measure</w:t>
      </w:r>
      <w:r>
        <w:t xml:space="preserve">, including exclusions that are applicable to home health measures in general (i.e., generic exclusions) and exclusions that are specific to the </w:t>
      </w:r>
      <w:r>
        <w:rPr>
          <w:i/>
        </w:rPr>
        <w:t>Improvement in Status of Surgical Wounds</w:t>
      </w:r>
      <w:r>
        <w:t xml:space="preserve"> measure.  Generic exclusions include (i) children and maternity patients, (ii) non-Medicare/non-Medicaid patients, (iii) very long stay patients, and (iv)</w:t>
      </w:r>
      <w:r w:rsidR="00CE4FC3">
        <w:t xml:space="preserve"> </w:t>
      </w:r>
      <w:r>
        <w:t xml:space="preserve">small and new agencies/rare conditions.  Exclusions that are specific to the </w:t>
      </w:r>
      <w:r>
        <w:rPr>
          <w:i/>
        </w:rPr>
        <w:t xml:space="preserve">Improvement in Status of Surgical Wounds </w:t>
      </w:r>
      <w:r>
        <w:t xml:space="preserve">measure include (i) episodes of care that did not end in discharge to community, (ii) episodes that did not have a surgical wound(s) present or observable at baseline, (iii) episodes in which wounds </w:t>
      </w:r>
      <w:r w:rsidR="005134B1">
        <w:t>were still newly epithelialized</w:t>
      </w:r>
      <w:r>
        <w:t xml:space="preserve"> at baseline, and (iv) episodes in which surgical wounds are unobservable at discharge.</w:t>
      </w:r>
    </w:p>
    <w:p w:rsidR="00457236" w:rsidRDefault="00457236" w:rsidP="00A23CE2">
      <w:r>
        <w:t xml:space="preserve">Acumen calculated the frequency of the exclusions that are specific to the </w:t>
      </w:r>
      <w:r>
        <w:rPr>
          <w:i/>
        </w:rPr>
        <w:t xml:space="preserve">Improvement in Status of Surgical Wounds </w:t>
      </w:r>
      <w:r>
        <w:t xml:space="preserve">measure, by exclusion type.  </w:t>
      </w:r>
    </w:p>
    <w:p w:rsidR="00A93E0E" w:rsidRDefault="00092566" w:rsidP="00A93E0E">
      <w:pPr>
        <w:spacing w:after="0"/>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rsidR="00911B72" w:rsidRPr="0032079E" w:rsidRDefault="00911B72" w:rsidP="00911B72">
      <w:pPr>
        <w:spacing w:after="0"/>
        <w:jc w:val="center"/>
        <w:rPr>
          <w:b/>
        </w:rPr>
      </w:pPr>
      <w:r w:rsidRPr="0032079E">
        <w:rPr>
          <w:b/>
        </w:rPr>
        <w:t xml:space="preserve">Measure </w:t>
      </w:r>
      <w:r>
        <w:rPr>
          <w:b/>
        </w:rPr>
        <w:t>Denominator Exclusion, July 2012</w:t>
      </w:r>
      <w:r w:rsidRPr="0032079E">
        <w:rPr>
          <w:b/>
        </w:rPr>
        <w:t xml:space="preserve"> – June 201</w:t>
      </w:r>
      <w:r>
        <w:rPr>
          <w:b/>
        </w:rPr>
        <w:t>3</w:t>
      </w:r>
    </w:p>
    <w:tbl>
      <w:tblPr>
        <w:tblW w:w="8149" w:type="dxa"/>
        <w:jc w:val="center"/>
        <w:tblCellMar>
          <w:left w:w="0" w:type="dxa"/>
          <w:right w:w="0" w:type="dxa"/>
        </w:tblCellMar>
        <w:tblLook w:val="04A0" w:firstRow="1" w:lastRow="0" w:firstColumn="1" w:lastColumn="0" w:noHBand="0" w:noVBand="1"/>
      </w:tblPr>
      <w:tblGrid>
        <w:gridCol w:w="4750"/>
        <w:gridCol w:w="1149"/>
        <w:gridCol w:w="1170"/>
        <w:gridCol w:w="1080"/>
      </w:tblGrid>
      <w:tr w:rsidR="00911B72" w:rsidRPr="0032079E"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shd w:val="clear" w:color="auto" w:fill="CDECFF"/>
            <w:tcMar>
              <w:top w:w="15" w:type="dxa"/>
              <w:left w:w="108" w:type="dxa"/>
              <w:bottom w:w="0" w:type="dxa"/>
              <w:right w:w="108" w:type="dxa"/>
            </w:tcMar>
            <w:vAlign w:val="center"/>
            <w:hideMark/>
          </w:tcPr>
          <w:p w:rsidR="00911B72" w:rsidRPr="0032079E" w:rsidRDefault="00911B72" w:rsidP="00D35804">
            <w:pPr>
              <w:spacing w:after="0"/>
              <w:jc w:val="center"/>
              <w:rPr>
                <w:b/>
              </w:rPr>
            </w:pPr>
            <w:r w:rsidRPr="0032079E">
              <w:rPr>
                <w:b/>
              </w:rPr>
              <w:t>Home Health Stays</w:t>
            </w:r>
          </w:p>
        </w:tc>
        <w:tc>
          <w:tcPr>
            <w:tcW w:w="1149" w:type="dxa"/>
            <w:tcBorders>
              <w:top w:val="single" w:sz="4" w:space="0" w:color="auto"/>
              <w:left w:val="single" w:sz="4" w:space="0" w:color="auto"/>
              <w:bottom w:val="single" w:sz="4" w:space="0" w:color="auto"/>
              <w:right w:val="single" w:sz="4" w:space="0" w:color="auto"/>
            </w:tcBorders>
            <w:shd w:val="clear" w:color="auto" w:fill="CDECFF"/>
            <w:vAlign w:val="center"/>
          </w:tcPr>
          <w:p w:rsidR="00911B72" w:rsidRPr="0032079E" w:rsidRDefault="00911B72" w:rsidP="00B41855">
            <w:pPr>
              <w:spacing w:after="0"/>
              <w:jc w:val="center"/>
              <w:rPr>
                <w:b/>
              </w:rPr>
            </w:pPr>
            <w:r w:rsidRPr="0032079E">
              <w:rPr>
                <w:b/>
              </w:rPr>
              <w:t xml:space="preserve"># of </w:t>
            </w:r>
            <w:r w:rsidR="00B41855">
              <w:rPr>
                <w:b/>
              </w:rPr>
              <w:t>Episodes</w:t>
            </w:r>
            <w:r w:rsidRPr="0032079E">
              <w:rPr>
                <w:b/>
              </w:rPr>
              <w:t xml:space="preserve"> Excluded</w:t>
            </w:r>
          </w:p>
        </w:tc>
        <w:tc>
          <w:tcPr>
            <w:tcW w:w="1170" w:type="dxa"/>
            <w:tcBorders>
              <w:top w:val="single" w:sz="4" w:space="0" w:color="auto"/>
              <w:left w:val="single" w:sz="4" w:space="0" w:color="auto"/>
              <w:bottom w:val="single" w:sz="4" w:space="0" w:color="auto"/>
              <w:right w:val="single" w:sz="4" w:space="0" w:color="auto"/>
            </w:tcBorders>
            <w:shd w:val="clear" w:color="auto" w:fill="CDECFF"/>
          </w:tcPr>
          <w:p w:rsidR="00911B72" w:rsidRPr="0032079E" w:rsidRDefault="00911B72" w:rsidP="00B41855">
            <w:pPr>
              <w:spacing w:after="0"/>
              <w:jc w:val="center"/>
              <w:rPr>
                <w:b/>
              </w:rPr>
            </w:pPr>
            <w:r w:rsidRPr="0032079E">
              <w:rPr>
                <w:b/>
              </w:rPr>
              <w:t xml:space="preserve">% of </w:t>
            </w:r>
            <w:r w:rsidR="00B41855">
              <w:rPr>
                <w:b/>
              </w:rPr>
              <w:t>Episodes</w:t>
            </w:r>
            <w:r w:rsidRPr="0032079E">
              <w:rPr>
                <w:b/>
              </w:rPr>
              <w:t xml:space="preserve"> Excluded</w:t>
            </w:r>
          </w:p>
        </w:tc>
        <w:tc>
          <w:tcPr>
            <w:tcW w:w="1080" w:type="dxa"/>
            <w:tcBorders>
              <w:top w:val="single" w:sz="4" w:space="0" w:color="auto"/>
              <w:left w:val="single" w:sz="4" w:space="0" w:color="auto"/>
              <w:bottom w:val="single" w:sz="4" w:space="0" w:color="auto"/>
              <w:right w:val="single" w:sz="4" w:space="0" w:color="auto"/>
            </w:tcBorders>
            <w:shd w:val="clear" w:color="auto" w:fill="CDECFF"/>
            <w:vAlign w:val="center"/>
          </w:tcPr>
          <w:p w:rsidR="00911B72" w:rsidRPr="0032079E" w:rsidRDefault="00B41855" w:rsidP="00D35804">
            <w:pPr>
              <w:spacing w:after="0"/>
              <w:jc w:val="center"/>
              <w:rPr>
                <w:b/>
              </w:rPr>
            </w:pPr>
            <w:r>
              <w:rPr>
                <w:b/>
              </w:rPr>
              <w:t># of Episodes</w:t>
            </w:r>
            <w:r w:rsidR="00911B72" w:rsidRPr="0032079E">
              <w:rPr>
                <w:b/>
              </w:rPr>
              <w:t xml:space="preserve"> Remaining</w:t>
            </w:r>
          </w:p>
        </w:tc>
      </w:tr>
      <w:tr w:rsidR="00911B72" w:rsidRPr="0032079E"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rsidR="00911B72" w:rsidRPr="0032079E" w:rsidRDefault="00911B72" w:rsidP="00D35804">
            <w:pPr>
              <w:spacing w:after="0"/>
              <w:rPr>
                <w:b/>
              </w:rPr>
            </w:pPr>
            <w:r w:rsidRPr="0032079E">
              <w:t xml:space="preserve">A. </w:t>
            </w:r>
            <w:r>
              <w:t>All home health episodes</w:t>
            </w:r>
          </w:p>
        </w:tc>
        <w:tc>
          <w:tcPr>
            <w:tcW w:w="1149" w:type="dxa"/>
            <w:tcBorders>
              <w:top w:val="single" w:sz="4" w:space="0" w:color="auto"/>
              <w:left w:val="single" w:sz="4" w:space="0" w:color="auto"/>
              <w:bottom w:val="single" w:sz="4" w:space="0" w:color="auto"/>
              <w:right w:val="single" w:sz="4" w:space="0" w:color="auto"/>
            </w:tcBorders>
            <w:vAlign w:val="center"/>
          </w:tcPr>
          <w:p w:rsidR="00911B72" w:rsidRPr="009E3056" w:rsidRDefault="00911B72" w:rsidP="00D35804">
            <w:pPr>
              <w:spacing w:after="0"/>
              <w:jc w:val="center"/>
            </w:pPr>
            <w:r w:rsidRPr="009E3056">
              <w:t>N/A</w:t>
            </w:r>
          </w:p>
        </w:tc>
        <w:tc>
          <w:tcPr>
            <w:tcW w:w="1170" w:type="dxa"/>
            <w:tcBorders>
              <w:top w:val="single" w:sz="4" w:space="0" w:color="auto"/>
              <w:left w:val="single" w:sz="4" w:space="0" w:color="auto"/>
              <w:bottom w:val="single" w:sz="4" w:space="0" w:color="auto"/>
              <w:right w:val="single" w:sz="4" w:space="0" w:color="auto"/>
            </w:tcBorders>
            <w:vAlign w:val="center"/>
          </w:tcPr>
          <w:p w:rsidR="00911B72" w:rsidRPr="009E3056" w:rsidRDefault="00911B72" w:rsidP="00D35804">
            <w:pPr>
              <w:spacing w:after="0"/>
              <w:jc w:val="center"/>
            </w:pPr>
            <w:r w:rsidRPr="009E3056">
              <w:t>N/A</w:t>
            </w:r>
          </w:p>
        </w:tc>
        <w:tc>
          <w:tcPr>
            <w:tcW w:w="1080" w:type="dxa"/>
            <w:tcBorders>
              <w:top w:val="single" w:sz="4" w:space="0" w:color="auto"/>
              <w:left w:val="single" w:sz="4" w:space="0" w:color="auto"/>
              <w:bottom w:val="single" w:sz="4" w:space="0" w:color="auto"/>
              <w:right w:val="single" w:sz="4" w:space="0" w:color="auto"/>
            </w:tcBorders>
            <w:vAlign w:val="center"/>
          </w:tcPr>
          <w:p w:rsidR="00911B72" w:rsidRPr="009E3056" w:rsidRDefault="00B41855" w:rsidP="00D35804">
            <w:pPr>
              <w:spacing w:after="0"/>
              <w:jc w:val="center"/>
            </w:pPr>
            <w:r w:rsidRPr="009E3056">
              <w:t>4,898,041</w:t>
            </w:r>
          </w:p>
        </w:tc>
      </w:tr>
      <w:tr w:rsidR="00911B72" w:rsidRPr="0032079E"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rsidR="00911B72" w:rsidRPr="0032079E" w:rsidRDefault="00911B72" w:rsidP="009E3056">
            <w:pPr>
              <w:spacing w:after="0"/>
            </w:pPr>
            <w:r w:rsidRPr="0032079E">
              <w:t xml:space="preserve">B. </w:t>
            </w:r>
            <w:r>
              <w:t>Home health episodes that exclude episodes</w:t>
            </w:r>
            <w:r w:rsidR="009E3056">
              <w:t xml:space="preserve"> that did not end in discharge to community</w:t>
            </w:r>
            <w:r>
              <w:t xml:space="preserve"> </w:t>
            </w:r>
          </w:p>
        </w:tc>
        <w:tc>
          <w:tcPr>
            <w:tcW w:w="1149"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rsidRPr="009E3056">
              <w:t>1,398,109</w:t>
            </w:r>
          </w:p>
        </w:tc>
        <w:tc>
          <w:tcPr>
            <w:tcW w:w="1170"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28.5</w:t>
            </w:r>
          </w:p>
        </w:tc>
        <w:tc>
          <w:tcPr>
            <w:tcW w:w="1080"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3,499,932</w:t>
            </w:r>
          </w:p>
        </w:tc>
      </w:tr>
      <w:tr w:rsidR="00911B72" w:rsidRPr="0032079E"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rsidR="00911B72" w:rsidRPr="0032079E" w:rsidRDefault="00911B72" w:rsidP="00D35804">
            <w:pPr>
              <w:spacing w:after="0"/>
            </w:pPr>
            <w:r w:rsidRPr="0032079E">
              <w:t xml:space="preserve">C. Home health </w:t>
            </w:r>
            <w:r>
              <w:t xml:space="preserve">episodes from B that exclude episodes that did not have a surgical wound(s) present or observable at baseline </w:t>
            </w:r>
          </w:p>
        </w:tc>
        <w:tc>
          <w:tcPr>
            <w:tcW w:w="1149"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2, 642,663</w:t>
            </w:r>
          </w:p>
        </w:tc>
        <w:tc>
          <w:tcPr>
            <w:tcW w:w="1170"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54.0</w:t>
            </w:r>
          </w:p>
        </w:tc>
        <w:tc>
          <w:tcPr>
            <w:tcW w:w="1080"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9E3056">
            <w:pPr>
              <w:spacing w:after="0"/>
              <w:jc w:val="center"/>
            </w:pPr>
            <w:r>
              <w:t>857,269</w:t>
            </w:r>
          </w:p>
        </w:tc>
      </w:tr>
      <w:tr w:rsidR="00911B72" w:rsidRPr="0032079E"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rsidR="00911B72" w:rsidRPr="0032079E" w:rsidRDefault="00911B72" w:rsidP="005134B1">
            <w:pPr>
              <w:spacing w:after="0"/>
            </w:pPr>
            <w:r>
              <w:t>D. Home health episodes</w:t>
            </w:r>
            <w:r w:rsidRPr="0032079E">
              <w:t xml:space="preserve"> from C </w:t>
            </w:r>
            <w:r>
              <w:t xml:space="preserve">that exclude episodes </w:t>
            </w:r>
            <w:r w:rsidR="00A23CE2">
              <w:t xml:space="preserve">in which </w:t>
            </w:r>
            <w:r w:rsidR="009E3056">
              <w:t xml:space="preserve">wounds </w:t>
            </w:r>
            <w:r w:rsidR="005134B1">
              <w:t>were newly epithelialized</w:t>
            </w:r>
            <w:r>
              <w:t xml:space="preserve"> </w:t>
            </w:r>
            <w:r w:rsidR="00A23CE2">
              <w:t>at baseline</w:t>
            </w:r>
          </w:p>
        </w:tc>
        <w:tc>
          <w:tcPr>
            <w:tcW w:w="1149"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270,234</w:t>
            </w:r>
          </w:p>
        </w:tc>
        <w:tc>
          <w:tcPr>
            <w:tcW w:w="1170"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5.5</w:t>
            </w:r>
          </w:p>
        </w:tc>
        <w:tc>
          <w:tcPr>
            <w:tcW w:w="1080"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587,035</w:t>
            </w:r>
          </w:p>
        </w:tc>
      </w:tr>
      <w:tr w:rsidR="00911B72" w:rsidRPr="0032079E" w:rsidTr="00B41855">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rsidR="00911B72" w:rsidRPr="0032079E" w:rsidRDefault="00911B72" w:rsidP="00D35804">
            <w:pPr>
              <w:spacing w:after="0"/>
            </w:pPr>
            <w:r>
              <w:t>E. Home health episodes from D</w:t>
            </w:r>
            <w:r w:rsidRPr="0032079E">
              <w:t xml:space="preserve"> </w:t>
            </w:r>
            <w:r>
              <w:t xml:space="preserve">that exclude </w:t>
            </w:r>
            <w:r w:rsidR="00A23CE2">
              <w:t xml:space="preserve">episodes in which surgical wounds </w:t>
            </w:r>
            <w:r>
              <w:t>are unobservable at discharge</w:t>
            </w:r>
          </w:p>
        </w:tc>
        <w:tc>
          <w:tcPr>
            <w:tcW w:w="1149"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4,789</w:t>
            </w:r>
          </w:p>
        </w:tc>
        <w:tc>
          <w:tcPr>
            <w:tcW w:w="1170"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0.1</w:t>
            </w:r>
          </w:p>
        </w:tc>
        <w:tc>
          <w:tcPr>
            <w:tcW w:w="1080" w:type="dxa"/>
            <w:tcBorders>
              <w:top w:val="single" w:sz="4" w:space="0" w:color="auto"/>
              <w:left w:val="single" w:sz="4" w:space="0" w:color="auto"/>
              <w:bottom w:val="single" w:sz="4" w:space="0" w:color="auto"/>
              <w:right w:val="single" w:sz="4" w:space="0" w:color="auto"/>
            </w:tcBorders>
            <w:vAlign w:val="center"/>
          </w:tcPr>
          <w:p w:rsidR="00911B72" w:rsidRPr="009E3056" w:rsidRDefault="009E3056" w:rsidP="00D35804">
            <w:pPr>
              <w:spacing w:after="0"/>
              <w:jc w:val="center"/>
            </w:pPr>
            <w:r>
              <w:t>582,246</w:t>
            </w:r>
          </w:p>
        </w:tc>
      </w:tr>
    </w:tbl>
    <w:p w:rsidR="00F67500" w:rsidRDefault="00F67500" w:rsidP="00911B72">
      <w:pPr>
        <w:spacing w:after="0"/>
        <w:rPr>
          <w:rFonts w:cstheme="minorHAnsi"/>
          <w:bCs/>
        </w:rPr>
      </w:pPr>
    </w:p>
    <w:p w:rsidR="00F67500" w:rsidRDefault="00F67500" w:rsidP="00A93E0E">
      <w:pPr>
        <w:spacing w:after="0"/>
        <w:jc w:val="center"/>
        <w:rPr>
          <w:rFonts w:cstheme="minorHAnsi"/>
          <w:bCs/>
        </w:rPr>
      </w:pPr>
    </w:p>
    <w:p w:rsidR="00A23CE2" w:rsidRDefault="00092566" w:rsidP="00EB30BF">
      <w:pPr>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rsidR="00457236" w:rsidRDefault="00457236" w:rsidP="00457236">
      <w:r>
        <w:t>All the measure exclusions are conceptually justified, so the measure developer did not conduct further statistical analyses to test the exclusions.  The remainder of this response</w:t>
      </w:r>
      <w:r w:rsidR="00CE4FC3">
        <w:t xml:space="preserve"> provides</w:t>
      </w:r>
      <w:r>
        <w:t xml:space="preserve"> </w:t>
      </w:r>
      <w:r w:rsidR="003022C2">
        <w:t>justifi</w:t>
      </w:r>
      <w:r w:rsidR="00CE4FC3">
        <w:t>cations for</w:t>
      </w:r>
      <w:r w:rsidR="003022C2">
        <w:t xml:space="preserve"> the</w:t>
      </w:r>
      <w:r>
        <w:t xml:space="preserve"> exclusions</w:t>
      </w:r>
      <w:r w:rsidR="003022C2">
        <w:t xml:space="preserve"> for the </w:t>
      </w:r>
      <w:r w:rsidR="003022C2">
        <w:rPr>
          <w:i/>
        </w:rPr>
        <w:t>Improvement in Status of Surgical Wounds</w:t>
      </w:r>
      <w:r w:rsidR="003022C2">
        <w:t xml:space="preserve"> measure</w:t>
      </w:r>
      <w:r>
        <w:t xml:space="preserve">.   </w:t>
      </w:r>
    </w:p>
    <w:p w:rsidR="00457236" w:rsidRDefault="00457236" w:rsidP="00457236">
      <w:r>
        <w:t xml:space="preserve">Exclusions that are specific to the </w:t>
      </w:r>
      <w:r>
        <w:rPr>
          <w:i/>
        </w:rPr>
        <w:t xml:space="preserve">Improvement in Status of Surgical Wounds </w:t>
      </w:r>
      <w:r>
        <w:t xml:space="preserve">measure include (i) episodes of care that did not end in discharge to community (i.e., episodes of care that ended in transfer to inpatient facility or death at home), (ii) episodes that did not have a surgical wound(s) present or observable at baseline, (iii) episodes in which wounds </w:t>
      </w:r>
      <w:r w:rsidR="005134B1">
        <w:t>were newly epithelialized</w:t>
      </w:r>
      <w:r>
        <w:t xml:space="preserve"> at baseline, and (iv) episodes in which surgical wounds are unobservable at discharge.  For exclusion (i), t</w:t>
      </w:r>
      <w:r w:rsidRPr="005B008F">
        <w:t>he information needed to calculate th</w:t>
      </w:r>
      <w:r>
        <w:t>e</w:t>
      </w:r>
      <w:r w:rsidRPr="005B008F">
        <w:t xml:space="preserve"> m</w:t>
      </w:r>
      <w:r>
        <w:t>easure is not collected for these episodes of care</w:t>
      </w:r>
      <w:r w:rsidRPr="005B008F">
        <w:t>.</w:t>
      </w:r>
      <w:r>
        <w:t xml:space="preserve">  Exclusions (ii), (iii) and (iv) are justified because it would be impossible for these patients to demonstrate measurable improvement in surgical wounds over the episode of care.  </w:t>
      </w:r>
      <w:r w:rsidRPr="00555392">
        <w:t xml:space="preserve"> </w:t>
      </w:r>
    </w:p>
    <w:p w:rsidR="00A23CE2" w:rsidRPr="003F1CF9" w:rsidRDefault="00310BD2" w:rsidP="00A23CE2">
      <w:r>
        <w:t>The generic exclusions for this measure include:</w:t>
      </w:r>
      <w:r w:rsidR="00A23CE2" w:rsidRPr="003F1CF9">
        <w:t xml:space="preserve"> </w:t>
      </w:r>
    </w:p>
    <w:p w:rsidR="00A23CE2" w:rsidRPr="003F1CF9" w:rsidRDefault="00A23CE2" w:rsidP="00310BD2">
      <w:pPr>
        <w:pStyle w:val="ListParagraph"/>
        <w:numPr>
          <w:ilvl w:val="0"/>
          <w:numId w:val="29"/>
        </w:numPr>
      </w:pPr>
      <w:r w:rsidRPr="00310BD2">
        <w:rPr>
          <w:i/>
        </w:rPr>
        <w:t>Children And Maternity Patients</w:t>
      </w:r>
      <w:r w:rsidRPr="003F1CF9">
        <w:t xml:space="preserve"> - The OASIS data set items are designed to be collected for non-maternity, adult patients who are 18 years and older. Maternity patients, and patients less than 18 years of age are excluded.  </w:t>
      </w:r>
    </w:p>
    <w:p w:rsidR="00A23CE2" w:rsidRPr="003F1CF9" w:rsidRDefault="00A23CE2" w:rsidP="00310BD2">
      <w:pPr>
        <w:pStyle w:val="ListParagraph"/>
        <w:numPr>
          <w:ilvl w:val="0"/>
          <w:numId w:val="29"/>
        </w:numPr>
      </w:pPr>
      <w:r w:rsidRPr="00310BD2">
        <w:rPr>
          <w:i/>
        </w:rPr>
        <w:t>Non-Medicare/non-Medicaid Patients</w:t>
      </w:r>
      <w:r w:rsidRPr="003F1CF9">
        <w:t xml:space="preserve"> - Medicare-certified home health agencies are currently required to collect and submit OASIS data only on Medicare and Medicaid patients who are receiving skilled home health care.  The OASIS-C items were tested on this population only, and the existing risk adjustment models used in CMS systems such as the Home Health Compare website, are based on data for this population only. However, the OASIS items and related measures could be used for other adult, non-maternity home health care patients, ideally with further testing and possible recalibration of the risk adjustment models.</w:t>
      </w:r>
    </w:p>
    <w:p w:rsidR="00A23CE2" w:rsidRDefault="00A23CE2" w:rsidP="00310BD2">
      <w:pPr>
        <w:pStyle w:val="ListParagraph"/>
        <w:numPr>
          <w:ilvl w:val="0"/>
          <w:numId w:val="29"/>
        </w:numPr>
      </w:pPr>
      <w:r w:rsidRPr="00310BD2">
        <w:rPr>
          <w:i/>
        </w:rPr>
        <w:t>Small and new agencies and rare conditions</w:t>
      </w:r>
      <w:r w:rsidRPr="00A23CE2">
        <w:t xml:space="preserve"> - The publicly-reported data on CMS’ Home Health Compare web site also repress cells with fewer than 20 observations, and reports for home health agencies in operation less than six months.</w:t>
      </w:r>
    </w:p>
    <w:p w:rsidR="001202E9" w:rsidRPr="00A25024" w:rsidRDefault="0086464B" w:rsidP="00EB30BF">
      <w:pPr>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2C3650"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2C3650"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EB30BF">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32079E">
        <w:rPr>
          <w:rFonts w:cstheme="minorHAnsi"/>
          <w:b/>
          <w:bCs/>
        </w:rPr>
        <w:t xml:space="preserve">with </w:t>
      </w:r>
      <w:r w:rsidR="00EB30BF">
        <w:rPr>
          <w:b/>
        </w:rPr>
        <w:t>78 unique risk factors</w:t>
      </w:r>
    </w:p>
    <w:p w:rsidR="00743E46" w:rsidRPr="005232D6" w:rsidRDefault="002C3650"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2C3650"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p>
    <w:p w:rsidR="00EB30BF" w:rsidRPr="00A25024" w:rsidRDefault="00EB30BF" w:rsidP="00092566">
      <w:pPr>
        <w:autoSpaceDE w:val="0"/>
        <w:autoSpaceDN w:val="0"/>
        <w:adjustRightInd w:val="0"/>
        <w:spacing w:after="0" w:line="240" w:lineRule="auto"/>
        <w:rPr>
          <w:rFonts w:cstheme="minorHAnsi"/>
          <w:bCs/>
        </w:rPr>
      </w:pPr>
      <w:r>
        <w:rPr>
          <w:rFonts w:cstheme="minorHAnsi"/>
          <w:bCs/>
        </w:rPr>
        <w:t>Not applicable; this measure is risk-adjusted.</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EB30BF" w:rsidRDefault="00092566" w:rsidP="00EB30BF">
      <w:pPr>
        <w:spacing w:after="0"/>
        <w:rPr>
          <w:b/>
        </w:rPr>
      </w:pPr>
      <w:r w:rsidRPr="00F109B1">
        <w:rPr>
          <w:b/>
        </w:rPr>
        <w:t xml:space="preserve">2b4.3. </w:t>
      </w:r>
      <w:r w:rsidR="00927027" w:rsidRPr="00F109B1">
        <w:rPr>
          <w:b/>
        </w:rPr>
        <w:t>Describe</w:t>
      </w:r>
      <w:r w:rsidRPr="00F109B1">
        <w:rPr>
          <w:b/>
        </w:rPr>
        <w:t xml:space="preserve"> the conceptual/clinical </w:t>
      </w:r>
      <w:r w:rsidRPr="00F109B1">
        <w:rPr>
          <w:b/>
          <w:u w:val="single"/>
        </w:rPr>
        <w:t>and</w:t>
      </w:r>
      <w:r w:rsidRPr="00F109B1">
        <w:rPr>
          <w:b/>
        </w:rPr>
        <w:t xml:space="preserve"> statistical methods and criteria used to select </w:t>
      </w:r>
      <w:r w:rsidR="005363F1" w:rsidRPr="00F109B1">
        <w:rPr>
          <w:b/>
        </w:rPr>
        <w:t xml:space="preserve">patient </w:t>
      </w:r>
      <w:r w:rsidRPr="00F109B1">
        <w:rPr>
          <w:b/>
        </w:rPr>
        <w:t>factors used in the statistical risk model or for stratification by risk</w:t>
      </w:r>
      <w:r w:rsidR="00927027" w:rsidRPr="00F109B1">
        <w:rPr>
          <w:b/>
        </w:rPr>
        <w:t xml:space="preserve"> </w:t>
      </w:r>
      <w:r w:rsidRPr="00EB30BF">
        <w:t>(</w:t>
      </w:r>
      <w:r w:rsidRPr="00EB30BF">
        <w:rPr>
          <w:i/>
        </w:rPr>
        <w:t xml:space="preserve">e.g., potential factors identified in </w:t>
      </w:r>
      <w:r w:rsidR="005363F1" w:rsidRPr="00EB30BF">
        <w:rPr>
          <w:i/>
        </w:rPr>
        <w:t xml:space="preserve">the </w:t>
      </w:r>
      <w:r w:rsidRPr="00EB30BF">
        <w:rPr>
          <w:i/>
        </w:rPr>
        <w:t>literature and/or expert panel; regression analysis; statistical significance of p&lt;0.10; correlation of x or higher</w:t>
      </w:r>
      <w:r w:rsidR="005363F1" w:rsidRPr="00EB30BF">
        <w:rPr>
          <w:i/>
        </w:rPr>
        <w:t>; patient factors should be present at the start of care and not related to disparities</w:t>
      </w:r>
      <w:r w:rsidRPr="00EB30BF">
        <w:t>)</w:t>
      </w:r>
    </w:p>
    <w:p w:rsidR="00997FDE" w:rsidRDefault="008B687B" w:rsidP="00EB30BF">
      <w:pPr>
        <w:rPr>
          <w:sz w:val="23"/>
          <w:szCs w:val="23"/>
        </w:rPr>
      </w:pPr>
      <w:r>
        <w:t>The risk adjustment model was developed using OASIS national repository data from assessments submitted between January 1, 2010 and September 30, 2010</w:t>
      </w:r>
      <w:r w:rsidR="00F55258">
        <w:t xml:space="preserve"> (~3 million episodes of care)</w:t>
      </w:r>
      <w:r>
        <w:t xml:space="preserve">. </w:t>
      </w:r>
      <w:r w:rsidR="00997FDE">
        <w:rPr>
          <w:sz w:val="23"/>
          <w:szCs w:val="23"/>
        </w:rPr>
        <w:t xml:space="preserve">The risk factors used in the prediction model are derived from OASIS data collected during the start of care or resumption of care assessment. </w:t>
      </w:r>
    </w:p>
    <w:p w:rsidR="00EB30BF" w:rsidRDefault="00EB30BF" w:rsidP="00EB30BF">
      <w:r>
        <w:t xml:space="preserve">The risk adjustment methodology used is based on logistic regression analysis which results in a statistical prediction model for each outcome measure. </w:t>
      </w:r>
      <w:r w:rsidR="005D7EB8">
        <w:t xml:space="preserve"> </w:t>
      </w:r>
      <w:r>
        <w:t xml:space="preserve">For each home health agency patient who is included in the denominator of the outcome measure, the model is used to calculate the predicted probability that the patient will experience the outcome. </w:t>
      </w:r>
      <w:r w:rsidR="005D7EB8">
        <w:t xml:space="preserve"> </w:t>
      </w:r>
      <w:r>
        <w:t>The predicted probability for a patient is calculated using the following formula:</w:t>
      </w:r>
    </w:p>
    <w:p w:rsidR="00EB30BF" w:rsidRPr="001074FC" w:rsidRDefault="00EB30BF" w:rsidP="00EB30BF">
      <w:pPr>
        <w:autoSpaceDE w:val="0"/>
        <w:autoSpaceDN w:val="0"/>
        <w:adjustRightInd w:val="0"/>
        <w:spacing w:after="0" w:line="240" w:lineRule="auto"/>
        <w:jc w:val="center"/>
        <w:rPr>
          <w:rFonts w:cs="Times New Roman"/>
          <w:color w:val="000000"/>
          <w:sz w:val="36"/>
          <w:szCs w:val="36"/>
        </w:rPr>
      </w:pPr>
      <w:r w:rsidRPr="001074FC">
        <w:rPr>
          <w:rFonts w:cs="Times New Roman"/>
          <w:i/>
          <w:iCs/>
          <w:color w:val="000000"/>
          <w:sz w:val="36"/>
          <w:szCs w:val="36"/>
        </w:rPr>
        <w:t>P(x) = 1/(1+e</w:t>
      </w:r>
      <w:r w:rsidRPr="001074FC">
        <w:rPr>
          <w:rFonts w:cs="Times New Roman"/>
          <w:i/>
          <w:iCs/>
          <w:color w:val="000000"/>
          <w:sz w:val="36"/>
          <w:szCs w:val="36"/>
          <w:vertAlign w:val="superscript"/>
        </w:rPr>
        <w:t>-(a + sum(bixi))</w:t>
      </w:r>
      <w:r w:rsidRPr="001074FC">
        <w:rPr>
          <w:rFonts w:cs="Times New Roman"/>
          <w:i/>
          <w:iCs/>
          <w:color w:val="000000"/>
          <w:sz w:val="36"/>
          <w:szCs w:val="36"/>
        </w:rPr>
        <w:t>)</w:t>
      </w:r>
    </w:p>
    <w:p w:rsidR="00EB30BF" w:rsidRPr="00EB30BF" w:rsidRDefault="00EB30BF" w:rsidP="00EB30BF">
      <w:pPr>
        <w:autoSpaceDE w:val="0"/>
        <w:autoSpaceDN w:val="0"/>
        <w:adjustRightInd w:val="0"/>
        <w:spacing w:after="0" w:line="240" w:lineRule="auto"/>
        <w:ind w:left="720"/>
        <w:rPr>
          <w:rFonts w:cs="Times New Roman"/>
        </w:rPr>
      </w:pPr>
      <w:r w:rsidRPr="00EB30BF">
        <w:rPr>
          <w:rFonts w:cs="Times New Roman"/>
        </w:rPr>
        <w:t xml:space="preserve">Where: </w:t>
      </w:r>
    </w:p>
    <w:p w:rsidR="00EB30BF" w:rsidRPr="00EB30BF" w:rsidRDefault="00EB30BF" w:rsidP="00EB30BF">
      <w:pPr>
        <w:autoSpaceDE w:val="0"/>
        <w:autoSpaceDN w:val="0"/>
        <w:adjustRightInd w:val="0"/>
        <w:spacing w:after="0" w:line="240" w:lineRule="auto"/>
        <w:ind w:left="1440"/>
        <w:rPr>
          <w:rFonts w:cs="Times New Roman"/>
        </w:rPr>
      </w:pPr>
      <w:r w:rsidRPr="00EB30BF">
        <w:rPr>
          <w:rFonts w:cs="Times New Roman"/>
          <w:i/>
          <w:iCs/>
        </w:rPr>
        <w:t xml:space="preserve">P(x) </w:t>
      </w:r>
      <w:r w:rsidRPr="00EB30BF">
        <w:rPr>
          <w:rFonts w:cs="Times New Roman"/>
        </w:rPr>
        <w:t xml:space="preserve">= predicted probability of achieving outcome x </w:t>
      </w:r>
    </w:p>
    <w:p w:rsidR="00EB30BF" w:rsidRPr="00EB30BF" w:rsidRDefault="00EB30BF" w:rsidP="00EB30BF">
      <w:pPr>
        <w:autoSpaceDE w:val="0"/>
        <w:autoSpaceDN w:val="0"/>
        <w:adjustRightInd w:val="0"/>
        <w:spacing w:after="0" w:line="240" w:lineRule="auto"/>
        <w:ind w:left="1440"/>
        <w:rPr>
          <w:rFonts w:cs="Times New Roman"/>
        </w:rPr>
      </w:pPr>
      <w:r w:rsidRPr="00EB30BF">
        <w:rPr>
          <w:rFonts w:cs="Times New Roman"/>
          <w:i/>
          <w:iCs/>
        </w:rPr>
        <w:t xml:space="preserve">a </w:t>
      </w:r>
      <w:r w:rsidRPr="00EB30BF">
        <w:rPr>
          <w:rFonts w:cs="Times New Roman"/>
        </w:rPr>
        <w:t xml:space="preserve">= constant parameter listed in the model documentation </w:t>
      </w:r>
    </w:p>
    <w:p w:rsidR="00EB30BF" w:rsidRPr="00EB30BF" w:rsidRDefault="00EB30BF" w:rsidP="00EB30BF">
      <w:pPr>
        <w:autoSpaceDE w:val="0"/>
        <w:autoSpaceDN w:val="0"/>
        <w:adjustRightInd w:val="0"/>
        <w:spacing w:after="0" w:line="240" w:lineRule="auto"/>
        <w:ind w:left="1440"/>
        <w:rPr>
          <w:rFonts w:cs="Times New Roman"/>
        </w:rPr>
      </w:pPr>
      <w:r w:rsidRPr="00EB30BF">
        <w:rPr>
          <w:rFonts w:cs="Times New Roman"/>
          <w:i/>
          <w:iCs/>
        </w:rPr>
        <w:t>b</w:t>
      </w:r>
      <w:r w:rsidRPr="00EB30BF">
        <w:rPr>
          <w:rFonts w:cs="Times New Roman"/>
          <w:i/>
          <w:iCs/>
          <w:vertAlign w:val="subscript"/>
        </w:rPr>
        <w:t>i</w:t>
      </w:r>
      <w:r w:rsidRPr="00EB30BF">
        <w:rPr>
          <w:rFonts w:cs="Times New Roman"/>
          <w:i/>
          <w:iCs/>
        </w:rPr>
        <w:t xml:space="preserve"> </w:t>
      </w:r>
      <w:r w:rsidRPr="00EB30BF">
        <w:rPr>
          <w:rFonts w:cs="Times New Roman"/>
        </w:rPr>
        <w:t xml:space="preserve">= coefficient for risk factor i in the model documentation </w:t>
      </w:r>
    </w:p>
    <w:p w:rsidR="00EB30BF" w:rsidRDefault="00EB30BF" w:rsidP="00EB30BF">
      <w:pPr>
        <w:ind w:left="720" w:firstLine="720"/>
        <w:rPr>
          <w:rFonts w:cs="Times New Roman"/>
        </w:rPr>
      </w:pPr>
      <w:r w:rsidRPr="00EB30BF">
        <w:rPr>
          <w:rFonts w:cs="Times New Roman"/>
          <w:i/>
          <w:iCs/>
        </w:rPr>
        <w:t>x</w:t>
      </w:r>
      <w:r w:rsidRPr="00EB30BF">
        <w:rPr>
          <w:rFonts w:cs="Times New Roman"/>
          <w:i/>
          <w:iCs/>
          <w:vertAlign w:val="subscript"/>
        </w:rPr>
        <w:t>i</w:t>
      </w:r>
      <w:r w:rsidRPr="00EB30BF">
        <w:rPr>
          <w:rFonts w:cs="Times New Roman"/>
          <w:i/>
          <w:iCs/>
        </w:rPr>
        <w:t xml:space="preserve"> </w:t>
      </w:r>
      <w:r w:rsidRPr="00EB30BF">
        <w:rPr>
          <w:rFonts w:cs="Times New Roman"/>
        </w:rPr>
        <w:t>= value of risk factor i for this patient</w:t>
      </w:r>
    </w:p>
    <w:p w:rsidR="005D7EB8" w:rsidRDefault="005D7EB8" w:rsidP="005D7EB8">
      <w:r>
        <w:t>Predicted probabilities for all patients included in the measure denominator are then averaged to derive an expected outcome value for the agency.  This expected value is then used, together with the observed (unadjusted) outcome value and the expected value for the national population of home health agency patients for the same data collection period, to calculate a risk-adjusted outcome value for the home health agency.  The formula for the adjusted value of the outcome measure is as follows:</w:t>
      </w:r>
    </w:p>
    <w:p w:rsidR="005D7EB8" w:rsidRPr="005D7EB8" w:rsidRDefault="005D7EB8" w:rsidP="001074FC">
      <w:pPr>
        <w:autoSpaceDE w:val="0"/>
        <w:autoSpaceDN w:val="0"/>
        <w:adjustRightInd w:val="0"/>
        <w:spacing w:after="0" w:line="240" w:lineRule="auto"/>
        <w:ind w:left="720"/>
        <w:jc w:val="center"/>
        <w:rPr>
          <w:rFonts w:cs="Times New Roman"/>
          <w:color w:val="000000"/>
          <w:sz w:val="36"/>
          <w:szCs w:val="36"/>
        </w:rPr>
      </w:pPr>
      <w:r w:rsidRPr="005D7EB8">
        <w:rPr>
          <w:rFonts w:cs="Times New Roman"/>
          <w:i/>
          <w:iCs/>
          <w:color w:val="000000"/>
          <w:sz w:val="36"/>
          <w:szCs w:val="36"/>
        </w:rPr>
        <w:t>X(A</w:t>
      </w:r>
      <w:r w:rsidRPr="001074FC">
        <w:rPr>
          <w:rFonts w:cs="Times New Roman"/>
          <w:i/>
          <w:iCs/>
          <w:color w:val="000000"/>
          <w:sz w:val="23"/>
          <w:szCs w:val="23"/>
          <w:vertAlign w:val="subscript"/>
        </w:rPr>
        <w:t>ra</w:t>
      </w:r>
      <w:r w:rsidRPr="005D7EB8">
        <w:rPr>
          <w:rFonts w:cs="Times New Roman"/>
          <w:i/>
          <w:iCs/>
          <w:color w:val="000000"/>
          <w:sz w:val="36"/>
          <w:szCs w:val="36"/>
        </w:rPr>
        <w:t>) = X(A</w:t>
      </w:r>
      <w:r w:rsidRPr="001074FC">
        <w:rPr>
          <w:rFonts w:cs="Times New Roman"/>
          <w:i/>
          <w:iCs/>
          <w:color w:val="000000"/>
          <w:sz w:val="23"/>
          <w:szCs w:val="23"/>
          <w:vertAlign w:val="subscript"/>
        </w:rPr>
        <w:t>obs</w:t>
      </w:r>
      <w:r w:rsidRPr="005D7EB8">
        <w:rPr>
          <w:rFonts w:cs="Times New Roman"/>
          <w:i/>
          <w:iCs/>
          <w:color w:val="000000"/>
          <w:sz w:val="36"/>
          <w:szCs w:val="36"/>
        </w:rPr>
        <w:t>) + X(N</w:t>
      </w:r>
      <w:r w:rsidRPr="001074FC">
        <w:rPr>
          <w:rFonts w:cs="Times New Roman"/>
          <w:i/>
          <w:iCs/>
          <w:color w:val="000000"/>
          <w:sz w:val="23"/>
          <w:szCs w:val="23"/>
          <w:vertAlign w:val="subscript"/>
        </w:rPr>
        <w:t>exp</w:t>
      </w:r>
      <w:r w:rsidRPr="005D7EB8">
        <w:rPr>
          <w:rFonts w:cs="Times New Roman"/>
          <w:i/>
          <w:iCs/>
          <w:color w:val="000000"/>
          <w:sz w:val="36"/>
          <w:szCs w:val="36"/>
        </w:rPr>
        <w:t>) – X(A</w:t>
      </w:r>
      <w:r w:rsidRPr="001074FC">
        <w:rPr>
          <w:rFonts w:cs="Times New Roman"/>
          <w:i/>
          <w:iCs/>
          <w:color w:val="000000"/>
          <w:sz w:val="23"/>
          <w:szCs w:val="23"/>
          <w:vertAlign w:val="subscript"/>
        </w:rPr>
        <w:t>exp</w:t>
      </w:r>
      <w:r w:rsidRPr="005D7EB8">
        <w:rPr>
          <w:rFonts w:cs="Times New Roman"/>
          <w:i/>
          <w:iCs/>
          <w:color w:val="000000"/>
          <w:sz w:val="36"/>
          <w:szCs w:val="36"/>
        </w:rPr>
        <w:t>)</w:t>
      </w:r>
    </w:p>
    <w:p w:rsidR="005D7EB8" w:rsidRPr="005D7EB8" w:rsidRDefault="005D7EB8" w:rsidP="005D7EB8">
      <w:pPr>
        <w:autoSpaceDE w:val="0"/>
        <w:autoSpaceDN w:val="0"/>
        <w:adjustRightInd w:val="0"/>
        <w:spacing w:after="0" w:line="240" w:lineRule="auto"/>
        <w:ind w:left="720"/>
        <w:rPr>
          <w:rFonts w:cs="Times New Roman"/>
          <w:color w:val="000000"/>
        </w:rPr>
      </w:pPr>
      <w:r w:rsidRPr="005D7EB8">
        <w:rPr>
          <w:rFonts w:cs="Times New Roman"/>
          <w:color w:val="000000"/>
        </w:rPr>
        <w:t xml:space="preserve">Where: </w:t>
      </w:r>
    </w:p>
    <w:p w:rsidR="005D7EB8" w:rsidRPr="005D7EB8" w:rsidRDefault="005D7EB8" w:rsidP="001074FC">
      <w:pPr>
        <w:autoSpaceDE w:val="0"/>
        <w:autoSpaceDN w:val="0"/>
        <w:adjustRightInd w:val="0"/>
        <w:spacing w:after="0" w:line="240" w:lineRule="auto"/>
        <w:ind w:left="1440"/>
        <w:rPr>
          <w:rFonts w:cs="Times New Roman"/>
          <w:color w:val="000000"/>
        </w:rPr>
      </w:pPr>
      <w:r w:rsidRPr="005D7EB8">
        <w:rPr>
          <w:rFonts w:cs="Times New Roman"/>
          <w:i/>
          <w:iCs/>
          <w:color w:val="000000"/>
        </w:rPr>
        <w:t>X(A</w:t>
      </w:r>
      <w:r w:rsidRPr="001074FC">
        <w:rPr>
          <w:rFonts w:cs="Times New Roman"/>
          <w:i/>
          <w:iCs/>
          <w:color w:val="000000"/>
          <w:vertAlign w:val="subscript"/>
        </w:rPr>
        <w:t>ra</w:t>
      </w:r>
      <w:r w:rsidRPr="005D7EB8">
        <w:rPr>
          <w:rFonts w:cs="Times New Roman"/>
          <w:i/>
          <w:iCs/>
          <w:color w:val="000000"/>
        </w:rPr>
        <w:t xml:space="preserve">) </w:t>
      </w:r>
      <w:r w:rsidRPr="005D7EB8">
        <w:rPr>
          <w:rFonts w:cs="Times New Roman"/>
          <w:color w:val="000000"/>
        </w:rPr>
        <w:t xml:space="preserve">= Agency risk-adjusted outcome measure value </w:t>
      </w:r>
    </w:p>
    <w:p w:rsidR="005D7EB8" w:rsidRPr="005D7EB8" w:rsidRDefault="005D7EB8" w:rsidP="001074FC">
      <w:pPr>
        <w:autoSpaceDE w:val="0"/>
        <w:autoSpaceDN w:val="0"/>
        <w:adjustRightInd w:val="0"/>
        <w:spacing w:after="0" w:line="240" w:lineRule="auto"/>
        <w:ind w:left="1440"/>
        <w:rPr>
          <w:rFonts w:cs="Times New Roman"/>
          <w:color w:val="000000"/>
        </w:rPr>
      </w:pPr>
      <w:r w:rsidRPr="005D7EB8">
        <w:rPr>
          <w:rFonts w:cs="Times New Roman"/>
          <w:i/>
          <w:iCs/>
          <w:color w:val="000000"/>
        </w:rPr>
        <w:t>X(A</w:t>
      </w:r>
      <w:r w:rsidRPr="001074FC">
        <w:rPr>
          <w:rFonts w:cs="Times New Roman"/>
          <w:i/>
          <w:iCs/>
          <w:color w:val="000000"/>
          <w:vertAlign w:val="subscript"/>
        </w:rPr>
        <w:t>obs</w:t>
      </w:r>
      <w:r w:rsidRPr="005D7EB8">
        <w:rPr>
          <w:rFonts w:cs="Times New Roman"/>
          <w:i/>
          <w:iCs/>
          <w:color w:val="000000"/>
        </w:rPr>
        <w:t xml:space="preserve">) </w:t>
      </w:r>
      <w:r w:rsidRPr="005D7EB8">
        <w:rPr>
          <w:rFonts w:cs="Times New Roman"/>
          <w:color w:val="000000"/>
        </w:rPr>
        <w:t xml:space="preserve">= Agency observed outcome measure value </w:t>
      </w:r>
    </w:p>
    <w:p w:rsidR="005D7EB8" w:rsidRPr="005D7EB8" w:rsidRDefault="005D7EB8" w:rsidP="001074FC">
      <w:pPr>
        <w:autoSpaceDE w:val="0"/>
        <w:autoSpaceDN w:val="0"/>
        <w:adjustRightInd w:val="0"/>
        <w:spacing w:after="0" w:line="240" w:lineRule="auto"/>
        <w:ind w:left="1440"/>
        <w:rPr>
          <w:rFonts w:cs="Times New Roman"/>
          <w:color w:val="000000"/>
        </w:rPr>
      </w:pPr>
      <w:r w:rsidRPr="005D7EB8">
        <w:rPr>
          <w:rFonts w:cs="Times New Roman"/>
          <w:i/>
          <w:iCs/>
          <w:color w:val="000000"/>
        </w:rPr>
        <w:t>X(A</w:t>
      </w:r>
      <w:r w:rsidRPr="001074FC">
        <w:rPr>
          <w:rFonts w:cs="Times New Roman"/>
          <w:i/>
          <w:iCs/>
          <w:color w:val="000000"/>
          <w:vertAlign w:val="subscript"/>
        </w:rPr>
        <w:t>exp</w:t>
      </w:r>
      <w:r w:rsidRPr="005D7EB8">
        <w:rPr>
          <w:rFonts w:cs="Times New Roman"/>
          <w:i/>
          <w:iCs/>
          <w:color w:val="000000"/>
        </w:rPr>
        <w:t xml:space="preserve">) </w:t>
      </w:r>
      <w:r w:rsidRPr="005D7EB8">
        <w:rPr>
          <w:rFonts w:cs="Times New Roman"/>
          <w:color w:val="000000"/>
        </w:rPr>
        <w:t xml:space="preserve">= Agency expected outcome measure value </w:t>
      </w:r>
    </w:p>
    <w:p w:rsidR="005D7EB8" w:rsidRDefault="005D7EB8" w:rsidP="001074FC">
      <w:pPr>
        <w:ind w:left="720" w:firstLine="720"/>
        <w:rPr>
          <w:rFonts w:cs="Times New Roman"/>
          <w:color w:val="000000"/>
        </w:rPr>
      </w:pPr>
      <w:r w:rsidRPr="005D7EB8">
        <w:rPr>
          <w:rFonts w:cs="Times New Roman"/>
          <w:i/>
          <w:iCs/>
          <w:color w:val="000000"/>
        </w:rPr>
        <w:t>X(N</w:t>
      </w:r>
      <w:r w:rsidRPr="001074FC">
        <w:rPr>
          <w:rFonts w:cs="Times New Roman"/>
          <w:i/>
          <w:iCs/>
          <w:color w:val="000000"/>
          <w:vertAlign w:val="subscript"/>
        </w:rPr>
        <w:t>exp</w:t>
      </w:r>
      <w:r w:rsidRPr="005D7EB8">
        <w:rPr>
          <w:rFonts w:cs="Times New Roman"/>
          <w:i/>
          <w:iCs/>
          <w:color w:val="000000"/>
        </w:rPr>
        <w:t xml:space="preserve">) </w:t>
      </w:r>
      <w:r w:rsidRPr="005D7EB8">
        <w:rPr>
          <w:rFonts w:cs="Times New Roman"/>
          <w:color w:val="000000"/>
        </w:rPr>
        <w:t>= National expected outcome measure value</w:t>
      </w:r>
    </w:p>
    <w:p w:rsidR="005D7EB8" w:rsidRPr="005D7EB8" w:rsidRDefault="005D7EB8" w:rsidP="005D7EB8">
      <w:pPr>
        <w:rPr>
          <w:rFonts w:cstheme="minorHAnsi"/>
          <w:bCs/>
        </w:rPr>
      </w:pPr>
      <w:r>
        <w:t>If the result of this calculation is a value greater than 100%, the adjusted value is set to 100%. Similarly, if the result is a negative number the adjusted value is set to zero.</w:t>
      </w:r>
    </w:p>
    <w:p w:rsidR="00CE4FC3" w:rsidRDefault="00092566" w:rsidP="00001D73">
      <w:pPr>
        <w:autoSpaceDE w:val="0"/>
        <w:autoSpaceDN w:val="0"/>
        <w:adjustRightInd w:val="0"/>
        <w:spacing w:after="0" w:line="240" w:lineRule="auto"/>
        <w:rPr>
          <w:sz w:val="23"/>
          <w:szCs w:val="23"/>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CE4FC3">
        <w:rPr>
          <w:sz w:val="23"/>
          <w:szCs w:val="23"/>
        </w:rPr>
        <w:t>Risk model details are attached under the “Specifications” tab.</w:t>
      </w:r>
      <w:r w:rsidR="00CE4FC3">
        <w:rPr>
          <w:rStyle w:val="FootnoteReference"/>
          <w:sz w:val="23"/>
          <w:szCs w:val="23"/>
        </w:rPr>
        <w:footnoteReference w:id="2"/>
      </w:r>
      <w:r w:rsidR="00CE4FC3">
        <w:rPr>
          <w:sz w:val="23"/>
          <w:szCs w:val="23"/>
        </w:rPr>
        <w:t xml:space="preserve">  </w:t>
      </w:r>
    </w:p>
    <w:p w:rsidR="00CE4FC3" w:rsidRDefault="00CE4FC3" w:rsidP="00001D73">
      <w:pPr>
        <w:autoSpaceDE w:val="0"/>
        <w:autoSpaceDN w:val="0"/>
        <w:adjustRightInd w:val="0"/>
        <w:spacing w:after="0" w:line="240" w:lineRule="auto"/>
        <w:rPr>
          <w:sz w:val="23"/>
          <w:szCs w:val="23"/>
        </w:rPr>
      </w:pPr>
    </w:p>
    <w:p w:rsidR="005D7EB8" w:rsidRPr="00001D73" w:rsidRDefault="005D7EB8" w:rsidP="00001D73">
      <w:pPr>
        <w:autoSpaceDE w:val="0"/>
        <w:autoSpaceDN w:val="0"/>
        <w:adjustRightInd w:val="0"/>
        <w:spacing w:after="0" w:line="240" w:lineRule="auto"/>
        <w:rPr>
          <w:rFonts w:cstheme="minorHAnsi"/>
          <w:b/>
          <w:bCs/>
        </w:rPr>
      </w:pPr>
    </w:p>
    <w:p w:rsidR="00FA14FF" w:rsidRDefault="00E1508F" w:rsidP="0089153E">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FA14FF">
        <w:t>Using the assessment data from January 1, 2010 through September 30, 2010, nearly three million episodes of care were created. This was done by linking the start of care (SOC) or resumption of care (ROC) assessment for a patient with that patient’s last assessment (i.e., transfer, discharge, or death).</w:t>
      </w:r>
      <w:r w:rsidR="006A73C7">
        <w:t xml:space="preserve">  </w:t>
      </w:r>
      <w:r w:rsidR="00FA14FF">
        <w:t xml:space="preserve">A structured approach was used to develop the initial prediction model. </w:t>
      </w:r>
      <w:r w:rsidR="00997FDE">
        <w:t xml:space="preserve"> </w:t>
      </w:r>
      <w:r w:rsidR="00997FDE">
        <w:rPr>
          <w:sz w:val="23"/>
          <w:szCs w:val="23"/>
        </w:rPr>
        <w:t xml:space="preserve">The risk factors used in the prediction models are derived from OASIS data collected during the start of care or resumption of care assessment. </w:t>
      </w:r>
      <w:r w:rsidR="00FA14FF">
        <w:t xml:space="preserve">Because there were a large number of possible risk factors that needed to be considered for </w:t>
      </w:r>
      <w:r w:rsidR="006A73C7">
        <w:t>the measure</w:t>
      </w:r>
      <w:r w:rsidR="00FA14FF">
        <w:t xml:space="preserve"> outcome, the following process was used to identify unique contributing risk factors to the prediction model:</w:t>
      </w:r>
    </w:p>
    <w:p w:rsidR="00FA14FF" w:rsidRDefault="00FA14FF" w:rsidP="00FA14FF">
      <w:r>
        <w:t xml:space="preserve">1. The risk factors were divided into six groups with approximately the same number in each group and similar content focus (e.g., ICD9-based conditions) </w:t>
      </w:r>
    </w:p>
    <w:p w:rsidR="00FA14FF" w:rsidRDefault="00FA14FF" w:rsidP="00FA14FF">
      <w:r>
        <w:t xml:space="preserve">2. Separate logistic regressions were computed on each of these six risk factor groups and any risk factor with probability&lt;.200 was identified for further review. </w:t>
      </w:r>
    </w:p>
    <w:p w:rsidR="00FA14FF" w:rsidRDefault="00FA14FF" w:rsidP="00FA14FF">
      <w:r>
        <w:t xml:space="preserve">3. Risk factors with probability&lt;.200 from the first three groups were aggregated into a new set of risk factors, as were risk factors with probability&lt;0.200 from the second three groups. </w:t>
      </w:r>
    </w:p>
    <w:p w:rsidR="00FA14FF" w:rsidRDefault="00FA14FF" w:rsidP="00FA14FF">
      <w:r>
        <w:t xml:space="preserve">4. An ordinary least squares (OLS) step-wise analysis for each of these two new groups was computed. Those risk factors that were statistically significant at probability&lt;0.01 were combined into a single group. </w:t>
      </w:r>
    </w:p>
    <w:p w:rsidR="00FA14FF" w:rsidRDefault="00FA14FF" w:rsidP="00FA14FF">
      <w:pPr>
        <w:rPr>
          <w:sz w:val="23"/>
          <w:szCs w:val="23"/>
        </w:rPr>
      </w:pPr>
      <w:r>
        <w:t>5. The list of risk factors that achieved the probability&lt;0.01 level were reviewed. If one response option level of an OASIS-C item was on the list, then risk factors representing the other response option levels of that OASIS-C item were added to the list. For example, if response option levels 1 and 2 for M1800 Grooming were statistically significant at probability&lt;0.01 for a particular outcome, then response option level 3 for M1800 Grooming was added to the list.</w:t>
      </w:r>
      <w:r>
        <w:rPr>
          <w:b/>
          <w:bCs/>
          <w:sz w:val="23"/>
          <w:szCs w:val="23"/>
        </w:rPr>
        <w:t xml:space="preserve"> </w:t>
      </w:r>
    </w:p>
    <w:p w:rsidR="00FA14FF" w:rsidRDefault="00FA14FF" w:rsidP="00FA14FF">
      <w:r>
        <w:t xml:space="preserve">6. A fixed logistic regression was computed on the list of risk factors that had achieved probability&lt;0.01 and the risk factors that were added to the list because they were other response options for OASIS-C items represented on the list. Risk factors were removed if they failed to reach the probability&lt;0.01 level, unless they were a response option for an OASIS-C item where a different response option for the same OASIS-C item did meet the probability&lt;0.01 criterion. This step was repeated until only risk factors that met the criterion remained. </w:t>
      </w:r>
    </w:p>
    <w:p w:rsidR="00FA14FF" w:rsidRDefault="00FA14FF" w:rsidP="00FA14FF">
      <w:r>
        <w:t>7. Goodness of fit statistics (R</w:t>
      </w:r>
      <w:r>
        <w:rPr>
          <w:vertAlign w:val="superscript"/>
        </w:rPr>
        <w:t>2</w:t>
      </w:r>
      <w:r>
        <w:t xml:space="preserve"> and c-statistic) as well as bivariate correlations between the risk factor and the outcome were computed for how well the predicted values generated by the prediction model were related to the actual outcomes. </w:t>
      </w:r>
    </w:p>
    <w:p w:rsidR="00FA14FF" w:rsidRDefault="00FA14FF" w:rsidP="00FA14FF">
      <w:r>
        <w:t xml:space="preserve">8. The initial models for each of the 48 outcome measures were reviewed by a team of at least three experienced home health clinicians. Each risk factor was reviewed for its clinical plausibility in being related to the outcome measure in the direction indicated by the coefficient in the prediction equation and its bivariate relationship. Risk factors that were not clinically plausible were identified for elimination. </w:t>
      </w:r>
    </w:p>
    <w:p w:rsidR="00FA14FF" w:rsidRDefault="00FA14FF" w:rsidP="00FA14FF">
      <w:r>
        <w:t xml:space="preserve">9. The risk factors that were deemed not clinically plausible were removed from the prediction model and steps 6 and 7 in this process were repeated. The resulting logistic regression equation was designated as the prediction model for the outcome. </w:t>
      </w:r>
    </w:p>
    <w:p w:rsidR="00FA14FF" w:rsidRDefault="00FA14FF" w:rsidP="00FA14FF">
      <w:r>
        <w:t xml:space="preserve">10. The prediction model was applied to the validation sample and goodness of fit statistics were computed. If these statistics were similar to the goodness of fit statistics computed with the development sample, the model become a final model. If the statistics were not similar, then alternative approaches to model building were considered. </w:t>
      </w:r>
    </w:p>
    <w:p w:rsidR="00E1508F" w:rsidRDefault="00001D73" w:rsidP="0089153E">
      <w:pPr>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D35804" w:rsidRDefault="00743E46" w:rsidP="00D35804">
      <w:pPr>
        <w:spacing w:after="0"/>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rsidR="00465CB8" w:rsidRDefault="00FF2BAC" w:rsidP="00FF2BAC">
      <w:r>
        <w:t>The c-statistic is the area under the Receiver Operating Characteristic curve. Intuitively, it is defined as follows: Let Y=1 denote outcome attainment, Y=0 denote nonattainment, and p^ denote the predicted probability that Y=1. Enumerate all possible pairs of sample patients for whom Y=1 for the first patient and Y=0 for the second patient. C is the proportion of such pairs where p^ for the patient with Y=1 is larger than p^ for the patient with Y=0.  The o</w:t>
      </w:r>
      <w:r w:rsidR="00465CB8" w:rsidRPr="00D35804">
        <w:t xml:space="preserve">verall model development sample </w:t>
      </w:r>
      <w:r w:rsidR="00465CB8">
        <w:t>c</w:t>
      </w:r>
      <w:r w:rsidR="00465CB8" w:rsidRPr="00D35804">
        <w:t xml:space="preserve">-statistic </w:t>
      </w:r>
      <w:r>
        <w:t>is</w:t>
      </w:r>
      <w:r w:rsidR="00465CB8" w:rsidRPr="00D35804">
        <w:t xml:space="preserve"> </w:t>
      </w:r>
      <w:r w:rsidR="00465CB8" w:rsidRPr="00FF2BAC">
        <w:rPr>
          <w:b/>
        </w:rPr>
        <w:t>0.683</w:t>
      </w:r>
      <w:r>
        <w:t>.  The o</w:t>
      </w:r>
      <w:r w:rsidR="00465CB8" w:rsidRPr="00D35804">
        <w:t xml:space="preserve">verall model validation sample </w:t>
      </w:r>
      <w:r w:rsidR="00465CB8">
        <w:t>c</w:t>
      </w:r>
      <w:r w:rsidR="00465CB8" w:rsidRPr="00D35804">
        <w:t xml:space="preserve">-statistic </w:t>
      </w:r>
      <w:r>
        <w:t>is</w:t>
      </w:r>
      <w:r w:rsidR="00465CB8" w:rsidRPr="00D35804">
        <w:t xml:space="preserve"> </w:t>
      </w:r>
      <w:r w:rsidR="00465CB8" w:rsidRPr="00FF2BAC">
        <w:rPr>
          <w:b/>
        </w:rPr>
        <w:t>0.672</w:t>
      </w:r>
      <w:r>
        <w:rPr>
          <w:b/>
        </w:rPr>
        <w:t>.</w:t>
      </w:r>
    </w:p>
    <w:p w:rsidR="00D35804" w:rsidRPr="00D35804" w:rsidRDefault="00FF2BAC" w:rsidP="00FF2BAC">
      <w:r>
        <w:t>The R</w:t>
      </w:r>
      <w:r>
        <w:rPr>
          <w:vertAlign w:val="superscript"/>
        </w:rPr>
        <w:t>2</w:t>
      </w:r>
      <w:r>
        <w:t xml:space="preserve"> value is the squared correlation between predicted and observed values for all patients in the developmental or validation samples.   The overall </w:t>
      </w:r>
      <w:r w:rsidR="00D35804" w:rsidRPr="00D35804">
        <w:t xml:space="preserve">model development sample R² </w:t>
      </w:r>
      <w:r>
        <w:t>is</w:t>
      </w:r>
      <w:r w:rsidR="00D35804" w:rsidRPr="00D35804">
        <w:t xml:space="preserve"> </w:t>
      </w:r>
      <w:r w:rsidR="00D35804" w:rsidRPr="00FF2BAC">
        <w:rPr>
          <w:b/>
        </w:rPr>
        <w:t>0.054</w:t>
      </w:r>
      <w:r>
        <w:t>.  The o</w:t>
      </w:r>
      <w:r w:rsidR="00D35804" w:rsidRPr="00D35804">
        <w:t xml:space="preserve">verall model validation sample R² </w:t>
      </w:r>
      <w:r>
        <w:t>is</w:t>
      </w:r>
      <w:r w:rsidR="00D35804" w:rsidRPr="00D35804">
        <w:t xml:space="preserve"> </w:t>
      </w:r>
      <w:r w:rsidR="00D35804" w:rsidRPr="00FF2BAC">
        <w:rPr>
          <w:b/>
        </w:rPr>
        <w:t>0.047</w:t>
      </w:r>
      <w:r>
        <w:t>.</w:t>
      </w:r>
      <w:r w:rsidR="00D35804" w:rsidRPr="00D35804">
        <w:t xml:space="preserve"> </w:t>
      </w:r>
    </w:p>
    <w:p w:rsidR="00D35804" w:rsidRDefault="00743E46" w:rsidP="00D35804">
      <w:pPr>
        <w:spacing w:after="0"/>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p>
    <w:p w:rsidR="00AB7032" w:rsidRDefault="00D35804" w:rsidP="00D35804">
      <w:pPr>
        <w:spacing w:after="0"/>
        <w:rPr>
          <w:rFonts w:cstheme="minorHAnsi"/>
          <w:bCs/>
        </w:rPr>
      </w:pPr>
      <w:r>
        <w:rPr>
          <w:rFonts w:cstheme="minorHAnsi"/>
          <w:bCs/>
        </w:rPr>
        <w:t xml:space="preserve">At the time of model development in 2010, </w:t>
      </w:r>
      <w:r w:rsidR="00941A17">
        <w:rPr>
          <w:rFonts w:cstheme="minorHAnsi"/>
          <w:bCs/>
        </w:rPr>
        <w:t xml:space="preserve">the measure developer did not include </w:t>
      </w:r>
      <w:r>
        <w:rPr>
          <w:rFonts w:cstheme="minorHAnsi"/>
          <w:bCs/>
        </w:rPr>
        <w:t>the Hosmer-Lemeshow statistic</w:t>
      </w:r>
      <w:r w:rsidR="00F119CD">
        <w:rPr>
          <w:rFonts w:cstheme="minorHAnsi"/>
          <w:bCs/>
        </w:rPr>
        <w:t>s</w:t>
      </w:r>
      <w:r w:rsidR="00941A17">
        <w:rPr>
          <w:rFonts w:cstheme="minorHAnsi"/>
          <w:bCs/>
        </w:rPr>
        <w:t>, as it</w:t>
      </w:r>
      <w:r>
        <w:rPr>
          <w:rFonts w:cstheme="minorHAnsi"/>
          <w:bCs/>
        </w:rPr>
        <w:t xml:space="preserve"> was deemed </w:t>
      </w:r>
      <w:r w:rsidR="00941A17">
        <w:rPr>
          <w:rFonts w:cstheme="minorHAnsi"/>
          <w:bCs/>
        </w:rPr>
        <w:t>un</w:t>
      </w:r>
      <w:r>
        <w:rPr>
          <w:rFonts w:cstheme="minorHAnsi"/>
          <w:bCs/>
        </w:rPr>
        <w:t xml:space="preserve">necessary for the </w:t>
      </w:r>
      <w:r>
        <w:rPr>
          <w:rFonts w:cstheme="minorHAnsi"/>
          <w:bCs/>
          <w:i/>
        </w:rPr>
        <w:t xml:space="preserve">Improvement in Status of Surgical </w:t>
      </w:r>
      <w:r w:rsidRPr="00255604">
        <w:rPr>
          <w:rFonts w:cstheme="minorHAnsi"/>
          <w:bCs/>
          <w:i/>
        </w:rPr>
        <w:t>Wounds</w:t>
      </w:r>
      <w:r w:rsidR="00941A17">
        <w:rPr>
          <w:rFonts w:cstheme="minorHAnsi"/>
          <w:bCs/>
        </w:rPr>
        <w:t xml:space="preserve"> measure</w:t>
      </w:r>
      <w:r>
        <w:rPr>
          <w:rFonts w:cstheme="minorHAnsi"/>
          <w:bCs/>
        </w:rPr>
        <w:t xml:space="preserve">.  </w:t>
      </w:r>
      <w:r w:rsidR="00255604">
        <w:rPr>
          <w:rFonts w:cstheme="minorHAnsi"/>
          <w:bCs/>
        </w:rPr>
        <w:t>Because the measure outcome occurred with sufficient frequency, the measure developer</w:t>
      </w:r>
      <w:r w:rsidR="00F119CD">
        <w:rPr>
          <w:rFonts w:cstheme="minorHAnsi"/>
          <w:bCs/>
        </w:rPr>
        <w:t xml:space="preserve"> determined that the R</w:t>
      </w:r>
      <w:r w:rsidR="00F119CD">
        <w:rPr>
          <w:rFonts w:cstheme="minorHAnsi"/>
          <w:bCs/>
          <w:vertAlign w:val="superscript"/>
        </w:rPr>
        <w:t>2</w:t>
      </w:r>
      <w:r w:rsidR="00F119CD">
        <w:rPr>
          <w:rFonts w:cstheme="minorHAnsi"/>
          <w:bCs/>
        </w:rPr>
        <w:t xml:space="preserve"> statistics</w:t>
      </w:r>
      <w:r w:rsidR="00941A17">
        <w:rPr>
          <w:rFonts w:cstheme="minorHAnsi"/>
          <w:bCs/>
        </w:rPr>
        <w:t xml:space="preserve"> (included in response to </w:t>
      </w:r>
      <w:r w:rsidR="00941A17">
        <w:rPr>
          <w:rFonts w:cstheme="minorHAnsi"/>
          <w:b/>
          <w:bCs/>
        </w:rPr>
        <w:t>2b4.6</w:t>
      </w:r>
      <w:r w:rsidR="00941A17">
        <w:rPr>
          <w:rFonts w:cstheme="minorHAnsi"/>
          <w:bCs/>
        </w:rPr>
        <w:t>)</w:t>
      </w:r>
      <w:r w:rsidR="00F119CD">
        <w:rPr>
          <w:rFonts w:cstheme="minorHAnsi"/>
          <w:bCs/>
        </w:rPr>
        <w:t xml:space="preserve"> was a sufficient indicator of model fit.</w:t>
      </w:r>
      <w:r w:rsidR="00941A17">
        <w:rPr>
          <w:rStyle w:val="FootnoteReference"/>
          <w:bCs/>
        </w:rPr>
        <w:footnoteReference w:id="3"/>
      </w:r>
      <w:r w:rsidR="00F119CD">
        <w:rPr>
          <w:rFonts w:cstheme="minorHAnsi"/>
          <w:bCs/>
        </w:rPr>
        <w:t xml:space="preserve">  </w:t>
      </w:r>
      <w:r>
        <w:rPr>
          <w:rFonts w:cstheme="minorHAnsi"/>
          <w:bCs/>
        </w:rPr>
        <w:t xml:space="preserve"> </w:t>
      </w:r>
    </w:p>
    <w:p w:rsidR="00AB7032" w:rsidRDefault="00AB7032" w:rsidP="00D35804">
      <w:pPr>
        <w:spacing w:after="0"/>
        <w:rPr>
          <w:rFonts w:cstheme="minorHAnsi"/>
          <w:bCs/>
        </w:rPr>
      </w:pPr>
    </w:p>
    <w:p w:rsidR="00AB7032" w:rsidRDefault="00743E46" w:rsidP="00D35804">
      <w:pPr>
        <w:spacing w:after="0"/>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rsidR="0089153E" w:rsidRDefault="00AB7032" w:rsidP="00D35804">
      <w:pPr>
        <w:spacing w:after="0"/>
        <w:rPr>
          <w:rFonts w:cstheme="minorHAnsi"/>
          <w:bCs/>
        </w:rPr>
      </w:pPr>
      <w:r>
        <w:rPr>
          <w:noProof/>
        </w:rPr>
        <w:drawing>
          <wp:inline distT="0" distB="0" distL="0" distR="0" wp14:anchorId="266E9ABB" wp14:editId="44336FC6">
            <wp:extent cx="5943600" cy="4307840"/>
            <wp:effectExtent l="0" t="0" r="19050" b="1651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092566" w:rsidRPr="00A25024">
        <w:rPr>
          <w:rFonts w:cstheme="minorHAnsi"/>
          <w:bCs/>
        </w:rPr>
        <w:br/>
      </w:r>
      <w:bookmarkStart w:id="13" w:name="question2b49"/>
      <w:bookmarkEnd w:id="13"/>
      <w:r w:rsidR="00743E46">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255604" w:rsidRPr="00255604" w:rsidRDefault="00255604" w:rsidP="00255604">
      <w:r w:rsidRPr="00255604">
        <w:t>Not applicable.</w:t>
      </w:r>
    </w:p>
    <w:p w:rsidR="0089153E" w:rsidRDefault="00743E46" w:rsidP="008E30A2">
      <w:r w:rsidRPr="0089153E">
        <w:rPr>
          <w:b/>
        </w:rPr>
        <w:t>2b4.10</w:t>
      </w:r>
      <w:r w:rsidR="00001D73" w:rsidRPr="0089153E">
        <w:rPr>
          <w:b/>
        </w:rPr>
        <w:t xml:space="preserve">. </w:t>
      </w:r>
      <w:r w:rsidR="00092566" w:rsidRPr="0089153E">
        <w:rPr>
          <w:b/>
        </w:rPr>
        <w:t xml:space="preserve">What is your interpretation of the results in terms of demonstrating adequacy of controlling for differences in patient characteristics (case mix)? </w:t>
      </w:r>
      <w:r w:rsidR="00092566" w:rsidRPr="0089153E">
        <w:t>(i</w:t>
      </w:r>
      <w:r w:rsidR="00092566" w:rsidRPr="0089153E">
        <w:rPr>
          <w:i/>
        </w:rPr>
        <w:t>.e., what do the results mean and what are the norms for the test conducted</w:t>
      </w:r>
      <w:r w:rsidR="00092566" w:rsidRPr="0089153E">
        <w:t>)</w:t>
      </w:r>
      <w:r w:rsidR="00092566" w:rsidRPr="0089153E">
        <w:rPr>
          <w:b/>
        </w:rPr>
        <w:br/>
      </w:r>
      <w:r w:rsidR="00465CB8" w:rsidRPr="004A125A">
        <w:t>The c-sta</w:t>
      </w:r>
      <w:r w:rsidR="00465CB8">
        <w:t>tistic for the</w:t>
      </w:r>
      <w:r w:rsidR="00465CB8" w:rsidRPr="004A125A">
        <w:t xml:space="preserve"> development sample </w:t>
      </w:r>
      <w:r w:rsidR="00FF2BAC">
        <w:t>i</w:t>
      </w:r>
      <w:r w:rsidR="00465CB8" w:rsidRPr="004A125A">
        <w:t xml:space="preserve">s </w:t>
      </w:r>
      <w:r w:rsidR="00465CB8" w:rsidRPr="00DA5084">
        <w:rPr>
          <w:b/>
        </w:rPr>
        <w:t>0.683</w:t>
      </w:r>
      <w:r w:rsidR="00465CB8">
        <w:t xml:space="preserve">, which </w:t>
      </w:r>
      <w:r w:rsidR="00FF2BAC">
        <w:t>i</w:t>
      </w:r>
      <w:r w:rsidR="00465CB8">
        <w:t>s similar</w:t>
      </w:r>
      <w:r w:rsidR="00465CB8" w:rsidRPr="004A125A">
        <w:t xml:space="preserve"> to the validation sample value of </w:t>
      </w:r>
      <w:r w:rsidR="00465CB8" w:rsidRPr="00DA5084">
        <w:rPr>
          <w:b/>
        </w:rPr>
        <w:t>0.672</w:t>
      </w:r>
      <w:r w:rsidR="00465CB8" w:rsidRPr="004A125A">
        <w:t xml:space="preserve">, showing that the model differentiates between outcomes as well on new data as it does on the development data.  </w:t>
      </w:r>
    </w:p>
    <w:p w:rsidR="00FF2BAC" w:rsidRDefault="00FF2BAC" w:rsidP="008E30A2">
      <w:r w:rsidRPr="004A125A">
        <w:t xml:space="preserve">The </w:t>
      </w:r>
      <w:r>
        <w:t>R</w:t>
      </w:r>
      <w:r w:rsidRPr="00FF2BAC">
        <w:rPr>
          <w:vertAlign w:val="superscript"/>
        </w:rPr>
        <w:t>2</w:t>
      </w:r>
      <w:r>
        <w:t xml:space="preserve"> for the development sample is </w:t>
      </w:r>
      <w:r w:rsidRPr="00DA5084">
        <w:rPr>
          <w:b/>
        </w:rPr>
        <w:t>0.054</w:t>
      </w:r>
      <w:r>
        <w:t>, which is similar</w:t>
      </w:r>
      <w:r w:rsidRPr="004A125A">
        <w:t xml:space="preserve"> to the validation sample value of </w:t>
      </w:r>
      <w:r w:rsidRPr="00DA5084">
        <w:rPr>
          <w:b/>
        </w:rPr>
        <w:t>0.047</w:t>
      </w:r>
      <w:r w:rsidRPr="004A125A">
        <w:t xml:space="preserve">, showing that the model </w:t>
      </w:r>
      <w:r w:rsidR="004B20B3">
        <w:t xml:space="preserve">is capable of </w:t>
      </w:r>
      <w:r w:rsidR="004B20B3" w:rsidRPr="00ED6280">
        <w:t>describ</w:t>
      </w:r>
      <w:r w:rsidR="004B20B3">
        <w:t>ing</w:t>
      </w:r>
      <w:r w:rsidR="004B20B3" w:rsidRPr="00ED6280">
        <w:t xml:space="preserve"> the relationship between the covariates and the outcome in the development data set </w:t>
      </w:r>
      <w:r w:rsidR="004B20B3">
        <w:t>while also</w:t>
      </w:r>
      <w:r w:rsidR="004B20B3" w:rsidRPr="00ED6280">
        <w:t xml:space="preserve"> successfully predict</w:t>
      </w:r>
      <w:r w:rsidR="004B20B3">
        <w:t>ing</w:t>
      </w:r>
      <w:r w:rsidR="004B20B3" w:rsidRPr="00ED6280">
        <w:t xml:space="preserve"> the outcome on a new data set</w:t>
      </w:r>
      <w:r w:rsidR="004B20B3">
        <w:t>.</w:t>
      </w:r>
    </w:p>
    <w:p w:rsidR="00021170" w:rsidRDefault="009B1A15" w:rsidP="00F55258">
      <w:pPr>
        <w:spacing w:after="0"/>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F55258" w:rsidRPr="009B1A15" w:rsidRDefault="00F55258" w:rsidP="008E30A2">
      <w:pPr>
        <w:rPr>
          <w:rFonts w:cstheme="minorHAnsi"/>
        </w:rPr>
      </w:pPr>
      <w:r>
        <w:rPr>
          <w:rFonts w:cstheme="minorHAnsi"/>
        </w:rPr>
        <w:t>None</w:t>
      </w:r>
      <w:r w:rsidR="00255604">
        <w:rPr>
          <w:rFonts w:cstheme="minorHAnsi"/>
        </w:rPr>
        <w:t>.</w:t>
      </w: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8E30A2" w:rsidRDefault="00D61410" w:rsidP="008E30A2">
      <w:pPr>
        <w:rPr>
          <w:rFonts w:cstheme="minorHAnsi"/>
          <w:b/>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r w:rsidR="00BF3885">
        <w:t>The distribution of agency rates was analyzed to determine the inter-quartile range and the 90</w:t>
      </w:r>
      <w:r w:rsidR="00BF3885" w:rsidRPr="007B3901">
        <w:rPr>
          <w:vertAlign w:val="superscript"/>
        </w:rPr>
        <w:t>th</w:t>
      </w:r>
      <w:r w:rsidR="00BF3885">
        <w:rPr>
          <w:sz w:val="13"/>
          <w:szCs w:val="13"/>
        </w:rPr>
        <w:t xml:space="preserve"> </w:t>
      </w:r>
      <w:r w:rsidR="00BF3885">
        <w:t>vs. 10</w:t>
      </w:r>
      <w:r w:rsidR="00BF3885" w:rsidRPr="007B3901">
        <w:rPr>
          <w:vertAlign w:val="superscript"/>
        </w:rPr>
        <w:t xml:space="preserve">th </w:t>
      </w:r>
      <w:r w:rsidR="00BF3885">
        <w:t xml:space="preserve">percentile differences.  </w:t>
      </w:r>
    </w:p>
    <w:p w:rsidR="006A32AF" w:rsidRDefault="00D61410" w:rsidP="006A32AF">
      <w:pPr>
        <w:spacing w:after="0"/>
        <w:rPr>
          <w:rFonts w:ascii="Calibri" w:hAnsi="Calibri"/>
          <w:b/>
          <w:i/>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BF3885" w:rsidRPr="006A32AF" w:rsidRDefault="00BF3885" w:rsidP="006A32AF">
      <w:pPr>
        <w:spacing w:after="0"/>
        <w:jc w:val="center"/>
        <w:rPr>
          <w:rFonts w:cstheme="minorHAnsi"/>
          <w:bCs/>
        </w:rPr>
      </w:pPr>
      <w:r>
        <w:rPr>
          <w:rFonts w:ascii="Calibri" w:hAnsi="Calibri"/>
          <w:b/>
          <w:i/>
        </w:rPr>
        <w:t>Risk-Adjusted</w:t>
      </w:r>
      <w:r w:rsidRPr="00BF3885">
        <w:rPr>
          <w:rFonts w:ascii="Calibri" w:hAnsi="Calibri"/>
          <w:b/>
          <w:i/>
        </w:rPr>
        <w:t xml:space="preserve"> Rates for Agencies with At Least 20 Valid Episodes</w:t>
      </w:r>
    </w:p>
    <w:tbl>
      <w:tblPr>
        <w:tblW w:w="4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017"/>
        <w:gridCol w:w="873"/>
        <w:gridCol w:w="869"/>
        <w:gridCol w:w="809"/>
        <w:gridCol w:w="809"/>
        <w:gridCol w:w="809"/>
        <w:gridCol w:w="983"/>
        <w:gridCol w:w="982"/>
      </w:tblGrid>
      <w:tr w:rsidR="00A0653D" w:rsidRPr="00BF3885" w:rsidTr="00A0653D">
        <w:trPr>
          <w:trHeight w:val="413"/>
          <w:tblHeader/>
          <w:jc w:val="center"/>
        </w:trPr>
        <w:tc>
          <w:tcPr>
            <w:tcW w:w="542" w:type="pct"/>
            <w:shd w:val="clear" w:color="auto" w:fill="CDECFF"/>
            <w:noWrap/>
            <w:vAlign w:val="center"/>
            <w:hideMark/>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Mean</w:t>
            </w:r>
          </w:p>
        </w:tc>
        <w:tc>
          <w:tcPr>
            <w:tcW w:w="634" w:type="pct"/>
            <w:shd w:val="clear" w:color="auto" w:fill="CDECFF"/>
            <w:noWrap/>
            <w:vAlign w:val="center"/>
            <w:hideMark/>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St. Dev.</w:t>
            </w:r>
          </w:p>
        </w:tc>
        <w:tc>
          <w:tcPr>
            <w:tcW w:w="544" w:type="pct"/>
            <w:shd w:val="clear" w:color="auto" w:fill="CDECFF"/>
            <w:vAlign w:val="center"/>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Min</w:t>
            </w:r>
          </w:p>
        </w:tc>
        <w:tc>
          <w:tcPr>
            <w:tcW w:w="542" w:type="pct"/>
            <w:shd w:val="clear" w:color="auto" w:fill="CDECFF"/>
            <w:noWrap/>
            <w:vAlign w:val="center"/>
            <w:hideMark/>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10th</w:t>
            </w:r>
          </w:p>
        </w:tc>
        <w:tc>
          <w:tcPr>
            <w:tcW w:w="504" w:type="pct"/>
            <w:shd w:val="clear" w:color="auto" w:fill="CDECFF"/>
            <w:noWrap/>
            <w:vAlign w:val="center"/>
            <w:hideMark/>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25th</w:t>
            </w:r>
          </w:p>
        </w:tc>
        <w:tc>
          <w:tcPr>
            <w:tcW w:w="504" w:type="pct"/>
            <w:shd w:val="clear" w:color="auto" w:fill="CDECFF"/>
            <w:noWrap/>
            <w:vAlign w:val="center"/>
            <w:hideMark/>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50th</w:t>
            </w:r>
          </w:p>
        </w:tc>
        <w:tc>
          <w:tcPr>
            <w:tcW w:w="504" w:type="pct"/>
            <w:shd w:val="clear" w:color="auto" w:fill="CDECFF"/>
            <w:noWrap/>
            <w:vAlign w:val="center"/>
            <w:hideMark/>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75th</w:t>
            </w:r>
          </w:p>
        </w:tc>
        <w:tc>
          <w:tcPr>
            <w:tcW w:w="613" w:type="pct"/>
            <w:shd w:val="clear" w:color="auto" w:fill="CDECFF"/>
            <w:noWrap/>
            <w:vAlign w:val="center"/>
            <w:hideMark/>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90th</w:t>
            </w:r>
          </w:p>
        </w:tc>
        <w:tc>
          <w:tcPr>
            <w:tcW w:w="612" w:type="pct"/>
            <w:shd w:val="clear" w:color="auto" w:fill="CDECFF"/>
            <w:noWrap/>
            <w:vAlign w:val="center"/>
            <w:hideMark/>
          </w:tcPr>
          <w:p w:rsidR="00A0653D" w:rsidRPr="00BF3885" w:rsidRDefault="00A0653D" w:rsidP="004D4E8A">
            <w:pPr>
              <w:spacing w:after="0" w:line="240" w:lineRule="auto"/>
              <w:jc w:val="center"/>
              <w:rPr>
                <w:rFonts w:ascii="Calibri" w:hAnsi="Calibri"/>
                <w:b/>
                <w:color w:val="000000"/>
              </w:rPr>
            </w:pPr>
            <w:r w:rsidRPr="00BF3885">
              <w:rPr>
                <w:rFonts w:ascii="Calibri" w:hAnsi="Calibri"/>
                <w:b/>
                <w:color w:val="000000"/>
              </w:rPr>
              <w:t>Max</w:t>
            </w:r>
          </w:p>
        </w:tc>
      </w:tr>
      <w:tr w:rsidR="00A0653D" w:rsidRPr="00BF3885" w:rsidTr="00A0653D">
        <w:trPr>
          <w:trHeight w:val="460"/>
          <w:jc w:val="center"/>
        </w:trPr>
        <w:tc>
          <w:tcPr>
            <w:tcW w:w="542" w:type="pct"/>
            <w:shd w:val="clear" w:color="000000" w:fill="FFFFFF"/>
            <w:noWrap/>
            <w:vAlign w:val="center"/>
          </w:tcPr>
          <w:p w:rsidR="00A0653D" w:rsidRPr="00BF3885" w:rsidRDefault="00A0653D" w:rsidP="00A0653D">
            <w:pPr>
              <w:spacing w:after="0" w:line="240" w:lineRule="auto"/>
              <w:jc w:val="center"/>
              <w:rPr>
                <w:rFonts w:ascii="Calibri" w:hAnsi="Calibri"/>
                <w:color w:val="000000"/>
              </w:rPr>
            </w:pPr>
            <w:r>
              <w:rPr>
                <w:rFonts w:ascii="Calibri" w:hAnsi="Calibri"/>
                <w:color w:val="000000"/>
              </w:rPr>
              <w:t>87</w:t>
            </w:r>
            <w:r w:rsidRPr="00BF3885">
              <w:rPr>
                <w:rFonts w:ascii="Calibri" w:hAnsi="Calibri"/>
                <w:color w:val="000000"/>
              </w:rPr>
              <w:t>.9%</w:t>
            </w:r>
          </w:p>
        </w:tc>
        <w:tc>
          <w:tcPr>
            <w:tcW w:w="634" w:type="pct"/>
            <w:shd w:val="clear" w:color="000000" w:fill="FFFFFF"/>
            <w:noWrap/>
            <w:vAlign w:val="center"/>
          </w:tcPr>
          <w:p w:rsidR="00A0653D" w:rsidRPr="00BF3885" w:rsidRDefault="00A0653D" w:rsidP="00A0653D">
            <w:pPr>
              <w:spacing w:after="0" w:line="240" w:lineRule="auto"/>
              <w:jc w:val="center"/>
              <w:rPr>
                <w:rFonts w:ascii="Calibri" w:hAnsi="Calibri"/>
                <w:color w:val="000000"/>
              </w:rPr>
            </w:pPr>
            <w:r>
              <w:rPr>
                <w:rFonts w:ascii="Calibri" w:hAnsi="Calibri"/>
                <w:color w:val="000000"/>
              </w:rPr>
              <w:t>3</w:t>
            </w:r>
            <w:r w:rsidRPr="00BF3885">
              <w:rPr>
                <w:rFonts w:ascii="Calibri" w:hAnsi="Calibri"/>
                <w:color w:val="000000"/>
              </w:rPr>
              <w:t>.</w:t>
            </w:r>
            <w:r>
              <w:rPr>
                <w:rFonts w:ascii="Calibri" w:hAnsi="Calibri"/>
                <w:color w:val="000000"/>
              </w:rPr>
              <w:t>7</w:t>
            </w:r>
            <w:r w:rsidRPr="00BF3885">
              <w:rPr>
                <w:rFonts w:ascii="Calibri" w:hAnsi="Calibri"/>
                <w:color w:val="000000"/>
              </w:rPr>
              <w:t>%</w:t>
            </w:r>
          </w:p>
        </w:tc>
        <w:tc>
          <w:tcPr>
            <w:tcW w:w="544" w:type="pct"/>
            <w:shd w:val="clear" w:color="000000" w:fill="FFFFFF"/>
            <w:vAlign w:val="center"/>
          </w:tcPr>
          <w:p w:rsidR="00A0653D" w:rsidRDefault="00A0653D" w:rsidP="00A0653D">
            <w:pPr>
              <w:spacing w:after="0"/>
              <w:jc w:val="center"/>
              <w:rPr>
                <w:rFonts w:ascii="Calibri" w:hAnsi="Calibri"/>
                <w:color w:val="000000"/>
              </w:rPr>
            </w:pPr>
            <w:r>
              <w:rPr>
                <w:rFonts w:ascii="Calibri" w:hAnsi="Calibri"/>
                <w:color w:val="000000"/>
              </w:rPr>
              <w:t>70.1%</w:t>
            </w:r>
          </w:p>
        </w:tc>
        <w:tc>
          <w:tcPr>
            <w:tcW w:w="542" w:type="pct"/>
            <w:shd w:val="clear" w:color="000000" w:fill="FFFFFF"/>
            <w:noWrap/>
            <w:vAlign w:val="center"/>
          </w:tcPr>
          <w:p w:rsidR="00A0653D" w:rsidRDefault="00A0653D" w:rsidP="00A0653D">
            <w:pPr>
              <w:spacing w:after="0"/>
              <w:jc w:val="center"/>
              <w:rPr>
                <w:rFonts w:ascii="Calibri" w:hAnsi="Calibri"/>
                <w:color w:val="000000"/>
              </w:rPr>
            </w:pPr>
            <w:r>
              <w:rPr>
                <w:rFonts w:ascii="Calibri" w:hAnsi="Calibri"/>
                <w:color w:val="000000"/>
              </w:rPr>
              <w:t>82.8%</w:t>
            </w:r>
          </w:p>
        </w:tc>
        <w:tc>
          <w:tcPr>
            <w:tcW w:w="504" w:type="pct"/>
            <w:shd w:val="clear" w:color="000000" w:fill="FFFFFF"/>
            <w:noWrap/>
            <w:vAlign w:val="center"/>
          </w:tcPr>
          <w:p w:rsidR="00A0653D" w:rsidRDefault="00A0653D" w:rsidP="00A0653D">
            <w:pPr>
              <w:spacing w:after="0"/>
              <w:jc w:val="center"/>
              <w:rPr>
                <w:rFonts w:ascii="Calibri" w:hAnsi="Calibri"/>
                <w:color w:val="000000"/>
              </w:rPr>
            </w:pPr>
            <w:r>
              <w:rPr>
                <w:rFonts w:ascii="Calibri" w:hAnsi="Calibri"/>
                <w:color w:val="000000"/>
              </w:rPr>
              <w:t>85.5%</w:t>
            </w:r>
          </w:p>
        </w:tc>
        <w:tc>
          <w:tcPr>
            <w:tcW w:w="504" w:type="pct"/>
            <w:shd w:val="clear" w:color="000000" w:fill="FFFFFF"/>
            <w:noWrap/>
            <w:vAlign w:val="center"/>
          </w:tcPr>
          <w:p w:rsidR="00A0653D" w:rsidRDefault="00A0653D" w:rsidP="00A0653D">
            <w:pPr>
              <w:spacing w:after="0"/>
              <w:jc w:val="center"/>
              <w:rPr>
                <w:rFonts w:ascii="Calibri" w:hAnsi="Calibri"/>
                <w:color w:val="000000"/>
              </w:rPr>
            </w:pPr>
            <w:r>
              <w:rPr>
                <w:rFonts w:ascii="Calibri" w:hAnsi="Calibri"/>
                <w:color w:val="000000"/>
              </w:rPr>
              <w:t>88.3%</w:t>
            </w:r>
          </w:p>
        </w:tc>
        <w:tc>
          <w:tcPr>
            <w:tcW w:w="504" w:type="pct"/>
            <w:shd w:val="clear" w:color="000000" w:fill="FFFFFF"/>
            <w:noWrap/>
            <w:vAlign w:val="center"/>
          </w:tcPr>
          <w:p w:rsidR="00A0653D" w:rsidRDefault="00A0653D" w:rsidP="00A0653D">
            <w:pPr>
              <w:spacing w:after="0"/>
              <w:jc w:val="center"/>
              <w:rPr>
                <w:rFonts w:ascii="Calibri" w:hAnsi="Calibri"/>
                <w:color w:val="000000"/>
              </w:rPr>
            </w:pPr>
            <w:r>
              <w:rPr>
                <w:rFonts w:ascii="Calibri" w:hAnsi="Calibri"/>
                <w:color w:val="000000"/>
              </w:rPr>
              <w:t>90.6%</w:t>
            </w:r>
          </w:p>
        </w:tc>
        <w:tc>
          <w:tcPr>
            <w:tcW w:w="613" w:type="pct"/>
            <w:shd w:val="clear" w:color="000000" w:fill="FFFFFF"/>
            <w:noWrap/>
            <w:vAlign w:val="center"/>
          </w:tcPr>
          <w:p w:rsidR="00A0653D" w:rsidRDefault="00A0653D" w:rsidP="00A0653D">
            <w:pPr>
              <w:spacing w:after="0"/>
              <w:jc w:val="center"/>
              <w:rPr>
                <w:rFonts w:ascii="Calibri" w:hAnsi="Calibri"/>
                <w:color w:val="000000"/>
              </w:rPr>
            </w:pPr>
            <w:r>
              <w:rPr>
                <w:rFonts w:ascii="Calibri" w:hAnsi="Calibri"/>
                <w:color w:val="000000"/>
              </w:rPr>
              <w:t>92.1%</w:t>
            </w:r>
          </w:p>
        </w:tc>
        <w:tc>
          <w:tcPr>
            <w:tcW w:w="612" w:type="pct"/>
            <w:shd w:val="clear" w:color="000000" w:fill="FFFFFF"/>
            <w:noWrap/>
            <w:vAlign w:val="center"/>
          </w:tcPr>
          <w:p w:rsidR="00A0653D" w:rsidRDefault="00A0653D" w:rsidP="00A0653D">
            <w:pPr>
              <w:spacing w:after="0"/>
              <w:jc w:val="center"/>
              <w:rPr>
                <w:rFonts w:ascii="Calibri" w:hAnsi="Calibri"/>
                <w:color w:val="000000"/>
              </w:rPr>
            </w:pPr>
            <w:r>
              <w:rPr>
                <w:rFonts w:ascii="Calibri" w:hAnsi="Calibri"/>
                <w:color w:val="000000"/>
              </w:rPr>
              <w:t>96.7%</w:t>
            </w:r>
          </w:p>
        </w:tc>
      </w:tr>
    </w:tbl>
    <w:p w:rsidR="00594A85" w:rsidRDefault="00594A85" w:rsidP="00594A85">
      <w:pPr>
        <w:spacing w:after="0"/>
      </w:pPr>
    </w:p>
    <w:p w:rsidR="00BF3885" w:rsidRPr="00BF3885" w:rsidRDefault="00BF3885" w:rsidP="00594A85">
      <w:pPr>
        <w:spacing w:after="0"/>
      </w:pPr>
      <w:r w:rsidRPr="00BF3885">
        <w:t>Inter-quartile range (75th – 25th) = 9</w:t>
      </w:r>
      <w:r w:rsidR="00A0653D">
        <w:t>0</w:t>
      </w:r>
      <w:r w:rsidRPr="00BF3885">
        <w:t>.</w:t>
      </w:r>
      <w:r w:rsidR="00A0653D">
        <w:t>6 percent</w:t>
      </w:r>
      <w:r w:rsidRPr="00BF3885">
        <w:t xml:space="preserve"> – </w:t>
      </w:r>
      <w:r w:rsidR="00A0653D">
        <w:t>85</w:t>
      </w:r>
      <w:r w:rsidRPr="00BF3885">
        <w:t>.5</w:t>
      </w:r>
      <w:r w:rsidR="00A0653D">
        <w:t xml:space="preserve"> percent</w:t>
      </w:r>
      <w:r w:rsidRPr="00BF3885">
        <w:t xml:space="preserve"> = </w:t>
      </w:r>
      <w:r w:rsidR="00A0653D" w:rsidRPr="007B3901">
        <w:rPr>
          <w:b/>
        </w:rPr>
        <w:t>5</w:t>
      </w:r>
      <w:r w:rsidRPr="007B3901">
        <w:rPr>
          <w:b/>
        </w:rPr>
        <w:t>.</w:t>
      </w:r>
      <w:r w:rsidR="00A0653D" w:rsidRPr="007B3901">
        <w:rPr>
          <w:b/>
        </w:rPr>
        <w:t>1 percent</w:t>
      </w:r>
      <w:r w:rsidRPr="00BF3885">
        <w:t xml:space="preserve"> </w:t>
      </w:r>
    </w:p>
    <w:p w:rsidR="00BF3885" w:rsidRPr="00BF3885" w:rsidRDefault="00BF3885" w:rsidP="00BF3885">
      <w:r w:rsidRPr="00BF3885">
        <w:t xml:space="preserve">90th – 10th </w:t>
      </w:r>
      <w:r w:rsidR="00A0653D">
        <w:t>percentile = 92</w:t>
      </w:r>
      <w:r w:rsidRPr="00BF3885">
        <w:t>.</w:t>
      </w:r>
      <w:r w:rsidR="00A0653D">
        <w:t>1 percent</w:t>
      </w:r>
      <w:r w:rsidRPr="00BF3885">
        <w:t xml:space="preserve"> – </w:t>
      </w:r>
      <w:r w:rsidR="00A0653D">
        <w:t xml:space="preserve">82.8 percent = </w:t>
      </w:r>
      <w:r w:rsidR="00A0653D" w:rsidRPr="007B3901">
        <w:rPr>
          <w:b/>
        </w:rPr>
        <w:t>9.3 percent</w:t>
      </w:r>
      <w:r w:rsidRPr="00BF3885">
        <w:t xml:space="preserve"> </w:t>
      </w:r>
    </w:p>
    <w:p w:rsidR="004178C1" w:rsidRDefault="00D61410" w:rsidP="00D61410">
      <w:pPr>
        <w:autoSpaceDE w:val="0"/>
        <w:autoSpaceDN w:val="0"/>
        <w:adjustRightInd w:val="0"/>
        <w:spacing w:after="0" w:line="240" w:lineRule="auto"/>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A0653D">
        <w:t>A</w:t>
      </w:r>
      <w:r w:rsidR="00A0653D" w:rsidRPr="00075BE3">
        <w:t>n agency at the 75th percentile still has a</w:t>
      </w:r>
      <w:r w:rsidR="00A0653D">
        <w:t xml:space="preserve"> performance rate</w:t>
      </w:r>
      <w:r w:rsidR="00A0653D" w:rsidRPr="00075BE3">
        <w:t xml:space="preserve"> that is </w:t>
      </w:r>
      <w:r w:rsidR="00A0653D">
        <w:t>5</w:t>
      </w:r>
      <w:r w:rsidR="00A0653D" w:rsidRPr="00075BE3">
        <w:t>.</w:t>
      </w:r>
      <w:r w:rsidR="00A0653D">
        <w:t>1</w:t>
      </w:r>
      <w:r w:rsidR="00A0653D" w:rsidRPr="00075BE3">
        <w:t xml:space="preserve"> percentage points higher than an agency at the 25</w:t>
      </w:r>
      <w:r w:rsidR="00A0653D" w:rsidRPr="000B6514">
        <w:rPr>
          <w:vertAlign w:val="superscript"/>
        </w:rPr>
        <w:t>th</w:t>
      </w:r>
      <w:r w:rsidR="00A0653D">
        <w:t xml:space="preserve"> percentile, meaning the poorer quality agency performs considerably worse on the measure than the agency providing better quality care.</w:t>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32079E">
        <w:t>Not applicable; this measure uses a single data source.</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32079E">
        <w:t>Not applicable.</w:t>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32079E">
        <w:t>Not applicable.</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652DC0" w:rsidRPr="00A25024" w:rsidRDefault="008F7E67" w:rsidP="00652DC0">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2B6926">
        <w:rPr>
          <w:rFonts w:cstheme="minorHAnsi"/>
          <w:bCs/>
        </w:rPr>
        <w:t>There are minimal issues with missing data because the OASIS submission system rejects assessments with missing va</w:t>
      </w:r>
      <w:r w:rsidR="00CB686B">
        <w:rPr>
          <w:rFonts w:cstheme="minorHAnsi"/>
          <w:bCs/>
        </w:rPr>
        <w:t>lues.</w:t>
      </w:r>
      <w:r w:rsidR="002B6926">
        <w:rPr>
          <w:rFonts w:cstheme="minorHAnsi"/>
          <w:bCs/>
        </w:rPr>
        <w:t xml:space="preserve"> </w:t>
      </w:r>
      <w:r w:rsidR="00CB686B">
        <w:rPr>
          <w:rFonts w:cstheme="minorHAnsi"/>
          <w:bCs/>
        </w:rPr>
        <w:t>T</w:t>
      </w:r>
      <w:r w:rsidR="002B6926">
        <w:rPr>
          <w:rFonts w:cstheme="minorHAnsi"/>
          <w:bCs/>
        </w:rPr>
        <w:t xml:space="preserve">he provider must then resubmit the assessment.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2B6926">
        <w:rPr>
          <w:rFonts w:cstheme="minorHAnsi"/>
          <w:bCs/>
        </w:rPr>
        <w:t xml:space="preserve">There are minimal issues with missing data because the OASIS submission system rejects </w:t>
      </w:r>
      <w:r w:rsidR="00CB686B">
        <w:rPr>
          <w:rFonts w:cstheme="minorHAnsi"/>
          <w:bCs/>
        </w:rPr>
        <w:t>assessments with missing values. T</w:t>
      </w:r>
      <w:r w:rsidR="002B6926">
        <w:rPr>
          <w:rFonts w:cstheme="minorHAnsi"/>
          <w:bCs/>
        </w:rPr>
        <w:t xml:space="preserve">he provider must then resubmit the assessment.  </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Pr="005560E7" w:rsidRDefault="002B6926" w:rsidP="002B6926">
      <w:pPr>
        <w:rPr>
          <w:rFonts w:cstheme="minorHAnsi"/>
          <w:bCs/>
        </w:rPr>
      </w:pPr>
      <w:r>
        <w:rPr>
          <w:rFonts w:cstheme="minorHAnsi"/>
          <w:bCs/>
        </w:rPr>
        <w:t>There are minimal issues with missing data because the OASIS submission system rejects asse</w:t>
      </w:r>
      <w:r w:rsidR="00CB686B">
        <w:rPr>
          <w:rFonts w:cstheme="minorHAnsi"/>
          <w:bCs/>
        </w:rPr>
        <w:t>ssments with missing values.  T</w:t>
      </w:r>
      <w:r>
        <w:rPr>
          <w:rFonts w:cstheme="minorHAnsi"/>
          <w:bCs/>
        </w:rPr>
        <w:t xml:space="preserve">he provider must then resubmit the assessment.  </w:t>
      </w:r>
    </w:p>
    <w:sectPr w:rsidR="00BA053B" w:rsidRPr="005560E7" w:rsidSect="008505D1">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E8A" w:rsidRDefault="004D4E8A" w:rsidP="005C73CA">
      <w:pPr>
        <w:spacing w:after="0" w:line="240" w:lineRule="auto"/>
      </w:pPr>
      <w:r>
        <w:separator/>
      </w:r>
    </w:p>
  </w:endnote>
  <w:endnote w:type="continuationSeparator" w:id="0">
    <w:p w:rsidR="004D4E8A" w:rsidRDefault="004D4E8A"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E8A" w:rsidRDefault="004D4E8A">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2C3650">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E8A" w:rsidRDefault="004D4E8A" w:rsidP="005C73CA">
      <w:pPr>
        <w:spacing w:after="0" w:line="240" w:lineRule="auto"/>
      </w:pPr>
      <w:r>
        <w:separator/>
      </w:r>
    </w:p>
  </w:footnote>
  <w:footnote w:type="continuationSeparator" w:id="0">
    <w:p w:rsidR="004D4E8A" w:rsidRDefault="004D4E8A" w:rsidP="005C73CA">
      <w:pPr>
        <w:spacing w:after="0" w:line="240" w:lineRule="auto"/>
      </w:pPr>
      <w:r>
        <w:continuationSeparator/>
      </w:r>
    </w:p>
  </w:footnote>
  <w:footnote w:id="1">
    <w:p w:rsidR="004D4E8A" w:rsidRPr="00200CF9" w:rsidRDefault="004D4E8A" w:rsidP="00A724E2">
      <w:pPr>
        <w:pStyle w:val="FootnoteText"/>
      </w:pPr>
      <w:r>
        <w:rPr>
          <w:rStyle w:val="FootnoteReference"/>
        </w:rPr>
        <w:footnoteRef/>
      </w:r>
      <w:r>
        <w:t xml:space="preserve"> </w:t>
      </w:r>
      <w:r w:rsidRPr="006A23D2">
        <w:t>For more information about re</w:t>
      </w:r>
      <w:r>
        <w:t xml:space="preserve">liability testing for </w:t>
      </w:r>
      <w:r w:rsidRPr="006A23D2">
        <w:t>performance measurement</w:t>
      </w:r>
      <w:r>
        <w:t>, as well as the methodology for constructing the reliability score reported on Table 6</w:t>
      </w:r>
      <w:r w:rsidRPr="006A23D2">
        <w:t>, see “Reliability of Provider Profiling: A Tutorial” by John Adams, RAND</w:t>
      </w:r>
      <w:r w:rsidRPr="004F4778">
        <w:t xml:space="preserve">.  </w:t>
      </w:r>
      <w:r w:rsidRPr="006A23D2">
        <w:t>http://www.rand.org/pubs/technical_reports/TR653.html</w:t>
      </w:r>
    </w:p>
  </w:footnote>
  <w:footnote w:id="2">
    <w:p w:rsidR="004D4E8A" w:rsidRPr="00CE4FC3" w:rsidRDefault="004D4E8A" w:rsidP="00CE4FC3">
      <w:pPr>
        <w:autoSpaceDE w:val="0"/>
        <w:autoSpaceDN w:val="0"/>
        <w:adjustRightInd w:val="0"/>
        <w:spacing w:after="0" w:line="240" w:lineRule="auto"/>
        <w:rPr>
          <w:rFonts w:cstheme="minorHAnsi"/>
          <w:bCs/>
          <w:sz w:val="20"/>
          <w:szCs w:val="20"/>
        </w:rPr>
      </w:pPr>
      <w:r>
        <w:rPr>
          <w:rStyle w:val="FootnoteReference"/>
        </w:rPr>
        <w:footnoteRef/>
      </w:r>
      <w:r>
        <w:t xml:space="preserve"> </w:t>
      </w:r>
      <w:r w:rsidRPr="00CE4FC3">
        <w:rPr>
          <w:sz w:val="20"/>
          <w:szCs w:val="20"/>
        </w:rPr>
        <w:t xml:space="preserve">Parameters of risk adjustment models for all outcome measures are documented in “Home Health Agency Quality Measures: Logistic Regression Models for Risk Adjustment”, available at </w:t>
      </w:r>
      <w:r w:rsidRPr="00CE4FC3">
        <w:rPr>
          <w:color w:val="0000FF"/>
          <w:sz w:val="20"/>
          <w:szCs w:val="20"/>
          <w:u w:val="single"/>
        </w:rPr>
        <w:t xml:space="preserve">http://www.cms.gov/Medicare/Quality-Initiatives-Patient-Assessment-Instruments/HomeHealthQualityInits/HHQIQualityMeasures.html </w:t>
      </w:r>
      <w:r w:rsidRPr="00CE4FC3">
        <w:rPr>
          <w:sz w:val="20"/>
          <w:szCs w:val="20"/>
        </w:rPr>
        <w:t xml:space="preserve">under “Downloads”.  </w:t>
      </w:r>
    </w:p>
    <w:p w:rsidR="004D4E8A" w:rsidRDefault="004D4E8A">
      <w:pPr>
        <w:pStyle w:val="FootnoteText"/>
      </w:pPr>
    </w:p>
  </w:footnote>
  <w:footnote w:id="3">
    <w:p w:rsidR="004D4E8A" w:rsidRPr="00941A17" w:rsidRDefault="004D4E8A" w:rsidP="00941A17">
      <w:pPr>
        <w:pStyle w:val="Default"/>
        <w:rPr>
          <w:rFonts w:asciiTheme="minorHAnsi" w:hAnsiTheme="minorHAnsi"/>
          <w:sz w:val="20"/>
          <w:szCs w:val="20"/>
        </w:rPr>
      </w:pPr>
      <w:r>
        <w:rPr>
          <w:rStyle w:val="FootnoteReference"/>
        </w:rPr>
        <w:footnoteRef/>
      </w:r>
      <w:r>
        <w:t xml:space="preserve"> </w:t>
      </w:r>
      <w:r w:rsidRPr="00941A17">
        <w:rPr>
          <w:rFonts w:asciiTheme="minorHAnsi" w:hAnsiTheme="minorHAnsi"/>
          <w:sz w:val="20"/>
          <w:szCs w:val="20"/>
        </w:rPr>
        <w:t>The Hosmer-Lemeshow statistic is used for low frequency outcomes (i.e., the potentially avoidable events) to assess the quality of the prediction model. For low frequency events, the R</w:t>
      </w:r>
      <w:r w:rsidRPr="00941A17">
        <w:rPr>
          <w:rFonts w:asciiTheme="minorHAnsi" w:hAnsiTheme="minorHAnsi"/>
          <w:sz w:val="20"/>
          <w:szCs w:val="20"/>
          <w:vertAlign w:val="superscript"/>
        </w:rPr>
        <w:t>2</w:t>
      </w:r>
      <w:r w:rsidRPr="00941A17">
        <w:rPr>
          <w:rFonts w:asciiTheme="minorHAnsi" w:hAnsiTheme="minorHAnsi"/>
          <w:sz w:val="20"/>
          <w:szCs w:val="20"/>
        </w:rPr>
        <w:t xml:space="preserve"> statistics is not a good indicator of model fit. </w:t>
      </w:r>
    </w:p>
    <w:p w:rsidR="004D4E8A" w:rsidRDefault="004D4E8A">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E8A" w:rsidRPr="00105D8B" w:rsidRDefault="004D4E8A"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FE06F3"/>
    <w:multiLevelType w:val="hybridMultilevel"/>
    <w:tmpl w:val="5BA098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6946886"/>
    <w:multiLevelType w:val="hybridMultilevel"/>
    <w:tmpl w:val="306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85A42FC"/>
    <w:multiLevelType w:val="hybridMultilevel"/>
    <w:tmpl w:val="DD16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2"/>
  </w:num>
  <w:num w:numId="4">
    <w:abstractNumId w:val="5"/>
  </w:num>
  <w:num w:numId="5">
    <w:abstractNumId w:val="1"/>
  </w:num>
  <w:num w:numId="6">
    <w:abstractNumId w:val="0"/>
  </w:num>
  <w:num w:numId="7">
    <w:abstractNumId w:val="3"/>
  </w:num>
  <w:num w:numId="8">
    <w:abstractNumId w:val="19"/>
  </w:num>
  <w:num w:numId="9">
    <w:abstractNumId w:val="9"/>
  </w:num>
  <w:num w:numId="10">
    <w:abstractNumId w:val="26"/>
  </w:num>
  <w:num w:numId="11">
    <w:abstractNumId w:val="11"/>
  </w:num>
  <w:num w:numId="12">
    <w:abstractNumId w:val="24"/>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8"/>
  </w:num>
  <w:num w:numId="17">
    <w:abstractNumId w:val="25"/>
  </w:num>
  <w:num w:numId="18">
    <w:abstractNumId w:val="22"/>
  </w:num>
  <w:num w:numId="19">
    <w:abstractNumId w:val="21"/>
  </w:num>
  <w:num w:numId="20">
    <w:abstractNumId w:val="15"/>
  </w:num>
  <w:num w:numId="21">
    <w:abstractNumId w:val="18"/>
  </w:num>
  <w:num w:numId="22">
    <w:abstractNumId w:val="14"/>
  </w:num>
  <w:num w:numId="23">
    <w:abstractNumId w:val="6"/>
  </w:num>
  <w:num w:numId="24">
    <w:abstractNumId w:val="13"/>
  </w:num>
  <w:num w:numId="25">
    <w:abstractNumId w:val="12"/>
  </w:num>
  <w:num w:numId="26">
    <w:abstractNumId w:val="27"/>
  </w:num>
  <w:num w:numId="27">
    <w:abstractNumId w:val="7"/>
  </w:num>
  <w:num w:numId="28">
    <w:abstractNumId w:val="23"/>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55EA"/>
    <w:rsid w:val="000736E0"/>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1730"/>
    <w:rsid w:val="00104B45"/>
    <w:rsid w:val="00105D8B"/>
    <w:rsid w:val="001074FC"/>
    <w:rsid w:val="0011259E"/>
    <w:rsid w:val="0011342F"/>
    <w:rsid w:val="001202E9"/>
    <w:rsid w:val="0012454F"/>
    <w:rsid w:val="00125273"/>
    <w:rsid w:val="0012575E"/>
    <w:rsid w:val="00127C06"/>
    <w:rsid w:val="00145149"/>
    <w:rsid w:val="00145D4F"/>
    <w:rsid w:val="0014773C"/>
    <w:rsid w:val="0017696D"/>
    <w:rsid w:val="001848FC"/>
    <w:rsid w:val="001969C5"/>
    <w:rsid w:val="001A6CDD"/>
    <w:rsid w:val="001C12EE"/>
    <w:rsid w:val="001C7B02"/>
    <w:rsid w:val="001E4DD4"/>
    <w:rsid w:val="001E69DC"/>
    <w:rsid w:val="001F0ABD"/>
    <w:rsid w:val="001F169D"/>
    <w:rsid w:val="001F1DA1"/>
    <w:rsid w:val="001F6F93"/>
    <w:rsid w:val="001F7A20"/>
    <w:rsid w:val="00206E5B"/>
    <w:rsid w:val="0021195A"/>
    <w:rsid w:val="00213383"/>
    <w:rsid w:val="0021458A"/>
    <w:rsid w:val="00220250"/>
    <w:rsid w:val="0022691B"/>
    <w:rsid w:val="00232163"/>
    <w:rsid w:val="002376F8"/>
    <w:rsid w:val="002408E4"/>
    <w:rsid w:val="00241591"/>
    <w:rsid w:val="00243913"/>
    <w:rsid w:val="00250B4F"/>
    <w:rsid w:val="00255604"/>
    <w:rsid w:val="0025762F"/>
    <w:rsid w:val="002578EA"/>
    <w:rsid w:val="00260C81"/>
    <w:rsid w:val="0028114D"/>
    <w:rsid w:val="00287649"/>
    <w:rsid w:val="00287E84"/>
    <w:rsid w:val="0029286C"/>
    <w:rsid w:val="0029300E"/>
    <w:rsid w:val="002A104C"/>
    <w:rsid w:val="002A4250"/>
    <w:rsid w:val="002B0C3A"/>
    <w:rsid w:val="002B2116"/>
    <w:rsid w:val="002B2D9B"/>
    <w:rsid w:val="002B5016"/>
    <w:rsid w:val="002B6167"/>
    <w:rsid w:val="002B6926"/>
    <w:rsid w:val="002B742C"/>
    <w:rsid w:val="002B7F4D"/>
    <w:rsid w:val="002C285C"/>
    <w:rsid w:val="002C3650"/>
    <w:rsid w:val="002C7BE4"/>
    <w:rsid w:val="002D417D"/>
    <w:rsid w:val="002D454E"/>
    <w:rsid w:val="002D5E5D"/>
    <w:rsid w:val="002E78A0"/>
    <w:rsid w:val="002F2687"/>
    <w:rsid w:val="002F48E1"/>
    <w:rsid w:val="002F4F3B"/>
    <w:rsid w:val="003022C2"/>
    <w:rsid w:val="00302997"/>
    <w:rsid w:val="003059EB"/>
    <w:rsid w:val="00310BD2"/>
    <w:rsid w:val="003116AC"/>
    <w:rsid w:val="00315567"/>
    <w:rsid w:val="0032079E"/>
    <w:rsid w:val="00330144"/>
    <w:rsid w:val="00346245"/>
    <w:rsid w:val="00356267"/>
    <w:rsid w:val="00356BAD"/>
    <w:rsid w:val="0036045F"/>
    <w:rsid w:val="003605B4"/>
    <w:rsid w:val="003627AC"/>
    <w:rsid w:val="00366914"/>
    <w:rsid w:val="00372FE3"/>
    <w:rsid w:val="003737B1"/>
    <w:rsid w:val="003755CB"/>
    <w:rsid w:val="00383F85"/>
    <w:rsid w:val="003A306C"/>
    <w:rsid w:val="003A3644"/>
    <w:rsid w:val="003A7DE7"/>
    <w:rsid w:val="003B1006"/>
    <w:rsid w:val="003C5F11"/>
    <w:rsid w:val="003D6401"/>
    <w:rsid w:val="003E1863"/>
    <w:rsid w:val="0041606D"/>
    <w:rsid w:val="00416962"/>
    <w:rsid w:val="004178C1"/>
    <w:rsid w:val="004348CC"/>
    <w:rsid w:val="00457236"/>
    <w:rsid w:val="004658FF"/>
    <w:rsid w:val="00465CB8"/>
    <w:rsid w:val="00474ED7"/>
    <w:rsid w:val="004756E1"/>
    <w:rsid w:val="0048008A"/>
    <w:rsid w:val="00483E94"/>
    <w:rsid w:val="00484120"/>
    <w:rsid w:val="004853A0"/>
    <w:rsid w:val="00496B5F"/>
    <w:rsid w:val="004A2E10"/>
    <w:rsid w:val="004B17FF"/>
    <w:rsid w:val="004B1BA0"/>
    <w:rsid w:val="004B20B3"/>
    <w:rsid w:val="004B6CEE"/>
    <w:rsid w:val="004C2443"/>
    <w:rsid w:val="004C498F"/>
    <w:rsid w:val="004C5D29"/>
    <w:rsid w:val="004C681A"/>
    <w:rsid w:val="004D4D8A"/>
    <w:rsid w:val="004D4E8A"/>
    <w:rsid w:val="004F68EE"/>
    <w:rsid w:val="005038D5"/>
    <w:rsid w:val="00511BA4"/>
    <w:rsid w:val="005134B1"/>
    <w:rsid w:val="005149E7"/>
    <w:rsid w:val="005232D6"/>
    <w:rsid w:val="005333CC"/>
    <w:rsid w:val="005363F1"/>
    <w:rsid w:val="00542A1B"/>
    <w:rsid w:val="0055007C"/>
    <w:rsid w:val="00554922"/>
    <w:rsid w:val="00555282"/>
    <w:rsid w:val="00555392"/>
    <w:rsid w:val="005560E7"/>
    <w:rsid w:val="005612CC"/>
    <w:rsid w:val="00563029"/>
    <w:rsid w:val="00567D12"/>
    <w:rsid w:val="00576062"/>
    <w:rsid w:val="00594A85"/>
    <w:rsid w:val="0059559F"/>
    <w:rsid w:val="005A49FF"/>
    <w:rsid w:val="005A7634"/>
    <w:rsid w:val="005C0447"/>
    <w:rsid w:val="005C739F"/>
    <w:rsid w:val="005C73CA"/>
    <w:rsid w:val="005D4768"/>
    <w:rsid w:val="005D7EB8"/>
    <w:rsid w:val="005E2CAB"/>
    <w:rsid w:val="005E429E"/>
    <w:rsid w:val="00601ED4"/>
    <w:rsid w:val="006030BC"/>
    <w:rsid w:val="00612866"/>
    <w:rsid w:val="00616EB5"/>
    <w:rsid w:val="006171AF"/>
    <w:rsid w:val="00625CDE"/>
    <w:rsid w:val="006269D4"/>
    <w:rsid w:val="006327D8"/>
    <w:rsid w:val="0064070A"/>
    <w:rsid w:val="00643A01"/>
    <w:rsid w:val="00652DC0"/>
    <w:rsid w:val="006574D2"/>
    <w:rsid w:val="0066200D"/>
    <w:rsid w:val="006676D4"/>
    <w:rsid w:val="00675535"/>
    <w:rsid w:val="00681359"/>
    <w:rsid w:val="00696262"/>
    <w:rsid w:val="006A32AF"/>
    <w:rsid w:val="006A73C7"/>
    <w:rsid w:val="006C3A4F"/>
    <w:rsid w:val="006C43B6"/>
    <w:rsid w:val="006C4845"/>
    <w:rsid w:val="006D086E"/>
    <w:rsid w:val="006D6BC1"/>
    <w:rsid w:val="006E2BFC"/>
    <w:rsid w:val="006E5C57"/>
    <w:rsid w:val="006F22A5"/>
    <w:rsid w:val="007007C3"/>
    <w:rsid w:val="00702C73"/>
    <w:rsid w:val="00713394"/>
    <w:rsid w:val="00724677"/>
    <w:rsid w:val="00725AC2"/>
    <w:rsid w:val="00732880"/>
    <w:rsid w:val="007416B9"/>
    <w:rsid w:val="007422FD"/>
    <w:rsid w:val="00743E46"/>
    <w:rsid w:val="00746654"/>
    <w:rsid w:val="00747C45"/>
    <w:rsid w:val="00756FDB"/>
    <w:rsid w:val="007629B6"/>
    <w:rsid w:val="007665BF"/>
    <w:rsid w:val="00771B2A"/>
    <w:rsid w:val="007757CE"/>
    <w:rsid w:val="00775800"/>
    <w:rsid w:val="0079180E"/>
    <w:rsid w:val="00793860"/>
    <w:rsid w:val="007950CC"/>
    <w:rsid w:val="0079538B"/>
    <w:rsid w:val="007961B8"/>
    <w:rsid w:val="00797624"/>
    <w:rsid w:val="007A4828"/>
    <w:rsid w:val="007B093D"/>
    <w:rsid w:val="007B2069"/>
    <w:rsid w:val="007B3901"/>
    <w:rsid w:val="007C04A1"/>
    <w:rsid w:val="007C21FA"/>
    <w:rsid w:val="007D4351"/>
    <w:rsid w:val="007D6DE7"/>
    <w:rsid w:val="007D7019"/>
    <w:rsid w:val="007E18DB"/>
    <w:rsid w:val="007E6F1C"/>
    <w:rsid w:val="00804C69"/>
    <w:rsid w:val="0080711D"/>
    <w:rsid w:val="008155CD"/>
    <w:rsid w:val="00833325"/>
    <w:rsid w:val="008362ED"/>
    <w:rsid w:val="00840A41"/>
    <w:rsid w:val="00842F3C"/>
    <w:rsid w:val="008505D1"/>
    <w:rsid w:val="00855158"/>
    <w:rsid w:val="00857EE8"/>
    <w:rsid w:val="0086464B"/>
    <w:rsid w:val="008647FC"/>
    <w:rsid w:val="00864CA8"/>
    <w:rsid w:val="00865E2D"/>
    <w:rsid w:val="00870E6C"/>
    <w:rsid w:val="00884486"/>
    <w:rsid w:val="008871A9"/>
    <w:rsid w:val="0089153E"/>
    <w:rsid w:val="008916BA"/>
    <w:rsid w:val="00892176"/>
    <w:rsid w:val="008A1DB7"/>
    <w:rsid w:val="008A403A"/>
    <w:rsid w:val="008A4C13"/>
    <w:rsid w:val="008B604D"/>
    <w:rsid w:val="008B687B"/>
    <w:rsid w:val="008C54A9"/>
    <w:rsid w:val="008E30A2"/>
    <w:rsid w:val="008E67C3"/>
    <w:rsid w:val="008F589F"/>
    <w:rsid w:val="008F76A9"/>
    <w:rsid w:val="008F7E67"/>
    <w:rsid w:val="00900DBF"/>
    <w:rsid w:val="009048B9"/>
    <w:rsid w:val="00904E91"/>
    <w:rsid w:val="00911B72"/>
    <w:rsid w:val="00915886"/>
    <w:rsid w:val="009214DC"/>
    <w:rsid w:val="00927027"/>
    <w:rsid w:val="009344BA"/>
    <w:rsid w:val="00941A17"/>
    <w:rsid w:val="00943CDE"/>
    <w:rsid w:val="00947F78"/>
    <w:rsid w:val="00953234"/>
    <w:rsid w:val="00961EAF"/>
    <w:rsid w:val="0096278F"/>
    <w:rsid w:val="009726E1"/>
    <w:rsid w:val="00977591"/>
    <w:rsid w:val="00980E75"/>
    <w:rsid w:val="00991FF5"/>
    <w:rsid w:val="00994BE0"/>
    <w:rsid w:val="00997FDE"/>
    <w:rsid w:val="009A25B1"/>
    <w:rsid w:val="009A4608"/>
    <w:rsid w:val="009A6A57"/>
    <w:rsid w:val="009A70BF"/>
    <w:rsid w:val="009B1A15"/>
    <w:rsid w:val="009C0852"/>
    <w:rsid w:val="009C13CA"/>
    <w:rsid w:val="009C32C6"/>
    <w:rsid w:val="009C665F"/>
    <w:rsid w:val="009D7E38"/>
    <w:rsid w:val="009E095B"/>
    <w:rsid w:val="009E1846"/>
    <w:rsid w:val="009E3056"/>
    <w:rsid w:val="009E78FF"/>
    <w:rsid w:val="009F5366"/>
    <w:rsid w:val="00A01494"/>
    <w:rsid w:val="00A0653D"/>
    <w:rsid w:val="00A22FA9"/>
    <w:rsid w:val="00A23CE2"/>
    <w:rsid w:val="00A25024"/>
    <w:rsid w:val="00A27B3E"/>
    <w:rsid w:val="00A35F8F"/>
    <w:rsid w:val="00A41377"/>
    <w:rsid w:val="00A4263D"/>
    <w:rsid w:val="00A509B8"/>
    <w:rsid w:val="00A52AB9"/>
    <w:rsid w:val="00A6210B"/>
    <w:rsid w:val="00A724E2"/>
    <w:rsid w:val="00A7323A"/>
    <w:rsid w:val="00A831B4"/>
    <w:rsid w:val="00A93E0E"/>
    <w:rsid w:val="00A9552B"/>
    <w:rsid w:val="00A97798"/>
    <w:rsid w:val="00AA5213"/>
    <w:rsid w:val="00AA65A6"/>
    <w:rsid w:val="00AB7032"/>
    <w:rsid w:val="00AC1D8E"/>
    <w:rsid w:val="00AC48FA"/>
    <w:rsid w:val="00AD0240"/>
    <w:rsid w:val="00AD4137"/>
    <w:rsid w:val="00B037BA"/>
    <w:rsid w:val="00B10111"/>
    <w:rsid w:val="00B20139"/>
    <w:rsid w:val="00B218DA"/>
    <w:rsid w:val="00B22FF1"/>
    <w:rsid w:val="00B247FA"/>
    <w:rsid w:val="00B342FA"/>
    <w:rsid w:val="00B41855"/>
    <w:rsid w:val="00B53E8B"/>
    <w:rsid w:val="00B774D2"/>
    <w:rsid w:val="00B8015A"/>
    <w:rsid w:val="00B82A57"/>
    <w:rsid w:val="00BA053B"/>
    <w:rsid w:val="00BA2341"/>
    <w:rsid w:val="00BB0231"/>
    <w:rsid w:val="00BB35AE"/>
    <w:rsid w:val="00BC03A1"/>
    <w:rsid w:val="00BC0D25"/>
    <w:rsid w:val="00BD2505"/>
    <w:rsid w:val="00BE592D"/>
    <w:rsid w:val="00BF3885"/>
    <w:rsid w:val="00BF52B0"/>
    <w:rsid w:val="00BF5697"/>
    <w:rsid w:val="00C14CCC"/>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B686B"/>
    <w:rsid w:val="00CC02CF"/>
    <w:rsid w:val="00CC086A"/>
    <w:rsid w:val="00CD0F66"/>
    <w:rsid w:val="00CD364B"/>
    <w:rsid w:val="00CE23B8"/>
    <w:rsid w:val="00CE4FC3"/>
    <w:rsid w:val="00CE50D7"/>
    <w:rsid w:val="00D00344"/>
    <w:rsid w:val="00D107C7"/>
    <w:rsid w:val="00D1754D"/>
    <w:rsid w:val="00D2223F"/>
    <w:rsid w:val="00D274A4"/>
    <w:rsid w:val="00D277AF"/>
    <w:rsid w:val="00D31163"/>
    <w:rsid w:val="00D315E3"/>
    <w:rsid w:val="00D320B1"/>
    <w:rsid w:val="00D33AFD"/>
    <w:rsid w:val="00D35804"/>
    <w:rsid w:val="00D36489"/>
    <w:rsid w:val="00D37D23"/>
    <w:rsid w:val="00D42195"/>
    <w:rsid w:val="00D50704"/>
    <w:rsid w:val="00D50A74"/>
    <w:rsid w:val="00D5760A"/>
    <w:rsid w:val="00D61410"/>
    <w:rsid w:val="00D8181D"/>
    <w:rsid w:val="00D968D8"/>
    <w:rsid w:val="00DA5084"/>
    <w:rsid w:val="00DA563D"/>
    <w:rsid w:val="00DA7277"/>
    <w:rsid w:val="00DB3627"/>
    <w:rsid w:val="00DB4724"/>
    <w:rsid w:val="00DC0D8E"/>
    <w:rsid w:val="00DC4746"/>
    <w:rsid w:val="00DC493A"/>
    <w:rsid w:val="00DE7149"/>
    <w:rsid w:val="00DF2415"/>
    <w:rsid w:val="00E0314C"/>
    <w:rsid w:val="00E1508F"/>
    <w:rsid w:val="00E24109"/>
    <w:rsid w:val="00E27240"/>
    <w:rsid w:val="00E27EDD"/>
    <w:rsid w:val="00E30584"/>
    <w:rsid w:val="00E310B9"/>
    <w:rsid w:val="00E37E1B"/>
    <w:rsid w:val="00E562C0"/>
    <w:rsid w:val="00E672D6"/>
    <w:rsid w:val="00E76024"/>
    <w:rsid w:val="00E84A19"/>
    <w:rsid w:val="00E856A2"/>
    <w:rsid w:val="00E96884"/>
    <w:rsid w:val="00EA4AB3"/>
    <w:rsid w:val="00EA5435"/>
    <w:rsid w:val="00EA5F47"/>
    <w:rsid w:val="00EB30BF"/>
    <w:rsid w:val="00EC6EFD"/>
    <w:rsid w:val="00EC79DE"/>
    <w:rsid w:val="00ED4ACE"/>
    <w:rsid w:val="00EE4D35"/>
    <w:rsid w:val="00EF2DA7"/>
    <w:rsid w:val="00F109B1"/>
    <w:rsid w:val="00F119CD"/>
    <w:rsid w:val="00F435AA"/>
    <w:rsid w:val="00F55258"/>
    <w:rsid w:val="00F5738A"/>
    <w:rsid w:val="00F612D4"/>
    <w:rsid w:val="00F67500"/>
    <w:rsid w:val="00F77F1D"/>
    <w:rsid w:val="00F87CCB"/>
    <w:rsid w:val="00F90ED6"/>
    <w:rsid w:val="00FA14FF"/>
    <w:rsid w:val="00FA48C7"/>
    <w:rsid w:val="00FB73C1"/>
    <w:rsid w:val="00FF2BAC"/>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Style2Char">
    <w:name w:val="Style2 Char"/>
    <w:basedOn w:val="DefaultParagraphFont"/>
    <w:rsid w:val="0032079E"/>
    <w:rPr>
      <w:rFonts w:cs="Times New Roman"/>
      <w:color w:val="000000" w:themeColor="text1"/>
      <w:sz w:val="20"/>
      <w:szCs w:val="20"/>
    </w:rPr>
  </w:style>
  <w:style w:type="table" w:customStyle="1" w:styleId="TableGrid1">
    <w:name w:val="Table Grid1"/>
    <w:basedOn w:val="TableNormal"/>
    <w:next w:val="TableGrid"/>
    <w:uiPriority w:val="59"/>
    <w:rsid w:val="003207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3Char">
    <w:name w:val="Style3 Char"/>
    <w:basedOn w:val="DefaultParagraphFont"/>
    <w:rsid w:val="0032079E"/>
    <w:rPr>
      <w:rFonts w:eastAsia="Times New Roman" w:cs="Times New Roman"/>
      <w:b/>
      <w:color w:val="000000"/>
      <w:sz w:val="20"/>
      <w:szCs w:val="20"/>
    </w:rPr>
  </w:style>
  <w:style w:type="paragraph" w:styleId="Caption">
    <w:name w:val="caption"/>
    <w:basedOn w:val="Normal"/>
    <w:next w:val="Normal"/>
    <w:qFormat/>
    <w:rsid w:val="0032079E"/>
    <w:pPr>
      <w:spacing w:before="40" w:after="20" w:line="240" w:lineRule="auto"/>
      <w:ind w:left="432"/>
      <w:jc w:val="center"/>
    </w:pPr>
    <w:rPr>
      <w:rFonts w:ascii="Arial" w:eastAsia="Times New Roman" w:hAnsi="Arial" w:cs="Times New Roman"/>
      <w:b/>
      <w:bCs/>
      <w:color w:val="FFFFFF"/>
      <w:sz w:val="20"/>
      <w:szCs w:val="20"/>
    </w:rPr>
  </w:style>
  <w:style w:type="table" w:customStyle="1" w:styleId="TableGrid2">
    <w:name w:val="Table Grid2"/>
    <w:basedOn w:val="TableNormal"/>
    <w:next w:val="TableGrid"/>
    <w:uiPriority w:val="59"/>
    <w:rsid w:val="003207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125">
    <w:name w:val="Body 1.25"/>
    <w:basedOn w:val="BodyText"/>
    <w:link w:val="Body125Char"/>
    <w:uiPriority w:val="6"/>
    <w:qFormat/>
    <w:rsid w:val="00A724E2"/>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A724E2"/>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A724E2"/>
    <w:pPr>
      <w:spacing w:after="120"/>
    </w:pPr>
  </w:style>
  <w:style w:type="character" w:customStyle="1" w:styleId="BodyTextChar">
    <w:name w:val="Body Text Char"/>
    <w:basedOn w:val="DefaultParagraphFont"/>
    <w:link w:val="BodyText"/>
    <w:uiPriority w:val="99"/>
    <w:semiHidden/>
    <w:rsid w:val="00A724E2"/>
  </w:style>
  <w:style w:type="paragraph" w:customStyle="1" w:styleId="tt">
    <w:name w:val="tt"/>
    <w:aliases w:val="table text,Table Text"/>
    <w:basedOn w:val="Normal"/>
    <w:link w:val="ttChar"/>
    <w:uiPriority w:val="17"/>
    <w:qFormat/>
    <w:rsid w:val="00A724E2"/>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A724E2"/>
    <w:rPr>
      <w:rFonts w:ascii="Arial Narrow" w:eastAsia="Times New Roman" w:hAnsi="Arial Narrow" w:cs="Times New Roman"/>
      <w:sz w:val="18"/>
      <w:szCs w:val="20"/>
    </w:rPr>
  </w:style>
  <w:style w:type="paragraph" w:customStyle="1" w:styleId="Default">
    <w:name w:val="Default"/>
    <w:rsid w:val="00555392"/>
    <w:pPr>
      <w:autoSpaceDE w:val="0"/>
      <w:autoSpaceDN w:val="0"/>
      <w:adjustRightInd w:val="0"/>
      <w:spacing w:after="0" w:line="240" w:lineRule="auto"/>
    </w:pPr>
    <w:rPr>
      <w:rFonts w:ascii="Arial" w:hAnsi="Arial" w:cs="Arial"/>
      <w:color w:val="000000"/>
      <w:sz w:val="24"/>
      <w:szCs w:val="24"/>
    </w:rPr>
  </w:style>
  <w:style w:type="paragraph" w:customStyle="1" w:styleId="CharCharCharChar">
    <w:name w:val="Char Char Char Char"/>
    <w:basedOn w:val="Normal"/>
    <w:semiHidden/>
    <w:rsid w:val="00A23CE2"/>
    <w:pPr>
      <w:widowControl w:val="0"/>
      <w:spacing w:after="160" w:line="240" w:lineRule="exact"/>
    </w:pPr>
    <w:rPr>
      <w:rFonts w:ascii="Tahoma" w:eastAsia="Times New Roman" w:hAnsi="Tahoma"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Style2Char">
    <w:name w:val="Style2 Char"/>
    <w:basedOn w:val="DefaultParagraphFont"/>
    <w:rsid w:val="0032079E"/>
    <w:rPr>
      <w:rFonts w:cs="Times New Roman"/>
      <w:color w:val="000000" w:themeColor="text1"/>
      <w:sz w:val="20"/>
      <w:szCs w:val="20"/>
    </w:rPr>
  </w:style>
  <w:style w:type="table" w:customStyle="1" w:styleId="TableGrid1">
    <w:name w:val="Table Grid1"/>
    <w:basedOn w:val="TableNormal"/>
    <w:next w:val="TableGrid"/>
    <w:uiPriority w:val="59"/>
    <w:rsid w:val="003207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3Char">
    <w:name w:val="Style3 Char"/>
    <w:basedOn w:val="DefaultParagraphFont"/>
    <w:rsid w:val="0032079E"/>
    <w:rPr>
      <w:rFonts w:eastAsia="Times New Roman" w:cs="Times New Roman"/>
      <w:b/>
      <w:color w:val="000000"/>
      <w:sz w:val="20"/>
      <w:szCs w:val="20"/>
    </w:rPr>
  </w:style>
  <w:style w:type="paragraph" w:styleId="Caption">
    <w:name w:val="caption"/>
    <w:basedOn w:val="Normal"/>
    <w:next w:val="Normal"/>
    <w:qFormat/>
    <w:rsid w:val="0032079E"/>
    <w:pPr>
      <w:spacing w:before="40" w:after="20" w:line="240" w:lineRule="auto"/>
      <w:ind w:left="432"/>
      <w:jc w:val="center"/>
    </w:pPr>
    <w:rPr>
      <w:rFonts w:ascii="Arial" w:eastAsia="Times New Roman" w:hAnsi="Arial" w:cs="Times New Roman"/>
      <w:b/>
      <w:bCs/>
      <w:color w:val="FFFFFF"/>
      <w:sz w:val="20"/>
      <w:szCs w:val="20"/>
    </w:rPr>
  </w:style>
  <w:style w:type="table" w:customStyle="1" w:styleId="TableGrid2">
    <w:name w:val="Table Grid2"/>
    <w:basedOn w:val="TableNormal"/>
    <w:next w:val="TableGrid"/>
    <w:uiPriority w:val="59"/>
    <w:rsid w:val="003207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125">
    <w:name w:val="Body 1.25"/>
    <w:basedOn w:val="BodyText"/>
    <w:link w:val="Body125Char"/>
    <w:uiPriority w:val="6"/>
    <w:qFormat/>
    <w:rsid w:val="00A724E2"/>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A724E2"/>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A724E2"/>
    <w:pPr>
      <w:spacing w:after="120"/>
    </w:pPr>
  </w:style>
  <w:style w:type="character" w:customStyle="1" w:styleId="BodyTextChar">
    <w:name w:val="Body Text Char"/>
    <w:basedOn w:val="DefaultParagraphFont"/>
    <w:link w:val="BodyText"/>
    <w:uiPriority w:val="99"/>
    <w:semiHidden/>
    <w:rsid w:val="00A724E2"/>
  </w:style>
  <w:style w:type="paragraph" w:customStyle="1" w:styleId="tt">
    <w:name w:val="tt"/>
    <w:aliases w:val="table text,Table Text"/>
    <w:basedOn w:val="Normal"/>
    <w:link w:val="ttChar"/>
    <w:uiPriority w:val="17"/>
    <w:qFormat/>
    <w:rsid w:val="00A724E2"/>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A724E2"/>
    <w:rPr>
      <w:rFonts w:ascii="Arial Narrow" w:eastAsia="Times New Roman" w:hAnsi="Arial Narrow" w:cs="Times New Roman"/>
      <w:sz w:val="18"/>
      <w:szCs w:val="20"/>
    </w:rPr>
  </w:style>
  <w:style w:type="paragraph" w:customStyle="1" w:styleId="Default">
    <w:name w:val="Default"/>
    <w:rsid w:val="00555392"/>
    <w:pPr>
      <w:autoSpaceDE w:val="0"/>
      <w:autoSpaceDN w:val="0"/>
      <w:adjustRightInd w:val="0"/>
      <w:spacing w:after="0" w:line="240" w:lineRule="auto"/>
    </w:pPr>
    <w:rPr>
      <w:rFonts w:ascii="Arial" w:hAnsi="Arial" w:cs="Arial"/>
      <w:color w:val="000000"/>
      <w:sz w:val="24"/>
      <w:szCs w:val="24"/>
    </w:rPr>
  </w:style>
  <w:style w:type="paragraph" w:customStyle="1" w:styleId="CharCharCharChar">
    <w:name w:val="Char Char Char Char"/>
    <w:basedOn w:val="Normal"/>
    <w:semiHidden/>
    <w:rsid w:val="00A23CE2"/>
    <w:pPr>
      <w:widowControl w:val="0"/>
      <w:spacing w:after="160" w:line="240" w:lineRule="exact"/>
    </w:pPr>
    <w:rPr>
      <w:rFonts w:ascii="Tahoma" w:eastAsia="Times New Roman" w:hAnsi="Tahom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03801">
      <w:bodyDiv w:val="1"/>
      <w:marLeft w:val="0"/>
      <w:marRight w:val="0"/>
      <w:marTop w:val="0"/>
      <w:marBottom w:val="0"/>
      <w:divBdr>
        <w:top w:val="none" w:sz="0" w:space="0" w:color="auto"/>
        <w:left w:val="none" w:sz="0" w:space="0" w:color="auto"/>
        <w:bottom w:val="none" w:sz="0" w:space="0" w:color="auto"/>
        <w:right w:val="none" w:sz="0" w:space="0" w:color="auto"/>
      </w:divBdr>
    </w:div>
    <w:div w:id="16085369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7157748">
      <w:bodyDiv w:val="1"/>
      <w:marLeft w:val="0"/>
      <w:marRight w:val="0"/>
      <w:marTop w:val="0"/>
      <w:marBottom w:val="0"/>
      <w:divBdr>
        <w:top w:val="none" w:sz="0" w:space="0" w:color="auto"/>
        <w:left w:val="none" w:sz="0" w:space="0" w:color="auto"/>
        <w:bottom w:val="none" w:sz="0" w:space="0" w:color="auto"/>
        <w:right w:val="none" w:sz="0" w:space="0" w:color="auto"/>
      </w:divBdr>
    </w:div>
    <w:div w:id="644314229">
      <w:bodyDiv w:val="1"/>
      <w:marLeft w:val="0"/>
      <w:marRight w:val="0"/>
      <w:marTop w:val="0"/>
      <w:marBottom w:val="0"/>
      <w:divBdr>
        <w:top w:val="none" w:sz="0" w:space="0" w:color="auto"/>
        <w:left w:val="none" w:sz="0" w:space="0" w:color="auto"/>
        <w:bottom w:val="none" w:sz="0" w:space="0" w:color="auto"/>
        <w:right w:val="none" w:sz="0" w:space="0" w:color="auto"/>
      </w:divBdr>
    </w:div>
    <w:div w:id="85885291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26291871">
      <w:bodyDiv w:val="1"/>
      <w:marLeft w:val="0"/>
      <w:marRight w:val="0"/>
      <w:marTop w:val="0"/>
      <w:marBottom w:val="0"/>
      <w:divBdr>
        <w:top w:val="none" w:sz="0" w:space="0" w:color="auto"/>
        <w:left w:val="none" w:sz="0" w:space="0" w:color="auto"/>
        <w:bottom w:val="none" w:sz="0" w:space="0" w:color="auto"/>
        <w:right w:val="none" w:sz="0" w:space="0" w:color="auto"/>
      </w:divBdr>
    </w:div>
    <w:div w:id="1885212967">
      <w:bodyDiv w:val="1"/>
      <w:marLeft w:val="0"/>
      <w:marRight w:val="0"/>
      <w:marTop w:val="0"/>
      <w:marBottom w:val="0"/>
      <w:divBdr>
        <w:top w:val="none" w:sz="0" w:space="0" w:color="auto"/>
        <w:left w:val="none" w:sz="0" w:space="0" w:color="auto"/>
        <w:bottom w:val="none" w:sz="0" w:space="0" w:color="auto"/>
        <w:right w:val="none" w:sz="0" w:space="0" w:color="auto"/>
      </w:divBdr>
    </w:div>
    <w:div w:id="204440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1" Type="http://schemas.openxmlformats.org/officeDocument/2006/relationships/oleObject" Target="file:///\\sun\Active\Projects\CMS_OASIS\NQF_Reevaluation_2013\Improvement%20in%20Status%20of%20Surgical%20Wounds\NQF0178_Analysis_03052014_v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sz="1100"/>
            </a:pPr>
            <a:r>
              <a:rPr lang="en-US" sz="1100"/>
              <a:t>Improvement in Status of Surgical Wounds</a:t>
            </a:r>
            <a:endParaRPr lang="en-US" sz="1100" baseline="0"/>
          </a:p>
          <a:p>
            <a:pPr>
              <a:defRPr sz="1100"/>
            </a:pPr>
            <a:r>
              <a:rPr lang="en-US" sz="1100" baseline="0"/>
              <a:t>(based on quality episodes ending between July 1, 2012 to June 30, 2013)</a:t>
            </a:r>
            <a:endParaRPr lang="en-US" sz="1100"/>
          </a:p>
        </c:rich>
      </c:tx>
      <c:layout/>
      <c:overlay val="0"/>
    </c:title>
    <c:autoTitleDeleted val="0"/>
    <c:plotArea>
      <c:layout/>
      <c:barChart>
        <c:barDir val="col"/>
        <c:grouping val="clustered"/>
        <c:varyColors val="0"/>
        <c:ser>
          <c:idx val="1"/>
          <c:order val="0"/>
          <c:tx>
            <c:strRef>
              <c:f>'Risk Decile Data'!$D$4</c:f>
              <c:strCache>
                <c:ptCount val="1"/>
                <c:pt idx="0">
                  <c:v>Predicted</c:v>
                </c:pt>
              </c:strCache>
            </c:strRef>
          </c:tx>
          <c:spPr>
            <a:solidFill>
              <a:schemeClr val="accent1"/>
            </a:solidFill>
          </c:spPr>
          <c:invertIfNegative val="0"/>
          <c:cat>
            <c:numRef>
              <c:f>'Risk Decile Data'!$B$5:$B$14</c:f>
              <c:numCache>
                <c:formatCode>0</c:formatCode>
                <c:ptCount val="10"/>
                <c:pt idx="0">
                  <c:v>1</c:v>
                </c:pt>
                <c:pt idx="1">
                  <c:v>2</c:v>
                </c:pt>
                <c:pt idx="2">
                  <c:v>3</c:v>
                </c:pt>
                <c:pt idx="3">
                  <c:v>4</c:v>
                </c:pt>
                <c:pt idx="4">
                  <c:v>5</c:v>
                </c:pt>
                <c:pt idx="5">
                  <c:v>6</c:v>
                </c:pt>
                <c:pt idx="6">
                  <c:v>7</c:v>
                </c:pt>
                <c:pt idx="7">
                  <c:v>8</c:v>
                </c:pt>
                <c:pt idx="8">
                  <c:v>9</c:v>
                </c:pt>
                <c:pt idx="9">
                  <c:v>10</c:v>
                </c:pt>
              </c:numCache>
            </c:numRef>
          </c:cat>
          <c:val>
            <c:numRef>
              <c:f>'Risk Decile Data'!$D$5:$D$14</c:f>
              <c:numCache>
                <c:formatCode>#,##0</c:formatCode>
                <c:ptCount val="10"/>
                <c:pt idx="0">
                  <c:v>41411.163261000002</c:v>
                </c:pt>
                <c:pt idx="1">
                  <c:v>46810.917823999996</c:v>
                </c:pt>
                <c:pt idx="2">
                  <c:v>49788.191926</c:v>
                </c:pt>
                <c:pt idx="3">
                  <c:v>51749.710948</c:v>
                </c:pt>
                <c:pt idx="4">
                  <c:v>52880.568802000002</c:v>
                </c:pt>
                <c:pt idx="5">
                  <c:v>53578.549936000003</c:v>
                </c:pt>
                <c:pt idx="6">
                  <c:v>54059.140017999998</c:v>
                </c:pt>
                <c:pt idx="7">
                  <c:v>54604.987239000002</c:v>
                </c:pt>
                <c:pt idx="8">
                  <c:v>55317.319249</c:v>
                </c:pt>
                <c:pt idx="9">
                  <c:v>56572.465410999997</c:v>
                </c:pt>
              </c:numCache>
            </c:numRef>
          </c:val>
        </c:ser>
        <c:ser>
          <c:idx val="0"/>
          <c:order val="1"/>
          <c:tx>
            <c:strRef>
              <c:f>'Risk Decile Data'!$C$4</c:f>
              <c:strCache>
                <c:ptCount val="1"/>
                <c:pt idx="0">
                  <c:v>Observed</c:v>
                </c:pt>
              </c:strCache>
            </c:strRef>
          </c:tx>
          <c:spPr>
            <a:solidFill>
              <a:schemeClr val="accent2"/>
            </a:solidFill>
          </c:spPr>
          <c:invertIfNegative val="0"/>
          <c:cat>
            <c:numRef>
              <c:f>'Risk Decile Data'!$B$5:$B$14</c:f>
              <c:numCache>
                <c:formatCode>0</c:formatCode>
                <c:ptCount val="10"/>
                <c:pt idx="0">
                  <c:v>1</c:v>
                </c:pt>
                <c:pt idx="1">
                  <c:v>2</c:v>
                </c:pt>
                <c:pt idx="2">
                  <c:v>3</c:v>
                </c:pt>
                <c:pt idx="3">
                  <c:v>4</c:v>
                </c:pt>
                <c:pt idx="4">
                  <c:v>5</c:v>
                </c:pt>
                <c:pt idx="5">
                  <c:v>6</c:v>
                </c:pt>
                <c:pt idx="6">
                  <c:v>7</c:v>
                </c:pt>
                <c:pt idx="7">
                  <c:v>8</c:v>
                </c:pt>
                <c:pt idx="8">
                  <c:v>9</c:v>
                </c:pt>
                <c:pt idx="9">
                  <c:v>10</c:v>
                </c:pt>
              </c:numCache>
            </c:numRef>
          </c:cat>
          <c:val>
            <c:numRef>
              <c:f>'Risk Decile Data'!$C$5:$C$14</c:f>
              <c:numCache>
                <c:formatCode>#,##0</c:formatCode>
                <c:ptCount val="10"/>
                <c:pt idx="0">
                  <c:v>46437</c:v>
                </c:pt>
                <c:pt idx="1">
                  <c:v>49269</c:v>
                </c:pt>
                <c:pt idx="2">
                  <c:v>50964</c:v>
                </c:pt>
                <c:pt idx="3">
                  <c:v>51901</c:v>
                </c:pt>
                <c:pt idx="4">
                  <c:v>51951</c:v>
                </c:pt>
                <c:pt idx="5">
                  <c:v>52020</c:v>
                </c:pt>
                <c:pt idx="6">
                  <c:v>52643</c:v>
                </c:pt>
                <c:pt idx="7">
                  <c:v>53290</c:v>
                </c:pt>
                <c:pt idx="8">
                  <c:v>53956</c:v>
                </c:pt>
                <c:pt idx="9">
                  <c:v>54751</c:v>
                </c:pt>
              </c:numCache>
            </c:numRef>
          </c:val>
        </c:ser>
        <c:dLbls>
          <c:showLegendKey val="0"/>
          <c:showVal val="0"/>
          <c:showCatName val="0"/>
          <c:showSerName val="0"/>
          <c:showPercent val="0"/>
          <c:showBubbleSize val="0"/>
        </c:dLbls>
        <c:gapWidth val="150"/>
        <c:axId val="210123392"/>
        <c:axId val="277071360"/>
      </c:barChart>
      <c:catAx>
        <c:axId val="210123392"/>
        <c:scaling>
          <c:orientation val="minMax"/>
        </c:scaling>
        <c:delete val="0"/>
        <c:axPos val="b"/>
        <c:title>
          <c:tx>
            <c:rich>
              <a:bodyPr/>
              <a:lstStyle/>
              <a:p>
                <a:pPr>
                  <a:defRPr sz="1200"/>
                </a:pPr>
                <a:r>
                  <a:rPr lang="en-US" sz="1200"/>
                  <a:t>Predicted Risk Decile</a:t>
                </a:r>
              </a:p>
            </c:rich>
          </c:tx>
          <c:layout/>
          <c:overlay val="0"/>
        </c:title>
        <c:numFmt formatCode="0" sourceLinked="1"/>
        <c:majorTickMark val="out"/>
        <c:minorTickMark val="none"/>
        <c:tickLblPos val="nextTo"/>
        <c:txPr>
          <a:bodyPr/>
          <a:lstStyle/>
          <a:p>
            <a:pPr>
              <a:defRPr sz="1100"/>
            </a:pPr>
            <a:endParaRPr lang="en-US"/>
          </a:p>
        </c:txPr>
        <c:crossAx val="277071360"/>
        <c:crosses val="autoZero"/>
        <c:auto val="1"/>
        <c:lblAlgn val="ctr"/>
        <c:lblOffset val="100"/>
        <c:noMultiLvlLbl val="0"/>
      </c:catAx>
      <c:valAx>
        <c:axId val="277071360"/>
        <c:scaling>
          <c:orientation val="minMax"/>
        </c:scaling>
        <c:delete val="0"/>
        <c:axPos val="l"/>
        <c:majorGridlines>
          <c:spPr>
            <a:ln>
              <a:solidFill>
                <a:schemeClr val="bg1">
                  <a:lumMod val="85000"/>
                </a:schemeClr>
              </a:solidFill>
              <a:prstDash val="sysDot"/>
            </a:ln>
          </c:spPr>
        </c:majorGridlines>
        <c:title>
          <c:tx>
            <c:rich>
              <a:bodyPr rot="-5400000" vert="horz"/>
              <a:lstStyle/>
              <a:p>
                <a:pPr>
                  <a:defRPr sz="1100"/>
                </a:pPr>
                <a:r>
                  <a:rPr lang="en-US" sz="1100"/>
                  <a:t>Number of Events</a:t>
                </a:r>
              </a:p>
            </c:rich>
          </c:tx>
          <c:layout/>
          <c:overlay val="0"/>
        </c:title>
        <c:numFmt formatCode="#,##0" sourceLinked="0"/>
        <c:majorTickMark val="out"/>
        <c:minorTickMark val="none"/>
        <c:tickLblPos val="nextTo"/>
        <c:txPr>
          <a:bodyPr/>
          <a:lstStyle/>
          <a:p>
            <a:pPr>
              <a:defRPr sz="1100"/>
            </a:pPr>
            <a:endParaRPr lang="en-US"/>
          </a:p>
        </c:txPr>
        <c:crossAx val="210123392"/>
        <c:crosses val="autoZero"/>
        <c:crossBetween val="between"/>
        <c:majorUnit val="10000"/>
      </c:valAx>
    </c:plotArea>
    <c:legend>
      <c:legendPos val="b"/>
      <c:layout>
        <c:manualLayout>
          <c:xMode val="edge"/>
          <c:yMode val="edge"/>
          <c:x val="0.30076799173097002"/>
          <c:y val="0.94169181699977467"/>
          <c:w val="0.46875630955775727"/>
          <c:h val="4.6210621405063511E-2"/>
        </c:manualLayout>
      </c:layout>
      <c:overlay val="0"/>
      <c:txPr>
        <a:bodyPr/>
        <a:lstStyle/>
        <a:p>
          <a:pPr>
            <a:defRPr sz="1100" b="1"/>
          </a:pPr>
          <a:endParaRPr lang="en-US"/>
        </a:p>
      </c:txPr>
    </c:legend>
    <c:plotVisOnly val="1"/>
    <c:dispBlanksAs val="gap"/>
    <c:showDLblsOverMax val="0"/>
  </c:chart>
  <c:spPr>
    <a:ln>
      <a:solidFill>
        <a:schemeClr val="tx1"/>
      </a:solidFill>
    </a:ln>
  </c:sp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5920A7"/>
    <w:rsid w:val="00632A7E"/>
    <w:rsid w:val="00632AB6"/>
    <w:rsid w:val="00730B33"/>
    <w:rsid w:val="00772B2A"/>
    <w:rsid w:val="007C672A"/>
    <w:rsid w:val="007D4368"/>
    <w:rsid w:val="00802379"/>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315AA"/>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EFB9E-5A8A-43DD-B3C1-3026CDB66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1729</TotalTime>
  <Pages>16</Pages>
  <Words>6581</Words>
  <Characters>37515</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kchia</cp:lastModifiedBy>
  <cp:revision>62</cp:revision>
  <dcterms:created xsi:type="dcterms:W3CDTF">2014-02-05T20:50:00Z</dcterms:created>
  <dcterms:modified xsi:type="dcterms:W3CDTF">2014-03-13T00:36:00Z</dcterms:modified>
</cp:coreProperties>
</file>