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3E1E558F"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93341D">
            <w:rPr>
              <w:rStyle w:val="Style1"/>
            </w:rPr>
            <w:t>0209</w:t>
          </w:r>
        </w:sdtContent>
      </w:sdt>
    </w:p>
    <w:p w14:paraId="0CABCF56" w14:textId="6BB69576"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93341D">
            <w:rPr>
              <w:rStyle w:val="Style1"/>
              <w:rFonts w:cstheme="minorHAnsi"/>
            </w:rPr>
            <w:t>Comfortable Dying</w:t>
          </w:r>
        </w:sdtContent>
      </w:sdt>
    </w:p>
    <w:p w14:paraId="0CABCF57" w14:textId="69775117"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07-31T00:00:00Z">
            <w:dateFormat w:val="M/d/yyyy"/>
            <w:lid w:val="en-US"/>
            <w:storeMappedDataAs w:val="dateTime"/>
            <w:calendar w:val="gregorian"/>
          </w:date>
        </w:sdtPr>
        <w:sdtEndPr>
          <w:rPr>
            <w:rStyle w:val="DefaultParagraphFont"/>
            <w:noProof/>
            <w:color w:val="auto"/>
            <w:u w:val="none"/>
          </w:rPr>
        </w:sdtEndPr>
        <w:sdtContent>
          <w:r w:rsidR="0093341D">
            <w:rPr>
              <w:rStyle w:val="Style2"/>
              <w:rFonts w:cstheme="minorHAnsi"/>
            </w:rPr>
            <w:t>7/31/2020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302DE00D" w:rsidR="000B7D57" w:rsidRPr="00C775CE" w:rsidRDefault="00BA1C58"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93341D">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BA1C58"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BA1C58"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BA1C58"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BA1C58"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BA1C58"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BA1C58"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w:t>
            </w:r>
            <w:proofErr w:type="gramStart"/>
            <w:r w:rsidR="00651D44" w:rsidRPr="00651D44">
              <w:rPr>
                <w:rFonts w:cstheme="minorHAnsi"/>
              </w:rPr>
              <w:t>sufficient</w:t>
            </w:r>
            <w:proofErr w:type="gramEnd"/>
            <w:r w:rsidR="00651D44" w:rsidRPr="00651D44">
              <w:rPr>
                <w:rFonts w:cstheme="minorHAnsi"/>
              </w:rPr>
              <w:t xml:space="preserve">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BA1C58"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BA1C58"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BA1C58"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BA1C58"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74438114" w:rsidR="00A01494" w:rsidRPr="000F1B7A" w:rsidRDefault="00BA1C58"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Content>
                <w:r w:rsidR="0093341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29A4ABC7" w:rsidR="00A01494" w:rsidRPr="000F1B7A" w:rsidRDefault="00BA1C58"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Content>
                <w:r w:rsidR="0093341D">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BA1C58"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BA1C58"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BA1C58"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BA1C58"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BA1C58"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BA1C58"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36B9FA9" w14:textId="77777777" w:rsidR="0093341D" w:rsidRDefault="002B5016" w:rsidP="0093341D">
      <w:pPr>
        <w:autoSpaceDE w:val="0"/>
        <w:autoSpaceDN w:val="0"/>
        <w:adjustRightInd w:val="0"/>
        <w:spacing w:after="0" w:line="240" w:lineRule="auto"/>
        <w:rPr>
          <w:rFonts w:cstheme="minorHAnsi"/>
          <w:bCs/>
          <w:color w:val="FF0000"/>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r w:rsidR="0093341D">
        <w:rPr>
          <w:rFonts w:cstheme="minorHAnsi"/>
          <w:bCs/>
          <w:color w:val="FF0000"/>
        </w:rPr>
        <w:t>Data used in testing were largely drawn from the Patient Outcomes surveys that NHPCO does on a continuing basis.</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791CD2D9"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Calibri"/>
            <w:color w:val="FF0000"/>
          </w:rPr>
          <w:id w:val="950514773"/>
          <w:text/>
        </w:sdtPr>
        <w:sdtContent>
          <w:r w:rsidR="0093341D" w:rsidRPr="0093341D">
            <w:rPr>
              <w:rFonts w:cs="Calibri"/>
              <w:color w:val="FF0000"/>
            </w:rPr>
            <w:t>2009-2014</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BA1C58"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BA1C58"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BA1C58"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BA1C58"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01AF277" w:rsidR="000414E8" w:rsidRPr="00A01494" w:rsidRDefault="00BA1C58"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93341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EDDECCB" w:rsidR="000414E8" w:rsidRPr="00A01494" w:rsidRDefault="00BA1C58"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93341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BA1C58"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BA1C58"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BA1C58"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BA1C58"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22D23044"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5DED6AAB" w14:textId="77777777" w:rsidR="0093341D" w:rsidRDefault="0093341D" w:rsidP="0093341D">
      <w:pPr>
        <w:rPr>
          <w:rFonts w:ascii="Arial Narrow" w:hAnsi="Arial Narrow" w:cs="Arial"/>
        </w:rPr>
      </w:pPr>
      <w:r>
        <w:rPr>
          <w:rFonts w:ascii="Arial Narrow" w:hAnsi="Arial Narrow" w:cs="Arial"/>
        </w:rPr>
        <w:t xml:space="preserve">A sample of quarterly data submissions was taken covering two years (2009 and 2010) worth of submissions.  The sample consisted of only those agencies that submitted multiple (=2) quarters worth of data during that period.  There were 79 hospices agencies that submitted usable data for the Comfortable Dying measure covering 285 quarters (in total) worth of data and nearly 50,000 patients.  Of those 79 hospice agencies, 58 (73.4%) provided multiple quarters </w:t>
      </w:r>
      <w:r>
        <w:rPr>
          <w:rFonts w:ascii="Arial Narrow" w:hAnsi="Arial Narrow" w:cs="Arial"/>
        </w:rPr>
        <w:lastRenderedPageBreak/>
        <w:t>worth of data during that period, covering data on over 38,000 patients.  The two-year quarterly average percent of patients reporting being uncomfortable due to pain on admission was 20.8% (95% CI 19.5% - 22.1%).  The two-year quarterly average percent of patients reporting having their pain brought to a comfortable level within 48 hours of admission was 69.3% (95% CI 66.3% - 72.3%).</w:t>
      </w:r>
    </w:p>
    <w:p w14:paraId="78220027" w14:textId="2D3CF160" w:rsidR="0093341D" w:rsidRDefault="0093341D" w:rsidP="0093341D">
      <w:pPr>
        <w:autoSpaceDE w:val="0"/>
        <w:autoSpaceDN w:val="0"/>
        <w:adjustRightInd w:val="0"/>
        <w:spacing w:after="0" w:line="240" w:lineRule="auto"/>
        <w:rPr>
          <w:rFonts w:cstheme="minorHAnsi"/>
          <w:bCs/>
          <w:color w:val="FF0000"/>
        </w:rPr>
      </w:pPr>
      <w:r>
        <w:rPr>
          <w:rFonts w:cstheme="minorHAnsi"/>
          <w:bCs/>
          <w:color w:val="FF0000"/>
        </w:rPr>
        <w:t xml:space="preserve">Data were provided by 484 hospices, on a voluntary basis. </w:t>
      </w:r>
    </w:p>
    <w:p w14:paraId="4C48F65D" w14:textId="77777777" w:rsidR="00682693" w:rsidRPr="00682693" w:rsidRDefault="00682693" w:rsidP="00682693">
      <w:pPr>
        <w:autoSpaceDE w:val="0"/>
        <w:autoSpaceDN w:val="0"/>
        <w:adjustRightInd w:val="0"/>
        <w:spacing w:after="0" w:line="240" w:lineRule="auto"/>
        <w:rPr>
          <w:rFonts w:cstheme="minorHAnsi"/>
          <w:bCs/>
          <w:color w:val="FF0000"/>
        </w:rPr>
      </w:pPr>
      <w:r w:rsidRPr="00682693">
        <w:rPr>
          <w:rFonts w:cstheme="minorHAnsi"/>
          <w:bCs/>
          <w:color w:val="FF0000"/>
        </w:rPr>
        <w:t>For the test sample, 181 hospice agencies were selected who provided Comfortable Dying data to NHPCO during the 2013.  Agency characteristics of the sample are included in the table that follows.</w:t>
      </w:r>
    </w:p>
    <w:p w14:paraId="26203BDB" w14:textId="77777777" w:rsidR="00682693" w:rsidRPr="00682693" w:rsidRDefault="00682693" w:rsidP="00682693">
      <w:pPr>
        <w:autoSpaceDE w:val="0"/>
        <w:autoSpaceDN w:val="0"/>
        <w:adjustRightInd w:val="0"/>
        <w:spacing w:after="0" w:line="240" w:lineRule="auto"/>
        <w:rPr>
          <w:rFonts w:cstheme="minorHAnsi"/>
          <w:bCs/>
          <w:color w:val="FF0000"/>
        </w:rPr>
      </w:pPr>
    </w:p>
    <w:tbl>
      <w:tblPr>
        <w:tblW w:w="5000" w:type="pct"/>
        <w:tblLook w:val="04A0" w:firstRow="1" w:lastRow="0" w:firstColumn="1" w:lastColumn="0" w:noHBand="0" w:noVBand="1"/>
      </w:tblPr>
      <w:tblGrid>
        <w:gridCol w:w="4985"/>
        <w:gridCol w:w="2473"/>
        <w:gridCol w:w="1902"/>
      </w:tblGrid>
      <w:tr w:rsidR="00682693" w:rsidRPr="00682693" w14:paraId="72292DF3" w14:textId="77777777" w:rsidTr="00BA1C58">
        <w:trPr>
          <w:trHeight w:val="315"/>
        </w:trPr>
        <w:tc>
          <w:tcPr>
            <w:tcW w:w="2663" w:type="pct"/>
            <w:tcBorders>
              <w:top w:val="single" w:sz="8" w:space="0" w:color="auto"/>
              <w:left w:val="nil"/>
              <w:bottom w:val="single" w:sz="8" w:space="0" w:color="auto"/>
              <w:right w:val="nil"/>
            </w:tcBorders>
            <w:shd w:val="clear" w:color="auto" w:fill="auto"/>
            <w:vAlign w:val="center"/>
            <w:hideMark/>
          </w:tcPr>
          <w:p w14:paraId="3DA513E1" w14:textId="77777777" w:rsidR="00682693" w:rsidRPr="00682693" w:rsidRDefault="00682693" w:rsidP="00BA1C58">
            <w:pPr>
              <w:spacing w:after="0" w:line="240" w:lineRule="auto"/>
              <w:rPr>
                <w:rFonts w:ascii="Calibri" w:eastAsia="Times New Roman" w:hAnsi="Calibri" w:cs="Times New Roman"/>
                <w:color w:val="FF0000"/>
              </w:rPr>
            </w:pPr>
            <w:r w:rsidRPr="00682693">
              <w:rPr>
                <w:rFonts w:ascii="Calibri" w:eastAsia="Times New Roman" w:hAnsi="Calibri" w:cs="Times New Roman"/>
                <w:color w:val="FF0000"/>
              </w:rPr>
              <w:t>Agency Characteristics</w:t>
            </w:r>
          </w:p>
        </w:tc>
        <w:tc>
          <w:tcPr>
            <w:tcW w:w="1321" w:type="pct"/>
            <w:tcBorders>
              <w:top w:val="single" w:sz="8" w:space="0" w:color="auto"/>
              <w:left w:val="nil"/>
              <w:bottom w:val="single" w:sz="8" w:space="0" w:color="auto"/>
              <w:right w:val="nil"/>
            </w:tcBorders>
            <w:shd w:val="clear" w:color="auto" w:fill="auto"/>
            <w:vAlign w:val="center"/>
            <w:hideMark/>
          </w:tcPr>
          <w:p w14:paraId="00F877FB"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N = 181</w:t>
            </w:r>
          </w:p>
        </w:tc>
        <w:tc>
          <w:tcPr>
            <w:tcW w:w="1016" w:type="pct"/>
            <w:tcBorders>
              <w:top w:val="single" w:sz="8" w:space="0" w:color="auto"/>
              <w:left w:val="nil"/>
              <w:bottom w:val="single" w:sz="8" w:space="0" w:color="auto"/>
              <w:right w:val="nil"/>
            </w:tcBorders>
            <w:shd w:val="clear" w:color="auto" w:fill="auto"/>
            <w:vAlign w:val="center"/>
            <w:hideMark/>
          </w:tcPr>
          <w:p w14:paraId="571F9879"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Percent</w:t>
            </w:r>
          </w:p>
        </w:tc>
      </w:tr>
      <w:tr w:rsidR="00682693" w:rsidRPr="00682693" w14:paraId="492F6660" w14:textId="77777777" w:rsidTr="00BA1C58">
        <w:trPr>
          <w:trHeight w:val="300"/>
        </w:trPr>
        <w:tc>
          <w:tcPr>
            <w:tcW w:w="2663" w:type="pct"/>
            <w:tcBorders>
              <w:top w:val="nil"/>
              <w:left w:val="nil"/>
              <w:bottom w:val="nil"/>
              <w:right w:val="nil"/>
            </w:tcBorders>
            <w:shd w:val="clear" w:color="auto" w:fill="auto"/>
            <w:vAlign w:val="center"/>
            <w:hideMark/>
          </w:tcPr>
          <w:p w14:paraId="30D4C055" w14:textId="77777777" w:rsidR="00682693" w:rsidRPr="00682693" w:rsidRDefault="00682693" w:rsidP="00BA1C58">
            <w:pPr>
              <w:spacing w:after="0" w:line="240" w:lineRule="auto"/>
              <w:rPr>
                <w:rFonts w:ascii="Calibri" w:eastAsia="Times New Roman" w:hAnsi="Calibri" w:cs="Times New Roman"/>
                <w:color w:val="FF0000"/>
              </w:rPr>
            </w:pPr>
            <w:r w:rsidRPr="00682693">
              <w:rPr>
                <w:rFonts w:ascii="Calibri" w:eastAsia="Times New Roman" w:hAnsi="Calibri" w:cs="Times New Roman"/>
                <w:color w:val="FF0000"/>
              </w:rPr>
              <w:t>Average Daily Census</w:t>
            </w:r>
          </w:p>
        </w:tc>
        <w:tc>
          <w:tcPr>
            <w:tcW w:w="1321" w:type="pct"/>
            <w:tcBorders>
              <w:top w:val="nil"/>
              <w:left w:val="nil"/>
              <w:bottom w:val="nil"/>
              <w:right w:val="nil"/>
            </w:tcBorders>
            <w:shd w:val="clear" w:color="auto" w:fill="auto"/>
            <w:vAlign w:val="bottom"/>
            <w:hideMark/>
          </w:tcPr>
          <w:p w14:paraId="6CE35CDC" w14:textId="77777777" w:rsidR="00682693" w:rsidRPr="00682693" w:rsidRDefault="00682693" w:rsidP="00BA1C58">
            <w:pPr>
              <w:spacing w:after="0" w:line="240" w:lineRule="auto"/>
              <w:jc w:val="center"/>
              <w:rPr>
                <w:rFonts w:ascii="Calibri" w:eastAsia="Times New Roman" w:hAnsi="Calibri" w:cs="Times New Roman"/>
                <w:color w:val="FF0000"/>
              </w:rPr>
            </w:pPr>
          </w:p>
        </w:tc>
        <w:tc>
          <w:tcPr>
            <w:tcW w:w="1016" w:type="pct"/>
            <w:tcBorders>
              <w:top w:val="nil"/>
              <w:left w:val="nil"/>
              <w:bottom w:val="nil"/>
              <w:right w:val="nil"/>
            </w:tcBorders>
            <w:shd w:val="clear" w:color="auto" w:fill="auto"/>
            <w:vAlign w:val="bottom"/>
            <w:hideMark/>
          </w:tcPr>
          <w:p w14:paraId="696E57E9" w14:textId="77777777" w:rsidR="00682693" w:rsidRPr="00682693" w:rsidRDefault="00682693" w:rsidP="00BA1C58">
            <w:pPr>
              <w:spacing w:after="0" w:line="240" w:lineRule="auto"/>
              <w:jc w:val="center"/>
              <w:rPr>
                <w:rFonts w:ascii="Calibri" w:eastAsia="Times New Roman" w:hAnsi="Calibri" w:cs="Times New Roman"/>
                <w:color w:val="FF0000"/>
              </w:rPr>
            </w:pPr>
          </w:p>
        </w:tc>
      </w:tr>
      <w:tr w:rsidR="00682693" w:rsidRPr="00682693" w14:paraId="1EB98CE2" w14:textId="77777777" w:rsidTr="00BA1C58">
        <w:trPr>
          <w:trHeight w:val="300"/>
        </w:trPr>
        <w:tc>
          <w:tcPr>
            <w:tcW w:w="2663" w:type="pct"/>
            <w:tcBorders>
              <w:top w:val="nil"/>
              <w:left w:val="nil"/>
              <w:bottom w:val="nil"/>
              <w:right w:val="nil"/>
            </w:tcBorders>
            <w:shd w:val="clear" w:color="auto" w:fill="auto"/>
            <w:vAlign w:val="center"/>
            <w:hideMark/>
          </w:tcPr>
          <w:p w14:paraId="3A775DD2" w14:textId="77777777" w:rsidR="00682693" w:rsidRPr="00682693" w:rsidRDefault="00682693" w:rsidP="00BA1C58">
            <w:pPr>
              <w:spacing w:after="0" w:line="240" w:lineRule="auto"/>
              <w:ind w:firstLineChars="100" w:firstLine="220"/>
              <w:rPr>
                <w:rFonts w:ascii="Calibri" w:eastAsia="Times New Roman" w:hAnsi="Calibri" w:cs="Times New Roman"/>
                <w:color w:val="FF0000"/>
              </w:rPr>
            </w:pPr>
            <w:r w:rsidRPr="00682693">
              <w:rPr>
                <w:rFonts w:ascii="Calibri" w:eastAsia="Times New Roman" w:hAnsi="Calibri" w:cs="Times New Roman"/>
                <w:color w:val="FF0000"/>
              </w:rPr>
              <w:t>1. 1 to 49</w:t>
            </w:r>
          </w:p>
        </w:tc>
        <w:tc>
          <w:tcPr>
            <w:tcW w:w="1321" w:type="pct"/>
            <w:tcBorders>
              <w:top w:val="nil"/>
              <w:left w:val="nil"/>
              <w:bottom w:val="nil"/>
              <w:right w:val="nil"/>
            </w:tcBorders>
            <w:shd w:val="clear" w:color="000000" w:fill="FFFFFF"/>
            <w:vAlign w:val="bottom"/>
          </w:tcPr>
          <w:p w14:paraId="10571F2D"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37</w:t>
            </w:r>
          </w:p>
        </w:tc>
        <w:tc>
          <w:tcPr>
            <w:tcW w:w="1016" w:type="pct"/>
            <w:tcBorders>
              <w:top w:val="nil"/>
              <w:left w:val="nil"/>
              <w:bottom w:val="nil"/>
              <w:right w:val="nil"/>
            </w:tcBorders>
            <w:shd w:val="clear" w:color="000000" w:fill="FFFFFF"/>
            <w:vAlign w:val="bottom"/>
          </w:tcPr>
          <w:p w14:paraId="7953CBAC"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20.4%</w:t>
            </w:r>
          </w:p>
        </w:tc>
      </w:tr>
      <w:tr w:rsidR="00682693" w:rsidRPr="00682693" w14:paraId="68315716" w14:textId="77777777" w:rsidTr="00BA1C58">
        <w:trPr>
          <w:trHeight w:val="300"/>
        </w:trPr>
        <w:tc>
          <w:tcPr>
            <w:tcW w:w="2663" w:type="pct"/>
            <w:tcBorders>
              <w:top w:val="nil"/>
              <w:left w:val="nil"/>
              <w:bottom w:val="nil"/>
              <w:right w:val="nil"/>
            </w:tcBorders>
            <w:shd w:val="clear" w:color="auto" w:fill="auto"/>
            <w:vAlign w:val="center"/>
            <w:hideMark/>
          </w:tcPr>
          <w:p w14:paraId="4F5E7645" w14:textId="77777777" w:rsidR="00682693" w:rsidRPr="00682693" w:rsidRDefault="00682693" w:rsidP="00BA1C58">
            <w:pPr>
              <w:spacing w:after="0" w:line="240" w:lineRule="auto"/>
              <w:ind w:firstLineChars="100" w:firstLine="220"/>
              <w:rPr>
                <w:rFonts w:ascii="Calibri" w:eastAsia="Times New Roman" w:hAnsi="Calibri" w:cs="Times New Roman"/>
                <w:color w:val="FF0000"/>
              </w:rPr>
            </w:pPr>
            <w:r w:rsidRPr="00682693">
              <w:rPr>
                <w:rFonts w:ascii="Calibri" w:eastAsia="Times New Roman" w:hAnsi="Calibri" w:cs="Times New Roman"/>
                <w:color w:val="FF0000"/>
              </w:rPr>
              <w:t>2. 50 to 150</w:t>
            </w:r>
          </w:p>
        </w:tc>
        <w:tc>
          <w:tcPr>
            <w:tcW w:w="1321" w:type="pct"/>
            <w:tcBorders>
              <w:top w:val="nil"/>
              <w:left w:val="nil"/>
              <w:bottom w:val="nil"/>
              <w:right w:val="nil"/>
            </w:tcBorders>
            <w:shd w:val="clear" w:color="000000" w:fill="FFFFFF"/>
            <w:vAlign w:val="bottom"/>
          </w:tcPr>
          <w:p w14:paraId="75EC096F"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17</w:t>
            </w:r>
          </w:p>
        </w:tc>
        <w:tc>
          <w:tcPr>
            <w:tcW w:w="1016" w:type="pct"/>
            <w:tcBorders>
              <w:top w:val="nil"/>
              <w:left w:val="nil"/>
              <w:bottom w:val="nil"/>
              <w:right w:val="nil"/>
            </w:tcBorders>
            <w:shd w:val="clear" w:color="000000" w:fill="FFFFFF"/>
            <w:vAlign w:val="bottom"/>
          </w:tcPr>
          <w:p w14:paraId="7B32D564"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9.39%</w:t>
            </w:r>
          </w:p>
        </w:tc>
      </w:tr>
      <w:tr w:rsidR="00682693" w:rsidRPr="00682693" w14:paraId="0B875947" w14:textId="77777777" w:rsidTr="00BA1C58">
        <w:trPr>
          <w:trHeight w:val="300"/>
        </w:trPr>
        <w:tc>
          <w:tcPr>
            <w:tcW w:w="2663" w:type="pct"/>
            <w:tcBorders>
              <w:top w:val="nil"/>
              <w:left w:val="nil"/>
              <w:bottom w:val="nil"/>
              <w:right w:val="nil"/>
            </w:tcBorders>
            <w:shd w:val="clear" w:color="auto" w:fill="auto"/>
            <w:vAlign w:val="center"/>
            <w:hideMark/>
          </w:tcPr>
          <w:p w14:paraId="47E6C746" w14:textId="77777777" w:rsidR="00682693" w:rsidRPr="00682693" w:rsidRDefault="00682693" w:rsidP="00BA1C58">
            <w:pPr>
              <w:spacing w:after="0" w:line="240" w:lineRule="auto"/>
              <w:ind w:firstLineChars="100" w:firstLine="220"/>
              <w:rPr>
                <w:rFonts w:ascii="Calibri" w:eastAsia="Times New Roman" w:hAnsi="Calibri" w:cs="Times New Roman"/>
                <w:color w:val="FF0000"/>
              </w:rPr>
            </w:pPr>
            <w:r w:rsidRPr="00682693">
              <w:rPr>
                <w:rFonts w:ascii="Calibri" w:eastAsia="Times New Roman" w:hAnsi="Calibri" w:cs="Times New Roman"/>
                <w:color w:val="FF0000"/>
              </w:rPr>
              <w:t>3. 151 to 500</w:t>
            </w:r>
          </w:p>
        </w:tc>
        <w:tc>
          <w:tcPr>
            <w:tcW w:w="1321" w:type="pct"/>
            <w:tcBorders>
              <w:top w:val="nil"/>
              <w:left w:val="nil"/>
              <w:bottom w:val="nil"/>
              <w:right w:val="nil"/>
            </w:tcBorders>
            <w:shd w:val="clear" w:color="000000" w:fill="FFFFFF"/>
            <w:vAlign w:val="bottom"/>
          </w:tcPr>
          <w:p w14:paraId="7B77B1ED"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61</w:t>
            </w:r>
          </w:p>
        </w:tc>
        <w:tc>
          <w:tcPr>
            <w:tcW w:w="1016" w:type="pct"/>
            <w:tcBorders>
              <w:top w:val="nil"/>
              <w:left w:val="nil"/>
              <w:bottom w:val="nil"/>
              <w:right w:val="nil"/>
            </w:tcBorders>
            <w:shd w:val="clear" w:color="000000" w:fill="FFFFFF"/>
            <w:vAlign w:val="bottom"/>
          </w:tcPr>
          <w:p w14:paraId="39F1C7B6"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33.7%</w:t>
            </w:r>
          </w:p>
        </w:tc>
      </w:tr>
      <w:tr w:rsidR="00682693" w:rsidRPr="00682693" w14:paraId="3AC4A8A3" w14:textId="77777777" w:rsidTr="00BA1C58">
        <w:trPr>
          <w:trHeight w:val="300"/>
        </w:trPr>
        <w:tc>
          <w:tcPr>
            <w:tcW w:w="2663" w:type="pct"/>
            <w:tcBorders>
              <w:top w:val="nil"/>
              <w:left w:val="nil"/>
              <w:bottom w:val="nil"/>
              <w:right w:val="nil"/>
            </w:tcBorders>
            <w:shd w:val="clear" w:color="auto" w:fill="auto"/>
            <w:vAlign w:val="center"/>
            <w:hideMark/>
          </w:tcPr>
          <w:p w14:paraId="6278A932" w14:textId="77777777" w:rsidR="00682693" w:rsidRPr="00682693" w:rsidRDefault="00682693" w:rsidP="00BA1C58">
            <w:pPr>
              <w:spacing w:after="0" w:line="240" w:lineRule="auto"/>
              <w:ind w:firstLineChars="100" w:firstLine="220"/>
              <w:rPr>
                <w:rFonts w:ascii="Calibri" w:eastAsia="Times New Roman" w:hAnsi="Calibri" w:cs="Times New Roman"/>
                <w:color w:val="FF0000"/>
              </w:rPr>
            </w:pPr>
            <w:r w:rsidRPr="00682693">
              <w:rPr>
                <w:rFonts w:ascii="Calibri" w:eastAsia="Times New Roman" w:hAnsi="Calibri" w:cs="Times New Roman"/>
                <w:color w:val="FF0000"/>
              </w:rPr>
              <w:t>4. 501 to 1,500</w:t>
            </w:r>
          </w:p>
        </w:tc>
        <w:tc>
          <w:tcPr>
            <w:tcW w:w="1321" w:type="pct"/>
            <w:tcBorders>
              <w:top w:val="nil"/>
              <w:left w:val="nil"/>
              <w:bottom w:val="nil"/>
              <w:right w:val="nil"/>
            </w:tcBorders>
            <w:shd w:val="clear" w:color="000000" w:fill="FFFFFF"/>
            <w:vAlign w:val="bottom"/>
          </w:tcPr>
          <w:p w14:paraId="49FFCA0A"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49</w:t>
            </w:r>
          </w:p>
        </w:tc>
        <w:tc>
          <w:tcPr>
            <w:tcW w:w="1016" w:type="pct"/>
            <w:tcBorders>
              <w:top w:val="nil"/>
              <w:left w:val="nil"/>
              <w:bottom w:val="nil"/>
              <w:right w:val="nil"/>
            </w:tcBorders>
            <w:shd w:val="clear" w:color="000000" w:fill="FFFFFF"/>
            <w:vAlign w:val="bottom"/>
          </w:tcPr>
          <w:p w14:paraId="74F6CA88"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27.1%</w:t>
            </w:r>
          </w:p>
        </w:tc>
      </w:tr>
      <w:tr w:rsidR="00682693" w:rsidRPr="00682693" w14:paraId="5849386C" w14:textId="77777777" w:rsidTr="00BA1C58">
        <w:trPr>
          <w:trHeight w:val="300"/>
        </w:trPr>
        <w:tc>
          <w:tcPr>
            <w:tcW w:w="2663" w:type="pct"/>
            <w:tcBorders>
              <w:top w:val="nil"/>
              <w:left w:val="nil"/>
              <w:bottom w:val="nil"/>
              <w:right w:val="nil"/>
            </w:tcBorders>
            <w:shd w:val="clear" w:color="auto" w:fill="auto"/>
            <w:vAlign w:val="center"/>
            <w:hideMark/>
          </w:tcPr>
          <w:p w14:paraId="258637FA" w14:textId="77777777" w:rsidR="00682693" w:rsidRPr="00682693" w:rsidRDefault="00682693" w:rsidP="00BA1C58">
            <w:pPr>
              <w:spacing w:after="0" w:line="240" w:lineRule="auto"/>
              <w:ind w:firstLineChars="100" w:firstLine="220"/>
              <w:rPr>
                <w:rFonts w:ascii="Calibri" w:eastAsia="Times New Roman" w:hAnsi="Calibri" w:cs="Times New Roman"/>
                <w:color w:val="FF0000"/>
              </w:rPr>
            </w:pPr>
            <w:r w:rsidRPr="00682693">
              <w:rPr>
                <w:rFonts w:ascii="Calibri" w:eastAsia="Times New Roman" w:hAnsi="Calibri" w:cs="Times New Roman"/>
                <w:color w:val="FF0000"/>
              </w:rPr>
              <w:t>6. &gt;1,500</w:t>
            </w:r>
          </w:p>
        </w:tc>
        <w:tc>
          <w:tcPr>
            <w:tcW w:w="1321" w:type="pct"/>
            <w:tcBorders>
              <w:top w:val="nil"/>
              <w:left w:val="nil"/>
              <w:bottom w:val="nil"/>
              <w:right w:val="nil"/>
            </w:tcBorders>
            <w:shd w:val="clear" w:color="000000" w:fill="FFFFFF"/>
            <w:vAlign w:val="bottom"/>
          </w:tcPr>
          <w:p w14:paraId="291E4598"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17</w:t>
            </w:r>
          </w:p>
        </w:tc>
        <w:tc>
          <w:tcPr>
            <w:tcW w:w="1016" w:type="pct"/>
            <w:tcBorders>
              <w:top w:val="nil"/>
              <w:left w:val="nil"/>
              <w:bottom w:val="nil"/>
              <w:right w:val="nil"/>
            </w:tcBorders>
            <w:shd w:val="clear" w:color="000000" w:fill="FFFFFF"/>
            <w:vAlign w:val="bottom"/>
          </w:tcPr>
          <w:p w14:paraId="09608E8C"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9.39%</w:t>
            </w:r>
          </w:p>
        </w:tc>
      </w:tr>
      <w:tr w:rsidR="00682693" w:rsidRPr="00682693" w14:paraId="567DEF50" w14:textId="77777777" w:rsidTr="00BA1C58">
        <w:trPr>
          <w:trHeight w:val="300"/>
        </w:trPr>
        <w:tc>
          <w:tcPr>
            <w:tcW w:w="2663" w:type="pct"/>
            <w:tcBorders>
              <w:top w:val="nil"/>
              <w:left w:val="nil"/>
              <w:bottom w:val="nil"/>
              <w:right w:val="nil"/>
            </w:tcBorders>
            <w:shd w:val="clear" w:color="auto" w:fill="auto"/>
            <w:vAlign w:val="center"/>
            <w:hideMark/>
          </w:tcPr>
          <w:p w14:paraId="0C065D7B" w14:textId="77777777" w:rsidR="00682693" w:rsidRPr="00682693" w:rsidRDefault="00682693" w:rsidP="00BA1C58">
            <w:pPr>
              <w:spacing w:after="0" w:line="240" w:lineRule="auto"/>
              <w:rPr>
                <w:rFonts w:ascii="Calibri" w:eastAsia="Times New Roman" w:hAnsi="Calibri" w:cs="Times New Roman"/>
                <w:color w:val="FF0000"/>
              </w:rPr>
            </w:pPr>
            <w:r w:rsidRPr="00682693">
              <w:rPr>
                <w:rFonts w:ascii="Calibri" w:eastAsia="Times New Roman" w:hAnsi="Calibri" w:cs="Times New Roman"/>
                <w:color w:val="FF0000"/>
              </w:rPr>
              <w:t>Geographic Area Served</w:t>
            </w:r>
          </w:p>
        </w:tc>
        <w:tc>
          <w:tcPr>
            <w:tcW w:w="1321" w:type="pct"/>
            <w:tcBorders>
              <w:top w:val="nil"/>
              <w:left w:val="nil"/>
              <w:bottom w:val="nil"/>
              <w:right w:val="nil"/>
            </w:tcBorders>
            <w:shd w:val="clear" w:color="auto" w:fill="auto"/>
            <w:noWrap/>
            <w:vAlign w:val="bottom"/>
            <w:hideMark/>
          </w:tcPr>
          <w:p w14:paraId="6B3CEDC8" w14:textId="77777777" w:rsidR="00682693" w:rsidRPr="00682693" w:rsidRDefault="00682693" w:rsidP="00BA1C58">
            <w:pPr>
              <w:spacing w:after="0" w:line="240" w:lineRule="auto"/>
              <w:jc w:val="center"/>
              <w:rPr>
                <w:rFonts w:ascii="Calibri" w:eastAsia="Times New Roman" w:hAnsi="Calibri" w:cs="Times New Roman"/>
                <w:color w:val="FF0000"/>
              </w:rPr>
            </w:pPr>
          </w:p>
        </w:tc>
        <w:tc>
          <w:tcPr>
            <w:tcW w:w="1016" w:type="pct"/>
            <w:tcBorders>
              <w:top w:val="nil"/>
              <w:left w:val="nil"/>
              <w:bottom w:val="nil"/>
              <w:right w:val="nil"/>
            </w:tcBorders>
            <w:shd w:val="clear" w:color="auto" w:fill="auto"/>
            <w:noWrap/>
            <w:vAlign w:val="bottom"/>
            <w:hideMark/>
          </w:tcPr>
          <w:p w14:paraId="1B7AF10B" w14:textId="77777777" w:rsidR="00682693" w:rsidRPr="00682693" w:rsidRDefault="00682693" w:rsidP="00BA1C58">
            <w:pPr>
              <w:spacing w:after="0" w:line="240" w:lineRule="auto"/>
              <w:jc w:val="center"/>
              <w:rPr>
                <w:rFonts w:ascii="Calibri" w:eastAsia="Times New Roman" w:hAnsi="Calibri" w:cs="Times New Roman"/>
                <w:color w:val="FF0000"/>
              </w:rPr>
            </w:pPr>
          </w:p>
        </w:tc>
      </w:tr>
      <w:tr w:rsidR="00682693" w:rsidRPr="00682693" w14:paraId="569B6C06" w14:textId="77777777" w:rsidTr="00BA1C58">
        <w:trPr>
          <w:trHeight w:val="300"/>
        </w:trPr>
        <w:tc>
          <w:tcPr>
            <w:tcW w:w="2663" w:type="pct"/>
            <w:tcBorders>
              <w:top w:val="nil"/>
              <w:left w:val="nil"/>
              <w:bottom w:val="nil"/>
              <w:right w:val="nil"/>
            </w:tcBorders>
            <w:shd w:val="clear" w:color="auto" w:fill="auto"/>
            <w:vAlign w:val="center"/>
            <w:hideMark/>
          </w:tcPr>
          <w:p w14:paraId="3852B25F" w14:textId="77777777" w:rsidR="00682693" w:rsidRPr="00682693" w:rsidRDefault="00682693" w:rsidP="00BA1C58">
            <w:pPr>
              <w:spacing w:after="0" w:line="240" w:lineRule="auto"/>
              <w:ind w:firstLineChars="100" w:firstLine="220"/>
              <w:rPr>
                <w:rFonts w:ascii="Calibri" w:eastAsia="Times New Roman" w:hAnsi="Calibri" w:cs="Times New Roman"/>
                <w:color w:val="FF0000"/>
              </w:rPr>
            </w:pPr>
            <w:r w:rsidRPr="00682693">
              <w:rPr>
                <w:rFonts w:ascii="Calibri" w:eastAsia="Times New Roman" w:hAnsi="Calibri" w:cs="Times New Roman"/>
                <w:color w:val="FF0000"/>
              </w:rPr>
              <w:t>Primarily Rural</w:t>
            </w:r>
          </w:p>
        </w:tc>
        <w:tc>
          <w:tcPr>
            <w:tcW w:w="1321" w:type="pct"/>
            <w:tcBorders>
              <w:top w:val="nil"/>
              <w:left w:val="nil"/>
              <w:bottom w:val="nil"/>
              <w:right w:val="nil"/>
            </w:tcBorders>
            <w:shd w:val="clear" w:color="000000" w:fill="FFFFFF"/>
            <w:vAlign w:val="bottom"/>
          </w:tcPr>
          <w:p w14:paraId="5791A5FA"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28</w:t>
            </w:r>
          </w:p>
        </w:tc>
        <w:tc>
          <w:tcPr>
            <w:tcW w:w="1016" w:type="pct"/>
            <w:tcBorders>
              <w:top w:val="nil"/>
              <w:left w:val="nil"/>
              <w:bottom w:val="nil"/>
              <w:right w:val="nil"/>
            </w:tcBorders>
            <w:shd w:val="clear" w:color="000000" w:fill="FFFFFF"/>
            <w:vAlign w:val="bottom"/>
          </w:tcPr>
          <w:p w14:paraId="09993BE5"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23.3%</w:t>
            </w:r>
          </w:p>
        </w:tc>
      </w:tr>
      <w:tr w:rsidR="00682693" w:rsidRPr="00682693" w14:paraId="0F91BAAB" w14:textId="77777777" w:rsidTr="00BA1C58">
        <w:trPr>
          <w:trHeight w:val="300"/>
        </w:trPr>
        <w:tc>
          <w:tcPr>
            <w:tcW w:w="2663" w:type="pct"/>
            <w:tcBorders>
              <w:top w:val="nil"/>
              <w:left w:val="nil"/>
              <w:bottom w:val="nil"/>
              <w:right w:val="nil"/>
            </w:tcBorders>
            <w:shd w:val="clear" w:color="auto" w:fill="auto"/>
            <w:vAlign w:val="center"/>
            <w:hideMark/>
          </w:tcPr>
          <w:p w14:paraId="238C05FC" w14:textId="77777777" w:rsidR="00682693" w:rsidRPr="00682693" w:rsidRDefault="00682693" w:rsidP="00BA1C58">
            <w:pPr>
              <w:spacing w:after="0" w:line="240" w:lineRule="auto"/>
              <w:ind w:firstLineChars="100" w:firstLine="220"/>
              <w:rPr>
                <w:rFonts w:ascii="Calibri" w:eastAsia="Times New Roman" w:hAnsi="Calibri" w:cs="Times New Roman"/>
                <w:color w:val="FF0000"/>
              </w:rPr>
            </w:pPr>
            <w:r w:rsidRPr="00682693">
              <w:rPr>
                <w:rFonts w:ascii="Calibri" w:eastAsia="Times New Roman" w:hAnsi="Calibri" w:cs="Times New Roman"/>
                <w:color w:val="FF0000"/>
              </w:rPr>
              <w:t>Primarily Urban</w:t>
            </w:r>
          </w:p>
        </w:tc>
        <w:tc>
          <w:tcPr>
            <w:tcW w:w="1321" w:type="pct"/>
            <w:tcBorders>
              <w:top w:val="nil"/>
              <w:left w:val="nil"/>
              <w:bottom w:val="nil"/>
              <w:right w:val="nil"/>
            </w:tcBorders>
            <w:shd w:val="clear" w:color="000000" w:fill="FFFFFF"/>
            <w:vAlign w:val="bottom"/>
          </w:tcPr>
          <w:p w14:paraId="4DCE6C4A"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22</w:t>
            </w:r>
          </w:p>
        </w:tc>
        <w:tc>
          <w:tcPr>
            <w:tcW w:w="1016" w:type="pct"/>
            <w:tcBorders>
              <w:top w:val="nil"/>
              <w:left w:val="nil"/>
              <w:bottom w:val="nil"/>
              <w:right w:val="nil"/>
            </w:tcBorders>
            <w:shd w:val="clear" w:color="000000" w:fill="FFFFFF"/>
            <w:vAlign w:val="bottom"/>
          </w:tcPr>
          <w:p w14:paraId="031D2143"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18.3%</w:t>
            </w:r>
          </w:p>
        </w:tc>
      </w:tr>
      <w:tr w:rsidR="00682693" w:rsidRPr="00682693" w14:paraId="04473807" w14:textId="77777777" w:rsidTr="00BA1C58">
        <w:trPr>
          <w:trHeight w:val="300"/>
        </w:trPr>
        <w:tc>
          <w:tcPr>
            <w:tcW w:w="2663" w:type="pct"/>
            <w:tcBorders>
              <w:top w:val="nil"/>
              <w:left w:val="nil"/>
              <w:bottom w:val="nil"/>
              <w:right w:val="nil"/>
            </w:tcBorders>
            <w:shd w:val="clear" w:color="auto" w:fill="auto"/>
            <w:vAlign w:val="center"/>
            <w:hideMark/>
          </w:tcPr>
          <w:p w14:paraId="64B2F5DB" w14:textId="77777777" w:rsidR="00682693" w:rsidRPr="00682693" w:rsidRDefault="00682693" w:rsidP="00BA1C58">
            <w:pPr>
              <w:spacing w:after="0" w:line="240" w:lineRule="auto"/>
              <w:ind w:firstLineChars="100" w:firstLine="220"/>
              <w:rPr>
                <w:rFonts w:ascii="Calibri" w:eastAsia="Times New Roman" w:hAnsi="Calibri" w:cs="Times New Roman"/>
                <w:color w:val="FF0000"/>
              </w:rPr>
            </w:pPr>
            <w:r w:rsidRPr="00682693">
              <w:rPr>
                <w:rFonts w:ascii="Calibri" w:eastAsia="Times New Roman" w:hAnsi="Calibri" w:cs="Times New Roman"/>
                <w:color w:val="FF0000"/>
              </w:rPr>
              <w:t>Mixed Urban and Rural</w:t>
            </w:r>
          </w:p>
        </w:tc>
        <w:tc>
          <w:tcPr>
            <w:tcW w:w="1321" w:type="pct"/>
            <w:tcBorders>
              <w:top w:val="nil"/>
              <w:left w:val="nil"/>
              <w:bottom w:val="nil"/>
              <w:right w:val="nil"/>
            </w:tcBorders>
            <w:shd w:val="clear" w:color="000000" w:fill="FFFFFF"/>
            <w:vAlign w:val="bottom"/>
          </w:tcPr>
          <w:p w14:paraId="408ECB32"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70</w:t>
            </w:r>
          </w:p>
        </w:tc>
        <w:tc>
          <w:tcPr>
            <w:tcW w:w="1016" w:type="pct"/>
            <w:tcBorders>
              <w:top w:val="nil"/>
              <w:left w:val="nil"/>
              <w:bottom w:val="nil"/>
              <w:right w:val="nil"/>
            </w:tcBorders>
            <w:shd w:val="clear" w:color="000000" w:fill="FFFFFF"/>
            <w:vAlign w:val="bottom"/>
          </w:tcPr>
          <w:p w14:paraId="41160193"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58.3%</w:t>
            </w:r>
          </w:p>
        </w:tc>
      </w:tr>
      <w:tr w:rsidR="00682693" w:rsidRPr="00682693" w14:paraId="59233DB0" w14:textId="77777777" w:rsidTr="00BA1C58">
        <w:trPr>
          <w:trHeight w:val="300"/>
        </w:trPr>
        <w:tc>
          <w:tcPr>
            <w:tcW w:w="2663" w:type="pct"/>
            <w:tcBorders>
              <w:top w:val="nil"/>
              <w:left w:val="nil"/>
              <w:bottom w:val="nil"/>
              <w:right w:val="nil"/>
            </w:tcBorders>
            <w:shd w:val="clear" w:color="auto" w:fill="auto"/>
            <w:vAlign w:val="center"/>
            <w:hideMark/>
          </w:tcPr>
          <w:p w14:paraId="3B3D0CEE" w14:textId="77777777" w:rsidR="00682693" w:rsidRPr="00682693" w:rsidRDefault="00682693" w:rsidP="00BA1C58">
            <w:pPr>
              <w:spacing w:after="0" w:line="240" w:lineRule="auto"/>
              <w:rPr>
                <w:rFonts w:ascii="Calibri" w:eastAsia="Times New Roman" w:hAnsi="Calibri" w:cs="Times New Roman"/>
                <w:color w:val="FF0000"/>
              </w:rPr>
            </w:pPr>
            <w:r w:rsidRPr="00682693">
              <w:rPr>
                <w:rFonts w:ascii="Calibri" w:eastAsia="Times New Roman" w:hAnsi="Calibri" w:cs="Times New Roman"/>
                <w:color w:val="FF0000"/>
              </w:rPr>
              <w:t>Agency Tax Status</w:t>
            </w:r>
          </w:p>
        </w:tc>
        <w:tc>
          <w:tcPr>
            <w:tcW w:w="1321" w:type="pct"/>
            <w:tcBorders>
              <w:top w:val="nil"/>
              <w:left w:val="nil"/>
              <w:bottom w:val="nil"/>
              <w:right w:val="nil"/>
            </w:tcBorders>
            <w:shd w:val="clear" w:color="auto" w:fill="auto"/>
            <w:noWrap/>
            <w:vAlign w:val="bottom"/>
            <w:hideMark/>
          </w:tcPr>
          <w:p w14:paraId="3025DCA1" w14:textId="77777777" w:rsidR="00682693" w:rsidRPr="00682693" w:rsidRDefault="00682693" w:rsidP="00BA1C58">
            <w:pPr>
              <w:spacing w:after="0" w:line="240" w:lineRule="auto"/>
              <w:jc w:val="center"/>
              <w:rPr>
                <w:rFonts w:ascii="Calibri" w:eastAsia="Times New Roman" w:hAnsi="Calibri" w:cs="Times New Roman"/>
                <w:color w:val="FF0000"/>
              </w:rPr>
            </w:pPr>
          </w:p>
        </w:tc>
        <w:tc>
          <w:tcPr>
            <w:tcW w:w="1016" w:type="pct"/>
            <w:tcBorders>
              <w:top w:val="nil"/>
              <w:left w:val="nil"/>
              <w:bottom w:val="nil"/>
              <w:right w:val="nil"/>
            </w:tcBorders>
            <w:shd w:val="clear" w:color="auto" w:fill="auto"/>
            <w:noWrap/>
            <w:vAlign w:val="bottom"/>
            <w:hideMark/>
          </w:tcPr>
          <w:p w14:paraId="378DE1FB" w14:textId="77777777" w:rsidR="00682693" w:rsidRPr="00682693" w:rsidRDefault="00682693" w:rsidP="00BA1C58">
            <w:pPr>
              <w:spacing w:after="0" w:line="240" w:lineRule="auto"/>
              <w:jc w:val="center"/>
              <w:rPr>
                <w:rFonts w:ascii="Calibri" w:eastAsia="Times New Roman" w:hAnsi="Calibri" w:cs="Times New Roman"/>
                <w:color w:val="FF0000"/>
              </w:rPr>
            </w:pPr>
          </w:p>
        </w:tc>
      </w:tr>
      <w:tr w:rsidR="00682693" w:rsidRPr="00682693" w14:paraId="7ACCB832" w14:textId="77777777" w:rsidTr="00BA1C58">
        <w:trPr>
          <w:trHeight w:val="300"/>
        </w:trPr>
        <w:tc>
          <w:tcPr>
            <w:tcW w:w="2663" w:type="pct"/>
            <w:tcBorders>
              <w:top w:val="nil"/>
              <w:left w:val="nil"/>
              <w:bottom w:val="nil"/>
              <w:right w:val="nil"/>
            </w:tcBorders>
            <w:shd w:val="clear" w:color="auto" w:fill="auto"/>
            <w:vAlign w:val="center"/>
            <w:hideMark/>
          </w:tcPr>
          <w:p w14:paraId="38026B2B" w14:textId="77777777" w:rsidR="00682693" w:rsidRPr="00682693" w:rsidRDefault="00682693" w:rsidP="00BA1C58">
            <w:pPr>
              <w:spacing w:after="0" w:line="240" w:lineRule="auto"/>
              <w:ind w:firstLineChars="100" w:firstLine="220"/>
              <w:rPr>
                <w:rFonts w:ascii="Calibri" w:eastAsia="Times New Roman" w:hAnsi="Calibri" w:cs="Times New Roman"/>
                <w:color w:val="FF0000"/>
              </w:rPr>
            </w:pPr>
            <w:r w:rsidRPr="00682693">
              <w:rPr>
                <w:rFonts w:ascii="Calibri" w:eastAsia="Times New Roman" w:hAnsi="Calibri" w:cs="Times New Roman"/>
                <w:color w:val="FF0000"/>
              </w:rPr>
              <w:t>Not-for-profit</w:t>
            </w:r>
          </w:p>
        </w:tc>
        <w:tc>
          <w:tcPr>
            <w:tcW w:w="1321" w:type="pct"/>
            <w:tcBorders>
              <w:top w:val="nil"/>
              <w:left w:val="nil"/>
              <w:bottom w:val="nil"/>
              <w:right w:val="nil"/>
            </w:tcBorders>
            <w:shd w:val="clear" w:color="000000" w:fill="FFFFFF"/>
            <w:vAlign w:val="bottom"/>
          </w:tcPr>
          <w:p w14:paraId="4FD62F7B"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123</w:t>
            </w:r>
          </w:p>
        </w:tc>
        <w:tc>
          <w:tcPr>
            <w:tcW w:w="1016" w:type="pct"/>
            <w:tcBorders>
              <w:top w:val="nil"/>
              <w:left w:val="nil"/>
              <w:bottom w:val="nil"/>
              <w:right w:val="nil"/>
            </w:tcBorders>
            <w:shd w:val="clear" w:color="000000" w:fill="FFFFFF"/>
            <w:vAlign w:val="bottom"/>
          </w:tcPr>
          <w:p w14:paraId="66E859DF"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75.9%</w:t>
            </w:r>
          </w:p>
        </w:tc>
      </w:tr>
      <w:tr w:rsidR="00682693" w:rsidRPr="00682693" w14:paraId="363FC202" w14:textId="77777777" w:rsidTr="00BA1C58">
        <w:trPr>
          <w:trHeight w:val="300"/>
        </w:trPr>
        <w:tc>
          <w:tcPr>
            <w:tcW w:w="2663" w:type="pct"/>
            <w:tcBorders>
              <w:top w:val="nil"/>
              <w:left w:val="nil"/>
              <w:bottom w:val="nil"/>
              <w:right w:val="nil"/>
            </w:tcBorders>
            <w:shd w:val="clear" w:color="auto" w:fill="auto"/>
            <w:vAlign w:val="center"/>
            <w:hideMark/>
          </w:tcPr>
          <w:p w14:paraId="1AC33D7E" w14:textId="77777777" w:rsidR="00682693" w:rsidRPr="00682693" w:rsidRDefault="00682693" w:rsidP="00BA1C58">
            <w:pPr>
              <w:spacing w:after="0" w:line="240" w:lineRule="auto"/>
              <w:ind w:firstLineChars="100" w:firstLine="220"/>
              <w:rPr>
                <w:rFonts w:ascii="Calibri" w:eastAsia="Times New Roman" w:hAnsi="Calibri" w:cs="Times New Roman"/>
                <w:color w:val="FF0000"/>
              </w:rPr>
            </w:pPr>
            <w:r w:rsidRPr="00682693">
              <w:rPr>
                <w:rFonts w:ascii="Calibri" w:eastAsia="Times New Roman" w:hAnsi="Calibri" w:cs="Times New Roman"/>
                <w:color w:val="FF0000"/>
              </w:rPr>
              <w:t>For profit</w:t>
            </w:r>
          </w:p>
        </w:tc>
        <w:tc>
          <w:tcPr>
            <w:tcW w:w="1321" w:type="pct"/>
            <w:tcBorders>
              <w:top w:val="nil"/>
              <w:left w:val="nil"/>
              <w:bottom w:val="nil"/>
              <w:right w:val="nil"/>
            </w:tcBorders>
            <w:shd w:val="clear" w:color="000000" w:fill="FFFFFF"/>
            <w:vAlign w:val="bottom"/>
          </w:tcPr>
          <w:p w14:paraId="4F1AD0D5"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34</w:t>
            </w:r>
          </w:p>
        </w:tc>
        <w:tc>
          <w:tcPr>
            <w:tcW w:w="1016" w:type="pct"/>
            <w:tcBorders>
              <w:top w:val="nil"/>
              <w:left w:val="nil"/>
              <w:bottom w:val="nil"/>
              <w:right w:val="nil"/>
            </w:tcBorders>
            <w:shd w:val="clear" w:color="000000" w:fill="FFFFFF"/>
            <w:vAlign w:val="bottom"/>
          </w:tcPr>
          <w:p w14:paraId="52CA4ED9"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21.0%</w:t>
            </w:r>
          </w:p>
        </w:tc>
      </w:tr>
      <w:tr w:rsidR="00682693" w:rsidRPr="00682693" w14:paraId="335DC2CD" w14:textId="77777777" w:rsidTr="00BA1C58">
        <w:trPr>
          <w:trHeight w:val="315"/>
        </w:trPr>
        <w:tc>
          <w:tcPr>
            <w:tcW w:w="2663" w:type="pct"/>
            <w:tcBorders>
              <w:top w:val="nil"/>
              <w:left w:val="nil"/>
              <w:bottom w:val="single" w:sz="8" w:space="0" w:color="auto"/>
              <w:right w:val="nil"/>
            </w:tcBorders>
            <w:shd w:val="clear" w:color="auto" w:fill="auto"/>
            <w:vAlign w:val="center"/>
            <w:hideMark/>
          </w:tcPr>
          <w:p w14:paraId="4702A523" w14:textId="77777777" w:rsidR="00682693" w:rsidRPr="00682693" w:rsidRDefault="00682693" w:rsidP="00BA1C58">
            <w:pPr>
              <w:spacing w:after="0" w:line="240" w:lineRule="auto"/>
              <w:ind w:firstLineChars="100" w:firstLine="220"/>
              <w:rPr>
                <w:rFonts w:ascii="Calibri" w:eastAsia="Times New Roman" w:hAnsi="Calibri" w:cs="Times New Roman"/>
                <w:color w:val="FF0000"/>
              </w:rPr>
            </w:pPr>
            <w:r w:rsidRPr="00682693">
              <w:rPr>
                <w:rFonts w:ascii="Calibri" w:eastAsia="Times New Roman" w:hAnsi="Calibri" w:cs="Times New Roman"/>
                <w:color w:val="FF0000"/>
              </w:rPr>
              <w:t>Government</w:t>
            </w:r>
          </w:p>
        </w:tc>
        <w:tc>
          <w:tcPr>
            <w:tcW w:w="1321" w:type="pct"/>
            <w:tcBorders>
              <w:top w:val="nil"/>
              <w:left w:val="nil"/>
              <w:bottom w:val="single" w:sz="8" w:space="0" w:color="auto"/>
              <w:right w:val="nil"/>
            </w:tcBorders>
            <w:shd w:val="clear" w:color="000000" w:fill="FFFFFF"/>
            <w:vAlign w:val="bottom"/>
          </w:tcPr>
          <w:p w14:paraId="4B860475"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5</w:t>
            </w:r>
          </w:p>
        </w:tc>
        <w:tc>
          <w:tcPr>
            <w:tcW w:w="1016" w:type="pct"/>
            <w:tcBorders>
              <w:top w:val="nil"/>
              <w:left w:val="nil"/>
              <w:bottom w:val="single" w:sz="8" w:space="0" w:color="auto"/>
              <w:right w:val="nil"/>
            </w:tcBorders>
            <w:shd w:val="clear" w:color="000000" w:fill="FFFFFF"/>
            <w:vAlign w:val="bottom"/>
          </w:tcPr>
          <w:p w14:paraId="6F65E70D" w14:textId="77777777" w:rsidR="00682693" w:rsidRPr="00682693" w:rsidRDefault="00682693" w:rsidP="00BA1C58">
            <w:pPr>
              <w:spacing w:after="0" w:line="240" w:lineRule="auto"/>
              <w:jc w:val="center"/>
              <w:rPr>
                <w:rFonts w:ascii="Calibri" w:eastAsia="Times New Roman" w:hAnsi="Calibri" w:cs="Times New Roman"/>
                <w:color w:val="FF0000"/>
              </w:rPr>
            </w:pPr>
            <w:r w:rsidRPr="00682693">
              <w:rPr>
                <w:rFonts w:ascii="Calibri" w:eastAsia="Times New Roman" w:hAnsi="Calibri" w:cs="Times New Roman"/>
                <w:color w:val="FF0000"/>
              </w:rPr>
              <w:t>3.1%</w:t>
            </w:r>
          </w:p>
        </w:tc>
      </w:tr>
      <w:tr w:rsidR="00682693" w:rsidRPr="00574124" w14:paraId="643C9CD0" w14:textId="77777777" w:rsidTr="00BA1C58">
        <w:trPr>
          <w:trHeight w:val="300"/>
        </w:trPr>
        <w:tc>
          <w:tcPr>
            <w:tcW w:w="2663" w:type="pct"/>
            <w:tcBorders>
              <w:top w:val="nil"/>
              <w:left w:val="nil"/>
              <w:bottom w:val="nil"/>
              <w:right w:val="nil"/>
            </w:tcBorders>
            <w:shd w:val="clear" w:color="auto" w:fill="auto"/>
            <w:noWrap/>
            <w:vAlign w:val="bottom"/>
            <w:hideMark/>
          </w:tcPr>
          <w:p w14:paraId="2F070DA9" w14:textId="77777777" w:rsidR="00682693" w:rsidRPr="00574124" w:rsidRDefault="00682693" w:rsidP="00BA1C58">
            <w:pPr>
              <w:spacing w:after="0" w:line="240" w:lineRule="auto"/>
              <w:rPr>
                <w:rFonts w:ascii="Calibri" w:eastAsia="Times New Roman" w:hAnsi="Calibri" w:cs="Times New Roman"/>
                <w:color w:val="0000FF"/>
              </w:rPr>
            </w:pPr>
          </w:p>
        </w:tc>
        <w:tc>
          <w:tcPr>
            <w:tcW w:w="1321" w:type="pct"/>
            <w:tcBorders>
              <w:top w:val="nil"/>
              <w:left w:val="nil"/>
              <w:bottom w:val="nil"/>
              <w:right w:val="nil"/>
            </w:tcBorders>
            <w:shd w:val="clear" w:color="auto" w:fill="auto"/>
            <w:noWrap/>
            <w:vAlign w:val="bottom"/>
            <w:hideMark/>
          </w:tcPr>
          <w:p w14:paraId="3CA3E868" w14:textId="77777777" w:rsidR="00682693" w:rsidRPr="00574124" w:rsidRDefault="00682693" w:rsidP="00BA1C58">
            <w:pPr>
              <w:spacing w:after="0" w:line="240" w:lineRule="auto"/>
              <w:rPr>
                <w:rFonts w:ascii="Calibri" w:eastAsia="Times New Roman" w:hAnsi="Calibri" w:cs="Times New Roman"/>
                <w:color w:val="0000FF"/>
              </w:rPr>
            </w:pPr>
          </w:p>
        </w:tc>
        <w:tc>
          <w:tcPr>
            <w:tcW w:w="1016" w:type="pct"/>
            <w:tcBorders>
              <w:top w:val="nil"/>
              <w:left w:val="nil"/>
              <w:bottom w:val="nil"/>
              <w:right w:val="nil"/>
            </w:tcBorders>
            <w:shd w:val="clear" w:color="auto" w:fill="auto"/>
            <w:noWrap/>
            <w:vAlign w:val="bottom"/>
            <w:hideMark/>
          </w:tcPr>
          <w:p w14:paraId="7717B9B7" w14:textId="77777777" w:rsidR="00682693" w:rsidRPr="00574124" w:rsidRDefault="00682693" w:rsidP="00BA1C58">
            <w:pPr>
              <w:spacing w:after="0" w:line="240" w:lineRule="auto"/>
              <w:rPr>
                <w:rFonts w:ascii="Calibri" w:eastAsia="Times New Roman" w:hAnsi="Calibri" w:cs="Times New Roman"/>
                <w:color w:val="0000FF"/>
              </w:rPr>
            </w:pPr>
          </w:p>
        </w:tc>
      </w:tr>
    </w:tbl>
    <w:p w14:paraId="1604AC0C" w14:textId="77777777" w:rsidR="00682693" w:rsidRDefault="00682693" w:rsidP="0093341D">
      <w:pPr>
        <w:autoSpaceDE w:val="0"/>
        <w:autoSpaceDN w:val="0"/>
        <w:adjustRightInd w:val="0"/>
        <w:spacing w:after="0" w:line="240" w:lineRule="auto"/>
        <w:rPr>
          <w:rFonts w:cstheme="minorHAnsi"/>
          <w:bCs/>
          <w:color w:val="FF0000"/>
        </w:rPr>
      </w:pPr>
    </w:p>
    <w:p w14:paraId="0CABCFC8" w14:textId="77777777" w:rsidR="002B5016" w:rsidRPr="00A25024" w:rsidRDefault="002B5016" w:rsidP="00DB3627">
      <w:pPr>
        <w:autoSpaceDE w:val="0"/>
        <w:autoSpaceDN w:val="0"/>
        <w:adjustRightInd w:val="0"/>
        <w:spacing w:after="0" w:line="240" w:lineRule="auto"/>
        <w:rPr>
          <w:rFonts w:cstheme="minorHAnsi"/>
          <w:bCs/>
        </w:rPr>
      </w:pPr>
    </w:p>
    <w:p w14:paraId="39EEECFB" w14:textId="77777777" w:rsidR="0093341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E89174A" w14:textId="77777777" w:rsidR="00682693" w:rsidRDefault="0093341D" w:rsidP="00DB3627">
      <w:pPr>
        <w:autoSpaceDE w:val="0"/>
        <w:autoSpaceDN w:val="0"/>
        <w:adjustRightInd w:val="0"/>
        <w:spacing w:after="0" w:line="240" w:lineRule="auto"/>
        <w:rPr>
          <w:rFonts w:cstheme="minorHAnsi"/>
          <w:bCs/>
        </w:rPr>
      </w:pPr>
      <w:r w:rsidRPr="00682693">
        <w:rPr>
          <w:rFonts w:cstheme="minorHAnsi"/>
          <w:bCs/>
        </w:rPr>
        <w:t>Testing used data from 16,778 patients who qualified for the denominator of the measure.</w:t>
      </w:r>
    </w:p>
    <w:p w14:paraId="2C4F50F8" w14:textId="77777777" w:rsidR="00682693" w:rsidRPr="008C2772" w:rsidRDefault="00682693" w:rsidP="00682693">
      <w:pPr>
        <w:autoSpaceDE w:val="0"/>
        <w:autoSpaceDN w:val="0"/>
        <w:adjustRightInd w:val="0"/>
        <w:spacing w:after="0" w:line="240" w:lineRule="auto"/>
        <w:rPr>
          <w:rFonts w:cstheme="minorHAnsi"/>
          <w:bCs/>
        </w:rPr>
      </w:pPr>
      <w:r w:rsidRPr="008C2772">
        <w:rPr>
          <w:rFonts w:cstheme="minorHAnsi"/>
          <w:bCs/>
        </w:rPr>
        <w:t xml:space="preserve">The sample included 90,453 admissions to the hospices in 2013.  There were 9,059 patients that met the inclusion criteria and indicated that they were uncomfortable due to pain so were, thus, included in the measure.  </w:t>
      </w:r>
    </w:p>
    <w:p w14:paraId="79E200D3" w14:textId="77777777" w:rsidR="00682693" w:rsidRPr="008C2772" w:rsidRDefault="00682693" w:rsidP="00682693">
      <w:pPr>
        <w:autoSpaceDE w:val="0"/>
        <w:autoSpaceDN w:val="0"/>
        <w:adjustRightInd w:val="0"/>
        <w:spacing w:after="0" w:line="240" w:lineRule="auto"/>
        <w:rPr>
          <w:rFonts w:cstheme="minorHAnsi"/>
          <w:bCs/>
        </w:rPr>
      </w:pPr>
    </w:p>
    <w:p w14:paraId="6E468A79" w14:textId="77777777" w:rsidR="00682693" w:rsidRPr="00682693" w:rsidRDefault="00682693" w:rsidP="00682693">
      <w:pPr>
        <w:autoSpaceDE w:val="0"/>
        <w:autoSpaceDN w:val="0"/>
        <w:adjustRightInd w:val="0"/>
        <w:spacing w:after="0" w:line="240" w:lineRule="auto"/>
        <w:rPr>
          <w:rFonts w:cstheme="minorHAnsi"/>
          <w:bCs/>
          <w:color w:val="FF0000"/>
        </w:rPr>
      </w:pPr>
      <w:r w:rsidRPr="00682693">
        <w:rPr>
          <w:rFonts w:cstheme="minorHAnsi"/>
          <w:bCs/>
          <w:color w:val="FF0000"/>
        </w:rPr>
        <w:t xml:space="preserve">NHPCO only collects aggregate hospice-level data for the Comfortable Dying measure and does not routinely obtain patient-level data.  To obtain patient-level characteristics needed for testing, NHPCO selected two hospices that regularly participate in the Comfortable Dying measure to provide patient-level characteristics on all patients admitted over a six-month period.   Characteristics of this sub-sample are as follows: </w:t>
      </w:r>
    </w:p>
    <w:p w14:paraId="233B2C7C" w14:textId="77777777" w:rsidR="00682693" w:rsidRPr="00682693" w:rsidRDefault="00682693" w:rsidP="00682693">
      <w:pPr>
        <w:autoSpaceDE w:val="0"/>
        <w:autoSpaceDN w:val="0"/>
        <w:adjustRightInd w:val="0"/>
        <w:spacing w:after="0" w:line="240" w:lineRule="auto"/>
        <w:rPr>
          <w:rFonts w:cstheme="minorHAnsi"/>
          <w:bCs/>
          <w:color w:val="FF0000"/>
        </w:rPr>
      </w:pPr>
    </w:p>
    <w:tbl>
      <w:tblPr>
        <w:tblW w:w="5000" w:type="pct"/>
        <w:tblLook w:val="04A0" w:firstRow="1" w:lastRow="0" w:firstColumn="1" w:lastColumn="0" w:noHBand="0" w:noVBand="1"/>
      </w:tblPr>
      <w:tblGrid>
        <w:gridCol w:w="5906"/>
        <w:gridCol w:w="1923"/>
        <w:gridCol w:w="1531"/>
      </w:tblGrid>
      <w:tr w:rsidR="00682693" w:rsidRPr="00682693" w14:paraId="0285EAC6" w14:textId="77777777" w:rsidTr="00BA1C58">
        <w:trPr>
          <w:trHeight w:val="315"/>
        </w:trPr>
        <w:tc>
          <w:tcPr>
            <w:tcW w:w="3155" w:type="pct"/>
            <w:tcBorders>
              <w:top w:val="single" w:sz="8" w:space="0" w:color="auto"/>
              <w:left w:val="nil"/>
              <w:bottom w:val="single" w:sz="8" w:space="0" w:color="auto"/>
              <w:right w:val="nil"/>
            </w:tcBorders>
            <w:shd w:val="clear" w:color="auto" w:fill="auto"/>
            <w:vAlign w:val="center"/>
            <w:hideMark/>
          </w:tcPr>
          <w:p w14:paraId="30265382"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Patient Characteristics</w:t>
            </w:r>
          </w:p>
        </w:tc>
        <w:tc>
          <w:tcPr>
            <w:tcW w:w="1027" w:type="pct"/>
            <w:tcBorders>
              <w:top w:val="single" w:sz="8" w:space="0" w:color="auto"/>
              <w:left w:val="nil"/>
              <w:bottom w:val="single" w:sz="8" w:space="0" w:color="auto"/>
              <w:right w:val="nil"/>
            </w:tcBorders>
            <w:shd w:val="clear" w:color="auto" w:fill="auto"/>
            <w:vAlign w:val="center"/>
            <w:hideMark/>
          </w:tcPr>
          <w:p w14:paraId="495E807C"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 xml:space="preserve">N = </w:t>
            </w:r>
          </w:p>
        </w:tc>
        <w:tc>
          <w:tcPr>
            <w:tcW w:w="818" w:type="pct"/>
            <w:tcBorders>
              <w:top w:val="single" w:sz="8" w:space="0" w:color="auto"/>
              <w:left w:val="nil"/>
              <w:bottom w:val="single" w:sz="8" w:space="0" w:color="auto"/>
              <w:right w:val="nil"/>
            </w:tcBorders>
            <w:shd w:val="clear" w:color="auto" w:fill="auto"/>
            <w:vAlign w:val="center"/>
            <w:hideMark/>
          </w:tcPr>
          <w:p w14:paraId="49740238"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Percent</w:t>
            </w:r>
          </w:p>
        </w:tc>
      </w:tr>
      <w:tr w:rsidR="00682693" w:rsidRPr="00682693" w14:paraId="7CEAB750" w14:textId="77777777" w:rsidTr="00BA1C58">
        <w:trPr>
          <w:trHeight w:val="300"/>
        </w:trPr>
        <w:tc>
          <w:tcPr>
            <w:tcW w:w="3155" w:type="pct"/>
            <w:tcBorders>
              <w:top w:val="nil"/>
              <w:left w:val="nil"/>
              <w:bottom w:val="nil"/>
              <w:right w:val="nil"/>
            </w:tcBorders>
            <w:shd w:val="clear" w:color="auto" w:fill="auto"/>
            <w:vAlign w:val="center"/>
            <w:hideMark/>
          </w:tcPr>
          <w:p w14:paraId="668C6BE5"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Gender</w:t>
            </w:r>
          </w:p>
        </w:tc>
        <w:tc>
          <w:tcPr>
            <w:tcW w:w="1027" w:type="pct"/>
            <w:tcBorders>
              <w:top w:val="nil"/>
              <w:left w:val="nil"/>
              <w:bottom w:val="nil"/>
              <w:right w:val="nil"/>
            </w:tcBorders>
            <w:shd w:val="clear" w:color="auto" w:fill="auto"/>
            <w:noWrap/>
            <w:vAlign w:val="bottom"/>
            <w:hideMark/>
          </w:tcPr>
          <w:p w14:paraId="3414125A" w14:textId="77777777" w:rsidR="00682693" w:rsidRPr="00682693" w:rsidRDefault="00682693" w:rsidP="00BA1C58">
            <w:pPr>
              <w:autoSpaceDE w:val="0"/>
              <w:autoSpaceDN w:val="0"/>
              <w:adjustRightInd w:val="0"/>
              <w:spacing w:after="0" w:line="240" w:lineRule="auto"/>
              <w:rPr>
                <w:rFonts w:cstheme="minorHAnsi"/>
                <w:bCs/>
                <w:color w:val="FF0000"/>
              </w:rPr>
            </w:pPr>
          </w:p>
        </w:tc>
        <w:tc>
          <w:tcPr>
            <w:tcW w:w="818" w:type="pct"/>
            <w:tcBorders>
              <w:top w:val="nil"/>
              <w:left w:val="nil"/>
              <w:bottom w:val="nil"/>
              <w:right w:val="nil"/>
            </w:tcBorders>
            <w:shd w:val="clear" w:color="auto" w:fill="auto"/>
            <w:noWrap/>
            <w:vAlign w:val="bottom"/>
            <w:hideMark/>
          </w:tcPr>
          <w:p w14:paraId="0110CF3B" w14:textId="77777777" w:rsidR="00682693" w:rsidRPr="00682693" w:rsidRDefault="00682693" w:rsidP="00BA1C58">
            <w:pPr>
              <w:autoSpaceDE w:val="0"/>
              <w:autoSpaceDN w:val="0"/>
              <w:adjustRightInd w:val="0"/>
              <w:spacing w:after="0" w:line="240" w:lineRule="auto"/>
              <w:rPr>
                <w:rFonts w:cstheme="minorHAnsi"/>
                <w:bCs/>
                <w:color w:val="FF0000"/>
              </w:rPr>
            </w:pPr>
          </w:p>
        </w:tc>
      </w:tr>
      <w:tr w:rsidR="00682693" w:rsidRPr="00682693" w14:paraId="2713C39D" w14:textId="77777777" w:rsidTr="00BA1C58">
        <w:trPr>
          <w:trHeight w:val="300"/>
        </w:trPr>
        <w:tc>
          <w:tcPr>
            <w:tcW w:w="3155" w:type="pct"/>
            <w:tcBorders>
              <w:top w:val="nil"/>
              <w:left w:val="nil"/>
              <w:bottom w:val="nil"/>
              <w:right w:val="nil"/>
            </w:tcBorders>
            <w:shd w:val="clear" w:color="auto" w:fill="auto"/>
            <w:vAlign w:val="center"/>
            <w:hideMark/>
          </w:tcPr>
          <w:p w14:paraId="538770B3"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Male</w:t>
            </w:r>
          </w:p>
        </w:tc>
        <w:tc>
          <w:tcPr>
            <w:tcW w:w="1027" w:type="pct"/>
            <w:tcBorders>
              <w:top w:val="nil"/>
              <w:left w:val="nil"/>
              <w:bottom w:val="nil"/>
              <w:right w:val="nil"/>
            </w:tcBorders>
            <w:shd w:val="clear" w:color="000000" w:fill="FFFFFF"/>
            <w:vAlign w:val="bottom"/>
          </w:tcPr>
          <w:p w14:paraId="0DFB52FB"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1,049</w:t>
            </w:r>
          </w:p>
        </w:tc>
        <w:tc>
          <w:tcPr>
            <w:tcW w:w="818" w:type="pct"/>
            <w:tcBorders>
              <w:top w:val="nil"/>
              <w:left w:val="nil"/>
              <w:bottom w:val="nil"/>
              <w:right w:val="nil"/>
            </w:tcBorders>
            <w:shd w:val="clear" w:color="000000" w:fill="FFFFFF"/>
            <w:vAlign w:val="bottom"/>
          </w:tcPr>
          <w:p w14:paraId="7DAB1363"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45.0%</w:t>
            </w:r>
          </w:p>
        </w:tc>
      </w:tr>
      <w:tr w:rsidR="00682693" w:rsidRPr="00682693" w14:paraId="78C2B5BD" w14:textId="77777777" w:rsidTr="00BA1C58">
        <w:trPr>
          <w:trHeight w:val="300"/>
        </w:trPr>
        <w:tc>
          <w:tcPr>
            <w:tcW w:w="3155" w:type="pct"/>
            <w:tcBorders>
              <w:top w:val="nil"/>
              <w:left w:val="nil"/>
              <w:bottom w:val="nil"/>
              <w:right w:val="nil"/>
            </w:tcBorders>
            <w:shd w:val="clear" w:color="auto" w:fill="auto"/>
            <w:vAlign w:val="center"/>
            <w:hideMark/>
          </w:tcPr>
          <w:p w14:paraId="3C44213F"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lastRenderedPageBreak/>
              <w:t>Female</w:t>
            </w:r>
          </w:p>
        </w:tc>
        <w:tc>
          <w:tcPr>
            <w:tcW w:w="1027" w:type="pct"/>
            <w:tcBorders>
              <w:top w:val="nil"/>
              <w:left w:val="nil"/>
              <w:bottom w:val="nil"/>
              <w:right w:val="nil"/>
            </w:tcBorders>
            <w:shd w:val="clear" w:color="000000" w:fill="FFFFFF"/>
            <w:vAlign w:val="bottom"/>
          </w:tcPr>
          <w:p w14:paraId="1CBC451B"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1,281</w:t>
            </w:r>
          </w:p>
        </w:tc>
        <w:tc>
          <w:tcPr>
            <w:tcW w:w="818" w:type="pct"/>
            <w:tcBorders>
              <w:top w:val="nil"/>
              <w:left w:val="nil"/>
              <w:bottom w:val="nil"/>
              <w:right w:val="nil"/>
            </w:tcBorders>
            <w:shd w:val="clear" w:color="000000" w:fill="FFFFFF"/>
            <w:vAlign w:val="bottom"/>
          </w:tcPr>
          <w:p w14:paraId="7DB3E0C4"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55.0%</w:t>
            </w:r>
          </w:p>
        </w:tc>
      </w:tr>
      <w:tr w:rsidR="00682693" w:rsidRPr="00682693" w14:paraId="1127EE4E" w14:textId="77777777" w:rsidTr="00BA1C58">
        <w:trPr>
          <w:trHeight w:val="300"/>
        </w:trPr>
        <w:tc>
          <w:tcPr>
            <w:tcW w:w="3155" w:type="pct"/>
            <w:tcBorders>
              <w:top w:val="nil"/>
              <w:left w:val="nil"/>
              <w:bottom w:val="nil"/>
              <w:right w:val="nil"/>
            </w:tcBorders>
            <w:shd w:val="clear" w:color="auto" w:fill="auto"/>
            <w:vAlign w:val="center"/>
            <w:hideMark/>
          </w:tcPr>
          <w:p w14:paraId="60C2FB49"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Age at Death</w:t>
            </w:r>
          </w:p>
        </w:tc>
        <w:tc>
          <w:tcPr>
            <w:tcW w:w="1027" w:type="pct"/>
            <w:tcBorders>
              <w:top w:val="nil"/>
              <w:left w:val="nil"/>
              <w:bottom w:val="nil"/>
              <w:right w:val="nil"/>
            </w:tcBorders>
            <w:shd w:val="clear" w:color="auto" w:fill="auto"/>
            <w:noWrap/>
            <w:vAlign w:val="bottom"/>
            <w:hideMark/>
          </w:tcPr>
          <w:p w14:paraId="332F0174" w14:textId="77777777" w:rsidR="00682693" w:rsidRPr="00682693" w:rsidRDefault="00682693" w:rsidP="00BA1C58">
            <w:pPr>
              <w:autoSpaceDE w:val="0"/>
              <w:autoSpaceDN w:val="0"/>
              <w:adjustRightInd w:val="0"/>
              <w:spacing w:after="0" w:line="240" w:lineRule="auto"/>
              <w:rPr>
                <w:rFonts w:cstheme="minorHAnsi"/>
                <w:bCs/>
                <w:color w:val="FF0000"/>
              </w:rPr>
            </w:pPr>
          </w:p>
        </w:tc>
        <w:tc>
          <w:tcPr>
            <w:tcW w:w="818" w:type="pct"/>
            <w:tcBorders>
              <w:top w:val="nil"/>
              <w:left w:val="nil"/>
              <w:bottom w:val="nil"/>
              <w:right w:val="nil"/>
            </w:tcBorders>
            <w:shd w:val="clear" w:color="auto" w:fill="auto"/>
            <w:noWrap/>
            <w:vAlign w:val="bottom"/>
            <w:hideMark/>
          </w:tcPr>
          <w:p w14:paraId="2D578221" w14:textId="77777777" w:rsidR="00682693" w:rsidRPr="00682693" w:rsidRDefault="00682693" w:rsidP="00BA1C58">
            <w:pPr>
              <w:autoSpaceDE w:val="0"/>
              <w:autoSpaceDN w:val="0"/>
              <w:adjustRightInd w:val="0"/>
              <w:spacing w:after="0" w:line="240" w:lineRule="auto"/>
              <w:rPr>
                <w:rFonts w:cstheme="minorHAnsi"/>
                <w:bCs/>
                <w:color w:val="FF0000"/>
              </w:rPr>
            </w:pPr>
          </w:p>
        </w:tc>
      </w:tr>
      <w:tr w:rsidR="00682693" w:rsidRPr="00682693" w14:paraId="1F9132EA" w14:textId="77777777" w:rsidTr="00BA1C58">
        <w:trPr>
          <w:trHeight w:val="300"/>
        </w:trPr>
        <w:tc>
          <w:tcPr>
            <w:tcW w:w="3155" w:type="pct"/>
            <w:tcBorders>
              <w:top w:val="nil"/>
              <w:left w:val="nil"/>
              <w:bottom w:val="nil"/>
              <w:right w:val="nil"/>
            </w:tcBorders>
            <w:shd w:val="clear" w:color="auto" w:fill="auto"/>
            <w:vAlign w:val="center"/>
            <w:hideMark/>
          </w:tcPr>
          <w:p w14:paraId="43EDD04C"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80 years or older</w:t>
            </w:r>
          </w:p>
        </w:tc>
        <w:tc>
          <w:tcPr>
            <w:tcW w:w="1027" w:type="pct"/>
            <w:tcBorders>
              <w:top w:val="nil"/>
              <w:left w:val="nil"/>
              <w:bottom w:val="nil"/>
              <w:right w:val="nil"/>
            </w:tcBorders>
            <w:shd w:val="clear" w:color="000000" w:fill="FFFFFF"/>
            <w:vAlign w:val="bottom"/>
          </w:tcPr>
          <w:p w14:paraId="155CC2A9"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1,318</w:t>
            </w:r>
          </w:p>
        </w:tc>
        <w:tc>
          <w:tcPr>
            <w:tcW w:w="818" w:type="pct"/>
            <w:tcBorders>
              <w:top w:val="nil"/>
              <w:left w:val="nil"/>
              <w:bottom w:val="nil"/>
              <w:right w:val="nil"/>
            </w:tcBorders>
            <w:shd w:val="clear" w:color="000000" w:fill="FFFFFF"/>
            <w:vAlign w:val="bottom"/>
          </w:tcPr>
          <w:p w14:paraId="22A49913"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56.6%</w:t>
            </w:r>
          </w:p>
        </w:tc>
      </w:tr>
      <w:tr w:rsidR="00682693" w:rsidRPr="00682693" w14:paraId="4DE3723C" w14:textId="77777777" w:rsidTr="00BA1C58">
        <w:trPr>
          <w:trHeight w:val="300"/>
        </w:trPr>
        <w:tc>
          <w:tcPr>
            <w:tcW w:w="3155" w:type="pct"/>
            <w:tcBorders>
              <w:top w:val="nil"/>
              <w:left w:val="nil"/>
              <w:bottom w:val="nil"/>
              <w:right w:val="nil"/>
            </w:tcBorders>
            <w:shd w:val="clear" w:color="auto" w:fill="auto"/>
            <w:vAlign w:val="center"/>
            <w:hideMark/>
          </w:tcPr>
          <w:p w14:paraId="205AF9A6"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65 - 79 years</w:t>
            </w:r>
          </w:p>
        </w:tc>
        <w:tc>
          <w:tcPr>
            <w:tcW w:w="1027" w:type="pct"/>
            <w:tcBorders>
              <w:top w:val="nil"/>
              <w:left w:val="nil"/>
              <w:bottom w:val="nil"/>
              <w:right w:val="nil"/>
            </w:tcBorders>
            <w:shd w:val="clear" w:color="000000" w:fill="FFFFFF"/>
            <w:vAlign w:val="bottom"/>
          </w:tcPr>
          <w:p w14:paraId="5D282973"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642</w:t>
            </w:r>
          </w:p>
        </w:tc>
        <w:tc>
          <w:tcPr>
            <w:tcW w:w="818" w:type="pct"/>
            <w:tcBorders>
              <w:top w:val="nil"/>
              <w:left w:val="nil"/>
              <w:bottom w:val="nil"/>
              <w:right w:val="nil"/>
            </w:tcBorders>
            <w:shd w:val="clear" w:color="000000" w:fill="FFFFFF"/>
            <w:vAlign w:val="bottom"/>
          </w:tcPr>
          <w:p w14:paraId="68CAF9F1"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27.6%</w:t>
            </w:r>
          </w:p>
        </w:tc>
      </w:tr>
      <w:tr w:rsidR="00682693" w:rsidRPr="00682693" w14:paraId="5B1DA71E" w14:textId="77777777" w:rsidTr="00BA1C58">
        <w:trPr>
          <w:trHeight w:val="300"/>
        </w:trPr>
        <w:tc>
          <w:tcPr>
            <w:tcW w:w="3155" w:type="pct"/>
            <w:tcBorders>
              <w:top w:val="nil"/>
              <w:left w:val="nil"/>
              <w:bottom w:val="nil"/>
              <w:right w:val="nil"/>
            </w:tcBorders>
            <w:shd w:val="clear" w:color="auto" w:fill="auto"/>
            <w:vAlign w:val="center"/>
            <w:hideMark/>
          </w:tcPr>
          <w:p w14:paraId="29A23FEA"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20 - 64 years</w:t>
            </w:r>
          </w:p>
        </w:tc>
        <w:tc>
          <w:tcPr>
            <w:tcW w:w="1027" w:type="pct"/>
            <w:tcBorders>
              <w:top w:val="nil"/>
              <w:left w:val="nil"/>
              <w:bottom w:val="nil"/>
              <w:right w:val="nil"/>
            </w:tcBorders>
            <w:shd w:val="clear" w:color="000000" w:fill="FFFFFF"/>
            <w:vAlign w:val="bottom"/>
          </w:tcPr>
          <w:p w14:paraId="507ABEDC"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359</w:t>
            </w:r>
          </w:p>
        </w:tc>
        <w:tc>
          <w:tcPr>
            <w:tcW w:w="818" w:type="pct"/>
            <w:tcBorders>
              <w:top w:val="nil"/>
              <w:left w:val="nil"/>
              <w:bottom w:val="nil"/>
              <w:right w:val="nil"/>
            </w:tcBorders>
            <w:shd w:val="clear" w:color="000000" w:fill="FFFFFF"/>
            <w:vAlign w:val="bottom"/>
          </w:tcPr>
          <w:p w14:paraId="0FF8E95F"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15.4%</w:t>
            </w:r>
          </w:p>
        </w:tc>
      </w:tr>
      <w:tr w:rsidR="00682693" w:rsidRPr="00682693" w14:paraId="0498538D" w14:textId="77777777" w:rsidTr="00BA1C58">
        <w:trPr>
          <w:trHeight w:val="300"/>
        </w:trPr>
        <w:tc>
          <w:tcPr>
            <w:tcW w:w="3155" w:type="pct"/>
            <w:tcBorders>
              <w:top w:val="nil"/>
              <w:left w:val="nil"/>
              <w:bottom w:val="nil"/>
              <w:right w:val="nil"/>
            </w:tcBorders>
            <w:shd w:val="clear" w:color="auto" w:fill="auto"/>
            <w:vAlign w:val="center"/>
            <w:hideMark/>
          </w:tcPr>
          <w:p w14:paraId="1BA1204A"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19 years or younger</w:t>
            </w:r>
          </w:p>
        </w:tc>
        <w:tc>
          <w:tcPr>
            <w:tcW w:w="1027" w:type="pct"/>
            <w:tcBorders>
              <w:top w:val="nil"/>
              <w:left w:val="nil"/>
              <w:bottom w:val="nil"/>
              <w:right w:val="nil"/>
            </w:tcBorders>
            <w:shd w:val="clear" w:color="000000" w:fill="FFFFFF"/>
            <w:vAlign w:val="bottom"/>
          </w:tcPr>
          <w:p w14:paraId="0F606A10"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11</w:t>
            </w:r>
          </w:p>
        </w:tc>
        <w:tc>
          <w:tcPr>
            <w:tcW w:w="818" w:type="pct"/>
            <w:tcBorders>
              <w:top w:val="nil"/>
              <w:left w:val="nil"/>
              <w:bottom w:val="nil"/>
              <w:right w:val="nil"/>
            </w:tcBorders>
            <w:shd w:val="clear" w:color="000000" w:fill="FFFFFF"/>
            <w:vAlign w:val="bottom"/>
          </w:tcPr>
          <w:p w14:paraId="00D19D9D"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0.5%</w:t>
            </w:r>
          </w:p>
        </w:tc>
      </w:tr>
      <w:tr w:rsidR="00682693" w:rsidRPr="00682693" w14:paraId="4076282C" w14:textId="77777777" w:rsidTr="00BA1C58">
        <w:trPr>
          <w:trHeight w:val="300"/>
        </w:trPr>
        <w:tc>
          <w:tcPr>
            <w:tcW w:w="3155" w:type="pct"/>
            <w:tcBorders>
              <w:top w:val="nil"/>
              <w:left w:val="nil"/>
              <w:bottom w:val="nil"/>
              <w:right w:val="nil"/>
            </w:tcBorders>
            <w:shd w:val="clear" w:color="auto" w:fill="auto"/>
            <w:vAlign w:val="center"/>
            <w:hideMark/>
          </w:tcPr>
          <w:p w14:paraId="62C9EE96"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Ethnicity</w:t>
            </w:r>
          </w:p>
        </w:tc>
        <w:tc>
          <w:tcPr>
            <w:tcW w:w="1027" w:type="pct"/>
            <w:tcBorders>
              <w:top w:val="nil"/>
              <w:left w:val="nil"/>
              <w:bottom w:val="nil"/>
              <w:right w:val="nil"/>
            </w:tcBorders>
            <w:shd w:val="clear" w:color="auto" w:fill="auto"/>
            <w:noWrap/>
            <w:vAlign w:val="bottom"/>
          </w:tcPr>
          <w:p w14:paraId="77D2D5D3" w14:textId="77777777" w:rsidR="00682693" w:rsidRPr="00682693" w:rsidRDefault="00682693" w:rsidP="00BA1C58">
            <w:pPr>
              <w:autoSpaceDE w:val="0"/>
              <w:autoSpaceDN w:val="0"/>
              <w:adjustRightInd w:val="0"/>
              <w:spacing w:after="0" w:line="240" w:lineRule="auto"/>
              <w:rPr>
                <w:rFonts w:cstheme="minorHAnsi"/>
                <w:bCs/>
                <w:color w:val="FF0000"/>
              </w:rPr>
            </w:pPr>
          </w:p>
        </w:tc>
        <w:tc>
          <w:tcPr>
            <w:tcW w:w="818" w:type="pct"/>
            <w:tcBorders>
              <w:top w:val="nil"/>
              <w:left w:val="nil"/>
              <w:bottom w:val="nil"/>
              <w:right w:val="nil"/>
            </w:tcBorders>
            <w:shd w:val="clear" w:color="auto" w:fill="auto"/>
            <w:noWrap/>
            <w:vAlign w:val="bottom"/>
          </w:tcPr>
          <w:p w14:paraId="6E61FEBA" w14:textId="77777777" w:rsidR="00682693" w:rsidRPr="00682693" w:rsidRDefault="00682693" w:rsidP="00BA1C58">
            <w:pPr>
              <w:autoSpaceDE w:val="0"/>
              <w:autoSpaceDN w:val="0"/>
              <w:adjustRightInd w:val="0"/>
              <w:spacing w:after="0" w:line="240" w:lineRule="auto"/>
              <w:rPr>
                <w:rFonts w:cstheme="minorHAnsi"/>
                <w:bCs/>
                <w:color w:val="FF0000"/>
              </w:rPr>
            </w:pPr>
          </w:p>
        </w:tc>
      </w:tr>
      <w:tr w:rsidR="00682693" w:rsidRPr="00682693" w14:paraId="4D230B5C" w14:textId="77777777" w:rsidTr="00BA1C58">
        <w:trPr>
          <w:trHeight w:val="300"/>
        </w:trPr>
        <w:tc>
          <w:tcPr>
            <w:tcW w:w="3155" w:type="pct"/>
            <w:tcBorders>
              <w:top w:val="nil"/>
              <w:left w:val="nil"/>
              <w:bottom w:val="nil"/>
              <w:right w:val="nil"/>
            </w:tcBorders>
            <w:shd w:val="clear" w:color="auto" w:fill="auto"/>
            <w:vAlign w:val="center"/>
            <w:hideMark/>
          </w:tcPr>
          <w:p w14:paraId="0FEFEA8B"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Hispanic</w:t>
            </w:r>
          </w:p>
        </w:tc>
        <w:tc>
          <w:tcPr>
            <w:tcW w:w="1027" w:type="pct"/>
            <w:tcBorders>
              <w:top w:val="nil"/>
              <w:left w:val="nil"/>
              <w:bottom w:val="nil"/>
              <w:right w:val="nil"/>
            </w:tcBorders>
            <w:shd w:val="clear" w:color="000000" w:fill="FFFFFF"/>
            <w:vAlign w:val="bottom"/>
          </w:tcPr>
          <w:p w14:paraId="02057FB6"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50</w:t>
            </w:r>
          </w:p>
        </w:tc>
        <w:tc>
          <w:tcPr>
            <w:tcW w:w="818" w:type="pct"/>
            <w:tcBorders>
              <w:top w:val="nil"/>
              <w:left w:val="nil"/>
              <w:bottom w:val="nil"/>
              <w:right w:val="nil"/>
            </w:tcBorders>
            <w:shd w:val="clear" w:color="000000" w:fill="FFFFFF"/>
            <w:vAlign w:val="bottom"/>
          </w:tcPr>
          <w:p w14:paraId="280118D9"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2.2%</w:t>
            </w:r>
          </w:p>
        </w:tc>
      </w:tr>
      <w:tr w:rsidR="00682693" w:rsidRPr="00682693" w14:paraId="0F3E2AA7" w14:textId="77777777" w:rsidTr="00BA1C58">
        <w:trPr>
          <w:trHeight w:val="300"/>
        </w:trPr>
        <w:tc>
          <w:tcPr>
            <w:tcW w:w="3155" w:type="pct"/>
            <w:tcBorders>
              <w:top w:val="nil"/>
              <w:left w:val="nil"/>
              <w:bottom w:val="nil"/>
              <w:right w:val="nil"/>
            </w:tcBorders>
            <w:shd w:val="clear" w:color="auto" w:fill="auto"/>
            <w:vAlign w:val="center"/>
            <w:hideMark/>
          </w:tcPr>
          <w:p w14:paraId="5477A0B0"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Non-Hispanic</w:t>
            </w:r>
          </w:p>
        </w:tc>
        <w:tc>
          <w:tcPr>
            <w:tcW w:w="1027" w:type="pct"/>
            <w:tcBorders>
              <w:top w:val="nil"/>
              <w:left w:val="nil"/>
              <w:bottom w:val="nil"/>
              <w:right w:val="nil"/>
            </w:tcBorders>
            <w:shd w:val="clear" w:color="000000" w:fill="FFFFFF"/>
            <w:vAlign w:val="bottom"/>
          </w:tcPr>
          <w:p w14:paraId="0C5C58BB"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2,277</w:t>
            </w:r>
          </w:p>
        </w:tc>
        <w:tc>
          <w:tcPr>
            <w:tcW w:w="818" w:type="pct"/>
            <w:tcBorders>
              <w:top w:val="nil"/>
              <w:left w:val="nil"/>
              <w:bottom w:val="nil"/>
              <w:right w:val="nil"/>
            </w:tcBorders>
            <w:shd w:val="clear" w:color="000000" w:fill="FFFFFF"/>
            <w:vAlign w:val="bottom"/>
          </w:tcPr>
          <w:p w14:paraId="4DC4BAC6"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97.9%</w:t>
            </w:r>
          </w:p>
        </w:tc>
      </w:tr>
      <w:tr w:rsidR="00682693" w:rsidRPr="00682693" w14:paraId="6709FA84" w14:textId="77777777" w:rsidTr="00BA1C58">
        <w:trPr>
          <w:trHeight w:val="300"/>
        </w:trPr>
        <w:tc>
          <w:tcPr>
            <w:tcW w:w="3155" w:type="pct"/>
            <w:tcBorders>
              <w:top w:val="nil"/>
              <w:left w:val="nil"/>
              <w:bottom w:val="nil"/>
              <w:right w:val="nil"/>
            </w:tcBorders>
            <w:shd w:val="clear" w:color="auto" w:fill="auto"/>
            <w:vAlign w:val="center"/>
            <w:hideMark/>
          </w:tcPr>
          <w:p w14:paraId="5EF711A6"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Race</w:t>
            </w:r>
          </w:p>
        </w:tc>
        <w:tc>
          <w:tcPr>
            <w:tcW w:w="1027" w:type="pct"/>
            <w:tcBorders>
              <w:top w:val="nil"/>
              <w:left w:val="nil"/>
              <w:bottom w:val="nil"/>
              <w:right w:val="nil"/>
            </w:tcBorders>
            <w:shd w:val="clear" w:color="auto" w:fill="auto"/>
            <w:noWrap/>
            <w:vAlign w:val="bottom"/>
          </w:tcPr>
          <w:p w14:paraId="476CE3FF" w14:textId="77777777" w:rsidR="00682693" w:rsidRPr="00682693" w:rsidRDefault="00682693" w:rsidP="00BA1C58">
            <w:pPr>
              <w:autoSpaceDE w:val="0"/>
              <w:autoSpaceDN w:val="0"/>
              <w:adjustRightInd w:val="0"/>
              <w:spacing w:after="0" w:line="240" w:lineRule="auto"/>
              <w:rPr>
                <w:rFonts w:cstheme="minorHAnsi"/>
                <w:bCs/>
                <w:color w:val="FF0000"/>
              </w:rPr>
            </w:pPr>
          </w:p>
        </w:tc>
        <w:tc>
          <w:tcPr>
            <w:tcW w:w="818" w:type="pct"/>
            <w:tcBorders>
              <w:top w:val="nil"/>
              <w:left w:val="nil"/>
              <w:bottom w:val="nil"/>
              <w:right w:val="nil"/>
            </w:tcBorders>
            <w:shd w:val="clear" w:color="auto" w:fill="auto"/>
            <w:noWrap/>
            <w:vAlign w:val="bottom"/>
          </w:tcPr>
          <w:p w14:paraId="37738D8C" w14:textId="77777777" w:rsidR="00682693" w:rsidRPr="00682693" w:rsidRDefault="00682693" w:rsidP="00BA1C58">
            <w:pPr>
              <w:autoSpaceDE w:val="0"/>
              <w:autoSpaceDN w:val="0"/>
              <w:adjustRightInd w:val="0"/>
              <w:spacing w:after="0" w:line="240" w:lineRule="auto"/>
              <w:rPr>
                <w:rFonts w:cstheme="minorHAnsi"/>
                <w:bCs/>
                <w:color w:val="FF0000"/>
              </w:rPr>
            </w:pPr>
          </w:p>
        </w:tc>
      </w:tr>
      <w:tr w:rsidR="00682693" w:rsidRPr="00682693" w14:paraId="02152460" w14:textId="77777777" w:rsidTr="00BA1C58">
        <w:trPr>
          <w:trHeight w:val="300"/>
        </w:trPr>
        <w:tc>
          <w:tcPr>
            <w:tcW w:w="3155" w:type="pct"/>
            <w:tcBorders>
              <w:top w:val="nil"/>
              <w:left w:val="nil"/>
              <w:bottom w:val="nil"/>
              <w:right w:val="nil"/>
            </w:tcBorders>
            <w:shd w:val="clear" w:color="auto" w:fill="auto"/>
            <w:vAlign w:val="center"/>
            <w:hideMark/>
          </w:tcPr>
          <w:p w14:paraId="04DC7ECF"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White</w:t>
            </w:r>
          </w:p>
        </w:tc>
        <w:tc>
          <w:tcPr>
            <w:tcW w:w="1027" w:type="pct"/>
            <w:tcBorders>
              <w:top w:val="nil"/>
              <w:left w:val="nil"/>
              <w:bottom w:val="nil"/>
              <w:right w:val="nil"/>
            </w:tcBorders>
            <w:shd w:val="clear" w:color="000000" w:fill="FFFFFF"/>
            <w:vAlign w:val="bottom"/>
          </w:tcPr>
          <w:p w14:paraId="19F99169"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2,159</w:t>
            </w:r>
          </w:p>
        </w:tc>
        <w:tc>
          <w:tcPr>
            <w:tcW w:w="818" w:type="pct"/>
            <w:tcBorders>
              <w:top w:val="nil"/>
              <w:left w:val="nil"/>
              <w:bottom w:val="nil"/>
              <w:right w:val="nil"/>
            </w:tcBorders>
            <w:shd w:val="clear" w:color="000000" w:fill="FFFFFF"/>
            <w:vAlign w:val="bottom"/>
          </w:tcPr>
          <w:p w14:paraId="164C2431"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94.8%</w:t>
            </w:r>
          </w:p>
        </w:tc>
      </w:tr>
      <w:tr w:rsidR="00682693" w:rsidRPr="00682693" w14:paraId="4DB3DF6E" w14:textId="77777777" w:rsidTr="00BA1C58">
        <w:trPr>
          <w:trHeight w:val="300"/>
        </w:trPr>
        <w:tc>
          <w:tcPr>
            <w:tcW w:w="3155" w:type="pct"/>
            <w:tcBorders>
              <w:top w:val="nil"/>
              <w:left w:val="nil"/>
              <w:bottom w:val="nil"/>
              <w:right w:val="nil"/>
            </w:tcBorders>
            <w:shd w:val="clear" w:color="auto" w:fill="auto"/>
            <w:vAlign w:val="center"/>
            <w:hideMark/>
          </w:tcPr>
          <w:p w14:paraId="00212FAD"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 xml:space="preserve">Black or </w:t>
            </w:r>
            <w:proofErr w:type="gramStart"/>
            <w:r w:rsidRPr="00682693">
              <w:rPr>
                <w:rFonts w:cstheme="minorHAnsi"/>
                <w:bCs/>
                <w:color w:val="FF0000"/>
              </w:rPr>
              <w:t>African-American</w:t>
            </w:r>
            <w:proofErr w:type="gramEnd"/>
          </w:p>
        </w:tc>
        <w:tc>
          <w:tcPr>
            <w:tcW w:w="1027" w:type="pct"/>
            <w:tcBorders>
              <w:top w:val="nil"/>
              <w:left w:val="nil"/>
              <w:bottom w:val="nil"/>
              <w:right w:val="nil"/>
            </w:tcBorders>
            <w:shd w:val="clear" w:color="000000" w:fill="FFFFFF"/>
            <w:vAlign w:val="bottom"/>
          </w:tcPr>
          <w:p w14:paraId="142EA731"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102</w:t>
            </w:r>
          </w:p>
        </w:tc>
        <w:tc>
          <w:tcPr>
            <w:tcW w:w="818" w:type="pct"/>
            <w:tcBorders>
              <w:top w:val="nil"/>
              <w:left w:val="nil"/>
              <w:bottom w:val="nil"/>
              <w:right w:val="nil"/>
            </w:tcBorders>
            <w:shd w:val="clear" w:color="000000" w:fill="FFFFFF"/>
            <w:vAlign w:val="bottom"/>
          </w:tcPr>
          <w:p w14:paraId="5CD0B4C5"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4.5%</w:t>
            </w:r>
          </w:p>
        </w:tc>
      </w:tr>
      <w:tr w:rsidR="00682693" w:rsidRPr="00682693" w14:paraId="73B052C1" w14:textId="77777777" w:rsidTr="00BA1C58">
        <w:trPr>
          <w:trHeight w:val="315"/>
        </w:trPr>
        <w:tc>
          <w:tcPr>
            <w:tcW w:w="3155" w:type="pct"/>
            <w:tcBorders>
              <w:top w:val="nil"/>
              <w:left w:val="nil"/>
              <w:bottom w:val="single" w:sz="8" w:space="0" w:color="auto"/>
              <w:right w:val="nil"/>
            </w:tcBorders>
            <w:shd w:val="clear" w:color="auto" w:fill="auto"/>
            <w:vAlign w:val="center"/>
            <w:hideMark/>
          </w:tcPr>
          <w:p w14:paraId="088F4E17"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Another race or multiracial</w:t>
            </w:r>
          </w:p>
        </w:tc>
        <w:tc>
          <w:tcPr>
            <w:tcW w:w="1027" w:type="pct"/>
            <w:tcBorders>
              <w:top w:val="nil"/>
              <w:left w:val="nil"/>
              <w:bottom w:val="single" w:sz="8" w:space="0" w:color="auto"/>
              <w:right w:val="nil"/>
            </w:tcBorders>
            <w:shd w:val="clear" w:color="000000" w:fill="FFFFFF"/>
            <w:vAlign w:val="bottom"/>
          </w:tcPr>
          <w:p w14:paraId="7CB374A2"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16</w:t>
            </w:r>
          </w:p>
        </w:tc>
        <w:tc>
          <w:tcPr>
            <w:tcW w:w="818" w:type="pct"/>
            <w:tcBorders>
              <w:top w:val="nil"/>
              <w:left w:val="nil"/>
              <w:bottom w:val="single" w:sz="8" w:space="0" w:color="auto"/>
              <w:right w:val="nil"/>
            </w:tcBorders>
            <w:shd w:val="clear" w:color="000000" w:fill="FFFFFF"/>
            <w:vAlign w:val="bottom"/>
          </w:tcPr>
          <w:p w14:paraId="0B8E7878" w14:textId="77777777" w:rsidR="00682693" w:rsidRPr="00682693" w:rsidRDefault="00682693" w:rsidP="00BA1C58">
            <w:pPr>
              <w:autoSpaceDE w:val="0"/>
              <w:autoSpaceDN w:val="0"/>
              <w:adjustRightInd w:val="0"/>
              <w:spacing w:after="0" w:line="240" w:lineRule="auto"/>
              <w:rPr>
                <w:rFonts w:cstheme="minorHAnsi"/>
                <w:bCs/>
                <w:color w:val="FF0000"/>
              </w:rPr>
            </w:pPr>
            <w:r w:rsidRPr="00682693">
              <w:rPr>
                <w:rFonts w:cstheme="minorHAnsi"/>
                <w:bCs/>
                <w:color w:val="FF0000"/>
              </w:rPr>
              <w:t>0.7%</w:t>
            </w:r>
          </w:p>
        </w:tc>
      </w:tr>
      <w:tr w:rsidR="00682693" w:rsidRPr="00682693" w14:paraId="01A6A3BE" w14:textId="77777777" w:rsidTr="00BA1C58">
        <w:trPr>
          <w:trHeight w:val="300"/>
        </w:trPr>
        <w:tc>
          <w:tcPr>
            <w:tcW w:w="3155" w:type="pct"/>
            <w:tcBorders>
              <w:top w:val="nil"/>
              <w:left w:val="nil"/>
              <w:bottom w:val="nil"/>
              <w:right w:val="nil"/>
            </w:tcBorders>
            <w:shd w:val="clear" w:color="auto" w:fill="auto"/>
            <w:noWrap/>
            <w:vAlign w:val="bottom"/>
            <w:hideMark/>
          </w:tcPr>
          <w:p w14:paraId="4E63BB09" w14:textId="77777777" w:rsidR="00682693" w:rsidRPr="00682693" w:rsidRDefault="00682693" w:rsidP="00BA1C58">
            <w:pPr>
              <w:autoSpaceDE w:val="0"/>
              <w:autoSpaceDN w:val="0"/>
              <w:adjustRightInd w:val="0"/>
              <w:spacing w:after="0" w:line="240" w:lineRule="auto"/>
              <w:rPr>
                <w:rFonts w:cstheme="minorHAnsi"/>
                <w:bCs/>
                <w:color w:val="FF0000"/>
              </w:rPr>
            </w:pPr>
          </w:p>
        </w:tc>
        <w:tc>
          <w:tcPr>
            <w:tcW w:w="1027" w:type="pct"/>
            <w:tcBorders>
              <w:top w:val="nil"/>
              <w:left w:val="nil"/>
              <w:bottom w:val="nil"/>
              <w:right w:val="nil"/>
            </w:tcBorders>
            <w:shd w:val="clear" w:color="auto" w:fill="auto"/>
            <w:noWrap/>
            <w:vAlign w:val="bottom"/>
            <w:hideMark/>
          </w:tcPr>
          <w:p w14:paraId="630B2B19" w14:textId="77777777" w:rsidR="00682693" w:rsidRPr="00682693" w:rsidRDefault="00682693" w:rsidP="00BA1C58">
            <w:pPr>
              <w:autoSpaceDE w:val="0"/>
              <w:autoSpaceDN w:val="0"/>
              <w:adjustRightInd w:val="0"/>
              <w:spacing w:after="0" w:line="240" w:lineRule="auto"/>
              <w:rPr>
                <w:rFonts w:cstheme="minorHAnsi"/>
                <w:bCs/>
                <w:color w:val="FF0000"/>
              </w:rPr>
            </w:pPr>
          </w:p>
        </w:tc>
        <w:tc>
          <w:tcPr>
            <w:tcW w:w="818" w:type="pct"/>
            <w:tcBorders>
              <w:top w:val="nil"/>
              <w:left w:val="nil"/>
              <w:bottom w:val="nil"/>
              <w:right w:val="nil"/>
            </w:tcBorders>
            <w:shd w:val="clear" w:color="auto" w:fill="auto"/>
            <w:noWrap/>
            <w:vAlign w:val="bottom"/>
            <w:hideMark/>
          </w:tcPr>
          <w:p w14:paraId="3E814E53" w14:textId="77777777" w:rsidR="00682693" w:rsidRPr="00682693" w:rsidRDefault="00682693" w:rsidP="00BA1C58">
            <w:pPr>
              <w:autoSpaceDE w:val="0"/>
              <w:autoSpaceDN w:val="0"/>
              <w:adjustRightInd w:val="0"/>
              <w:spacing w:after="0" w:line="240" w:lineRule="auto"/>
              <w:rPr>
                <w:rFonts w:cstheme="minorHAnsi"/>
                <w:bCs/>
                <w:color w:val="FF0000"/>
              </w:rPr>
            </w:pPr>
          </w:p>
        </w:tc>
      </w:tr>
    </w:tbl>
    <w:p w14:paraId="0CABCFC9" w14:textId="752F9C38" w:rsidR="007422FD" w:rsidRDefault="007422FD" w:rsidP="00DB3627">
      <w:pPr>
        <w:autoSpaceDE w:val="0"/>
        <w:autoSpaceDN w:val="0"/>
        <w:adjustRightInd w:val="0"/>
        <w:spacing w:after="0" w:line="240" w:lineRule="auto"/>
        <w:rPr>
          <w:rFonts w:cstheme="minorHAnsi"/>
          <w:bCs/>
        </w:rPr>
      </w:pPr>
      <w:r w:rsidRPr="00682693">
        <w:rPr>
          <w:rFonts w:cstheme="minorHAnsi"/>
          <w:bCs/>
          <w:color w:val="FF0000"/>
        </w:rPr>
        <w:br/>
      </w:r>
    </w:p>
    <w:p w14:paraId="0CABCFCA" w14:textId="1CDB727B"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384EF569" w14:textId="07D2988C" w:rsidR="0093341D" w:rsidRDefault="0093341D" w:rsidP="0093341D">
      <w:pPr>
        <w:autoSpaceDE w:val="0"/>
        <w:autoSpaceDN w:val="0"/>
        <w:adjustRightInd w:val="0"/>
        <w:spacing w:after="0" w:line="240" w:lineRule="auto"/>
        <w:rPr>
          <w:rFonts w:cstheme="minorHAnsi"/>
          <w:bCs/>
          <w:color w:val="FF0000"/>
        </w:rPr>
      </w:pPr>
      <w:r>
        <w:rPr>
          <w:rFonts w:cstheme="minorHAnsi"/>
          <w:bCs/>
          <w:color w:val="FF0000"/>
        </w:rPr>
        <w:t>In most aspects of facility-level testing, 97 hospices were chosen.  A study of possible stratification by age or gender used patient-level data from two hospices.  A patient-level validation test was done on a special sample of 212 patients.</w:t>
      </w:r>
    </w:p>
    <w:p w14:paraId="3532F8D8" w14:textId="7F8142F8" w:rsidR="00682693" w:rsidRDefault="00682693" w:rsidP="0093341D">
      <w:pPr>
        <w:autoSpaceDE w:val="0"/>
        <w:autoSpaceDN w:val="0"/>
        <w:adjustRightInd w:val="0"/>
        <w:spacing w:after="0" w:line="240" w:lineRule="auto"/>
        <w:rPr>
          <w:rFonts w:cstheme="minorHAnsi"/>
          <w:bCs/>
          <w:color w:val="FF0000"/>
        </w:rPr>
      </w:pPr>
    </w:p>
    <w:p w14:paraId="33A24D5D" w14:textId="77777777" w:rsidR="00682693" w:rsidRPr="00682693" w:rsidRDefault="00682693" w:rsidP="00682693">
      <w:pPr>
        <w:autoSpaceDE w:val="0"/>
        <w:autoSpaceDN w:val="0"/>
        <w:adjustRightInd w:val="0"/>
        <w:spacing w:after="0" w:line="240" w:lineRule="auto"/>
        <w:rPr>
          <w:rFonts w:cstheme="minorHAnsi"/>
          <w:bCs/>
          <w:color w:val="FF0000"/>
        </w:rPr>
      </w:pPr>
      <w:r w:rsidRPr="00682693">
        <w:rPr>
          <w:rFonts w:cstheme="minorHAnsi"/>
          <w:bCs/>
          <w:color w:val="FF0000"/>
        </w:rPr>
        <w:t xml:space="preserve">Measure level testing was conducted with data collected by NHPCO as part of its quarterly Patient Outcomes and Measures protocol.  These data are collected and reported as aggregate numbers (total admissions, total participating in the pain measure, </w:t>
      </w:r>
      <w:proofErr w:type="spellStart"/>
      <w:r w:rsidRPr="00682693">
        <w:rPr>
          <w:rFonts w:cstheme="minorHAnsi"/>
          <w:bCs/>
          <w:color w:val="FF0000"/>
        </w:rPr>
        <w:t>etc</w:t>
      </w:r>
      <w:proofErr w:type="spellEnd"/>
      <w:r w:rsidRPr="00682693">
        <w:rPr>
          <w:rFonts w:cstheme="minorHAnsi"/>
          <w:bCs/>
          <w:color w:val="FF0000"/>
        </w:rPr>
        <w:t>…), then summarized and reported quarterly for participating hospice to use while interpreting their own Comfortable Dying Results.</w:t>
      </w:r>
    </w:p>
    <w:p w14:paraId="747EC10C" w14:textId="77777777" w:rsidR="00682693" w:rsidRPr="00682693" w:rsidRDefault="00682693" w:rsidP="00682693">
      <w:pPr>
        <w:autoSpaceDE w:val="0"/>
        <w:autoSpaceDN w:val="0"/>
        <w:adjustRightInd w:val="0"/>
        <w:spacing w:after="0" w:line="240" w:lineRule="auto"/>
        <w:rPr>
          <w:rFonts w:cstheme="minorHAnsi"/>
          <w:bCs/>
          <w:color w:val="FF0000"/>
        </w:rPr>
      </w:pPr>
    </w:p>
    <w:p w14:paraId="3DC0E883" w14:textId="77777777" w:rsidR="00682693" w:rsidRPr="00682693" w:rsidRDefault="00682693" w:rsidP="00682693">
      <w:pPr>
        <w:autoSpaceDE w:val="0"/>
        <w:autoSpaceDN w:val="0"/>
        <w:adjustRightInd w:val="0"/>
        <w:spacing w:after="0" w:line="240" w:lineRule="auto"/>
        <w:rPr>
          <w:rFonts w:cstheme="minorHAnsi"/>
          <w:bCs/>
          <w:color w:val="FF0000"/>
        </w:rPr>
      </w:pPr>
      <w:r w:rsidRPr="00682693">
        <w:rPr>
          <w:rFonts w:cstheme="minorHAnsi"/>
          <w:bCs/>
          <w:color w:val="FF0000"/>
        </w:rPr>
        <w:t xml:space="preserve">Instrument level testing was conducted using a sub-sample of two hospice organizations with a total of eight hospice locations.  Six months of complete patient-level data related to the Comfortable Dying measure was provided on all admissions by the two organizations for use in testing. </w:t>
      </w:r>
    </w:p>
    <w:p w14:paraId="2CA4CCDF" w14:textId="77777777" w:rsidR="00682693" w:rsidRDefault="00682693" w:rsidP="00682693">
      <w:pPr>
        <w:autoSpaceDE w:val="0"/>
        <w:autoSpaceDN w:val="0"/>
        <w:adjustRightInd w:val="0"/>
        <w:spacing w:after="0" w:line="240" w:lineRule="auto"/>
        <w:rPr>
          <w:rFonts w:cstheme="minorHAnsi"/>
          <w:noProof/>
        </w:rPr>
      </w:pPr>
    </w:p>
    <w:p w14:paraId="0CABCFCC" w14:textId="0E41D5AA"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15631E00" w14:textId="7378EB57" w:rsidR="00682693" w:rsidRDefault="00682693" w:rsidP="00682693">
      <w:pPr>
        <w:autoSpaceDE w:val="0"/>
        <w:autoSpaceDN w:val="0"/>
        <w:adjustRightInd w:val="0"/>
        <w:spacing w:after="0" w:line="240" w:lineRule="auto"/>
        <w:rPr>
          <w:rFonts w:cstheme="minorHAnsi"/>
          <w:bCs/>
          <w:color w:val="FF0000"/>
        </w:rPr>
      </w:pPr>
      <w:r>
        <w:rPr>
          <w:rFonts w:cstheme="minorHAnsi"/>
          <w:bCs/>
          <w:color w:val="FF0000"/>
        </w:rPr>
        <w:t>Geography, ethnicity, and race</w:t>
      </w:r>
    </w:p>
    <w:p w14:paraId="00E951F5" w14:textId="77777777" w:rsidR="00682693" w:rsidRDefault="00682693" w:rsidP="00682693">
      <w:pPr>
        <w:autoSpaceDE w:val="0"/>
        <w:autoSpaceDN w:val="0"/>
        <w:adjustRightInd w:val="0"/>
        <w:spacing w:after="0" w:line="240" w:lineRule="auto"/>
        <w:rPr>
          <w:rFonts w:cstheme="minorHAnsi"/>
          <w:bCs/>
          <w:color w:val="FF0000"/>
        </w:rPr>
      </w:pPr>
    </w:p>
    <w:p w14:paraId="7B1A789D" w14:textId="1FA26371" w:rsidR="00682693" w:rsidRDefault="00682693" w:rsidP="00682693">
      <w:pPr>
        <w:pStyle w:val="xmsonormal"/>
        <w:rPr>
          <w:rFonts w:eastAsia="Times New Roman"/>
          <w:color w:val="FF0000"/>
        </w:rPr>
      </w:pPr>
      <w:r>
        <w:rPr>
          <w:rFonts w:eastAsia="Times New Roman"/>
          <w:color w:val="FF0000"/>
        </w:rPr>
        <w:t>NHPCO conducted an analysis of potential risk factors at the facility level. Scores used in this analysis combined data from 2012 and 2013. Because the distribution of scores showed departures from normality, nonparametric statistical tests were used (Kruskal-Wallis, Wilcoxon).</w:t>
      </w:r>
    </w:p>
    <w:p w14:paraId="33CDA67D" w14:textId="77777777" w:rsidR="00682693" w:rsidRDefault="00682693" w:rsidP="00682693">
      <w:pPr>
        <w:pStyle w:val="xmsonormal"/>
        <w:rPr>
          <w:rFonts w:eastAsia="Times New Roman"/>
          <w:color w:val="FF0000"/>
        </w:rPr>
      </w:pPr>
    </w:p>
    <w:p w14:paraId="41922BAD" w14:textId="77777777" w:rsidR="00682693" w:rsidRDefault="00682693" w:rsidP="00682693">
      <w:pPr>
        <w:pStyle w:val="xmsonormal"/>
        <w:rPr>
          <w:rFonts w:eastAsia="Times New Roman"/>
          <w:color w:val="FF0000"/>
        </w:rPr>
      </w:pPr>
      <w:r>
        <w:rPr>
          <w:rFonts w:eastAsia="Times New Roman"/>
          <w:color w:val="FF0000"/>
        </w:rPr>
        <w:t>Factors examined included: geographic location; service area; ownership; race and ethnicity; patient age; patient gender; patient principle diagnosis; and referral source. None of these factors demonstrated an association with the measure scores and no trend was seen between facilities with different proportions of patients in any of the risk factor categories.</w:t>
      </w:r>
    </w:p>
    <w:p w14:paraId="2EFBB436" w14:textId="77777777" w:rsidR="00682693" w:rsidRDefault="00682693" w:rsidP="00682693">
      <w:pPr>
        <w:autoSpaceDE w:val="0"/>
        <w:autoSpaceDN w:val="0"/>
        <w:adjustRightInd w:val="0"/>
        <w:spacing w:after="0" w:line="240" w:lineRule="auto"/>
        <w:rPr>
          <w:rFonts w:cstheme="minorHAnsi"/>
          <w:bCs/>
          <w:color w:val="FF0000"/>
        </w:rPr>
      </w:pPr>
    </w:p>
    <w:p w14:paraId="0EAEA05F" w14:textId="77777777" w:rsidR="0093341D" w:rsidRDefault="0093341D" w:rsidP="00E37E1B">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B789C73"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93341D">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0054C08" w14:textId="77777777" w:rsidR="0093341D" w:rsidRDefault="0093341D" w:rsidP="0093341D">
      <w:pPr>
        <w:rPr>
          <w:rFonts w:ascii="Arial Narrow" w:hAnsi="Arial Narrow" w:cs="Arial"/>
        </w:rPr>
      </w:pPr>
      <w:r>
        <w:rPr>
          <w:rFonts w:ascii="Arial Narrow" w:hAnsi="Arial Narrow" w:cs="Arial"/>
        </w:rPr>
        <w:t>Intraclass correlation was used for reliability testing for the measure. To provide evidence of measure reliability we must show that, all things being equal, hospices will reliably submit the same data over multiple quarters.  Put another way, given that the proportion of patients whose pain is brought to a comfortable level within 48 hours of admission does not significantly change between quarters, the reported proportion will also remain the same.</w:t>
      </w:r>
    </w:p>
    <w:p w14:paraId="664271D2" w14:textId="77777777" w:rsidR="0093341D" w:rsidRDefault="0093341D" w:rsidP="0093341D">
      <w:pPr>
        <w:rPr>
          <w:rFonts w:ascii="Arial Narrow" w:hAnsi="Arial Narrow" w:cs="Arial"/>
        </w:rPr>
      </w:pPr>
      <w:r>
        <w:rPr>
          <w:rFonts w:ascii="Arial Narrow" w:hAnsi="Arial Narrow" w:cs="Arial"/>
        </w:rPr>
        <w:t xml:space="preserve">To test this hypothesis, agency-level results were calculated from the sample hospice for the percent of hospice patients reporting being uncomfortable due to pain on admission, and the percent of patients who report having their pain brought to a comfortable level within 48 hours after admission.  Univariate analysis was performed to provide the overall distribution of results for both variables results. To examine the similarity of data submitted in each quarter, an analysis of variance was performed to determine if significant differences existed in between the quarterly means for both agency level results.   Next, an analysis of variance was performed to examine the differences in mean scores between and among hospices over the two years.   Finally, intra-class correlations coefficients (ICC) were calculated to examine the measurements reliability over the sample years.  Statistical significance was set at P &lt; 0.05.  All analysis completed utilizing SAS version 9.2. </w:t>
      </w:r>
    </w:p>
    <w:p w14:paraId="1E1577DC" w14:textId="77777777" w:rsidR="0093341D" w:rsidRDefault="0093341D" w:rsidP="0093341D">
      <w:pPr>
        <w:rPr>
          <w:rFonts w:ascii="Arial Narrow" w:hAnsi="Arial Narrow" w:cs="Arial"/>
        </w:rPr>
      </w:pPr>
      <w:r>
        <w:rPr>
          <w:rFonts w:ascii="Arial Narrow" w:hAnsi="Arial Narrow" w:cs="Arial"/>
        </w:rPr>
        <w:t xml:space="preserve">NOTE: Test-retest is a frequently used method for reliability testing with single item measures and has been used with pain measures.  However, the Comfortable Dying Measure assesses a characteristic that can </w:t>
      </w:r>
      <w:proofErr w:type="spellStart"/>
      <w:r>
        <w:rPr>
          <w:rFonts w:ascii="Arial Narrow" w:hAnsi="Arial Narrow" w:cs="Arial"/>
        </w:rPr>
        <w:t>inherhently</w:t>
      </w:r>
      <w:proofErr w:type="spellEnd"/>
      <w:r>
        <w:rPr>
          <w:rFonts w:ascii="Arial Narrow" w:hAnsi="Arial Narrow" w:cs="Arial"/>
        </w:rPr>
        <w:t xml:space="preserve"> be expected to change rapidly (interventions to achieve better pain control can be and often are </w:t>
      </w:r>
      <w:proofErr w:type="spellStart"/>
      <w:r>
        <w:rPr>
          <w:rFonts w:ascii="Arial Narrow" w:hAnsi="Arial Narrow" w:cs="Arial"/>
        </w:rPr>
        <w:t>institituted</w:t>
      </w:r>
      <w:proofErr w:type="spellEnd"/>
      <w:r>
        <w:rPr>
          <w:rFonts w:ascii="Arial Narrow" w:hAnsi="Arial Narrow" w:cs="Arial"/>
        </w:rPr>
        <w:t xml:space="preserve"> at the time of assessment) making test-retest an inappropriate choice for reliability testing for this measure. </w:t>
      </w:r>
    </w:p>
    <w:p w14:paraId="38A3E9D8" w14:textId="6EBDD86A" w:rsidR="0093341D" w:rsidRDefault="0093341D" w:rsidP="0093341D">
      <w:pPr>
        <w:autoSpaceDE w:val="0"/>
        <w:autoSpaceDN w:val="0"/>
        <w:adjustRightInd w:val="0"/>
        <w:spacing w:after="0" w:line="240" w:lineRule="auto"/>
        <w:rPr>
          <w:rFonts w:cstheme="minorHAnsi"/>
          <w:bCs/>
          <w:color w:val="FF0000"/>
        </w:rPr>
      </w:pPr>
      <w:r>
        <w:rPr>
          <w:rFonts w:cstheme="minorHAnsi"/>
          <w:bCs/>
          <w:color w:val="FF0000"/>
        </w:rPr>
        <w:t xml:space="preserve">Analysis considered the consequences of random differences between patients by modeling changes within one facility as a binomial distribution.  Tests for changes used Fisher exact or other exact statistical tests for change in proportions. </w:t>
      </w:r>
    </w:p>
    <w:p w14:paraId="04244822" w14:textId="7EEFE9EF" w:rsidR="00682693" w:rsidRDefault="00682693" w:rsidP="0093341D">
      <w:pPr>
        <w:autoSpaceDE w:val="0"/>
        <w:autoSpaceDN w:val="0"/>
        <w:adjustRightInd w:val="0"/>
        <w:spacing w:after="0" w:line="240" w:lineRule="auto"/>
        <w:rPr>
          <w:rFonts w:cstheme="minorHAnsi"/>
          <w:bCs/>
          <w:color w:val="FF0000"/>
        </w:rPr>
      </w:pPr>
    </w:p>
    <w:p w14:paraId="5A1BE8E8" w14:textId="77777777" w:rsidR="00682693" w:rsidRPr="00682693" w:rsidRDefault="00682693" w:rsidP="00682693">
      <w:pPr>
        <w:autoSpaceDE w:val="0"/>
        <w:autoSpaceDN w:val="0"/>
        <w:adjustRightInd w:val="0"/>
        <w:spacing w:after="0" w:line="240" w:lineRule="auto"/>
        <w:rPr>
          <w:rFonts w:cstheme="minorHAnsi"/>
          <w:bCs/>
          <w:color w:val="FF0000"/>
        </w:rPr>
      </w:pPr>
      <w:r w:rsidRPr="00682693">
        <w:rPr>
          <w:rFonts w:cstheme="minorHAnsi"/>
          <w:bCs/>
          <w:color w:val="FF0000"/>
        </w:rPr>
        <w:t>Instrument Level:</w:t>
      </w:r>
    </w:p>
    <w:p w14:paraId="7BC303B7" w14:textId="77777777" w:rsidR="00682693" w:rsidRPr="00682693" w:rsidRDefault="00682693" w:rsidP="00682693">
      <w:pPr>
        <w:rPr>
          <w:color w:val="FF0000"/>
        </w:rPr>
      </w:pPr>
      <w:r w:rsidRPr="00682693">
        <w:rPr>
          <w:color w:val="FF0000"/>
        </w:rPr>
        <w:t>To provide evidence of measure reliability we must show that, all things being equal, hospices will reliably submit the same data over time.  Put another way, given that the proportion of patients whose pain is brought to a comfortable level within 48 hours of admission does not significantly change between quarters, the reported proportion will also remain the same.</w:t>
      </w:r>
    </w:p>
    <w:p w14:paraId="037271DB" w14:textId="77777777" w:rsidR="00682693" w:rsidRPr="00682693" w:rsidRDefault="00682693" w:rsidP="00682693">
      <w:pPr>
        <w:rPr>
          <w:color w:val="FF0000"/>
        </w:rPr>
      </w:pPr>
      <w:r w:rsidRPr="00682693">
        <w:rPr>
          <w:color w:val="FF0000"/>
        </w:rPr>
        <w:lastRenderedPageBreak/>
        <w:t xml:space="preserve">To test this hypothesis, an analysis of variance was performed to determine if significant differences existed in between the quarterly means for the percent uncomfortable and the percent whose pain level was brought to a comfortable level at agency level results.  If no significant difference between quarters then we will conclude that the agencies are implementing the Comfortable Dying Measure consistently over time.  </w:t>
      </w:r>
    </w:p>
    <w:p w14:paraId="58868119" w14:textId="77777777" w:rsidR="00682693" w:rsidRPr="00682693" w:rsidRDefault="00682693" w:rsidP="00682693">
      <w:pPr>
        <w:autoSpaceDE w:val="0"/>
        <w:autoSpaceDN w:val="0"/>
        <w:adjustRightInd w:val="0"/>
        <w:spacing w:after="0" w:line="240" w:lineRule="auto"/>
        <w:rPr>
          <w:rFonts w:cs="Trebuchet MS"/>
          <w:color w:val="FF0000"/>
          <w:szCs w:val="16"/>
        </w:rPr>
      </w:pPr>
    </w:p>
    <w:p w14:paraId="3B13922B" w14:textId="77777777" w:rsidR="00682693" w:rsidRPr="00682693" w:rsidRDefault="00682693" w:rsidP="00682693">
      <w:pPr>
        <w:autoSpaceDE w:val="0"/>
        <w:autoSpaceDN w:val="0"/>
        <w:adjustRightInd w:val="0"/>
        <w:spacing w:after="0" w:line="240" w:lineRule="auto"/>
        <w:rPr>
          <w:rFonts w:cs="Trebuchet MS"/>
          <w:color w:val="FF0000"/>
          <w:szCs w:val="16"/>
        </w:rPr>
      </w:pPr>
      <w:r w:rsidRPr="00682693">
        <w:rPr>
          <w:rFonts w:cs="Trebuchet MS"/>
          <w:color w:val="FF0000"/>
          <w:szCs w:val="16"/>
        </w:rPr>
        <w:t>Measure Level:</w:t>
      </w:r>
    </w:p>
    <w:p w14:paraId="78DB5FA6" w14:textId="77777777" w:rsidR="00682693" w:rsidRPr="00682693" w:rsidRDefault="00682693" w:rsidP="00682693">
      <w:pPr>
        <w:autoSpaceDE w:val="0"/>
        <w:autoSpaceDN w:val="0"/>
        <w:adjustRightInd w:val="0"/>
        <w:spacing w:after="0" w:line="240" w:lineRule="auto"/>
        <w:rPr>
          <w:rFonts w:cstheme="minorHAnsi"/>
          <w:bCs/>
          <w:color w:val="FF0000"/>
          <w:sz w:val="32"/>
        </w:rPr>
      </w:pPr>
      <w:r w:rsidRPr="00682693">
        <w:rPr>
          <w:rFonts w:cs="Trebuchet MS"/>
          <w:color w:val="FF0000"/>
          <w:szCs w:val="16"/>
        </w:rPr>
        <w:t xml:space="preserve">To assess reliability of the computed performance measure on the hospice organization level, a signal to noise analysis was performed.  An analysis of variance (ANOVA) using a random effects model was performed with the percent whose pain was brought to a comfortable level as the dependent variable and the Facility ID as the class variable.  Taking the generated F-Value from the ANOVA, we then calculated the signal to noise ratio.  The signal to noise ratio is an estimate of the score variance that is due to true differences between hospice organizations (signal) to the amount of variance caused by random error (noise). This measure is also known as interunit reliability (IUR). </w:t>
      </w:r>
    </w:p>
    <w:p w14:paraId="12F14FF4" w14:textId="77777777" w:rsidR="00682693" w:rsidRPr="006F612C" w:rsidRDefault="00682693" w:rsidP="00682693">
      <w:pPr>
        <w:autoSpaceDE w:val="0"/>
        <w:autoSpaceDN w:val="0"/>
        <w:adjustRightInd w:val="0"/>
        <w:spacing w:after="0" w:line="240" w:lineRule="auto"/>
        <w:rPr>
          <w:rFonts w:cstheme="minorHAnsi"/>
          <w:bCs/>
        </w:rPr>
      </w:pPr>
    </w:p>
    <w:p w14:paraId="4A4CD08E" w14:textId="77777777" w:rsidR="00F07BB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6D933ED9" w14:textId="77777777" w:rsidR="00F07BBD" w:rsidRDefault="00F07BBD" w:rsidP="00F07BBD">
      <w:pPr>
        <w:rPr>
          <w:rFonts w:ascii="Arial Narrow" w:hAnsi="Arial Narrow" w:cs="Arial"/>
        </w:rPr>
      </w:pPr>
      <w:r>
        <w:rPr>
          <w:rFonts w:ascii="Arial Narrow" w:hAnsi="Arial Narrow" w:cs="Arial"/>
        </w:rPr>
        <w:t xml:space="preserve">The analysis of variance of quarterly mean percentages of patients who reported being uncomfortable due to pain on admission showed no significant difference of mean scores between quarters (F-value = 1.11; P = 0.355).  Variance of this measure demonstrated the expected significant difference between submitting hospices agencies (F-value = 7.48; P&lt;0.0001). The intra-class correlation coefficient for the difference of the between and within hospice variation was 0.76 (95% CI 0.70 – 0.81).  </w:t>
      </w:r>
    </w:p>
    <w:p w14:paraId="44DEF707" w14:textId="77777777" w:rsidR="00F07BBD" w:rsidRDefault="00F07BBD" w:rsidP="00F07BBD">
      <w:pPr>
        <w:rPr>
          <w:rFonts w:ascii="Arial Narrow" w:hAnsi="Arial Narrow" w:cs="Arial"/>
        </w:rPr>
      </w:pPr>
      <w:r>
        <w:rPr>
          <w:rFonts w:ascii="Arial Narrow" w:hAnsi="Arial Narrow" w:cs="Arial"/>
        </w:rPr>
        <w:t xml:space="preserve">The analysis of variance of quarterly mean percentages of patients who reported having their pain brought to a comfortable level within 48 hours of admission also showed no significant difference of mean scores between quarter (F-value = 1.7; P=0.991).  The Hospice level variance analysis of this measure showed significant differences between hospice agencies (F-value = 5.87; P&lt;0.001). The intra-class correlation coefficient for the between and within hospice 0.71 (95% CI 0.63 – 0.77). </w:t>
      </w:r>
    </w:p>
    <w:p w14:paraId="38B7AC79" w14:textId="77777777" w:rsidR="00F07BBD" w:rsidRDefault="00F07BBD" w:rsidP="00F07BBD">
      <w:pPr>
        <w:rPr>
          <w:rFonts w:ascii="Arial Narrow" w:hAnsi="Arial Narrow" w:cs="Arial"/>
        </w:rPr>
      </w:pPr>
      <w:r>
        <w:rPr>
          <w:rFonts w:ascii="Arial Narrow" w:hAnsi="Arial Narrow" w:cs="Arial"/>
        </w:rPr>
        <w:t xml:space="preserve">The analysis of the data showed that indeed, over two-years of quarterly data submissions, the percent of patients reporting being uncomfortable due to pain remained relatively constant.  Since the assumption of similarity between quarters was met it was then safe to examine the relative between and among variation in results for the same measure.  As expected, there were significant differences in the percent of hospice patients uncomfortable due to pain on admission reported by each hospice.  However, the ICC demonstrated good (over 75%) consistency of results within hospices from quarter to quarter.   </w:t>
      </w:r>
    </w:p>
    <w:p w14:paraId="79606B21" w14:textId="77777777" w:rsidR="00F07BBD" w:rsidRDefault="00F07BBD" w:rsidP="00F07BBD">
      <w:pPr>
        <w:rPr>
          <w:rFonts w:ascii="Arial Narrow" w:hAnsi="Arial Narrow" w:cs="Arial"/>
        </w:rPr>
      </w:pPr>
      <w:r>
        <w:rPr>
          <w:rFonts w:ascii="Arial Narrow" w:hAnsi="Arial Narrow" w:cs="Arial"/>
        </w:rPr>
        <w:t xml:space="preserve">Similarly, these results show that the percent of patients whose pain was brought to a comfortable level within 48 hours of admission, remained non-significantly differently.  In fact, the results show that there was nearly no difference from quarter to quarter the results for this measure.  The ICC for this measure also demonstrated good consistency (approximately 71%) of results within hospices from quarter to quarter.  This slightly smaller ICC for measure (when compared to the percent uncomfortable due to pain on admission ICC) is not necessarily an indication of reduced reliability.  Increased within hospice variation would be expected as hospices make process changes to increase their score for this measure.  </w:t>
      </w:r>
      <w:proofErr w:type="gramStart"/>
      <w:r>
        <w:rPr>
          <w:rFonts w:ascii="Arial Narrow" w:hAnsi="Arial Narrow" w:cs="Arial"/>
        </w:rPr>
        <w:t>Indeed</w:t>
      </w:r>
      <w:proofErr w:type="gramEnd"/>
      <w:r>
        <w:rPr>
          <w:rFonts w:ascii="Arial Narrow" w:hAnsi="Arial Narrow" w:cs="Arial"/>
        </w:rPr>
        <w:t xml:space="preserve"> this expectation is observed in the variance of hospice </w:t>
      </w:r>
      <w:r>
        <w:rPr>
          <w:rFonts w:ascii="Arial Narrow" w:hAnsi="Arial Narrow" w:cs="Arial"/>
        </w:rPr>
        <w:lastRenderedPageBreak/>
        <w:t xml:space="preserve">scores for percent of patients uncomfortable due to pain on admission compared to those whose pain was brought to a comfortable level within 48 hours (F-values = 7.48 and 5.87 respectively). </w:t>
      </w:r>
    </w:p>
    <w:p w14:paraId="02FAD4A4" w14:textId="77777777" w:rsidR="00F07BBD" w:rsidRDefault="00F07BBD" w:rsidP="00F07BBD">
      <w:pPr>
        <w:rPr>
          <w:rFonts w:ascii="Arial Narrow" w:hAnsi="Arial Narrow" w:cs="Arial"/>
        </w:rPr>
      </w:pPr>
      <w:r>
        <w:rPr>
          <w:rFonts w:ascii="Arial Narrow" w:hAnsi="Arial Narrow" w:cs="Arial"/>
        </w:rPr>
        <w:t xml:space="preserve">It is likely that both ICC scores are conservative estimates of the true reliability of the measure.  Even though there was little quarterly change in the percent of patients uncomfortable due to pain on admission (and likewise having their pain brought to a comfortable level), common sense dictates that real differences </w:t>
      </w:r>
      <w:proofErr w:type="gramStart"/>
      <w:r>
        <w:rPr>
          <w:rFonts w:ascii="Arial Narrow" w:hAnsi="Arial Narrow" w:cs="Arial"/>
        </w:rPr>
        <w:t>actually occurred</w:t>
      </w:r>
      <w:proofErr w:type="gramEnd"/>
      <w:r>
        <w:rPr>
          <w:rFonts w:ascii="Arial Narrow" w:hAnsi="Arial Narrow" w:cs="Arial"/>
        </w:rPr>
        <w:t xml:space="preserve"> at the hospice level.  Since we know that the assumption of consistency of the base data can’t be exactly true, we know that the true ICC’s for these measures must be higher than what was observed.</w:t>
      </w:r>
    </w:p>
    <w:p w14:paraId="6BBC5099" w14:textId="77777777" w:rsidR="00F07BBD" w:rsidRDefault="00F07BBD" w:rsidP="00F07BBD">
      <w:pPr>
        <w:autoSpaceDE w:val="0"/>
        <w:autoSpaceDN w:val="0"/>
        <w:adjustRightInd w:val="0"/>
        <w:rPr>
          <w:rFonts w:cstheme="minorHAnsi"/>
          <w:iCs/>
        </w:rPr>
      </w:pPr>
      <w:r>
        <w:rPr>
          <w:rFonts w:ascii="Arial Narrow" w:hAnsi="Arial Narrow" w:cs="Arial"/>
        </w:rPr>
        <w:t>In conclusion, this analysis provides statistical evidence that the NHPCO Comfortable Dying measure has good reliability.</w:t>
      </w:r>
    </w:p>
    <w:p w14:paraId="326CE031" w14:textId="77777777" w:rsidR="00F07BBD" w:rsidRDefault="00F07BBD" w:rsidP="00F07BBD">
      <w:pPr>
        <w:autoSpaceDE w:val="0"/>
        <w:autoSpaceDN w:val="0"/>
        <w:adjustRightInd w:val="0"/>
        <w:rPr>
          <w:rFonts w:cstheme="minorHAnsi"/>
          <w:iCs/>
          <w:color w:val="FF0000"/>
        </w:rPr>
      </w:pPr>
      <w:r>
        <w:rPr>
          <w:rFonts w:cstheme="minorHAnsi"/>
          <w:iCs/>
          <w:color w:val="FF0000"/>
        </w:rPr>
        <w:t>This measure is concerned with newly admitted patients.  It cannot be repeated on the same population of patients, because each patient had only one initial period of 48 hours after hospice admission.   There are also some very real constraints about how many times a patient can be asked whether comfort was attained in the first 48 hours.  If the patient reports that comfort was not attained, the clinician may react by immediately increasing the dose of analgesics.  The patient's subjective recollection of pain at 48 hours could change as a result.</w:t>
      </w:r>
    </w:p>
    <w:p w14:paraId="15E183DB" w14:textId="77777777" w:rsidR="00F07BBD" w:rsidRDefault="00F07BBD" w:rsidP="00F07BBD">
      <w:pPr>
        <w:autoSpaceDE w:val="0"/>
        <w:autoSpaceDN w:val="0"/>
        <w:adjustRightInd w:val="0"/>
        <w:rPr>
          <w:rFonts w:cstheme="minorHAnsi"/>
          <w:iCs/>
          <w:color w:val="FF0000"/>
        </w:rPr>
      </w:pPr>
      <w:r>
        <w:rPr>
          <w:rFonts w:cstheme="minorHAnsi"/>
          <w:iCs/>
          <w:color w:val="FF0000"/>
        </w:rPr>
        <w:t>Reliability of this measure may, however, be considered by two other avenues. Basic probability theory considerations give a guideline for how precise and repeatable the measure can be during random variations in the characteristics of individual patients admitted.  Additionally, experience with real data gives an impression about whether the measure tends to stay constant between successive time periods.</w:t>
      </w:r>
    </w:p>
    <w:p w14:paraId="078C2A0D" w14:textId="77777777" w:rsidR="00F07BBD" w:rsidRDefault="00F07BBD" w:rsidP="00F07BBD">
      <w:pPr>
        <w:autoSpaceDE w:val="0"/>
        <w:autoSpaceDN w:val="0"/>
        <w:adjustRightInd w:val="0"/>
        <w:rPr>
          <w:rFonts w:cstheme="minorHAnsi"/>
          <w:iCs/>
          <w:color w:val="FF0000"/>
        </w:rPr>
      </w:pPr>
      <w:r>
        <w:rPr>
          <w:rFonts w:cstheme="minorHAnsi"/>
          <w:iCs/>
          <w:color w:val="FF0000"/>
        </w:rPr>
        <w:t xml:space="preserve">Variations between individual patients will cause the numerator of this measure to fluctuate in accordance with the usual binomial distribution, even if a hospice keeps a completely constant pain management strategy and continues to admit patients with the same average characteristics.  The measure itself, numerator/denominator, will show less random variability as the denominator increases.  </w:t>
      </w:r>
    </w:p>
    <w:p w14:paraId="2735DEC2" w14:textId="77777777" w:rsidR="00F07BBD" w:rsidRDefault="00F07BBD" w:rsidP="00F07BBD">
      <w:pPr>
        <w:autoSpaceDE w:val="0"/>
        <w:autoSpaceDN w:val="0"/>
        <w:adjustRightInd w:val="0"/>
        <w:rPr>
          <w:rFonts w:cstheme="minorHAnsi"/>
          <w:iCs/>
          <w:color w:val="FF0000"/>
        </w:rPr>
      </w:pPr>
      <w:r>
        <w:rPr>
          <w:rFonts w:cstheme="minorHAnsi"/>
          <w:iCs/>
          <w:color w:val="FF0000"/>
        </w:rPr>
        <w:t>We consider here the behavior of this measure when the denominator is at least 50.</w:t>
      </w:r>
    </w:p>
    <w:p w14:paraId="58AF8E7E" w14:textId="77777777" w:rsidR="00F07BBD" w:rsidRDefault="00F07BBD" w:rsidP="00F07BBD">
      <w:pPr>
        <w:autoSpaceDE w:val="0"/>
        <w:autoSpaceDN w:val="0"/>
        <w:adjustRightInd w:val="0"/>
        <w:rPr>
          <w:rFonts w:cstheme="minorHAnsi"/>
          <w:iCs/>
          <w:color w:val="FF0000"/>
        </w:rPr>
      </w:pPr>
      <w:r>
        <w:rPr>
          <w:rFonts w:cstheme="minorHAnsi"/>
          <w:iCs/>
          <w:color w:val="FF0000"/>
        </w:rPr>
        <w:t>In a 2013 nationwide survey involving over 16,000 patients who qualified for the denominator, we found 58% of those patients qualified for the numerator.  A guideline for the random variability of the measure is provided by supposing that a hospice had admitted 50 patients, chosen at random from all the patients in the nationwide denominator, and that the measure was computed with the outcomes that occurred in the national sample.  Such a hospice would have an average comfortable dying measure of 58%.  It would have an 80% chance of being assigned a measure between 48% and 68%, and a less than 1% chance of being assigned a measure less than 38% or greater than 78%.</w:t>
      </w:r>
    </w:p>
    <w:p w14:paraId="61FA65B1" w14:textId="3CC96EAB" w:rsidR="00F07BBD" w:rsidRDefault="00F07BBD" w:rsidP="00F07BBD">
      <w:pPr>
        <w:autoSpaceDE w:val="0"/>
        <w:autoSpaceDN w:val="0"/>
        <w:adjustRightInd w:val="0"/>
        <w:rPr>
          <w:rFonts w:cstheme="minorHAnsi"/>
          <w:iCs/>
          <w:color w:val="FF0000"/>
        </w:rPr>
      </w:pPr>
      <w:r>
        <w:rPr>
          <w:rFonts w:cstheme="minorHAnsi"/>
          <w:iCs/>
          <w:color w:val="FF0000"/>
        </w:rPr>
        <w:t xml:space="preserve">A survey covering both 2013 and 2014 gives some experience about the variability of the measure between successive time periods.  Data was considered from 22 hospices whose denominators exceeded 50 in both of those years.  Only 32% of those hospices had a measure that changed by more than 15 percentage points from 2013 to 2014, and only three of those hospices had a measure that changed by more than 20 percentage points.    Changes were somewhat larger than those expected by </w:t>
      </w:r>
      <w:r>
        <w:rPr>
          <w:rFonts w:cstheme="minorHAnsi"/>
          <w:iCs/>
          <w:color w:val="FF0000"/>
        </w:rPr>
        <w:lastRenderedPageBreak/>
        <w:t>pure random variation, but still consistent with good reliability for the measure.  We expect more change than random variation in some subset of the hospices.  Some hospices may be changing their strategy for pain management or may be taking referrals from different sources.</w:t>
      </w:r>
    </w:p>
    <w:p w14:paraId="624B140C" w14:textId="77777777" w:rsidR="00682693" w:rsidRPr="00682693" w:rsidRDefault="00682693" w:rsidP="00682693">
      <w:pPr>
        <w:autoSpaceDE w:val="0"/>
        <w:autoSpaceDN w:val="0"/>
        <w:adjustRightInd w:val="0"/>
        <w:spacing w:after="0" w:line="240" w:lineRule="auto"/>
        <w:rPr>
          <w:rFonts w:cstheme="minorHAnsi"/>
          <w:bCs/>
          <w:color w:val="FF0000"/>
        </w:rPr>
      </w:pPr>
      <w:r w:rsidRPr="00682693">
        <w:rPr>
          <w:rFonts w:cstheme="minorHAnsi"/>
          <w:bCs/>
          <w:color w:val="FF0000"/>
        </w:rPr>
        <w:t>Instrument Level :</w:t>
      </w:r>
    </w:p>
    <w:p w14:paraId="754D04DF" w14:textId="77777777" w:rsidR="00682693" w:rsidRPr="00682693" w:rsidRDefault="00682693" w:rsidP="00682693">
      <w:pPr>
        <w:autoSpaceDE w:val="0"/>
        <w:autoSpaceDN w:val="0"/>
        <w:adjustRightInd w:val="0"/>
        <w:spacing w:after="0" w:line="240" w:lineRule="auto"/>
        <w:rPr>
          <w:rFonts w:cs="Trebuchet MS"/>
          <w:color w:val="FF0000"/>
          <w:szCs w:val="16"/>
        </w:rPr>
      </w:pPr>
      <w:r w:rsidRPr="00682693">
        <w:rPr>
          <w:rFonts w:cs="Trebuchet MS"/>
          <w:color w:val="FF0000"/>
          <w:szCs w:val="16"/>
        </w:rPr>
        <w:t>Percent uncomfortable due to pain: F=0.42 p=0.5115</w:t>
      </w:r>
    </w:p>
    <w:p w14:paraId="26C0CA29" w14:textId="77777777" w:rsidR="00682693" w:rsidRPr="00682693" w:rsidRDefault="00682693" w:rsidP="00682693">
      <w:pPr>
        <w:autoSpaceDE w:val="0"/>
        <w:autoSpaceDN w:val="0"/>
        <w:adjustRightInd w:val="0"/>
        <w:spacing w:after="0" w:line="240" w:lineRule="auto"/>
        <w:rPr>
          <w:rFonts w:cs="Trebuchet MS"/>
          <w:color w:val="FF0000"/>
          <w:szCs w:val="16"/>
        </w:rPr>
      </w:pPr>
      <w:r w:rsidRPr="00682693">
        <w:rPr>
          <w:rFonts w:cs="Trebuchet MS"/>
          <w:color w:val="FF0000"/>
          <w:szCs w:val="16"/>
        </w:rPr>
        <w:t>Percent whose pain was brought to a comfortable level: F=0.77 p=0.3814</w:t>
      </w:r>
    </w:p>
    <w:p w14:paraId="4D185724" w14:textId="77777777" w:rsidR="00682693" w:rsidRPr="00682693" w:rsidRDefault="00682693" w:rsidP="00682693">
      <w:pPr>
        <w:autoSpaceDE w:val="0"/>
        <w:autoSpaceDN w:val="0"/>
        <w:adjustRightInd w:val="0"/>
        <w:spacing w:after="0" w:line="240" w:lineRule="auto"/>
        <w:rPr>
          <w:rFonts w:cs="Trebuchet MS"/>
          <w:color w:val="FF0000"/>
          <w:szCs w:val="16"/>
        </w:rPr>
      </w:pPr>
    </w:p>
    <w:p w14:paraId="39D3EE86" w14:textId="77777777" w:rsidR="00682693" w:rsidRPr="00682693" w:rsidRDefault="00682693" w:rsidP="00682693">
      <w:pPr>
        <w:autoSpaceDE w:val="0"/>
        <w:autoSpaceDN w:val="0"/>
        <w:adjustRightInd w:val="0"/>
        <w:spacing w:after="0" w:line="240" w:lineRule="auto"/>
        <w:rPr>
          <w:rFonts w:cs="Trebuchet MS"/>
          <w:color w:val="FF0000"/>
          <w:szCs w:val="16"/>
        </w:rPr>
      </w:pPr>
      <w:r w:rsidRPr="00682693">
        <w:rPr>
          <w:rFonts w:cs="Trebuchet MS"/>
          <w:color w:val="FF0000"/>
          <w:szCs w:val="16"/>
        </w:rPr>
        <w:t>Measure Level (Organization Level):</w:t>
      </w:r>
    </w:p>
    <w:p w14:paraId="12725A7B" w14:textId="77777777" w:rsidR="00682693" w:rsidRPr="00682693" w:rsidRDefault="00682693" w:rsidP="00682693">
      <w:pPr>
        <w:autoSpaceDE w:val="0"/>
        <w:autoSpaceDN w:val="0"/>
        <w:adjustRightInd w:val="0"/>
        <w:spacing w:after="0" w:line="240" w:lineRule="auto"/>
        <w:rPr>
          <w:rFonts w:cstheme="minorHAnsi"/>
          <w:bCs/>
          <w:color w:val="FF0000"/>
          <w:sz w:val="32"/>
        </w:rPr>
      </w:pPr>
      <w:r w:rsidRPr="00682693">
        <w:rPr>
          <w:rFonts w:cs="Trebuchet MS"/>
          <w:color w:val="FF0000"/>
          <w:szCs w:val="16"/>
        </w:rPr>
        <w:t xml:space="preserve">F-value = 4.04  (p &lt;0.001): IUR =0.75 </w:t>
      </w:r>
    </w:p>
    <w:p w14:paraId="7A6726DE" w14:textId="77777777" w:rsidR="00682693" w:rsidRDefault="00682693" w:rsidP="00F07BBD">
      <w:pPr>
        <w:autoSpaceDE w:val="0"/>
        <w:autoSpaceDN w:val="0"/>
        <w:adjustRightInd w:val="0"/>
        <w:rPr>
          <w:rFonts w:cstheme="minorHAnsi"/>
          <w:iCs/>
          <w:color w:val="FF0000"/>
        </w:rPr>
      </w:pPr>
    </w:p>
    <w:p w14:paraId="2FB33148" w14:textId="77777777" w:rsidR="00682693" w:rsidRDefault="00092566" w:rsidP="00F07BBD">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08767079" w14:textId="77777777" w:rsidR="00682693" w:rsidRPr="00682693" w:rsidRDefault="00682693" w:rsidP="00682693">
      <w:pPr>
        <w:autoSpaceDE w:val="0"/>
        <w:autoSpaceDN w:val="0"/>
        <w:adjustRightInd w:val="0"/>
        <w:spacing w:after="0" w:line="240" w:lineRule="auto"/>
        <w:rPr>
          <w:rFonts w:cstheme="minorHAnsi"/>
          <w:bCs/>
          <w:color w:val="FF0000"/>
        </w:rPr>
      </w:pPr>
      <w:r w:rsidRPr="00682693">
        <w:rPr>
          <w:rFonts w:cstheme="minorHAnsi"/>
          <w:bCs/>
          <w:color w:val="FF0000"/>
        </w:rPr>
        <w:t>Instrument Level:</w:t>
      </w:r>
    </w:p>
    <w:p w14:paraId="42C59937" w14:textId="77777777" w:rsidR="00682693" w:rsidRPr="00682693" w:rsidRDefault="00682693" w:rsidP="00682693">
      <w:pPr>
        <w:autoSpaceDE w:val="0"/>
        <w:autoSpaceDN w:val="0"/>
        <w:adjustRightInd w:val="0"/>
        <w:spacing w:after="0" w:line="240" w:lineRule="auto"/>
        <w:rPr>
          <w:rFonts w:cstheme="minorHAnsi"/>
          <w:bCs/>
          <w:color w:val="FF0000"/>
        </w:rPr>
      </w:pPr>
      <w:r w:rsidRPr="00682693">
        <w:rPr>
          <w:rFonts w:cstheme="minorHAnsi"/>
          <w:bCs/>
          <w:color w:val="FF0000"/>
        </w:rPr>
        <w:t>The analysis of variance p-values for both the percent of patients being reported as uncomfortable due to pain and the percent of those who had their pain brought to a comfortable level within 48 hours were less than 0.05.  The values indicate that no significant difference between location level scores across quarters.  Assuming that there were no significant differences in patient populations between quarters, we would thus conclude that the measure was being implemented consistently at the location level.</w:t>
      </w:r>
    </w:p>
    <w:p w14:paraId="3193A2DB" w14:textId="77777777" w:rsidR="00682693" w:rsidRPr="00682693" w:rsidRDefault="00682693" w:rsidP="00682693">
      <w:pPr>
        <w:autoSpaceDE w:val="0"/>
        <w:autoSpaceDN w:val="0"/>
        <w:adjustRightInd w:val="0"/>
        <w:spacing w:after="0" w:line="240" w:lineRule="auto"/>
        <w:rPr>
          <w:rFonts w:cstheme="minorHAnsi"/>
          <w:bCs/>
          <w:color w:val="FF0000"/>
        </w:rPr>
      </w:pPr>
    </w:p>
    <w:p w14:paraId="07DB772A" w14:textId="77777777" w:rsidR="00682693" w:rsidRPr="00682693" w:rsidRDefault="00682693" w:rsidP="00682693">
      <w:pPr>
        <w:autoSpaceDE w:val="0"/>
        <w:autoSpaceDN w:val="0"/>
        <w:adjustRightInd w:val="0"/>
        <w:spacing w:after="0" w:line="240" w:lineRule="auto"/>
        <w:rPr>
          <w:rFonts w:cstheme="minorHAnsi"/>
          <w:bCs/>
          <w:color w:val="FF0000"/>
        </w:rPr>
      </w:pPr>
      <w:r w:rsidRPr="00682693">
        <w:rPr>
          <w:rFonts w:cstheme="minorHAnsi"/>
          <w:bCs/>
          <w:color w:val="FF0000"/>
        </w:rPr>
        <w:t>Measure Level (Organization Level):</w:t>
      </w:r>
    </w:p>
    <w:p w14:paraId="0977444D" w14:textId="77777777" w:rsidR="00682693" w:rsidRPr="00682693" w:rsidRDefault="00682693" w:rsidP="00682693">
      <w:pPr>
        <w:autoSpaceDE w:val="0"/>
        <w:autoSpaceDN w:val="0"/>
        <w:adjustRightInd w:val="0"/>
        <w:spacing w:after="0" w:line="240" w:lineRule="auto"/>
        <w:rPr>
          <w:rFonts w:cstheme="minorHAnsi"/>
          <w:bCs/>
          <w:color w:val="FF0000"/>
        </w:rPr>
      </w:pPr>
      <w:r w:rsidRPr="00682693">
        <w:rPr>
          <w:rFonts w:cstheme="minorHAnsi"/>
          <w:bCs/>
          <w:color w:val="FF0000"/>
        </w:rPr>
        <w:t xml:space="preserve">The analysis of variance showed a statistically significant difference of the organization score values (F = 4.04; p&lt;0.001).  The IUR of 0.75 indicates that the vast majority of variance across provider scores is due to true differences being measured.  As such, we can conclude that the computed performance measure is very reliable.  </w:t>
      </w:r>
    </w:p>
    <w:p w14:paraId="3420D44B" w14:textId="5CB53B5C" w:rsidR="00F07BBD" w:rsidRDefault="007422FD" w:rsidP="00F07BBD">
      <w:pPr>
        <w:autoSpaceDE w:val="0"/>
        <w:autoSpaceDN w:val="0"/>
        <w:adjustRightInd w:val="0"/>
        <w:spacing w:after="0" w:line="240" w:lineRule="auto"/>
        <w:rPr>
          <w:rFonts w:cstheme="minorHAnsi"/>
          <w:bCs/>
          <w:color w:val="000099"/>
        </w:rPr>
      </w:pPr>
      <w:r w:rsidRPr="00A25024">
        <w:rPr>
          <w:rFonts w:cstheme="minorHAnsi"/>
          <w:bCs/>
        </w:rPr>
        <w:br/>
      </w:r>
      <w:r w:rsidR="00F07BBD">
        <w:rPr>
          <w:rFonts w:cstheme="minorHAnsi"/>
          <w:bCs/>
          <w:color w:val="FF0000"/>
        </w:rPr>
        <w:t>Results are consistent with good reliability for the test when the denominator exceeds 50.</w:t>
      </w:r>
    </w:p>
    <w:p w14:paraId="0CABCFD4" w14:textId="6A7D0BB9" w:rsidR="007422FD" w:rsidRPr="00A25024" w:rsidRDefault="007422FD"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1550CF04"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Content>
          <w:r w:rsidR="00F07BB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3B0B417E" w:rsidR="00696262" w:rsidRPr="00A25024" w:rsidRDefault="00BA1C58"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68269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541F6DBE" w:rsidR="000574AB" w:rsidRPr="00A25024" w:rsidRDefault="00BA1C58"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68269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50A3268E" w14:textId="77777777" w:rsidR="00F07BBD" w:rsidRDefault="009C7513" w:rsidP="00F07BBD">
      <w:pPr>
        <w:rPr>
          <w:rFonts w:ascii="Arial Narrow" w:hAnsi="Arial Narrow" w:cs="Arial"/>
          <w:b/>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F07BBD">
        <w:rPr>
          <w:rFonts w:ascii="Arial Narrow" w:hAnsi="Arial Narrow" w:cs="Arial"/>
        </w:rPr>
        <w:t>Initial testing of measure performed with 686 patients in 9 hospices.  Of those, 212 (31%) indicated that they were uncomfortable because of pain at the initial assessment on admission to hospice services.</w:t>
      </w:r>
      <w:r w:rsidR="00F07BBD">
        <w:rPr>
          <w:rFonts w:cstheme="minorHAnsi"/>
          <w:bCs/>
        </w:rPr>
        <w:br/>
      </w:r>
      <w:r w:rsidR="00F07BBD">
        <w:rPr>
          <w:rFonts w:ascii="Arial Narrow" w:hAnsi="Arial Narrow" w:cs="Arial"/>
        </w:rPr>
        <w:t xml:space="preserve">Criterion (concurrent) validity was tested by using two different wordings for the follow up question related to whether </w:t>
      </w:r>
      <w:r w:rsidR="00F07BBD">
        <w:rPr>
          <w:rFonts w:ascii="Arial Narrow" w:hAnsi="Arial Narrow" w:cs="Arial"/>
        </w:rPr>
        <w:lastRenderedPageBreak/>
        <w:t xml:space="preserve">pain was managed. Patients first were asked if their pain was brought to a comfortable level within 48 hours and then they were asked if their pain was brought to an acceptable level within 48 hours.  These two forms of the follow-up question were judged by the expert panel for the Comfortable Dying Measure to be equivalent in that they equally reflected patient preference and level of effectiveness achieved for pain management. </w:t>
      </w:r>
    </w:p>
    <w:p w14:paraId="1E0AEFE0" w14:textId="2D4CE1B5" w:rsidR="00F07BBD" w:rsidRDefault="00F07BBD" w:rsidP="00F07BBD">
      <w:pPr>
        <w:rPr>
          <w:rFonts w:cstheme="minorHAnsi"/>
          <w:color w:val="FF0000"/>
        </w:rPr>
      </w:pPr>
      <w:r>
        <w:rPr>
          <w:rFonts w:cstheme="minorHAnsi"/>
          <w:color w:val="FF0000"/>
        </w:rPr>
        <w:t xml:space="preserve">A special test dataset was created by using data from nine hospices.  The dataset included 212 patients who qualified for the denominator of the measure.  127 of those patients stated that pain was brought to a comfortable level within 48 hours, and 136 of the 212 stated that pain was brought to an acceptable level within 48 hours.  Because 96% of patients gave the same answer to the two wordings of the follow up question, the results indicate good concurrent criterion validity for the measure.  </w:t>
      </w:r>
    </w:p>
    <w:p w14:paraId="2AAC7884"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t>Instrument Level:</w:t>
      </w:r>
    </w:p>
    <w:p w14:paraId="35981E38" w14:textId="77777777" w:rsidR="00BA1C58" w:rsidRPr="00BA1C58" w:rsidRDefault="00BA1C58" w:rsidP="00BA1C58">
      <w:pPr>
        <w:autoSpaceDE w:val="0"/>
        <w:autoSpaceDN w:val="0"/>
        <w:adjustRightInd w:val="0"/>
        <w:spacing w:after="0" w:line="240" w:lineRule="auto"/>
        <w:rPr>
          <w:rFonts w:cs="Trebuchet MS"/>
          <w:i/>
          <w:color w:val="FF0000"/>
        </w:rPr>
      </w:pPr>
      <w:r w:rsidRPr="00BA1C58">
        <w:rPr>
          <w:rFonts w:cs="Trebuchet MS"/>
          <w:i/>
          <w:color w:val="FF0000"/>
        </w:rPr>
        <w:t xml:space="preserve">&lt;&lt;correlation analysis of the relationship between FEHC scores on pain management being sufficient (B2) </w:t>
      </w:r>
      <w:proofErr w:type="gramStart"/>
      <w:r w:rsidRPr="00BA1C58">
        <w:rPr>
          <w:rFonts w:cs="Trebuchet MS"/>
          <w:i/>
          <w:color w:val="FF0000"/>
        </w:rPr>
        <w:t>an 0209 scores</w:t>
      </w:r>
      <w:proofErr w:type="gramEnd"/>
      <w:r w:rsidRPr="00BA1C58">
        <w:rPr>
          <w:rFonts w:cs="Trebuchet MS"/>
          <w:i/>
          <w:color w:val="FF0000"/>
        </w:rPr>
        <w:t xml:space="preserve"> failed to find a relationship.  As such, this text is simply to remind you that we discussed using “Criterion Validity” to address the instrument level validity&gt;&gt;</w:t>
      </w:r>
    </w:p>
    <w:p w14:paraId="27CC2203" w14:textId="77777777" w:rsidR="00BA1C58" w:rsidRPr="00BA1C58" w:rsidRDefault="00BA1C58" w:rsidP="00BA1C58">
      <w:pPr>
        <w:autoSpaceDE w:val="0"/>
        <w:autoSpaceDN w:val="0"/>
        <w:adjustRightInd w:val="0"/>
        <w:spacing w:after="0" w:line="240" w:lineRule="auto"/>
        <w:rPr>
          <w:rFonts w:cs="Trebuchet MS"/>
          <w:color w:val="FF0000"/>
        </w:rPr>
      </w:pPr>
    </w:p>
    <w:p w14:paraId="5D41947F"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rebuchet MS"/>
          <w:color w:val="FF0000"/>
        </w:rPr>
        <w:t>Measure Level (Organization Level):</w:t>
      </w:r>
    </w:p>
    <w:p w14:paraId="37EAA9F3" w14:textId="77777777" w:rsidR="00BA1C58" w:rsidRDefault="00BA1C58" w:rsidP="00BA1C58">
      <w:pPr>
        <w:rPr>
          <w:rFonts w:cstheme="minorHAnsi"/>
          <w:bCs/>
        </w:rPr>
      </w:pPr>
      <w:r w:rsidRPr="00BA1C58">
        <w:rPr>
          <w:rFonts w:cstheme="minorHAnsi"/>
          <w:bCs/>
          <w:color w:val="FF0000"/>
        </w:rPr>
        <w:t xml:space="preserve">To assess validity at the measure scale we compared contemporary results from the Composite Score of the Family Evaluation of Hospice Care (NQF 0208) and the average Comfortable Dying scores.  The hypothesis is, if Comfortable Dying scores are associated with high performing hospices, then they will be significantly associated with performance on another performance measure.  To test this </w:t>
      </w:r>
      <w:proofErr w:type="gramStart"/>
      <w:r w:rsidRPr="00BA1C58">
        <w:rPr>
          <w:rFonts w:cstheme="minorHAnsi"/>
          <w:bCs/>
          <w:color w:val="FF0000"/>
        </w:rPr>
        <w:t>hypothesis</w:t>
      </w:r>
      <w:proofErr w:type="gramEnd"/>
      <w:r w:rsidRPr="00BA1C58">
        <w:rPr>
          <w:rFonts w:cstheme="minorHAnsi"/>
          <w:bCs/>
          <w:color w:val="FF0000"/>
        </w:rPr>
        <w:t xml:space="preserve"> we identified high performing hospices on NQF 0208 and performed a logistic regression with the hospice Comfortable Dying Score.</w:t>
      </w:r>
      <w:r w:rsidRPr="00A25024">
        <w:rPr>
          <w:rFonts w:cstheme="minorHAnsi"/>
          <w:bCs/>
        </w:rPr>
        <w:br/>
      </w:r>
    </w:p>
    <w:p w14:paraId="1F8D5AB1" w14:textId="77777777" w:rsidR="00F07BBD"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36C625D9" w14:textId="74C9C7A9" w:rsidR="00BA1C58" w:rsidRDefault="00BA1C58" w:rsidP="00F07BBD">
      <w:pPr>
        <w:autoSpaceDE w:val="0"/>
        <w:autoSpaceDN w:val="0"/>
        <w:adjustRightInd w:val="0"/>
        <w:spacing w:after="0" w:line="240" w:lineRule="auto"/>
        <w:rPr>
          <w:rFonts w:ascii="Arial Narrow" w:hAnsi="Arial Narrow" w:cs="Arial"/>
        </w:rPr>
      </w:pPr>
      <w:r>
        <w:rPr>
          <w:rFonts w:ascii="Arial Narrow" w:hAnsi="Arial Narrow" w:cs="Arial"/>
        </w:rPr>
        <w:t>Instrumental level</w:t>
      </w:r>
    </w:p>
    <w:p w14:paraId="5751EDBB" w14:textId="3A930F7E" w:rsidR="00F07BBD" w:rsidRDefault="00F07BBD" w:rsidP="00F07BBD">
      <w:pPr>
        <w:autoSpaceDE w:val="0"/>
        <w:autoSpaceDN w:val="0"/>
        <w:adjustRightInd w:val="0"/>
        <w:spacing w:after="0" w:line="240" w:lineRule="auto"/>
        <w:rPr>
          <w:rFonts w:ascii="Arial Narrow" w:hAnsi="Arial Narrow" w:cs="Arial"/>
        </w:rPr>
      </w:pPr>
      <w:r>
        <w:rPr>
          <w:rFonts w:ascii="Arial Narrow" w:hAnsi="Arial Narrow" w:cs="Arial"/>
        </w:rPr>
        <w:t>Sixty percent (N = 127 ) of the patients who initially responded that they were uncomfortable because of pain responded that their pain was brought to a comfortable level within 48 hours.  Of those same patients, 64% (N = 136) responded that their pain was brought to an acceptable level within 48 hours.  The two questions elicited very little difference in the proportion of patients replying that their pain was brought under control, indicating acceptable concurrent criterion validity of the measure.</w:t>
      </w:r>
    </w:p>
    <w:p w14:paraId="7D19F493" w14:textId="77777777" w:rsidR="00F07BBD" w:rsidRDefault="00F07BBD" w:rsidP="00F07BBD">
      <w:pPr>
        <w:autoSpaceDE w:val="0"/>
        <w:autoSpaceDN w:val="0"/>
        <w:adjustRightInd w:val="0"/>
        <w:spacing w:after="0" w:line="240" w:lineRule="auto"/>
        <w:rPr>
          <w:rFonts w:cstheme="minorHAnsi"/>
          <w:bCs/>
        </w:rPr>
      </w:pPr>
    </w:p>
    <w:p w14:paraId="48FCC4E2" w14:textId="77777777" w:rsidR="00BA1C58" w:rsidRDefault="00F07BBD" w:rsidP="00F07BBD">
      <w:pPr>
        <w:autoSpaceDE w:val="0"/>
        <w:autoSpaceDN w:val="0"/>
        <w:adjustRightInd w:val="0"/>
        <w:spacing w:after="0" w:line="240" w:lineRule="auto"/>
        <w:rPr>
          <w:rFonts w:cstheme="minorHAnsi"/>
          <w:bCs/>
          <w:color w:val="FF0000"/>
        </w:rPr>
      </w:pPr>
      <w:r>
        <w:rPr>
          <w:rFonts w:cstheme="minorHAnsi"/>
          <w:bCs/>
          <w:color w:val="FF0000"/>
        </w:rPr>
        <w:t>Cohen's kappa = 0.91.</w:t>
      </w:r>
    </w:p>
    <w:p w14:paraId="13B0B4E1" w14:textId="77777777" w:rsidR="00BA1C58" w:rsidRDefault="00BA1C58" w:rsidP="00F07BBD">
      <w:pPr>
        <w:autoSpaceDE w:val="0"/>
        <w:autoSpaceDN w:val="0"/>
        <w:adjustRightInd w:val="0"/>
        <w:spacing w:after="0" w:line="240" w:lineRule="auto"/>
        <w:rPr>
          <w:rFonts w:cstheme="minorHAnsi"/>
          <w:bCs/>
          <w:color w:val="FF0000"/>
        </w:rPr>
      </w:pPr>
    </w:p>
    <w:p w14:paraId="7D17CCAA" w14:textId="77777777" w:rsidR="00BA1C58" w:rsidRPr="00BA1C58" w:rsidRDefault="00BA1C58" w:rsidP="00BA1C58">
      <w:pPr>
        <w:autoSpaceDE w:val="0"/>
        <w:autoSpaceDN w:val="0"/>
        <w:adjustRightInd w:val="0"/>
        <w:spacing w:after="0" w:line="240" w:lineRule="auto"/>
        <w:rPr>
          <w:rFonts w:cs="Trebuchet MS"/>
          <w:color w:val="FF0000"/>
        </w:rPr>
      </w:pPr>
      <w:r w:rsidRPr="00BA1C58">
        <w:rPr>
          <w:rFonts w:cs="Trebuchet MS"/>
          <w:color w:val="FF0000"/>
        </w:rPr>
        <w:t>Measure Level (Organization Level):</w:t>
      </w:r>
    </w:p>
    <w:p w14:paraId="1513870D" w14:textId="77777777" w:rsidR="00BA1C58" w:rsidRPr="00BA1C58" w:rsidRDefault="00BA1C58" w:rsidP="00BA1C58">
      <w:pPr>
        <w:autoSpaceDE w:val="0"/>
        <w:autoSpaceDN w:val="0"/>
        <w:adjustRightInd w:val="0"/>
        <w:spacing w:after="0" w:line="240" w:lineRule="auto"/>
        <w:rPr>
          <w:rFonts w:cs="Trebuchet MS"/>
          <w:color w:val="FF0000"/>
        </w:rPr>
      </w:pPr>
      <w:r w:rsidRPr="00BA1C58">
        <w:rPr>
          <w:rFonts w:cs="Trebuchet MS"/>
          <w:color w:val="FF0000"/>
        </w:rPr>
        <w:t>Logistic regression found a direct and marginally significant association between being rated a high performing hospice based on FEHC Composite Score (NQF 0208) and having a higher Comfortable Dying score (χ</w:t>
      </w:r>
      <w:r w:rsidRPr="00BA1C58">
        <w:rPr>
          <w:rFonts w:cs="Trebuchet MS"/>
          <w:color w:val="FF0000"/>
          <w:vertAlign w:val="superscript"/>
        </w:rPr>
        <w:t>2</w:t>
      </w:r>
      <w:r w:rsidRPr="00BA1C58">
        <w:rPr>
          <w:rFonts w:cs="Trebuchet MS"/>
          <w:color w:val="FF0000"/>
        </w:rPr>
        <w:t xml:space="preserve"> = 3.352 p=0.067). </w:t>
      </w:r>
    </w:p>
    <w:p w14:paraId="67C89CD7" w14:textId="2419FAA1" w:rsidR="00F07BBD" w:rsidRDefault="00F07BBD" w:rsidP="00F07BBD">
      <w:pPr>
        <w:autoSpaceDE w:val="0"/>
        <w:autoSpaceDN w:val="0"/>
        <w:adjustRightInd w:val="0"/>
        <w:spacing w:after="0" w:line="240" w:lineRule="auto"/>
        <w:rPr>
          <w:rFonts w:cstheme="minorHAnsi"/>
          <w:bCs/>
        </w:rPr>
      </w:pPr>
      <w:r>
        <w:rPr>
          <w:rFonts w:cstheme="minorHAnsi"/>
          <w:bCs/>
        </w:rPr>
        <w:br/>
      </w:r>
    </w:p>
    <w:p w14:paraId="08F038CA" w14:textId="77777777" w:rsidR="00BA1C58" w:rsidRPr="00BA1C58" w:rsidRDefault="009C7513" w:rsidP="00BA1C58">
      <w:pPr>
        <w:autoSpaceDE w:val="0"/>
        <w:autoSpaceDN w:val="0"/>
        <w:adjustRightInd w:val="0"/>
        <w:spacing w:after="0" w:line="240" w:lineRule="auto"/>
        <w:rPr>
          <w:rFonts w:cstheme="minorHAnsi"/>
          <w:bCs/>
          <w:color w:val="FF0000"/>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BA1C58" w:rsidRPr="00BA1C58">
        <w:rPr>
          <w:rFonts w:cstheme="minorHAnsi"/>
          <w:bCs/>
          <w:color w:val="FF0000"/>
        </w:rPr>
        <w:t>Instrument Level :</w:t>
      </w:r>
    </w:p>
    <w:p w14:paraId="02BF5728"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t>N/A</w:t>
      </w:r>
    </w:p>
    <w:p w14:paraId="017F4EBC" w14:textId="77777777" w:rsidR="00BA1C58" w:rsidRPr="00BA1C58" w:rsidRDefault="00BA1C58" w:rsidP="00BA1C58">
      <w:pPr>
        <w:autoSpaceDE w:val="0"/>
        <w:autoSpaceDN w:val="0"/>
        <w:adjustRightInd w:val="0"/>
        <w:spacing w:after="0" w:line="240" w:lineRule="auto"/>
        <w:rPr>
          <w:rFonts w:cs="Trebuchet MS"/>
          <w:color w:val="FF0000"/>
        </w:rPr>
      </w:pPr>
    </w:p>
    <w:p w14:paraId="0BFC346E" w14:textId="77777777" w:rsidR="00BA1C58" w:rsidRPr="00BA1C58" w:rsidRDefault="00BA1C58" w:rsidP="00BA1C58">
      <w:pPr>
        <w:autoSpaceDE w:val="0"/>
        <w:autoSpaceDN w:val="0"/>
        <w:adjustRightInd w:val="0"/>
        <w:spacing w:after="0" w:line="240" w:lineRule="auto"/>
        <w:rPr>
          <w:rFonts w:cs="Trebuchet MS"/>
          <w:color w:val="FF0000"/>
        </w:rPr>
      </w:pPr>
      <w:r w:rsidRPr="00BA1C58">
        <w:rPr>
          <w:rFonts w:cs="Trebuchet MS"/>
          <w:color w:val="FF0000"/>
        </w:rPr>
        <w:t>Measure Level (Organization Level):</w:t>
      </w:r>
    </w:p>
    <w:p w14:paraId="657417ED" w14:textId="77777777" w:rsidR="00BA1C58" w:rsidRPr="00BA1C58" w:rsidRDefault="00BA1C58" w:rsidP="00BA1C58">
      <w:pPr>
        <w:autoSpaceDE w:val="0"/>
        <w:autoSpaceDN w:val="0"/>
        <w:adjustRightInd w:val="0"/>
        <w:spacing w:after="0" w:line="240" w:lineRule="auto"/>
        <w:rPr>
          <w:rFonts w:cs="Trebuchet MS"/>
          <w:color w:val="FF0000"/>
        </w:rPr>
      </w:pPr>
      <w:r w:rsidRPr="00BA1C58">
        <w:rPr>
          <w:rFonts w:cs="Trebuchet MS"/>
          <w:color w:val="FF0000"/>
        </w:rPr>
        <w:lastRenderedPageBreak/>
        <w:t xml:space="preserve">The results indicate that high performing hospices on the FEHC Composite Score (NQF 0208) were more likely to have a higher score on the Comfortable Dying measure.  The statistical was marginal for this test but it should be noted that only 90 hospices were able to be included in the logistic regression because not all hospices participated in both measures during 2013.  It is expected, however, that with a larger sample size, statistical significance would be achieved. </w:t>
      </w:r>
    </w:p>
    <w:p w14:paraId="69EEAB2F" w14:textId="31C6C01D" w:rsidR="00BA1C58" w:rsidRDefault="00BA1C58" w:rsidP="00F07BBD">
      <w:pPr>
        <w:autoSpaceDE w:val="0"/>
        <w:autoSpaceDN w:val="0"/>
        <w:adjustRightInd w:val="0"/>
        <w:spacing w:after="0" w:line="240" w:lineRule="auto"/>
        <w:rPr>
          <w:rFonts w:cstheme="minorHAnsi"/>
          <w:bCs/>
          <w:color w:val="FF0000"/>
        </w:rPr>
      </w:pPr>
    </w:p>
    <w:p w14:paraId="5EE16BC4" w14:textId="77777777" w:rsidR="00BA1C58" w:rsidRDefault="00BA1C58" w:rsidP="00F07BBD">
      <w:pPr>
        <w:autoSpaceDE w:val="0"/>
        <w:autoSpaceDN w:val="0"/>
        <w:adjustRightInd w:val="0"/>
        <w:spacing w:after="0" w:line="240" w:lineRule="auto"/>
        <w:rPr>
          <w:rFonts w:cstheme="minorHAnsi"/>
          <w:bCs/>
          <w:color w:val="FF0000"/>
        </w:rPr>
      </w:pPr>
    </w:p>
    <w:p w14:paraId="307C994D" w14:textId="042A1E84" w:rsidR="00F07BBD" w:rsidRDefault="00F07BBD" w:rsidP="00F07BBD">
      <w:pPr>
        <w:autoSpaceDE w:val="0"/>
        <w:autoSpaceDN w:val="0"/>
        <w:adjustRightInd w:val="0"/>
        <w:spacing w:after="0" w:line="240" w:lineRule="auto"/>
        <w:rPr>
          <w:rFonts w:cstheme="minorHAnsi"/>
          <w:bCs/>
          <w:color w:val="000099"/>
        </w:rPr>
      </w:pPr>
      <w:r>
        <w:rPr>
          <w:rFonts w:cstheme="minorHAnsi"/>
          <w:bCs/>
          <w:color w:val="FF0000"/>
        </w:rPr>
        <w:t>The results support validity of the measure for understanding how well hospices were able to relieve patients admitted in pain.</w:t>
      </w:r>
    </w:p>
    <w:p w14:paraId="0CABCFDF" w14:textId="3711E927" w:rsidR="007422FD" w:rsidRPr="00A25024" w:rsidRDefault="007422FD"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06C0237F"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F07BBD">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6CC41DDD" w14:textId="77777777" w:rsidR="00F07BB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0CABCFE4" w14:textId="0D074C8F" w:rsidR="00833325" w:rsidRPr="00BA1C58" w:rsidRDefault="00833325" w:rsidP="00DB3627">
      <w:pPr>
        <w:autoSpaceDE w:val="0"/>
        <w:autoSpaceDN w:val="0"/>
        <w:adjustRightInd w:val="0"/>
        <w:spacing w:after="0" w:line="240" w:lineRule="auto"/>
        <w:rPr>
          <w:rFonts w:cstheme="minorHAnsi"/>
          <w:bCs/>
          <w:color w:val="FF0000"/>
          <w:sz w:val="12"/>
        </w:rPr>
      </w:pPr>
    </w:p>
    <w:p w14:paraId="5AFD5C39"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t xml:space="preserve">To evaluate how exclusions might affect validity we examined the frequency of </w:t>
      </w:r>
      <w:r w:rsidRPr="00BA1C58">
        <w:rPr>
          <w:rFonts w:cstheme="minorHAnsi"/>
          <w:bCs/>
          <w:i/>
          <w:color w:val="FF0000"/>
        </w:rPr>
        <w:t>included</w:t>
      </w:r>
      <w:r w:rsidRPr="00BA1C58">
        <w:rPr>
          <w:rFonts w:cstheme="minorHAnsi"/>
          <w:bCs/>
          <w:color w:val="FF0000"/>
        </w:rPr>
        <w:t xml:space="preserve"> and </w:t>
      </w:r>
      <w:r w:rsidRPr="00BA1C58">
        <w:rPr>
          <w:rFonts w:cstheme="minorHAnsi"/>
          <w:bCs/>
          <w:i/>
          <w:color w:val="FF0000"/>
        </w:rPr>
        <w:t>excluded</w:t>
      </w:r>
      <w:r w:rsidRPr="00BA1C58">
        <w:rPr>
          <w:rFonts w:cstheme="minorHAnsi"/>
          <w:bCs/>
          <w:color w:val="FF0000"/>
        </w:rPr>
        <w:t xml:space="preserve"> responses across respondent demographics and organizational characteristics utilizing the sub-sample discussed earlier.  </w:t>
      </w:r>
    </w:p>
    <w:p w14:paraId="44C7DD95" w14:textId="77777777" w:rsidR="00BA1C58" w:rsidRPr="00BA1C58" w:rsidRDefault="00BA1C58" w:rsidP="00BA1C58">
      <w:pPr>
        <w:autoSpaceDE w:val="0"/>
        <w:autoSpaceDN w:val="0"/>
        <w:adjustRightInd w:val="0"/>
        <w:spacing w:after="0" w:line="240" w:lineRule="auto"/>
        <w:rPr>
          <w:rFonts w:cstheme="minorHAnsi"/>
          <w:bCs/>
          <w:color w:val="FF0000"/>
        </w:rPr>
      </w:pPr>
    </w:p>
    <w:p w14:paraId="428C8607"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t>Frequency Distribution across the Target Population:</w:t>
      </w:r>
    </w:p>
    <w:p w14:paraId="23FE9FC6"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t xml:space="preserve">To evaluate exclusions on the target population we examined the frequency of </w:t>
      </w:r>
      <w:r w:rsidRPr="00BA1C58">
        <w:rPr>
          <w:rFonts w:cstheme="minorHAnsi"/>
          <w:bCs/>
          <w:i/>
          <w:color w:val="FF0000"/>
        </w:rPr>
        <w:t>included</w:t>
      </w:r>
      <w:r w:rsidRPr="00BA1C58">
        <w:rPr>
          <w:rFonts w:cstheme="minorHAnsi"/>
          <w:bCs/>
          <w:color w:val="FF0000"/>
        </w:rPr>
        <w:t xml:space="preserve"> and </w:t>
      </w:r>
      <w:r w:rsidRPr="00BA1C58">
        <w:rPr>
          <w:rFonts w:cstheme="minorHAnsi"/>
          <w:bCs/>
          <w:i/>
          <w:color w:val="FF0000"/>
        </w:rPr>
        <w:t>excluded</w:t>
      </w:r>
      <w:r w:rsidRPr="00BA1C58">
        <w:rPr>
          <w:rFonts w:cstheme="minorHAnsi"/>
          <w:bCs/>
          <w:color w:val="FF0000"/>
        </w:rPr>
        <w:t xml:space="preserve"> responses across patient demographic characteristics.  Specifically, we looked to determine if there were significant and meaningful differences in the proportion of excluded responses across the demographic characteristics of ethnicity, race, gender, and age.  To perform this </w:t>
      </w:r>
      <w:proofErr w:type="gramStart"/>
      <w:r w:rsidRPr="00BA1C58">
        <w:rPr>
          <w:rFonts w:cstheme="minorHAnsi"/>
          <w:bCs/>
          <w:color w:val="FF0000"/>
        </w:rPr>
        <w:t>analysis</w:t>
      </w:r>
      <w:proofErr w:type="gramEnd"/>
      <w:r w:rsidRPr="00BA1C58">
        <w:rPr>
          <w:rFonts w:cstheme="minorHAnsi"/>
          <w:bCs/>
          <w:color w:val="FF0000"/>
        </w:rPr>
        <w:t xml:space="preserve"> we created frequency distribution tables then performed a chi-square goodness of fit test.  The chi-square tests the null hypothesis that there are no significant differences in the amount of included or excluded surveys between demographic groups.  If the test is significant to a p-value of 0.05 or </w:t>
      </w:r>
      <w:proofErr w:type="gramStart"/>
      <w:r w:rsidRPr="00BA1C58">
        <w:rPr>
          <w:rFonts w:cstheme="minorHAnsi"/>
          <w:bCs/>
          <w:color w:val="FF0000"/>
        </w:rPr>
        <w:t>less</w:t>
      </w:r>
      <w:proofErr w:type="gramEnd"/>
      <w:r w:rsidRPr="00BA1C58">
        <w:rPr>
          <w:rFonts w:cstheme="minorHAnsi"/>
          <w:bCs/>
          <w:color w:val="FF0000"/>
        </w:rPr>
        <w:t xml:space="preserve"> then we reject the null hypothesis and conclude there are significant differences between groups.  </w:t>
      </w:r>
    </w:p>
    <w:p w14:paraId="7A44319D" w14:textId="77777777" w:rsidR="00BA1C58" w:rsidRPr="00BA1C58" w:rsidRDefault="00BA1C58" w:rsidP="00BA1C58">
      <w:pPr>
        <w:autoSpaceDE w:val="0"/>
        <w:autoSpaceDN w:val="0"/>
        <w:adjustRightInd w:val="0"/>
        <w:spacing w:after="0" w:line="240" w:lineRule="auto"/>
        <w:rPr>
          <w:rFonts w:cstheme="minorHAnsi"/>
          <w:bCs/>
          <w:color w:val="FF0000"/>
        </w:rPr>
      </w:pPr>
    </w:p>
    <w:p w14:paraId="25304734"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t xml:space="preserve">Where significant differences are found, we also calculated “expected” cell frequencies.  The expected cell frequency </w:t>
      </w:r>
      <w:proofErr w:type="gramStart"/>
      <w:r w:rsidRPr="00BA1C58">
        <w:rPr>
          <w:rFonts w:cstheme="minorHAnsi"/>
          <w:bCs/>
          <w:color w:val="FF0000"/>
        </w:rPr>
        <w:t>represent</w:t>
      </w:r>
      <w:proofErr w:type="gramEnd"/>
      <w:r w:rsidRPr="00BA1C58">
        <w:rPr>
          <w:rFonts w:cstheme="minorHAnsi"/>
          <w:bCs/>
          <w:color w:val="FF0000"/>
        </w:rPr>
        <w:t xml:space="preserve"> the expected frequency of responses should the null hypothesis be true.  This allows us to evaluate the departure from the expected number of excluded responses under the null hypothesis.   This is an important additional step since the analysis is likely to be overpowered with such a large sample size. </w:t>
      </w:r>
    </w:p>
    <w:p w14:paraId="48285069" w14:textId="77777777" w:rsidR="00BA1C58" w:rsidRPr="00BA1C58" w:rsidRDefault="00BA1C58" w:rsidP="00BA1C58">
      <w:pPr>
        <w:autoSpaceDE w:val="0"/>
        <w:autoSpaceDN w:val="0"/>
        <w:adjustRightInd w:val="0"/>
        <w:spacing w:after="0" w:line="240" w:lineRule="auto"/>
        <w:rPr>
          <w:rFonts w:cstheme="minorHAnsi"/>
          <w:bCs/>
          <w:color w:val="FF0000"/>
        </w:rPr>
      </w:pPr>
    </w:p>
    <w:p w14:paraId="4DA1A0AA"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t>Frequency Distribution across the Measured Entities:</w:t>
      </w:r>
    </w:p>
    <w:p w14:paraId="4C9D6F67"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t xml:space="preserve">To evaluate the effect of exclusions across organizations, we calculated the percent of patients who </w:t>
      </w:r>
      <w:proofErr w:type="spellStart"/>
      <w:r w:rsidRPr="00BA1C58">
        <w:rPr>
          <w:rFonts w:cstheme="minorHAnsi"/>
          <w:bCs/>
          <w:color w:val="FF0000"/>
        </w:rPr>
        <w:t>where</w:t>
      </w:r>
      <w:proofErr w:type="spellEnd"/>
      <w:r w:rsidRPr="00BA1C58">
        <w:rPr>
          <w:rFonts w:cstheme="minorHAnsi"/>
          <w:bCs/>
          <w:color w:val="FF0000"/>
        </w:rPr>
        <w:t xml:space="preserve"> a Comfortable Dying for each hospice location in the sub-sample.  We then examined the distributions of the mean percentage of included responses across provider characteristics to determine if meaningful differences exist between means.  </w:t>
      </w:r>
    </w:p>
    <w:p w14:paraId="6C10C909" w14:textId="77777777" w:rsidR="00BA1C58" w:rsidRPr="009D3882" w:rsidRDefault="00BA1C58" w:rsidP="00DB3627">
      <w:pPr>
        <w:autoSpaceDE w:val="0"/>
        <w:autoSpaceDN w:val="0"/>
        <w:adjustRightInd w:val="0"/>
        <w:spacing w:after="0" w:line="240" w:lineRule="auto"/>
        <w:rPr>
          <w:rFonts w:cstheme="minorHAnsi"/>
          <w:bCs/>
          <w:sz w:val="12"/>
        </w:rPr>
      </w:pP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729730AC" w14:textId="2F99BCF4" w:rsidR="00F07BB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37F29FA1" w14:textId="77777777" w:rsidR="00BA1C58" w:rsidRDefault="00BA1C58" w:rsidP="00092566">
      <w:pPr>
        <w:autoSpaceDE w:val="0"/>
        <w:autoSpaceDN w:val="0"/>
        <w:adjustRightInd w:val="0"/>
        <w:spacing w:after="0" w:line="240" w:lineRule="auto"/>
        <w:rPr>
          <w:rFonts w:cstheme="minorHAnsi"/>
          <w:bCs/>
        </w:rPr>
      </w:pPr>
    </w:p>
    <w:p w14:paraId="3DCB7F23"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lastRenderedPageBreak/>
        <w:t>Frequency Distribution across the Target Population:</w:t>
      </w:r>
    </w:p>
    <w:p w14:paraId="42D93D81"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t>The following table details the distribution across patient characteristics of included and excluded from the Comfortable Dying measure:</w:t>
      </w:r>
    </w:p>
    <w:p w14:paraId="231944E6" w14:textId="77777777" w:rsidR="00BA1C58" w:rsidRPr="00BA1C58" w:rsidRDefault="00BA1C58" w:rsidP="00BA1C58">
      <w:pPr>
        <w:autoSpaceDE w:val="0"/>
        <w:autoSpaceDN w:val="0"/>
        <w:adjustRightInd w:val="0"/>
        <w:spacing w:after="0" w:line="240" w:lineRule="auto"/>
        <w:rPr>
          <w:rFonts w:cstheme="minorHAnsi"/>
          <w:bCs/>
          <w:color w:val="FF0000"/>
        </w:rPr>
      </w:pPr>
    </w:p>
    <w:p w14:paraId="1B74E687" w14:textId="77777777" w:rsidR="00BA1C58" w:rsidRPr="00BA1C58" w:rsidRDefault="00BA1C58" w:rsidP="00BA1C58">
      <w:pPr>
        <w:autoSpaceDE w:val="0"/>
        <w:autoSpaceDN w:val="0"/>
        <w:adjustRightInd w:val="0"/>
        <w:spacing w:after="0" w:line="240" w:lineRule="auto"/>
        <w:rPr>
          <w:rFonts w:cstheme="minorHAnsi"/>
          <w:bCs/>
          <w:color w:val="FF0000"/>
        </w:rPr>
      </w:pPr>
    </w:p>
    <w:p w14:paraId="6EBC7AA5" w14:textId="77777777" w:rsidR="00BA1C58" w:rsidRPr="00BA1C58" w:rsidRDefault="00BA1C58" w:rsidP="00BA1C58">
      <w:pPr>
        <w:autoSpaceDE w:val="0"/>
        <w:autoSpaceDN w:val="0"/>
        <w:adjustRightInd w:val="0"/>
        <w:spacing w:after="0" w:line="240" w:lineRule="auto"/>
        <w:rPr>
          <w:rFonts w:cstheme="minorHAnsi"/>
          <w:bCs/>
          <w:color w:val="FF0000"/>
        </w:rPr>
      </w:pPr>
    </w:p>
    <w:tbl>
      <w:tblPr>
        <w:tblW w:w="5000" w:type="pct"/>
        <w:tblLook w:val="04A0" w:firstRow="1" w:lastRow="0" w:firstColumn="1" w:lastColumn="0" w:noHBand="0" w:noVBand="1"/>
      </w:tblPr>
      <w:tblGrid>
        <w:gridCol w:w="4368"/>
        <w:gridCol w:w="2495"/>
        <w:gridCol w:w="2497"/>
      </w:tblGrid>
      <w:tr w:rsidR="00BA1C58" w:rsidRPr="00BA1C58" w14:paraId="4C519D00" w14:textId="77777777" w:rsidTr="00BA1C58">
        <w:trPr>
          <w:trHeight w:val="300"/>
        </w:trPr>
        <w:tc>
          <w:tcPr>
            <w:tcW w:w="2333" w:type="pct"/>
            <w:vMerge w:val="restart"/>
            <w:tcBorders>
              <w:top w:val="single" w:sz="8" w:space="0" w:color="000000"/>
              <w:left w:val="nil"/>
              <w:bottom w:val="single" w:sz="8" w:space="0" w:color="000000"/>
              <w:right w:val="nil"/>
            </w:tcBorders>
            <w:shd w:val="clear" w:color="000000" w:fill="FFFFFF"/>
            <w:vAlign w:val="center"/>
            <w:hideMark/>
          </w:tcPr>
          <w:p w14:paraId="4FB9EF39" w14:textId="77777777" w:rsidR="00BA1C58" w:rsidRPr="00BA1C58" w:rsidRDefault="00BA1C58" w:rsidP="00BA1C58">
            <w:pPr>
              <w:spacing w:after="0" w:line="240" w:lineRule="auto"/>
              <w:jc w:val="center"/>
              <w:rPr>
                <w:rFonts w:ascii="Calibri" w:eastAsia="Times New Roman" w:hAnsi="Calibri" w:cs="Times New Roman"/>
                <w:b/>
                <w:bCs/>
                <w:color w:val="FF0000"/>
              </w:rPr>
            </w:pPr>
            <w:r w:rsidRPr="00BA1C58">
              <w:rPr>
                <w:rFonts w:ascii="Calibri" w:eastAsia="Times New Roman" w:hAnsi="Calibri" w:cs="Times New Roman"/>
                <w:b/>
                <w:bCs/>
                <w:color w:val="FF0000"/>
              </w:rPr>
              <w:t>Demographic Category</w:t>
            </w:r>
          </w:p>
        </w:tc>
        <w:tc>
          <w:tcPr>
            <w:tcW w:w="2667" w:type="pct"/>
            <w:gridSpan w:val="2"/>
            <w:tcBorders>
              <w:top w:val="single" w:sz="8" w:space="0" w:color="000000"/>
              <w:left w:val="nil"/>
              <w:bottom w:val="nil"/>
              <w:right w:val="nil"/>
            </w:tcBorders>
            <w:shd w:val="clear" w:color="auto" w:fill="auto"/>
            <w:noWrap/>
            <w:vAlign w:val="bottom"/>
            <w:hideMark/>
          </w:tcPr>
          <w:p w14:paraId="2B1B2B1C" w14:textId="77777777" w:rsidR="00BA1C58" w:rsidRPr="00BA1C58" w:rsidRDefault="00BA1C58" w:rsidP="00BA1C58">
            <w:pPr>
              <w:spacing w:after="0" w:line="240" w:lineRule="auto"/>
              <w:rPr>
                <w:rFonts w:ascii="Calibri" w:eastAsia="Times New Roman" w:hAnsi="Calibri" w:cs="Times New Roman"/>
                <w:b/>
                <w:bCs/>
                <w:color w:val="FF0000"/>
              </w:rPr>
            </w:pPr>
          </w:p>
        </w:tc>
      </w:tr>
      <w:tr w:rsidR="00BA1C58" w:rsidRPr="00BA1C58" w14:paraId="1D378EE3" w14:textId="77777777" w:rsidTr="00BA1C58">
        <w:trPr>
          <w:trHeight w:val="300"/>
        </w:trPr>
        <w:tc>
          <w:tcPr>
            <w:tcW w:w="2333" w:type="pct"/>
            <w:vMerge/>
            <w:tcBorders>
              <w:top w:val="single" w:sz="8" w:space="0" w:color="000000"/>
              <w:left w:val="nil"/>
              <w:bottom w:val="single" w:sz="8" w:space="0" w:color="000000"/>
              <w:right w:val="nil"/>
            </w:tcBorders>
            <w:vAlign w:val="center"/>
            <w:hideMark/>
          </w:tcPr>
          <w:p w14:paraId="7200DBF1" w14:textId="77777777" w:rsidR="00BA1C58" w:rsidRPr="00BA1C58" w:rsidRDefault="00BA1C58" w:rsidP="00BA1C58">
            <w:pPr>
              <w:spacing w:after="0" w:line="240" w:lineRule="auto"/>
              <w:rPr>
                <w:rFonts w:ascii="Calibri" w:eastAsia="Times New Roman" w:hAnsi="Calibri" w:cs="Times New Roman"/>
                <w:b/>
                <w:bCs/>
                <w:color w:val="FF0000"/>
              </w:rPr>
            </w:pPr>
          </w:p>
        </w:tc>
        <w:tc>
          <w:tcPr>
            <w:tcW w:w="1333" w:type="pct"/>
            <w:tcBorders>
              <w:top w:val="nil"/>
              <w:left w:val="nil"/>
              <w:bottom w:val="nil"/>
              <w:right w:val="nil"/>
            </w:tcBorders>
            <w:shd w:val="clear" w:color="auto" w:fill="auto"/>
            <w:noWrap/>
            <w:vAlign w:val="bottom"/>
            <w:hideMark/>
          </w:tcPr>
          <w:p w14:paraId="2602AFAD" w14:textId="77777777" w:rsidR="00BA1C58" w:rsidRPr="00BA1C58" w:rsidRDefault="00BA1C58" w:rsidP="00BA1C58">
            <w:pPr>
              <w:spacing w:after="0" w:line="240" w:lineRule="auto"/>
              <w:jc w:val="center"/>
              <w:rPr>
                <w:rFonts w:ascii="Calibri" w:eastAsia="Times New Roman" w:hAnsi="Calibri" w:cs="Times New Roman"/>
                <w:i/>
                <w:iCs/>
                <w:color w:val="FF0000"/>
                <w:u w:val="single"/>
              </w:rPr>
            </w:pPr>
            <w:r w:rsidRPr="00BA1C58">
              <w:rPr>
                <w:rFonts w:ascii="Calibri" w:eastAsia="Times New Roman" w:hAnsi="Calibri" w:cs="Times New Roman"/>
                <w:i/>
                <w:iCs/>
                <w:color w:val="FF0000"/>
                <w:u w:val="single"/>
              </w:rPr>
              <w:t>Included</w:t>
            </w:r>
          </w:p>
        </w:tc>
        <w:tc>
          <w:tcPr>
            <w:tcW w:w="1333" w:type="pct"/>
            <w:tcBorders>
              <w:top w:val="nil"/>
              <w:left w:val="nil"/>
              <w:bottom w:val="nil"/>
              <w:right w:val="nil"/>
            </w:tcBorders>
            <w:shd w:val="clear" w:color="auto" w:fill="auto"/>
            <w:noWrap/>
            <w:vAlign w:val="bottom"/>
            <w:hideMark/>
          </w:tcPr>
          <w:p w14:paraId="501A54E4" w14:textId="77777777" w:rsidR="00BA1C58" w:rsidRPr="00BA1C58" w:rsidRDefault="00BA1C58" w:rsidP="00BA1C58">
            <w:pPr>
              <w:spacing w:after="0" w:line="240" w:lineRule="auto"/>
              <w:jc w:val="center"/>
              <w:rPr>
                <w:rFonts w:ascii="Calibri" w:eastAsia="Times New Roman" w:hAnsi="Calibri" w:cs="Times New Roman"/>
                <w:i/>
                <w:iCs/>
                <w:color w:val="FF0000"/>
                <w:u w:val="single"/>
              </w:rPr>
            </w:pPr>
            <w:r w:rsidRPr="00BA1C58">
              <w:rPr>
                <w:rFonts w:ascii="Calibri" w:eastAsia="Times New Roman" w:hAnsi="Calibri" w:cs="Times New Roman"/>
                <w:i/>
                <w:iCs/>
                <w:color w:val="FF0000"/>
                <w:u w:val="single"/>
              </w:rPr>
              <w:t>Excluded</w:t>
            </w:r>
          </w:p>
        </w:tc>
      </w:tr>
      <w:tr w:rsidR="00BA1C58" w:rsidRPr="00BA1C58" w14:paraId="6BAD82ED" w14:textId="77777777" w:rsidTr="00BA1C58">
        <w:trPr>
          <w:trHeight w:val="750"/>
        </w:trPr>
        <w:tc>
          <w:tcPr>
            <w:tcW w:w="2333" w:type="pct"/>
            <w:vMerge/>
            <w:tcBorders>
              <w:top w:val="single" w:sz="8" w:space="0" w:color="000000"/>
              <w:left w:val="nil"/>
              <w:bottom w:val="single" w:sz="8" w:space="0" w:color="000000"/>
              <w:right w:val="nil"/>
            </w:tcBorders>
            <w:vAlign w:val="center"/>
            <w:hideMark/>
          </w:tcPr>
          <w:p w14:paraId="77716F0E" w14:textId="77777777" w:rsidR="00BA1C58" w:rsidRPr="00BA1C58" w:rsidRDefault="00BA1C58" w:rsidP="00BA1C58">
            <w:pPr>
              <w:spacing w:after="0" w:line="240" w:lineRule="auto"/>
              <w:rPr>
                <w:rFonts w:ascii="Calibri" w:eastAsia="Times New Roman" w:hAnsi="Calibri" w:cs="Times New Roman"/>
                <w:b/>
                <w:bCs/>
                <w:color w:val="FF0000"/>
              </w:rPr>
            </w:pPr>
          </w:p>
        </w:tc>
        <w:tc>
          <w:tcPr>
            <w:tcW w:w="1333" w:type="pct"/>
            <w:tcBorders>
              <w:top w:val="nil"/>
              <w:left w:val="nil"/>
              <w:bottom w:val="single" w:sz="8" w:space="0" w:color="000000"/>
              <w:right w:val="nil"/>
            </w:tcBorders>
            <w:shd w:val="clear" w:color="auto" w:fill="auto"/>
            <w:vAlign w:val="center"/>
            <w:hideMark/>
          </w:tcPr>
          <w:p w14:paraId="55BE6F0F" w14:textId="77777777" w:rsidR="00BA1C58" w:rsidRPr="00BA1C58" w:rsidRDefault="00BA1C58" w:rsidP="00BA1C58">
            <w:pPr>
              <w:spacing w:after="0" w:line="240" w:lineRule="auto"/>
              <w:jc w:val="center"/>
              <w:rPr>
                <w:rFonts w:ascii="Calibri" w:eastAsia="Times New Roman" w:hAnsi="Calibri" w:cs="Times New Roman"/>
                <w:color w:val="FF0000"/>
                <w:sz w:val="18"/>
                <w:szCs w:val="18"/>
              </w:rPr>
            </w:pPr>
            <w:r w:rsidRPr="00BA1C58">
              <w:rPr>
                <w:rFonts w:ascii="Calibri" w:eastAsia="Times New Roman" w:hAnsi="Calibri" w:cs="Times New Roman"/>
                <w:color w:val="FF0000"/>
                <w:sz w:val="18"/>
                <w:szCs w:val="18"/>
              </w:rPr>
              <w:t>Frequency</w:t>
            </w:r>
            <w:r w:rsidRPr="00BA1C58">
              <w:rPr>
                <w:rFonts w:ascii="Calibri" w:eastAsia="Times New Roman" w:hAnsi="Calibri" w:cs="Times New Roman"/>
                <w:color w:val="FF0000"/>
                <w:sz w:val="18"/>
                <w:szCs w:val="18"/>
              </w:rPr>
              <w:br/>
              <w:t xml:space="preserve">(Expected </w:t>
            </w:r>
            <w:proofErr w:type="spellStart"/>
            <w:r w:rsidRPr="00BA1C58">
              <w:rPr>
                <w:rFonts w:ascii="Calibri" w:eastAsia="Times New Roman" w:hAnsi="Calibri" w:cs="Times New Roman"/>
                <w:color w:val="FF0000"/>
                <w:sz w:val="18"/>
                <w:szCs w:val="18"/>
              </w:rPr>
              <w:t>freq</w:t>
            </w:r>
            <w:proofErr w:type="spellEnd"/>
            <w:r w:rsidRPr="00BA1C58">
              <w:rPr>
                <w:rFonts w:ascii="Calibri" w:eastAsia="Times New Roman" w:hAnsi="Calibri" w:cs="Times New Roman"/>
                <w:color w:val="FF0000"/>
                <w:sz w:val="18"/>
                <w:szCs w:val="18"/>
              </w:rPr>
              <w:t>)</w:t>
            </w:r>
            <w:r w:rsidRPr="00BA1C58">
              <w:rPr>
                <w:rFonts w:ascii="Calibri" w:eastAsia="Times New Roman" w:hAnsi="Calibri" w:cs="Times New Roman"/>
                <w:color w:val="FF0000"/>
                <w:sz w:val="18"/>
                <w:szCs w:val="18"/>
              </w:rPr>
              <w:br/>
              <w:t>Column %</w:t>
            </w:r>
          </w:p>
        </w:tc>
        <w:tc>
          <w:tcPr>
            <w:tcW w:w="1333" w:type="pct"/>
            <w:tcBorders>
              <w:top w:val="nil"/>
              <w:left w:val="nil"/>
              <w:bottom w:val="single" w:sz="8" w:space="0" w:color="000000"/>
              <w:right w:val="nil"/>
            </w:tcBorders>
            <w:shd w:val="clear" w:color="auto" w:fill="auto"/>
            <w:vAlign w:val="center"/>
            <w:hideMark/>
          </w:tcPr>
          <w:p w14:paraId="05B77FC6" w14:textId="77777777" w:rsidR="00BA1C58" w:rsidRPr="00BA1C58" w:rsidRDefault="00BA1C58" w:rsidP="00BA1C58">
            <w:pPr>
              <w:spacing w:after="0" w:line="240" w:lineRule="auto"/>
              <w:jc w:val="center"/>
              <w:rPr>
                <w:rFonts w:ascii="Calibri" w:eastAsia="Times New Roman" w:hAnsi="Calibri" w:cs="Times New Roman"/>
                <w:color w:val="FF0000"/>
                <w:sz w:val="18"/>
                <w:szCs w:val="18"/>
              </w:rPr>
            </w:pPr>
            <w:r w:rsidRPr="00BA1C58">
              <w:rPr>
                <w:rFonts w:ascii="Calibri" w:eastAsia="Times New Roman" w:hAnsi="Calibri" w:cs="Times New Roman"/>
                <w:color w:val="FF0000"/>
                <w:sz w:val="18"/>
                <w:szCs w:val="18"/>
              </w:rPr>
              <w:t>Frequency</w:t>
            </w:r>
            <w:r w:rsidRPr="00BA1C58">
              <w:rPr>
                <w:rFonts w:ascii="Calibri" w:eastAsia="Times New Roman" w:hAnsi="Calibri" w:cs="Times New Roman"/>
                <w:color w:val="FF0000"/>
                <w:sz w:val="18"/>
                <w:szCs w:val="18"/>
              </w:rPr>
              <w:br/>
              <w:t xml:space="preserve">(Expected </w:t>
            </w:r>
            <w:proofErr w:type="spellStart"/>
            <w:r w:rsidRPr="00BA1C58">
              <w:rPr>
                <w:rFonts w:ascii="Calibri" w:eastAsia="Times New Roman" w:hAnsi="Calibri" w:cs="Times New Roman"/>
                <w:color w:val="FF0000"/>
                <w:sz w:val="18"/>
                <w:szCs w:val="18"/>
              </w:rPr>
              <w:t>freq</w:t>
            </w:r>
            <w:proofErr w:type="spellEnd"/>
            <w:r w:rsidRPr="00BA1C58">
              <w:rPr>
                <w:rFonts w:ascii="Calibri" w:eastAsia="Times New Roman" w:hAnsi="Calibri" w:cs="Times New Roman"/>
                <w:color w:val="FF0000"/>
                <w:sz w:val="18"/>
                <w:szCs w:val="18"/>
              </w:rPr>
              <w:t>)</w:t>
            </w:r>
            <w:r w:rsidRPr="00BA1C58">
              <w:rPr>
                <w:rFonts w:ascii="Calibri" w:eastAsia="Times New Roman" w:hAnsi="Calibri" w:cs="Times New Roman"/>
                <w:color w:val="FF0000"/>
                <w:sz w:val="18"/>
                <w:szCs w:val="18"/>
              </w:rPr>
              <w:br/>
              <w:t>Column %</w:t>
            </w:r>
          </w:p>
        </w:tc>
      </w:tr>
      <w:tr w:rsidR="00BA1C58" w:rsidRPr="00BA1C58" w14:paraId="3622CAF3" w14:textId="77777777" w:rsidTr="00BA1C58">
        <w:trPr>
          <w:trHeight w:val="300"/>
        </w:trPr>
        <w:tc>
          <w:tcPr>
            <w:tcW w:w="2333" w:type="pct"/>
            <w:tcBorders>
              <w:top w:val="nil"/>
              <w:left w:val="nil"/>
              <w:bottom w:val="nil"/>
              <w:right w:val="nil"/>
            </w:tcBorders>
            <w:shd w:val="clear" w:color="000000" w:fill="FFFFFF"/>
            <w:vAlign w:val="bottom"/>
            <w:hideMark/>
          </w:tcPr>
          <w:p w14:paraId="7A84C08B" w14:textId="77777777" w:rsidR="00BA1C58" w:rsidRPr="00BA1C58" w:rsidRDefault="00BA1C58" w:rsidP="00BA1C58">
            <w:pPr>
              <w:spacing w:after="0" w:line="240" w:lineRule="auto"/>
              <w:rPr>
                <w:rFonts w:ascii="Calibri" w:eastAsia="Times New Roman" w:hAnsi="Calibri" w:cs="Times New Roman"/>
                <w:color w:val="FF0000"/>
              </w:rPr>
            </w:pPr>
            <w:r w:rsidRPr="00BA1C58">
              <w:rPr>
                <w:rFonts w:ascii="Calibri" w:eastAsia="Times New Roman" w:hAnsi="Calibri" w:cs="Times New Roman"/>
                <w:color w:val="FF0000"/>
              </w:rPr>
              <w:t>Ethnicity (P= 0.068)</w:t>
            </w:r>
          </w:p>
        </w:tc>
        <w:tc>
          <w:tcPr>
            <w:tcW w:w="1333" w:type="pct"/>
            <w:tcBorders>
              <w:top w:val="nil"/>
              <w:left w:val="nil"/>
              <w:bottom w:val="nil"/>
              <w:right w:val="nil"/>
            </w:tcBorders>
            <w:shd w:val="clear" w:color="auto" w:fill="auto"/>
            <w:noWrap/>
            <w:vAlign w:val="bottom"/>
            <w:hideMark/>
          </w:tcPr>
          <w:p w14:paraId="51DB9DD7" w14:textId="77777777" w:rsidR="00BA1C58" w:rsidRPr="00BA1C58" w:rsidRDefault="00BA1C58" w:rsidP="00BA1C58">
            <w:pPr>
              <w:spacing w:after="0" w:line="240" w:lineRule="auto"/>
              <w:jc w:val="center"/>
              <w:rPr>
                <w:rFonts w:ascii="Calibri" w:eastAsia="Times New Roman" w:hAnsi="Calibri" w:cs="Times New Roman"/>
                <w:color w:val="FF0000"/>
              </w:rPr>
            </w:pPr>
          </w:p>
        </w:tc>
        <w:tc>
          <w:tcPr>
            <w:tcW w:w="1333" w:type="pct"/>
            <w:tcBorders>
              <w:top w:val="nil"/>
              <w:left w:val="nil"/>
              <w:bottom w:val="nil"/>
              <w:right w:val="nil"/>
            </w:tcBorders>
            <w:shd w:val="clear" w:color="auto" w:fill="auto"/>
            <w:noWrap/>
            <w:vAlign w:val="bottom"/>
            <w:hideMark/>
          </w:tcPr>
          <w:p w14:paraId="714318FE" w14:textId="77777777" w:rsidR="00BA1C58" w:rsidRPr="00BA1C58" w:rsidRDefault="00BA1C58" w:rsidP="00BA1C58">
            <w:pPr>
              <w:spacing w:after="0" w:line="240" w:lineRule="auto"/>
              <w:jc w:val="center"/>
              <w:rPr>
                <w:rFonts w:ascii="Calibri" w:eastAsia="Times New Roman" w:hAnsi="Calibri" w:cs="Times New Roman"/>
                <w:color w:val="FF0000"/>
              </w:rPr>
            </w:pPr>
          </w:p>
        </w:tc>
      </w:tr>
      <w:tr w:rsidR="00BA1C58" w:rsidRPr="00BA1C58" w14:paraId="68649337" w14:textId="77777777" w:rsidTr="00BA1C58">
        <w:trPr>
          <w:trHeight w:val="300"/>
        </w:trPr>
        <w:tc>
          <w:tcPr>
            <w:tcW w:w="2333" w:type="pct"/>
            <w:vMerge w:val="restart"/>
            <w:tcBorders>
              <w:top w:val="dotted" w:sz="4" w:space="0" w:color="auto"/>
              <w:left w:val="nil"/>
              <w:bottom w:val="nil"/>
              <w:right w:val="nil"/>
            </w:tcBorders>
            <w:shd w:val="clear" w:color="auto" w:fill="auto"/>
            <w:noWrap/>
            <w:vAlign w:val="center"/>
            <w:hideMark/>
          </w:tcPr>
          <w:p w14:paraId="6FD09DB9" w14:textId="77777777" w:rsidR="00BA1C58" w:rsidRPr="00BA1C58" w:rsidRDefault="00BA1C58" w:rsidP="00BA1C58">
            <w:pPr>
              <w:spacing w:after="0" w:line="240" w:lineRule="auto"/>
              <w:ind w:firstLineChars="200" w:firstLine="440"/>
              <w:rPr>
                <w:rFonts w:ascii="Calibri" w:eastAsia="Times New Roman" w:hAnsi="Calibri" w:cs="Times New Roman"/>
                <w:color w:val="FF0000"/>
              </w:rPr>
            </w:pPr>
            <w:r w:rsidRPr="00BA1C58">
              <w:rPr>
                <w:rFonts w:ascii="Calibri" w:eastAsia="Times New Roman" w:hAnsi="Calibri" w:cs="Times New Roman"/>
                <w:color w:val="FF0000"/>
              </w:rPr>
              <w:t>Hispanic</w:t>
            </w:r>
          </w:p>
        </w:tc>
        <w:tc>
          <w:tcPr>
            <w:tcW w:w="1333" w:type="pct"/>
            <w:tcBorders>
              <w:top w:val="dotted" w:sz="4" w:space="0" w:color="auto"/>
              <w:left w:val="nil"/>
              <w:bottom w:val="nil"/>
              <w:right w:val="nil"/>
            </w:tcBorders>
            <w:shd w:val="clear" w:color="000000" w:fill="FFFFFF"/>
            <w:hideMark/>
          </w:tcPr>
          <w:p w14:paraId="313FAD0E"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37</w:t>
            </w:r>
          </w:p>
        </w:tc>
        <w:tc>
          <w:tcPr>
            <w:tcW w:w="1333" w:type="pct"/>
            <w:tcBorders>
              <w:top w:val="dotted" w:sz="4" w:space="0" w:color="auto"/>
              <w:left w:val="nil"/>
              <w:bottom w:val="nil"/>
              <w:right w:val="nil"/>
            </w:tcBorders>
            <w:shd w:val="clear" w:color="000000" w:fill="FFFFFF"/>
            <w:hideMark/>
          </w:tcPr>
          <w:p w14:paraId="72DECCD2"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13</w:t>
            </w:r>
          </w:p>
        </w:tc>
      </w:tr>
      <w:tr w:rsidR="00BA1C58" w:rsidRPr="00BA1C58" w14:paraId="06E04E85" w14:textId="77777777" w:rsidTr="00BA1C58">
        <w:trPr>
          <w:trHeight w:val="300"/>
        </w:trPr>
        <w:tc>
          <w:tcPr>
            <w:tcW w:w="2333" w:type="pct"/>
            <w:vMerge/>
            <w:tcBorders>
              <w:top w:val="dotted" w:sz="4" w:space="0" w:color="auto"/>
              <w:left w:val="nil"/>
              <w:bottom w:val="nil"/>
              <w:right w:val="nil"/>
            </w:tcBorders>
            <w:vAlign w:val="center"/>
            <w:hideMark/>
          </w:tcPr>
          <w:p w14:paraId="757099CA" w14:textId="77777777" w:rsidR="00BA1C58" w:rsidRPr="00BA1C58" w:rsidRDefault="00BA1C58" w:rsidP="00BA1C58">
            <w:pPr>
              <w:spacing w:after="0" w:line="240" w:lineRule="auto"/>
              <w:rPr>
                <w:rFonts w:ascii="Calibri" w:eastAsia="Times New Roman" w:hAnsi="Calibri" w:cs="Times New Roman"/>
                <w:color w:val="FF0000"/>
              </w:rPr>
            </w:pPr>
          </w:p>
        </w:tc>
        <w:tc>
          <w:tcPr>
            <w:tcW w:w="1333" w:type="pct"/>
            <w:tcBorders>
              <w:top w:val="nil"/>
              <w:left w:val="nil"/>
              <w:bottom w:val="nil"/>
              <w:right w:val="nil"/>
            </w:tcBorders>
            <w:shd w:val="clear" w:color="000000" w:fill="FFFFFF"/>
            <w:hideMark/>
          </w:tcPr>
          <w:p w14:paraId="7BC8E166"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(43)</w:t>
            </w:r>
          </w:p>
        </w:tc>
        <w:tc>
          <w:tcPr>
            <w:tcW w:w="1333" w:type="pct"/>
            <w:tcBorders>
              <w:top w:val="nil"/>
              <w:left w:val="nil"/>
              <w:bottom w:val="nil"/>
              <w:right w:val="nil"/>
            </w:tcBorders>
            <w:shd w:val="clear" w:color="000000" w:fill="FFFFFF"/>
            <w:hideMark/>
          </w:tcPr>
          <w:p w14:paraId="647C128B"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(7)</w:t>
            </w:r>
          </w:p>
        </w:tc>
      </w:tr>
      <w:tr w:rsidR="00BA1C58" w:rsidRPr="00BA1C58" w14:paraId="63C5EC21" w14:textId="77777777" w:rsidTr="00BA1C58">
        <w:trPr>
          <w:trHeight w:val="300"/>
        </w:trPr>
        <w:tc>
          <w:tcPr>
            <w:tcW w:w="2333" w:type="pct"/>
            <w:vMerge/>
            <w:tcBorders>
              <w:top w:val="dotted" w:sz="4" w:space="0" w:color="auto"/>
              <w:left w:val="nil"/>
              <w:bottom w:val="nil"/>
              <w:right w:val="nil"/>
            </w:tcBorders>
            <w:vAlign w:val="center"/>
            <w:hideMark/>
          </w:tcPr>
          <w:p w14:paraId="6630E6A2" w14:textId="77777777" w:rsidR="00BA1C58" w:rsidRPr="00BA1C58" w:rsidRDefault="00BA1C58" w:rsidP="00BA1C58">
            <w:pPr>
              <w:spacing w:after="0" w:line="240" w:lineRule="auto"/>
              <w:rPr>
                <w:rFonts w:ascii="Calibri" w:eastAsia="Times New Roman" w:hAnsi="Calibri" w:cs="Times New Roman"/>
                <w:color w:val="FF0000"/>
              </w:rPr>
            </w:pPr>
          </w:p>
        </w:tc>
        <w:tc>
          <w:tcPr>
            <w:tcW w:w="1333" w:type="pct"/>
            <w:tcBorders>
              <w:top w:val="nil"/>
              <w:left w:val="nil"/>
              <w:bottom w:val="nil"/>
              <w:right w:val="nil"/>
            </w:tcBorders>
            <w:shd w:val="clear" w:color="000000" w:fill="FFFFFF"/>
            <w:hideMark/>
          </w:tcPr>
          <w:p w14:paraId="7D0CB608"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1.9%</w:t>
            </w:r>
          </w:p>
        </w:tc>
        <w:tc>
          <w:tcPr>
            <w:tcW w:w="1333" w:type="pct"/>
            <w:tcBorders>
              <w:top w:val="nil"/>
              <w:left w:val="nil"/>
              <w:bottom w:val="nil"/>
              <w:right w:val="nil"/>
            </w:tcBorders>
            <w:shd w:val="clear" w:color="000000" w:fill="FFFFFF"/>
            <w:hideMark/>
          </w:tcPr>
          <w:p w14:paraId="6BB0414C"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3.9%%</w:t>
            </w:r>
          </w:p>
        </w:tc>
      </w:tr>
      <w:tr w:rsidR="00BA1C58" w:rsidRPr="00BA1C58" w14:paraId="1F32C6DF" w14:textId="77777777" w:rsidTr="00BA1C58">
        <w:trPr>
          <w:trHeight w:val="300"/>
        </w:trPr>
        <w:tc>
          <w:tcPr>
            <w:tcW w:w="2333" w:type="pct"/>
            <w:vMerge w:val="restart"/>
            <w:tcBorders>
              <w:top w:val="dotted" w:sz="4" w:space="0" w:color="auto"/>
              <w:left w:val="nil"/>
              <w:bottom w:val="nil"/>
              <w:right w:val="nil"/>
            </w:tcBorders>
            <w:shd w:val="clear" w:color="auto" w:fill="auto"/>
            <w:noWrap/>
            <w:vAlign w:val="center"/>
            <w:hideMark/>
          </w:tcPr>
          <w:p w14:paraId="3B00A101" w14:textId="77777777" w:rsidR="00BA1C58" w:rsidRPr="00BA1C58" w:rsidRDefault="00BA1C58" w:rsidP="00BA1C58">
            <w:pPr>
              <w:spacing w:after="0" w:line="240" w:lineRule="auto"/>
              <w:ind w:firstLineChars="200" w:firstLine="440"/>
              <w:rPr>
                <w:rFonts w:ascii="Calibri" w:eastAsia="Times New Roman" w:hAnsi="Calibri" w:cs="Times New Roman"/>
                <w:color w:val="FF0000"/>
              </w:rPr>
            </w:pPr>
            <w:r w:rsidRPr="00BA1C58">
              <w:rPr>
                <w:rFonts w:ascii="Calibri" w:eastAsia="Times New Roman" w:hAnsi="Calibri" w:cs="Times New Roman"/>
                <w:color w:val="FF0000"/>
              </w:rPr>
              <w:t xml:space="preserve">Non-Hispanic </w:t>
            </w:r>
          </w:p>
        </w:tc>
        <w:tc>
          <w:tcPr>
            <w:tcW w:w="1333" w:type="pct"/>
            <w:tcBorders>
              <w:top w:val="dotted" w:sz="4" w:space="0" w:color="auto"/>
              <w:left w:val="nil"/>
              <w:bottom w:val="nil"/>
              <w:right w:val="nil"/>
            </w:tcBorders>
            <w:shd w:val="clear" w:color="000000" w:fill="FFFFFF"/>
            <w:hideMark/>
          </w:tcPr>
          <w:p w14:paraId="222D763C"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1,953</w:t>
            </w:r>
          </w:p>
        </w:tc>
        <w:tc>
          <w:tcPr>
            <w:tcW w:w="1333" w:type="pct"/>
            <w:tcBorders>
              <w:top w:val="dotted" w:sz="4" w:space="0" w:color="auto"/>
              <w:left w:val="nil"/>
              <w:bottom w:val="nil"/>
              <w:right w:val="nil"/>
            </w:tcBorders>
            <w:shd w:val="clear" w:color="000000" w:fill="FFFFFF"/>
            <w:hideMark/>
          </w:tcPr>
          <w:p w14:paraId="451DB197"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324</w:t>
            </w:r>
          </w:p>
        </w:tc>
      </w:tr>
      <w:tr w:rsidR="00BA1C58" w:rsidRPr="00BA1C58" w14:paraId="3D7E73B3" w14:textId="77777777" w:rsidTr="00BA1C58">
        <w:trPr>
          <w:trHeight w:val="300"/>
        </w:trPr>
        <w:tc>
          <w:tcPr>
            <w:tcW w:w="2333" w:type="pct"/>
            <w:vMerge/>
            <w:tcBorders>
              <w:top w:val="dotted" w:sz="4" w:space="0" w:color="auto"/>
              <w:left w:val="nil"/>
              <w:bottom w:val="nil"/>
              <w:right w:val="nil"/>
            </w:tcBorders>
            <w:vAlign w:val="center"/>
            <w:hideMark/>
          </w:tcPr>
          <w:p w14:paraId="7A042AC1" w14:textId="77777777" w:rsidR="00BA1C58" w:rsidRPr="00BA1C58" w:rsidRDefault="00BA1C58" w:rsidP="00BA1C58">
            <w:pPr>
              <w:spacing w:after="0" w:line="240" w:lineRule="auto"/>
              <w:rPr>
                <w:rFonts w:ascii="Calibri" w:eastAsia="Times New Roman" w:hAnsi="Calibri" w:cs="Times New Roman"/>
                <w:color w:val="FF0000"/>
              </w:rPr>
            </w:pPr>
          </w:p>
        </w:tc>
        <w:tc>
          <w:tcPr>
            <w:tcW w:w="1333" w:type="pct"/>
            <w:tcBorders>
              <w:top w:val="nil"/>
              <w:left w:val="nil"/>
              <w:bottom w:val="nil"/>
              <w:right w:val="nil"/>
            </w:tcBorders>
            <w:shd w:val="clear" w:color="000000" w:fill="FFFFFF"/>
            <w:hideMark/>
          </w:tcPr>
          <w:p w14:paraId="0CE934D6"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(1,947)</w:t>
            </w:r>
          </w:p>
        </w:tc>
        <w:tc>
          <w:tcPr>
            <w:tcW w:w="1333" w:type="pct"/>
            <w:tcBorders>
              <w:top w:val="nil"/>
              <w:left w:val="nil"/>
              <w:bottom w:val="nil"/>
              <w:right w:val="nil"/>
            </w:tcBorders>
            <w:shd w:val="clear" w:color="000000" w:fill="FFFFFF"/>
            <w:hideMark/>
          </w:tcPr>
          <w:p w14:paraId="699CBFFE"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(330)</w:t>
            </w:r>
          </w:p>
        </w:tc>
      </w:tr>
      <w:tr w:rsidR="00BA1C58" w:rsidRPr="00BA1C58" w14:paraId="65293168" w14:textId="77777777" w:rsidTr="00BA1C58">
        <w:trPr>
          <w:trHeight w:val="300"/>
        </w:trPr>
        <w:tc>
          <w:tcPr>
            <w:tcW w:w="2333" w:type="pct"/>
            <w:vMerge/>
            <w:tcBorders>
              <w:top w:val="dotted" w:sz="4" w:space="0" w:color="auto"/>
              <w:left w:val="nil"/>
              <w:bottom w:val="nil"/>
              <w:right w:val="nil"/>
            </w:tcBorders>
            <w:vAlign w:val="center"/>
            <w:hideMark/>
          </w:tcPr>
          <w:p w14:paraId="3729809B" w14:textId="77777777" w:rsidR="00BA1C58" w:rsidRPr="00BA1C58" w:rsidRDefault="00BA1C58" w:rsidP="00BA1C58">
            <w:pPr>
              <w:spacing w:after="0" w:line="240" w:lineRule="auto"/>
              <w:rPr>
                <w:rFonts w:ascii="Calibri" w:eastAsia="Times New Roman" w:hAnsi="Calibri" w:cs="Times New Roman"/>
                <w:color w:val="FF0000"/>
              </w:rPr>
            </w:pPr>
          </w:p>
        </w:tc>
        <w:tc>
          <w:tcPr>
            <w:tcW w:w="1333" w:type="pct"/>
            <w:tcBorders>
              <w:top w:val="nil"/>
              <w:left w:val="nil"/>
              <w:bottom w:val="nil"/>
              <w:right w:val="nil"/>
            </w:tcBorders>
            <w:shd w:val="clear" w:color="000000" w:fill="FFFFFF"/>
            <w:hideMark/>
          </w:tcPr>
          <w:p w14:paraId="4E378756"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98.1%</w:t>
            </w:r>
          </w:p>
        </w:tc>
        <w:tc>
          <w:tcPr>
            <w:tcW w:w="1333" w:type="pct"/>
            <w:tcBorders>
              <w:top w:val="nil"/>
              <w:left w:val="nil"/>
              <w:bottom w:val="nil"/>
              <w:right w:val="nil"/>
            </w:tcBorders>
            <w:shd w:val="clear" w:color="000000" w:fill="FFFFFF"/>
            <w:hideMark/>
          </w:tcPr>
          <w:p w14:paraId="434FBD97"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96.1%</w:t>
            </w:r>
          </w:p>
        </w:tc>
      </w:tr>
      <w:tr w:rsidR="00BA1C58" w:rsidRPr="00BA1C58" w14:paraId="0081058C" w14:textId="77777777" w:rsidTr="00BA1C58">
        <w:trPr>
          <w:trHeight w:val="300"/>
        </w:trPr>
        <w:tc>
          <w:tcPr>
            <w:tcW w:w="2333" w:type="pct"/>
            <w:tcBorders>
              <w:top w:val="single" w:sz="4" w:space="0" w:color="auto"/>
              <w:left w:val="nil"/>
              <w:bottom w:val="nil"/>
              <w:right w:val="nil"/>
            </w:tcBorders>
            <w:shd w:val="clear" w:color="auto" w:fill="auto"/>
            <w:noWrap/>
            <w:vAlign w:val="bottom"/>
            <w:hideMark/>
          </w:tcPr>
          <w:p w14:paraId="78593DAB" w14:textId="77777777" w:rsidR="00BA1C58" w:rsidRPr="00BA1C58" w:rsidRDefault="00BA1C58" w:rsidP="00BA1C58">
            <w:pPr>
              <w:spacing w:after="0" w:line="240" w:lineRule="auto"/>
              <w:rPr>
                <w:rFonts w:ascii="Calibri" w:eastAsia="Times New Roman" w:hAnsi="Calibri" w:cs="Times New Roman"/>
                <w:color w:val="FF0000"/>
              </w:rPr>
            </w:pPr>
            <w:r w:rsidRPr="00BA1C58">
              <w:rPr>
                <w:rFonts w:ascii="Calibri" w:eastAsia="Times New Roman" w:hAnsi="Calibri" w:cs="Times New Roman"/>
                <w:color w:val="FF0000"/>
              </w:rPr>
              <w:t>Race (P=0.046)</w:t>
            </w:r>
          </w:p>
        </w:tc>
        <w:tc>
          <w:tcPr>
            <w:tcW w:w="1333" w:type="pct"/>
            <w:tcBorders>
              <w:top w:val="single" w:sz="4" w:space="0" w:color="auto"/>
              <w:left w:val="nil"/>
              <w:bottom w:val="nil"/>
              <w:right w:val="nil"/>
            </w:tcBorders>
            <w:shd w:val="clear" w:color="auto" w:fill="auto"/>
            <w:noWrap/>
            <w:vAlign w:val="center"/>
            <w:hideMark/>
          </w:tcPr>
          <w:p w14:paraId="129FAFA0"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 </w:t>
            </w:r>
          </w:p>
        </w:tc>
        <w:tc>
          <w:tcPr>
            <w:tcW w:w="1333" w:type="pct"/>
            <w:tcBorders>
              <w:top w:val="single" w:sz="4" w:space="0" w:color="auto"/>
              <w:left w:val="nil"/>
              <w:bottom w:val="nil"/>
              <w:right w:val="nil"/>
            </w:tcBorders>
            <w:shd w:val="clear" w:color="auto" w:fill="auto"/>
            <w:noWrap/>
            <w:vAlign w:val="center"/>
            <w:hideMark/>
          </w:tcPr>
          <w:p w14:paraId="13215330"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 </w:t>
            </w:r>
          </w:p>
        </w:tc>
      </w:tr>
      <w:tr w:rsidR="00BA1C58" w:rsidRPr="00BA1C58" w14:paraId="260D5875" w14:textId="77777777" w:rsidTr="00BA1C58">
        <w:trPr>
          <w:trHeight w:val="300"/>
        </w:trPr>
        <w:tc>
          <w:tcPr>
            <w:tcW w:w="2333" w:type="pct"/>
            <w:vMerge w:val="restart"/>
            <w:tcBorders>
              <w:top w:val="dotted" w:sz="4" w:space="0" w:color="auto"/>
              <w:left w:val="nil"/>
              <w:bottom w:val="nil"/>
              <w:right w:val="nil"/>
            </w:tcBorders>
            <w:shd w:val="clear" w:color="000000" w:fill="FFFFFF"/>
            <w:vAlign w:val="center"/>
            <w:hideMark/>
          </w:tcPr>
          <w:p w14:paraId="70BE8CAB" w14:textId="77777777" w:rsidR="00BA1C58" w:rsidRPr="00BA1C58" w:rsidRDefault="00BA1C58" w:rsidP="00BA1C58">
            <w:pPr>
              <w:spacing w:after="0" w:line="240" w:lineRule="auto"/>
              <w:ind w:firstLineChars="300" w:firstLine="660"/>
              <w:rPr>
                <w:rFonts w:ascii="Calibri" w:eastAsia="Times New Roman" w:hAnsi="Calibri" w:cs="Times New Roman"/>
                <w:i/>
                <w:iCs/>
                <w:color w:val="FF0000"/>
              </w:rPr>
            </w:pPr>
            <w:r w:rsidRPr="00BA1C58">
              <w:rPr>
                <w:rFonts w:ascii="Calibri" w:eastAsia="Times New Roman" w:hAnsi="Calibri" w:cs="Times New Roman"/>
                <w:i/>
                <w:iCs/>
                <w:color w:val="FF0000"/>
              </w:rPr>
              <w:t>All Other Races</w:t>
            </w:r>
          </w:p>
        </w:tc>
        <w:tc>
          <w:tcPr>
            <w:tcW w:w="1333" w:type="pct"/>
            <w:tcBorders>
              <w:top w:val="dotted" w:sz="4" w:space="0" w:color="auto"/>
              <w:left w:val="nil"/>
              <w:bottom w:val="nil"/>
              <w:right w:val="nil"/>
            </w:tcBorders>
            <w:shd w:val="clear" w:color="000000" w:fill="FFFFFF"/>
            <w:vAlign w:val="center"/>
            <w:hideMark/>
          </w:tcPr>
          <w:p w14:paraId="592780E5"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14</w:t>
            </w:r>
          </w:p>
        </w:tc>
        <w:tc>
          <w:tcPr>
            <w:tcW w:w="1333" w:type="pct"/>
            <w:tcBorders>
              <w:top w:val="dotted" w:sz="4" w:space="0" w:color="auto"/>
              <w:left w:val="nil"/>
              <w:bottom w:val="nil"/>
              <w:right w:val="nil"/>
            </w:tcBorders>
            <w:shd w:val="clear" w:color="000000" w:fill="FFFFFF"/>
            <w:vAlign w:val="center"/>
            <w:hideMark/>
          </w:tcPr>
          <w:p w14:paraId="5B88B179"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w:t>
            </w:r>
          </w:p>
        </w:tc>
      </w:tr>
      <w:tr w:rsidR="00BA1C58" w:rsidRPr="00BA1C58" w14:paraId="1246A55E" w14:textId="77777777" w:rsidTr="00BA1C58">
        <w:trPr>
          <w:trHeight w:val="300"/>
        </w:trPr>
        <w:tc>
          <w:tcPr>
            <w:tcW w:w="2333" w:type="pct"/>
            <w:vMerge/>
            <w:tcBorders>
              <w:top w:val="dotted" w:sz="4" w:space="0" w:color="auto"/>
              <w:left w:val="nil"/>
              <w:bottom w:val="nil"/>
              <w:right w:val="nil"/>
            </w:tcBorders>
            <w:vAlign w:val="center"/>
            <w:hideMark/>
          </w:tcPr>
          <w:p w14:paraId="690750C0"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hideMark/>
          </w:tcPr>
          <w:p w14:paraId="58B1C431"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(13.7)</w:t>
            </w:r>
          </w:p>
        </w:tc>
        <w:tc>
          <w:tcPr>
            <w:tcW w:w="1333" w:type="pct"/>
            <w:tcBorders>
              <w:top w:val="nil"/>
              <w:left w:val="nil"/>
              <w:bottom w:val="nil"/>
              <w:right w:val="nil"/>
            </w:tcBorders>
            <w:shd w:val="clear" w:color="000000" w:fill="FFFFFF"/>
            <w:vAlign w:val="center"/>
            <w:hideMark/>
          </w:tcPr>
          <w:p w14:paraId="36C081F7"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(2.3)</w:t>
            </w:r>
          </w:p>
        </w:tc>
      </w:tr>
      <w:tr w:rsidR="00BA1C58" w:rsidRPr="00BA1C58" w14:paraId="78954877" w14:textId="77777777" w:rsidTr="00BA1C58">
        <w:trPr>
          <w:trHeight w:val="300"/>
        </w:trPr>
        <w:tc>
          <w:tcPr>
            <w:tcW w:w="2333" w:type="pct"/>
            <w:vMerge/>
            <w:tcBorders>
              <w:top w:val="dotted" w:sz="4" w:space="0" w:color="auto"/>
              <w:left w:val="nil"/>
              <w:bottom w:val="nil"/>
              <w:right w:val="nil"/>
            </w:tcBorders>
            <w:vAlign w:val="center"/>
            <w:hideMark/>
          </w:tcPr>
          <w:p w14:paraId="3B42C950"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hideMark/>
          </w:tcPr>
          <w:p w14:paraId="0C31C474"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0.7%</w:t>
            </w:r>
          </w:p>
        </w:tc>
        <w:tc>
          <w:tcPr>
            <w:tcW w:w="1333" w:type="pct"/>
            <w:tcBorders>
              <w:top w:val="nil"/>
              <w:left w:val="nil"/>
              <w:bottom w:val="nil"/>
              <w:right w:val="nil"/>
            </w:tcBorders>
            <w:shd w:val="clear" w:color="000000" w:fill="FFFFFF"/>
            <w:vAlign w:val="center"/>
            <w:hideMark/>
          </w:tcPr>
          <w:p w14:paraId="6C4A4711"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0.6%</w:t>
            </w:r>
          </w:p>
        </w:tc>
      </w:tr>
      <w:tr w:rsidR="00BA1C58" w:rsidRPr="00BA1C58" w14:paraId="2447AB5A" w14:textId="77777777" w:rsidTr="00BA1C58">
        <w:trPr>
          <w:trHeight w:val="300"/>
        </w:trPr>
        <w:tc>
          <w:tcPr>
            <w:tcW w:w="2333" w:type="pct"/>
            <w:vMerge w:val="restart"/>
            <w:tcBorders>
              <w:top w:val="dotted" w:sz="4" w:space="0" w:color="auto"/>
              <w:left w:val="nil"/>
              <w:bottom w:val="nil"/>
              <w:right w:val="nil"/>
            </w:tcBorders>
            <w:shd w:val="clear" w:color="000000" w:fill="FFFFFF"/>
            <w:vAlign w:val="center"/>
            <w:hideMark/>
          </w:tcPr>
          <w:p w14:paraId="1209EFA6" w14:textId="77777777" w:rsidR="00BA1C58" w:rsidRPr="00BA1C58" w:rsidRDefault="00BA1C58" w:rsidP="00BA1C58">
            <w:pPr>
              <w:spacing w:after="0" w:line="240" w:lineRule="auto"/>
              <w:ind w:firstLineChars="300" w:firstLine="660"/>
              <w:rPr>
                <w:rFonts w:ascii="Calibri" w:eastAsia="Times New Roman" w:hAnsi="Calibri" w:cs="Times New Roman"/>
                <w:i/>
                <w:iCs/>
                <w:color w:val="FF0000"/>
              </w:rPr>
            </w:pPr>
            <w:r w:rsidRPr="00BA1C58">
              <w:rPr>
                <w:rFonts w:ascii="Calibri" w:eastAsia="Times New Roman" w:hAnsi="Calibri" w:cs="Times New Roman"/>
                <w:i/>
                <w:iCs/>
                <w:color w:val="FF0000"/>
              </w:rPr>
              <w:t xml:space="preserve">Black </w:t>
            </w:r>
          </w:p>
        </w:tc>
        <w:tc>
          <w:tcPr>
            <w:tcW w:w="1333" w:type="pct"/>
            <w:tcBorders>
              <w:top w:val="dotted" w:sz="4" w:space="0" w:color="auto"/>
              <w:left w:val="nil"/>
              <w:bottom w:val="nil"/>
              <w:right w:val="nil"/>
            </w:tcBorders>
            <w:shd w:val="clear" w:color="000000" w:fill="FFFFFF"/>
            <w:vAlign w:val="center"/>
            <w:hideMark/>
          </w:tcPr>
          <w:p w14:paraId="223B74DE"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96</w:t>
            </w:r>
          </w:p>
        </w:tc>
        <w:tc>
          <w:tcPr>
            <w:tcW w:w="1333" w:type="pct"/>
            <w:tcBorders>
              <w:top w:val="dotted" w:sz="4" w:space="0" w:color="auto"/>
              <w:left w:val="nil"/>
              <w:bottom w:val="nil"/>
              <w:right w:val="nil"/>
            </w:tcBorders>
            <w:shd w:val="clear" w:color="000000" w:fill="FFFFFF"/>
            <w:vAlign w:val="center"/>
            <w:hideMark/>
          </w:tcPr>
          <w:p w14:paraId="5DFF4003"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6</w:t>
            </w:r>
          </w:p>
        </w:tc>
      </w:tr>
      <w:tr w:rsidR="00BA1C58" w:rsidRPr="00BA1C58" w14:paraId="704A8EAF" w14:textId="77777777" w:rsidTr="00BA1C58">
        <w:trPr>
          <w:trHeight w:val="300"/>
        </w:trPr>
        <w:tc>
          <w:tcPr>
            <w:tcW w:w="2333" w:type="pct"/>
            <w:vMerge/>
            <w:tcBorders>
              <w:top w:val="dotted" w:sz="4" w:space="0" w:color="auto"/>
              <w:left w:val="nil"/>
              <w:bottom w:val="nil"/>
              <w:right w:val="nil"/>
            </w:tcBorders>
            <w:vAlign w:val="center"/>
            <w:hideMark/>
          </w:tcPr>
          <w:p w14:paraId="6C8563A0"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hideMark/>
          </w:tcPr>
          <w:p w14:paraId="544BD959"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(87.5)</w:t>
            </w:r>
          </w:p>
        </w:tc>
        <w:tc>
          <w:tcPr>
            <w:tcW w:w="1333" w:type="pct"/>
            <w:tcBorders>
              <w:top w:val="nil"/>
              <w:left w:val="nil"/>
              <w:bottom w:val="nil"/>
              <w:right w:val="nil"/>
            </w:tcBorders>
            <w:shd w:val="clear" w:color="000000" w:fill="FFFFFF"/>
            <w:vAlign w:val="center"/>
            <w:hideMark/>
          </w:tcPr>
          <w:p w14:paraId="7CDE1EA5"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(14.5)</w:t>
            </w:r>
          </w:p>
        </w:tc>
      </w:tr>
      <w:tr w:rsidR="00BA1C58" w:rsidRPr="00BA1C58" w14:paraId="4F4DD52C" w14:textId="77777777" w:rsidTr="00BA1C58">
        <w:trPr>
          <w:trHeight w:val="300"/>
        </w:trPr>
        <w:tc>
          <w:tcPr>
            <w:tcW w:w="2333" w:type="pct"/>
            <w:vMerge/>
            <w:tcBorders>
              <w:top w:val="dotted" w:sz="4" w:space="0" w:color="auto"/>
              <w:left w:val="nil"/>
              <w:bottom w:val="nil"/>
              <w:right w:val="nil"/>
            </w:tcBorders>
            <w:vAlign w:val="center"/>
            <w:hideMark/>
          </w:tcPr>
          <w:p w14:paraId="7750BB65"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hideMark/>
          </w:tcPr>
          <w:p w14:paraId="6F31FA37"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4.9%</w:t>
            </w:r>
          </w:p>
        </w:tc>
        <w:tc>
          <w:tcPr>
            <w:tcW w:w="1333" w:type="pct"/>
            <w:tcBorders>
              <w:top w:val="nil"/>
              <w:left w:val="nil"/>
              <w:bottom w:val="nil"/>
              <w:right w:val="nil"/>
            </w:tcBorders>
            <w:shd w:val="clear" w:color="000000" w:fill="FFFFFF"/>
            <w:vAlign w:val="center"/>
            <w:hideMark/>
          </w:tcPr>
          <w:p w14:paraId="6B58F8CE"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1.9%</w:t>
            </w:r>
          </w:p>
        </w:tc>
      </w:tr>
      <w:tr w:rsidR="00BA1C58" w:rsidRPr="00BA1C58" w14:paraId="62F5D118" w14:textId="77777777" w:rsidTr="00BA1C58">
        <w:trPr>
          <w:trHeight w:val="300"/>
        </w:trPr>
        <w:tc>
          <w:tcPr>
            <w:tcW w:w="2333" w:type="pct"/>
            <w:vMerge w:val="restart"/>
            <w:tcBorders>
              <w:top w:val="dotted" w:sz="4" w:space="0" w:color="auto"/>
              <w:left w:val="nil"/>
              <w:bottom w:val="nil"/>
              <w:right w:val="nil"/>
            </w:tcBorders>
            <w:shd w:val="clear" w:color="000000" w:fill="FFFFFF"/>
            <w:vAlign w:val="center"/>
            <w:hideMark/>
          </w:tcPr>
          <w:p w14:paraId="77F7C6D5" w14:textId="77777777" w:rsidR="00BA1C58" w:rsidRPr="00BA1C58" w:rsidRDefault="00BA1C58" w:rsidP="00BA1C58">
            <w:pPr>
              <w:spacing w:after="0" w:line="240" w:lineRule="auto"/>
              <w:ind w:firstLineChars="300" w:firstLine="660"/>
              <w:rPr>
                <w:rFonts w:ascii="Calibri" w:eastAsia="Times New Roman" w:hAnsi="Calibri" w:cs="Times New Roman"/>
                <w:i/>
                <w:iCs/>
                <w:color w:val="FF0000"/>
              </w:rPr>
            </w:pPr>
            <w:r w:rsidRPr="00BA1C58">
              <w:rPr>
                <w:rFonts w:ascii="Calibri" w:eastAsia="Times New Roman" w:hAnsi="Calibri" w:cs="Times New Roman"/>
                <w:i/>
                <w:iCs/>
                <w:color w:val="FF0000"/>
              </w:rPr>
              <w:t xml:space="preserve">White </w:t>
            </w:r>
          </w:p>
        </w:tc>
        <w:tc>
          <w:tcPr>
            <w:tcW w:w="1333" w:type="pct"/>
            <w:tcBorders>
              <w:top w:val="dotted" w:sz="4" w:space="0" w:color="auto"/>
              <w:left w:val="nil"/>
              <w:bottom w:val="nil"/>
              <w:right w:val="nil"/>
            </w:tcBorders>
            <w:shd w:val="clear" w:color="000000" w:fill="FFFFFF"/>
            <w:vAlign w:val="center"/>
            <w:hideMark/>
          </w:tcPr>
          <w:p w14:paraId="7793CF03"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1,843</w:t>
            </w:r>
          </w:p>
        </w:tc>
        <w:tc>
          <w:tcPr>
            <w:tcW w:w="1333" w:type="pct"/>
            <w:tcBorders>
              <w:top w:val="dotted" w:sz="4" w:space="0" w:color="auto"/>
              <w:left w:val="nil"/>
              <w:bottom w:val="nil"/>
              <w:right w:val="nil"/>
            </w:tcBorders>
            <w:shd w:val="clear" w:color="000000" w:fill="FFFFFF"/>
            <w:vAlign w:val="center"/>
            <w:hideMark/>
          </w:tcPr>
          <w:p w14:paraId="7C79AD2F"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316</w:t>
            </w:r>
          </w:p>
        </w:tc>
      </w:tr>
      <w:tr w:rsidR="00BA1C58" w:rsidRPr="00BA1C58" w14:paraId="10C12F7B" w14:textId="77777777" w:rsidTr="00BA1C58">
        <w:trPr>
          <w:trHeight w:val="300"/>
        </w:trPr>
        <w:tc>
          <w:tcPr>
            <w:tcW w:w="2333" w:type="pct"/>
            <w:vMerge/>
            <w:tcBorders>
              <w:top w:val="dotted" w:sz="4" w:space="0" w:color="auto"/>
              <w:left w:val="nil"/>
              <w:bottom w:val="nil"/>
              <w:right w:val="nil"/>
            </w:tcBorders>
            <w:vAlign w:val="center"/>
            <w:hideMark/>
          </w:tcPr>
          <w:p w14:paraId="0B636AA7"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hideMark/>
          </w:tcPr>
          <w:p w14:paraId="7FFF2F7A"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(1,851.8)</w:t>
            </w:r>
          </w:p>
        </w:tc>
        <w:tc>
          <w:tcPr>
            <w:tcW w:w="1333" w:type="pct"/>
            <w:tcBorders>
              <w:top w:val="nil"/>
              <w:left w:val="nil"/>
              <w:bottom w:val="nil"/>
              <w:right w:val="nil"/>
            </w:tcBorders>
            <w:shd w:val="clear" w:color="000000" w:fill="FFFFFF"/>
            <w:vAlign w:val="center"/>
            <w:hideMark/>
          </w:tcPr>
          <w:p w14:paraId="7BCD5EF7"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(307.2)</w:t>
            </w:r>
          </w:p>
        </w:tc>
      </w:tr>
      <w:tr w:rsidR="00BA1C58" w:rsidRPr="00BA1C58" w14:paraId="11114568" w14:textId="77777777" w:rsidTr="00BA1C58">
        <w:trPr>
          <w:trHeight w:val="300"/>
        </w:trPr>
        <w:tc>
          <w:tcPr>
            <w:tcW w:w="2333" w:type="pct"/>
            <w:vMerge/>
            <w:tcBorders>
              <w:top w:val="dotted" w:sz="4" w:space="0" w:color="auto"/>
              <w:left w:val="nil"/>
              <w:bottom w:val="nil"/>
              <w:right w:val="nil"/>
            </w:tcBorders>
            <w:vAlign w:val="center"/>
            <w:hideMark/>
          </w:tcPr>
          <w:p w14:paraId="5E473E00"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hideMark/>
          </w:tcPr>
          <w:p w14:paraId="6E22684E"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94.4%</w:t>
            </w:r>
          </w:p>
        </w:tc>
        <w:tc>
          <w:tcPr>
            <w:tcW w:w="1333" w:type="pct"/>
            <w:tcBorders>
              <w:top w:val="nil"/>
              <w:left w:val="nil"/>
              <w:bottom w:val="nil"/>
              <w:right w:val="nil"/>
            </w:tcBorders>
            <w:shd w:val="clear" w:color="000000" w:fill="FFFFFF"/>
            <w:vAlign w:val="center"/>
            <w:hideMark/>
          </w:tcPr>
          <w:p w14:paraId="39085E2A"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97.5%</w:t>
            </w:r>
          </w:p>
        </w:tc>
      </w:tr>
      <w:tr w:rsidR="00BA1C58" w:rsidRPr="00BA1C58" w14:paraId="5489BD10" w14:textId="77777777" w:rsidTr="00BA1C58">
        <w:trPr>
          <w:trHeight w:val="300"/>
        </w:trPr>
        <w:tc>
          <w:tcPr>
            <w:tcW w:w="2333" w:type="pct"/>
            <w:tcBorders>
              <w:top w:val="single" w:sz="4" w:space="0" w:color="auto"/>
              <w:left w:val="nil"/>
              <w:bottom w:val="nil"/>
              <w:right w:val="nil"/>
            </w:tcBorders>
            <w:shd w:val="clear" w:color="auto" w:fill="auto"/>
            <w:noWrap/>
            <w:vAlign w:val="bottom"/>
            <w:hideMark/>
          </w:tcPr>
          <w:p w14:paraId="5EA05995" w14:textId="77777777" w:rsidR="00BA1C58" w:rsidRPr="00BA1C58" w:rsidRDefault="00BA1C58" w:rsidP="00BA1C58">
            <w:pPr>
              <w:spacing w:after="0" w:line="240" w:lineRule="auto"/>
              <w:rPr>
                <w:rFonts w:ascii="Calibri" w:eastAsia="Times New Roman" w:hAnsi="Calibri" w:cs="Times New Roman"/>
                <w:color w:val="FF0000"/>
              </w:rPr>
            </w:pPr>
            <w:r w:rsidRPr="00BA1C58">
              <w:rPr>
                <w:rFonts w:ascii="Calibri" w:eastAsia="Times New Roman" w:hAnsi="Calibri" w:cs="Times New Roman"/>
                <w:color w:val="FF0000"/>
              </w:rPr>
              <w:t>Gender (P = 0.003)</w:t>
            </w:r>
          </w:p>
        </w:tc>
        <w:tc>
          <w:tcPr>
            <w:tcW w:w="1333" w:type="pct"/>
            <w:tcBorders>
              <w:top w:val="single" w:sz="4" w:space="0" w:color="auto"/>
              <w:left w:val="nil"/>
              <w:bottom w:val="nil"/>
              <w:right w:val="nil"/>
            </w:tcBorders>
            <w:shd w:val="clear" w:color="auto" w:fill="auto"/>
            <w:noWrap/>
            <w:vAlign w:val="center"/>
            <w:hideMark/>
          </w:tcPr>
          <w:p w14:paraId="489988D0"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 </w:t>
            </w:r>
          </w:p>
        </w:tc>
        <w:tc>
          <w:tcPr>
            <w:tcW w:w="1333" w:type="pct"/>
            <w:tcBorders>
              <w:top w:val="single" w:sz="4" w:space="0" w:color="auto"/>
              <w:left w:val="nil"/>
              <w:bottom w:val="nil"/>
              <w:right w:val="nil"/>
            </w:tcBorders>
            <w:shd w:val="clear" w:color="auto" w:fill="auto"/>
            <w:noWrap/>
            <w:vAlign w:val="center"/>
            <w:hideMark/>
          </w:tcPr>
          <w:p w14:paraId="45226BAE"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 </w:t>
            </w:r>
          </w:p>
        </w:tc>
      </w:tr>
      <w:tr w:rsidR="00BA1C58" w:rsidRPr="00BA1C58" w14:paraId="2864DE84" w14:textId="77777777" w:rsidTr="00BA1C58">
        <w:trPr>
          <w:trHeight w:val="300"/>
        </w:trPr>
        <w:tc>
          <w:tcPr>
            <w:tcW w:w="2333" w:type="pct"/>
            <w:vMerge w:val="restart"/>
            <w:tcBorders>
              <w:top w:val="dotted" w:sz="4" w:space="0" w:color="auto"/>
              <w:left w:val="nil"/>
              <w:bottom w:val="nil"/>
              <w:right w:val="nil"/>
            </w:tcBorders>
            <w:shd w:val="clear" w:color="000000" w:fill="FFFFFF"/>
            <w:vAlign w:val="center"/>
            <w:hideMark/>
          </w:tcPr>
          <w:p w14:paraId="4326FA43" w14:textId="77777777" w:rsidR="00BA1C58" w:rsidRPr="00BA1C58" w:rsidRDefault="00BA1C58" w:rsidP="00BA1C58">
            <w:pPr>
              <w:spacing w:after="0" w:line="240" w:lineRule="auto"/>
              <w:ind w:firstLineChars="200" w:firstLine="440"/>
              <w:rPr>
                <w:rFonts w:ascii="Calibri" w:eastAsia="Times New Roman" w:hAnsi="Calibri" w:cs="Times New Roman"/>
                <w:i/>
                <w:iCs/>
                <w:color w:val="FF0000"/>
              </w:rPr>
            </w:pPr>
            <w:r w:rsidRPr="00BA1C58">
              <w:rPr>
                <w:rFonts w:ascii="Calibri" w:eastAsia="Times New Roman" w:hAnsi="Calibri" w:cs="Times New Roman"/>
                <w:i/>
                <w:iCs/>
                <w:color w:val="FF0000"/>
              </w:rPr>
              <w:t xml:space="preserve">Male </w:t>
            </w:r>
          </w:p>
        </w:tc>
        <w:tc>
          <w:tcPr>
            <w:tcW w:w="1333" w:type="pct"/>
            <w:tcBorders>
              <w:top w:val="dotted" w:sz="4" w:space="0" w:color="auto"/>
              <w:left w:val="nil"/>
              <w:bottom w:val="nil"/>
              <w:right w:val="nil"/>
            </w:tcBorders>
            <w:shd w:val="clear" w:color="000000" w:fill="FFFFFF"/>
            <w:vAlign w:val="center"/>
            <w:hideMark/>
          </w:tcPr>
          <w:p w14:paraId="495BA1F3"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922</w:t>
            </w:r>
          </w:p>
        </w:tc>
        <w:tc>
          <w:tcPr>
            <w:tcW w:w="1333" w:type="pct"/>
            <w:tcBorders>
              <w:top w:val="dotted" w:sz="4" w:space="0" w:color="auto"/>
              <w:left w:val="nil"/>
              <w:bottom w:val="nil"/>
              <w:right w:val="nil"/>
            </w:tcBorders>
            <w:shd w:val="clear" w:color="000000" w:fill="FFFFFF"/>
            <w:vAlign w:val="center"/>
            <w:hideMark/>
          </w:tcPr>
          <w:p w14:paraId="5B60B74D"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127</w:t>
            </w:r>
          </w:p>
        </w:tc>
      </w:tr>
      <w:tr w:rsidR="00BA1C58" w:rsidRPr="00BA1C58" w14:paraId="57D08909" w14:textId="77777777" w:rsidTr="00BA1C58">
        <w:trPr>
          <w:trHeight w:val="300"/>
        </w:trPr>
        <w:tc>
          <w:tcPr>
            <w:tcW w:w="2333" w:type="pct"/>
            <w:vMerge/>
            <w:tcBorders>
              <w:top w:val="dotted" w:sz="4" w:space="0" w:color="auto"/>
              <w:left w:val="nil"/>
              <w:bottom w:val="nil"/>
              <w:right w:val="nil"/>
            </w:tcBorders>
            <w:vAlign w:val="center"/>
            <w:hideMark/>
          </w:tcPr>
          <w:p w14:paraId="40B923C0"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hideMark/>
          </w:tcPr>
          <w:p w14:paraId="199D66A0"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(897.3)</w:t>
            </w:r>
          </w:p>
        </w:tc>
        <w:tc>
          <w:tcPr>
            <w:tcW w:w="1333" w:type="pct"/>
            <w:tcBorders>
              <w:top w:val="nil"/>
              <w:left w:val="nil"/>
              <w:bottom w:val="nil"/>
              <w:right w:val="nil"/>
            </w:tcBorders>
            <w:shd w:val="clear" w:color="000000" w:fill="FFFFFF"/>
            <w:vAlign w:val="center"/>
            <w:hideMark/>
          </w:tcPr>
          <w:p w14:paraId="4676D4DA"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(151.7)</w:t>
            </w:r>
          </w:p>
        </w:tc>
      </w:tr>
      <w:tr w:rsidR="00BA1C58" w:rsidRPr="00BA1C58" w14:paraId="3659ADEB" w14:textId="77777777" w:rsidTr="00BA1C58">
        <w:trPr>
          <w:trHeight w:val="300"/>
        </w:trPr>
        <w:tc>
          <w:tcPr>
            <w:tcW w:w="2333" w:type="pct"/>
            <w:vMerge/>
            <w:tcBorders>
              <w:top w:val="dotted" w:sz="4" w:space="0" w:color="auto"/>
              <w:left w:val="nil"/>
              <w:bottom w:val="nil"/>
              <w:right w:val="nil"/>
            </w:tcBorders>
            <w:vAlign w:val="center"/>
            <w:hideMark/>
          </w:tcPr>
          <w:p w14:paraId="7625EFF0"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hideMark/>
          </w:tcPr>
          <w:p w14:paraId="2872C9F1"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46.3%</w:t>
            </w:r>
          </w:p>
        </w:tc>
        <w:tc>
          <w:tcPr>
            <w:tcW w:w="1333" w:type="pct"/>
            <w:tcBorders>
              <w:top w:val="nil"/>
              <w:left w:val="nil"/>
              <w:bottom w:val="nil"/>
              <w:right w:val="nil"/>
            </w:tcBorders>
            <w:shd w:val="clear" w:color="000000" w:fill="FFFFFF"/>
            <w:vAlign w:val="center"/>
            <w:hideMark/>
          </w:tcPr>
          <w:p w14:paraId="56B9F0DA"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37.7%</w:t>
            </w:r>
          </w:p>
        </w:tc>
      </w:tr>
      <w:tr w:rsidR="00BA1C58" w:rsidRPr="00BA1C58" w14:paraId="1F57CDFE" w14:textId="77777777" w:rsidTr="00BA1C58">
        <w:trPr>
          <w:trHeight w:val="300"/>
        </w:trPr>
        <w:tc>
          <w:tcPr>
            <w:tcW w:w="2333" w:type="pct"/>
            <w:vMerge w:val="restart"/>
            <w:tcBorders>
              <w:top w:val="dotted" w:sz="4" w:space="0" w:color="auto"/>
              <w:left w:val="nil"/>
              <w:bottom w:val="nil"/>
              <w:right w:val="nil"/>
            </w:tcBorders>
            <w:shd w:val="clear" w:color="000000" w:fill="FFFFFF"/>
            <w:vAlign w:val="center"/>
            <w:hideMark/>
          </w:tcPr>
          <w:p w14:paraId="2971D83B" w14:textId="77777777" w:rsidR="00BA1C58" w:rsidRPr="00BA1C58" w:rsidRDefault="00BA1C58" w:rsidP="00BA1C58">
            <w:pPr>
              <w:spacing w:after="0" w:line="240" w:lineRule="auto"/>
              <w:ind w:firstLineChars="200" w:firstLine="440"/>
              <w:rPr>
                <w:rFonts w:ascii="Calibri" w:eastAsia="Times New Roman" w:hAnsi="Calibri" w:cs="Times New Roman"/>
                <w:i/>
                <w:iCs/>
                <w:color w:val="FF0000"/>
              </w:rPr>
            </w:pPr>
            <w:r w:rsidRPr="00BA1C58">
              <w:rPr>
                <w:rFonts w:ascii="Calibri" w:eastAsia="Times New Roman" w:hAnsi="Calibri" w:cs="Times New Roman"/>
                <w:i/>
                <w:iCs/>
                <w:color w:val="FF0000"/>
              </w:rPr>
              <w:t xml:space="preserve">Female </w:t>
            </w:r>
          </w:p>
        </w:tc>
        <w:tc>
          <w:tcPr>
            <w:tcW w:w="1333" w:type="pct"/>
            <w:tcBorders>
              <w:top w:val="dotted" w:sz="4" w:space="0" w:color="auto"/>
              <w:left w:val="nil"/>
              <w:bottom w:val="nil"/>
              <w:right w:val="nil"/>
            </w:tcBorders>
            <w:shd w:val="clear" w:color="000000" w:fill="FFFFFF"/>
            <w:vAlign w:val="center"/>
            <w:hideMark/>
          </w:tcPr>
          <w:p w14:paraId="0F810A55"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1,071</w:t>
            </w:r>
          </w:p>
        </w:tc>
        <w:tc>
          <w:tcPr>
            <w:tcW w:w="1333" w:type="pct"/>
            <w:tcBorders>
              <w:top w:val="dotted" w:sz="4" w:space="0" w:color="auto"/>
              <w:left w:val="nil"/>
              <w:bottom w:val="nil"/>
              <w:right w:val="nil"/>
            </w:tcBorders>
            <w:shd w:val="clear" w:color="000000" w:fill="FFFFFF"/>
            <w:vAlign w:val="center"/>
            <w:hideMark/>
          </w:tcPr>
          <w:p w14:paraId="64760983"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210</w:t>
            </w:r>
          </w:p>
        </w:tc>
      </w:tr>
      <w:tr w:rsidR="00BA1C58" w:rsidRPr="00BA1C58" w14:paraId="49DCF04A" w14:textId="77777777" w:rsidTr="00BA1C58">
        <w:trPr>
          <w:trHeight w:val="300"/>
        </w:trPr>
        <w:tc>
          <w:tcPr>
            <w:tcW w:w="2333" w:type="pct"/>
            <w:vMerge/>
            <w:tcBorders>
              <w:top w:val="dotted" w:sz="4" w:space="0" w:color="auto"/>
              <w:left w:val="nil"/>
              <w:bottom w:val="nil"/>
              <w:right w:val="nil"/>
            </w:tcBorders>
            <w:vAlign w:val="center"/>
            <w:hideMark/>
          </w:tcPr>
          <w:p w14:paraId="0686563B"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hideMark/>
          </w:tcPr>
          <w:p w14:paraId="6AA6B773"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(1095.7)</w:t>
            </w:r>
          </w:p>
        </w:tc>
        <w:tc>
          <w:tcPr>
            <w:tcW w:w="1333" w:type="pct"/>
            <w:tcBorders>
              <w:top w:val="nil"/>
              <w:left w:val="nil"/>
              <w:bottom w:val="nil"/>
              <w:right w:val="nil"/>
            </w:tcBorders>
            <w:shd w:val="clear" w:color="000000" w:fill="FFFFFF"/>
            <w:vAlign w:val="center"/>
            <w:hideMark/>
          </w:tcPr>
          <w:p w14:paraId="18D8A274"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(185.3)</w:t>
            </w:r>
          </w:p>
        </w:tc>
      </w:tr>
      <w:tr w:rsidR="00BA1C58" w:rsidRPr="00BA1C58" w14:paraId="20841303" w14:textId="77777777" w:rsidTr="00BA1C58">
        <w:trPr>
          <w:trHeight w:val="300"/>
        </w:trPr>
        <w:tc>
          <w:tcPr>
            <w:tcW w:w="2333" w:type="pct"/>
            <w:vMerge/>
            <w:tcBorders>
              <w:top w:val="dotted" w:sz="4" w:space="0" w:color="auto"/>
              <w:left w:val="nil"/>
              <w:bottom w:val="nil"/>
              <w:right w:val="nil"/>
            </w:tcBorders>
            <w:vAlign w:val="center"/>
            <w:hideMark/>
          </w:tcPr>
          <w:p w14:paraId="3BFB30E8"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hideMark/>
          </w:tcPr>
          <w:p w14:paraId="2E900EF2"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53.7%</w:t>
            </w:r>
          </w:p>
        </w:tc>
        <w:tc>
          <w:tcPr>
            <w:tcW w:w="1333" w:type="pct"/>
            <w:tcBorders>
              <w:top w:val="nil"/>
              <w:left w:val="nil"/>
              <w:bottom w:val="nil"/>
              <w:right w:val="nil"/>
            </w:tcBorders>
            <w:shd w:val="clear" w:color="000000" w:fill="FFFFFF"/>
            <w:vAlign w:val="center"/>
            <w:hideMark/>
          </w:tcPr>
          <w:p w14:paraId="679A2B82"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62.3%</w:t>
            </w:r>
          </w:p>
        </w:tc>
      </w:tr>
      <w:tr w:rsidR="00BA1C58" w:rsidRPr="00BA1C58" w14:paraId="175CDAFA" w14:textId="77777777" w:rsidTr="00BA1C58">
        <w:trPr>
          <w:trHeight w:val="300"/>
        </w:trPr>
        <w:tc>
          <w:tcPr>
            <w:tcW w:w="2333" w:type="pct"/>
            <w:tcBorders>
              <w:top w:val="single" w:sz="4" w:space="0" w:color="auto"/>
              <w:left w:val="nil"/>
              <w:bottom w:val="nil"/>
              <w:right w:val="nil"/>
            </w:tcBorders>
            <w:shd w:val="clear" w:color="auto" w:fill="auto"/>
            <w:noWrap/>
            <w:vAlign w:val="bottom"/>
            <w:hideMark/>
          </w:tcPr>
          <w:p w14:paraId="05DA2C71" w14:textId="77777777" w:rsidR="00BA1C58" w:rsidRPr="00BA1C58" w:rsidRDefault="00BA1C58" w:rsidP="00BA1C58">
            <w:pPr>
              <w:spacing w:after="0" w:line="240" w:lineRule="auto"/>
              <w:rPr>
                <w:rFonts w:ascii="Calibri" w:eastAsia="Times New Roman" w:hAnsi="Calibri" w:cs="Times New Roman"/>
                <w:color w:val="FF0000"/>
              </w:rPr>
            </w:pPr>
            <w:r w:rsidRPr="00BA1C58">
              <w:rPr>
                <w:rFonts w:ascii="Calibri" w:eastAsia="Times New Roman" w:hAnsi="Calibri" w:cs="Times New Roman"/>
                <w:color w:val="FF0000"/>
              </w:rPr>
              <w:t>Age (P=0.001)</w:t>
            </w:r>
          </w:p>
        </w:tc>
        <w:tc>
          <w:tcPr>
            <w:tcW w:w="1333" w:type="pct"/>
            <w:tcBorders>
              <w:top w:val="single" w:sz="4" w:space="0" w:color="auto"/>
              <w:left w:val="nil"/>
              <w:bottom w:val="nil"/>
              <w:right w:val="nil"/>
            </w:tcBorders>
            <w:shd w:val="clear" w:color="auto" w:fill="auto"/>
            <w:noWrap/>
            <w:vAlign w:val="center"/>
            <w:hideMark/>
          </w:tcPr>
          <w:p w14:paraId="1DE79011"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 </w:t>
            </w:r>
          </w:p>
        </w:tc>
        <w:tc>
          <w:tcPr>
            <w:tcW w:w="1333" w:type="pct"/>
            <w:tcBorders>
              <w:top w:val="single" w:sz="4" w:space="0" w:color="auto"/>
              <w:left w:val="nil"/>
              <w:bottom w:val="nil"/>
              <w:right w:val="nil"/>
            </w:tcBorders>
            <w:shd w:val="clear" w:color="auto" w:fill="auto"/>
            <w:noWrap/>
            <w:vAlign w:val="center"/>
            <w:hideMark/>
          </w:tcPr>
          <w:p w14:paraId="578EABAC"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 </w:t>
            </w:r>
          </w:p>
        </w:tc>
      </w:tr>
      <w:tr w:rsidR="00BA1C58" w:rsidRPr="00BA1C58" w14:paraId="6DBD55B1" w14:textId="77777777" w:rsidTr="00BA1C58">
        <w:trPr>
          <w:trHeight w:val="300"/>
        </w:trPr>
        <w:tc>
          <w:tcPr>
            <w:tcW w:w="2333" w:type="pct"/>
            <w:vMerge w:val="restart"/>
            <w:tcBorders>
              <w:top w:val="dotted" w:sz="4" w:space="0" w:color="auto"/>
              <w:left w:val="nil"/>
              <w:bottom w:val="nil"/>
              <w:right w:val="nil"/>
            </w:tcBorders>
            <w:shd w:val="clear" w:color="000000" w:fill="FFFFFF"/>
            <w:vAlign w:val="center"/>
            <w:hideMark/>
          </w:tcPr>
          <w:p w14:paraId="6049551A" w14:textId="77777777" w:rsidR="00BA1C58" w:rsidRPr="00BA1C58" w:rsidRDefault="00BA1C58" w:rsidP="00BA1C58">
            <w:pPr>
              <w:spacing w:after="0" w:line="240" w:lineRule="auto"/>
              <w:ind w:firstLineChars="200" w:firstLine="440"/>
              <w:rPr>
                <w:rFonts w:ascii="Calibri" w:eastAsia="Times New Roman" w:hAnsi="Calibri" w:cs="Times New Roman"/>
                <w:i/>
                <w:iCs/>
                <w:color w:val="FF0000"/>
              </w:rPr>
            </w:pPr>
            <w:r w:rsidRPr="00BA1C58">
              <w:rPr>
                <w:rFonts w:ascii="Calibri" w:eastAsia="Times New Roman" w:hAnsi="Calibri" w:cs="Times New Roman"/>
                <w:i/>
                <w:iCs/>
                <w:color w:val="FF0000"/>
              </w:rPr>
              <w:t xml:space="preserve">80 years or older </w:t>
            </w:r>
          </w:p>
        </w:tc>
        <w:tc>
          <w:tcPr>
            <w:tcW w:w="1333" w:type="pct"/>
            <w:tcBorders>
              <w:top w:val="dotted" w:sz="4" w:space="0" w:color="auto"/>
              <w:left w:val="nil"/>
              <w:bottom w:val="nil"/>
              <w:right w:val="nil"/>
            </w:tcBorders>
            <w:shd w:val="clear" w:color="000000" w:fill="FFFFFF"/>
            <w:vAlign w:val="center"/>
          </w:tcPr>
          <w:p w14:paraId="7852ADB2"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1,093</w:t>
            </w:r>
          </w:p>
        </w:tc>
        <w:tc>
          <w:tcPr>
            <w:tcW w:w="1333" w:type="pct"/>
            <w:tcBorders>
              <w:top w:val="dotted" w:sz="4" w:space="0" w:color="auto"/>
              <w:left w:val="nil"/>
              <w:bottom w:val="nil"/>
              <w:right w:val="nil"/>
            </w:tcBorders>
            <w:shd w:val="clear" w:color="000000" w:fill="FFFFFF"/>
            <w:vAlign w:val="center"/>
          </w:tcPr>
          <w:p w14:paraId="16DE6B0B"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225</w:t>
            </w:r>
          </w:p>
        </w:tc>
      </w:tr>
      <w:tr w:rsidR="00BA1C58" w:rsidRPr="00BA1C58" w14:paraId="16303265" w14:textId="77777777" w:rsidTr="00BA1C58">
        <w:trPr>
          <w:trHeight w:val="300"/>
        </w:trPr>
        <w:tc>
          <w:tcPr>
            <w:tcW w:w="2333" w:type="pct"/>
            <w:vMerge/>
            <w:tcBorders>
              <w:top w:val="dotted" w:sz="4" w:space="0" w:color="auto"/>
              <w:left w:val="nil"/>
              <w:bottom w:val="nil"/>
              <w:right w:val="nil"/>
            </w:tcBorders>
            <w:vAlign w:val="center"/>
            <w:hideMark/>
          </w:tcPr>
          <w:p w14:paraId="138D5932"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30A38A3D"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(1,127.4)</w:t>
            </w:r>
          </w:p>
        </w:tc>
        <w:tc>
          <w:tcPr>
            <w:tcW w:w="1333" w:type="pct"/>
            <w:tcBorders>
              <w:top w:val="nil"/>
              <w:left w:val="nil"/>
              <w:bottom w:val="nil"/>
              <w:right w:val="nil"/>
            </w:tcBorders>
            <w:shd w:val="clear" w:color="000000" w:fill="FFFFFF"/>
            <w:vAlign w:val="center"/>
          </w:tcPr>
          <w:p w14:paraId="0CFB0D0C"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(190.6)</w:t>
            </w:r>
          </w:p>
        </w:tc>
      </w:tr>
      <w:tr w:rsidR="00BA1C58" w:rsidRPr="00BA1C58" w14:paraId="004875AE" w14:textId="77777777" w:rsidTr="00BA1C58">
        <w:trPr>
          <w:trHeight w:val="300"/>
        </w:trPr>
        <w:tc>
          <w:tcPr>
            <w:tcW w:w="2333" w:type="pct"/>
            <w:vMerge/>
            <w:tcBorders>
              <w:top w:val="dotted" w:sz="4" w:space="0" w:color="auto"/>
              <w:left w:val="nil"/>
              <w:bottom w:val="nil"/>
              <w:right w:val="nil"/>
            </w:tcBorders>
            <w:vAlign w:val="center"/>
            <w:hideMark/>
          </w:tcPr>
          <w:p w14:paraId="520A0689"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65A9984C"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54.8%</w:t>
            </w:r>
          </w:p>
        </w:tc>
        <w:tc>
          <w:tcPr>
            <w:tcW w:w="1333" w:type="pct"/>
            <w:tcBorders>
              <w:top w:val="nil"/>
              <w:left w:val="nil"/>
              <w:bottom w:val="nil"/>
              <w:right w:val="nil"/>
            </w:tcBorders>
            <w:shd w:val="clear" w:color="000000" w:fill="FFFFFF"/>
            <w:vAlign w:val="center"/>
          </w:tcPr>
          <w:p w14:paraId="36449658"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66.8%</w:t>
            </w:r>
          </w:p>
        </w:tc>
      </w:tr>
      <w:tr w:rsidR="00BA1C58" w:rsidRPr="00BA1C58" w14:paraId="11AEA771" w14:textId="77777777" w:rsidTr="00BA1C58">
        <w:trPr>
          <w:trHeight w:val="300"/>
        </w:trPr>
        <w:tc>
          <w:tcPr>
            <w:tcW w:w="2333" w:type="pct"/>
            <w:vMerge w:val="restart"/>
            <w:tcBorders>
              <w:top w:val="dotted" w:sz="4" w:space="0" w:color="auto"/>
              <w:left w:val="nil"/>
              <w:bottom w:val="nil"/>
              <w:right w:val="nil"/>
            </w:tcBorders>
            <w:shd w:val="clear" w:color="000000" w:fill="FFFFFF"/>
            <w:vAlign w:val="center"/>
            <w:hideMark/>
          </w:tcPr>
          <w:p w14:paraId="76D7412A" w14:textId="77777777" w:rsidR="00BA1C58" w:rsidRPr="00BA1C58" w:rsidRDefault="00BA1C58" w:rsidP="00BA1C58">
            <w:pPr>
              <w:spacing w:after="0" w:line="240" w:lineRule="auto"/>
              <w:ind w:firstLineChars="200" w:firstLine="440"/>
              <w:rPr>
                <w:rFonts w:ascii="Calibri" w:eastAsia="Times New Roman" w:hAnsi="Calibri" w:cs="Times New Roman"/>
                <w:i/>
                <w:iCs/>
                <w:color w:val="FF0000"/>
              </w:rPr>
            </w:pPr>
            <w:r w:rsidRPr="00BA1C58">
              <w:rPr>
                <w:rFonts w:ascii="Calibri" w:eastAsia="Times New Roman" w:hAnsi="Calibri" w:cs="Times New Roman"/>
                <w:i/>
                <w:iCs/>
                <w:color w:val="FF0000"/>
              </w:rPr>
              <w:t xml:space="preserve">65 - 79 years </w:t>
            </w:r>
          </w:p>
        </w:tc>
        <w:tc>
          <w:tcPr>
            <w:tcW w:w="1333" w:type="pct"/>
            <w:tcBorders>
              <w:top w:val="dotted" w:sz="4" w:space="0" w:color="auto"/>
              <w:left w:val="nil"/>
              <w:bottom w:val="nil"/>
              <w:right w:val="nil"/>
            </w:tcBorders>
            <w:shd w:val="clear" w:color="000000" w:fill="FFFFFF"/>
            <w:vAlign w:val="center"/>
          </w:tcPr>
          <w:p w14:paraId="3AEBE7DD"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564</w:t>
            </w:r>
          </w:p>
        </w:tc>
        <w:tc>
          <w:tcPr>
            <w:tcW w:w="1333" w:type="pct"/>
            <w:tcBorders>
              <w:top w:val="dotted" w:sz="4" w:space="0" w:color="auto"/>
              <w:left w:val="nil"/>
              <w:bottom w:val="nil"/>
              <w:right w:val="nil"/>
            </w:tcBorders>
            <w:shd w:val="clear" w:color="000000" w:fill="FFFFFF"/>
            <w:vAlign w:val="center"/>
          </w:tcPr>
          <w:p w14:paraId="072AD80A"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78</w:t>
            </w:r>
          </w:p>
        </w:tc>
      </w:tr>
      <w:tr w:rsidR="00BA1C58" w:rsidRPr="00BA1C58" w14:paraId="237D0B7A" w14:textId="77777777" w:rsidTr="00BA1C58">
        <w:trPr>
          <w:trHeight w:val="300"/>
        </w:trPr>
        <w:tc>
          <w:tcPr>
            <w:tcW w:w="2333" w:type="pct"/>
            <w:vMerge/>
            <w:tcBorders>
              <w:top w:val="dotted" w:sz="4" w:space="0" w:color="auto"/>
              <w:left w:val="nil"/>
              <w:bottom w:val="nil"/>
              <w:right w:val="nil"/>
            </w:tcBorders>
            <w:vAlign w:val="center"/>
            <w:hideMark/>
          </w:tcPr>
          <w:p w14:paraId="745A492E"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46B64D37"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(549.1)</w:t>
            </w:r>
          </w:p>
        </w:tc>
        <w:tc>
          <w:tcPr>
            <w:tcW w:w="1333" w:type="pct"/>
            <w:tcBorders>
              <w:top w:val="nil"/>
              <w:left w:val="nil"/>
              <w:bottom w:val="nil"/>
              <w:right w:val="nil"/>
            </w:tcBorders>
            <w:shd w:val="clear" w:color="000000" w:fill="FFFFFF"/>
            <w:vAlign w:val="center"/>
          </w:tcPr>
          <w:p w14:paraId="5ABD1936"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(92.9)</w:t>
            </w:r>
          </w:p>
        </w:tc>
      </w:tr>
      <w:tr w:rsidR="00BA1C58" w:rsidRPr="00BA1C58" w14:paraId="24380504" w14:textId="77777777" w:rsidTr="00BA1C58">
        <w:trPr>
          <w:trHeight w:val="300"/>
        </w:trPr>
        <w:tc>
          <w:tcPr>
            <w:tcW w:w="2333" w:type="pct"/>
            <w:vMerge/>
            <w:tcBorders>
              <w:top w:val="dotted" w:sz="4" w:space="0" w:color="auto"/>
              <w:left w:val="nil"/>
              <w:bottom w:val="nil"/>
              <w:right w:val="nil"/>
            </w:tcBorders>
            <w:vAlign w:val="center"/>
            <w:hideMark/>
          </w:tcPr>
          <w:p w14:paraId="0F2E1F84"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777BB669"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28.3%</w:t>
            </w:r>
          </w:p>
        </w:tc>
        <w:tc>
          <w:tcPr>
            <w:tcW w:w="1333" w:type="pct"/>
            <w:tcBorders>
              <w:top w:val="nil"/>
              <w:left w:val="nil"/>
              <w:bottom w:val="nil"/>
              <w:right w:val="nil"/>
            </w:tcBorders>
            <w:shd w:val="clear" w:color="000000" w:fill="FFFFFF"/>
            <w:vAlign w:val="center"/>
          </w:tcPr>
          <w:p w14:paraId="6011C178"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23.2%</w:t>
            </w:r>
          </w:p>
        </w:tc>
      </w:tr>
      <w:tr w:rsidR="00BA1C58" w:rsidRPr="00BA1C58" w14:paraId="0DBC87D5" w14:textId="77777777" w:rsidTr="00BA1C58">
        <w:trPr>
          <w:trHeight w:val="300"/>
        </w:trPr>
        <w:tc>
          <w:tcPr>
            <w:tcW w:w="2333" w:type="pct"/>
            <w:vMerge w:val="restart"/>
            <w:tcBorders>
              <w:top w:val="dotted" w:sz="4" w:space="0" w:color="auto"/>
              <w:left w:val="nil"/>
              <w:bottom w:val="nil"/>
              <w:right w:val="nil"/>
            </w:tcBorders>
            <w:shd w:val="clear" w:color="000000" w:fill="FFFFFF"/>
            <w:vAlign w:val="center"/>
            <w:hideMark/>
          </w:tcPr>
          <w:p w14:paraId="14253DED" w14:textId="77777777" w:rsidR="00BA1C58" w:rsidRPr="00BA1C58" w:rsidRDefault="00BA1C58" w:rsidP="00BA1C58">
            <w:pPr>
              <w:spacing w:after="0" w:line="240" w:lineRule="auto"/>
              <w:ind w:firstLineChars="200" w:firstLine="440"/>
              <w:rPr>
                <w:rFonts w:ascii="Calibri" w:eastAsia="Times New Roman" w:hAnsi="Calibri" w:cs="Times New Roman"/>
                <w:i/>
                <w:iCs/>
                <w:color w:val="FF0000"/>
              </w:rPr>
            </w:pPr>
            <w:r w:rsidRPr="00BA1C58">
              <w:rPr>
                <w:rFonts w:ascii="Calibri" w:eastAsia="Times New Roman" w:hAnsi="Calibri" w:cs="Times New Roman"/>
                <w:i/>
                <w:iCs/>
                <w:color w:val="FF0000"/>
              </w:rPr>
              <w:t xml:space="preserve">20 - 64 years </w:t>
            </w:r>
          </w:p>
        </w:tc>
        <w:tc>
          <w:tcPr>
            <w:tcW w:w="1333" w:type="pct"/>
            <w:tcBorders>
              <w:top w:val="dotted" w:sz="4" w:space="0" w:color="auto"/>
              <w:left w:val="nil"/>
              <w:bottom w:val="nil"/>
              <w:right w:val="nil"/>
            </w:tcBorders>
            <w:shd w:val="clear" w:color="000000" w:fill="FFFFFF"/>
            <w:vAlign w:val="center"/>
          </w:tcPr>
          <w:p w14:paraId="73C56DE8"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332</w:t>
            </w:r>
          </w:p>
        </w:tc>
        <w:tc>
          <w:tcPr>
            <w:tcW w:w="1333" w:type="pct"/>
            <w:tcBorders>
              <w:top w:val="dotted" w:sz="4" w:space="0" w:color="auto"/>
              <w:left w:val="nil"/>
              <w:bottom w:val="nil"/>
              <w:right w:val="nil"/>
            </w:tcBorders>
            <w:shd w:val="clear" w:color="000000" w:fill="FFFFFF"/>
            <w:vAlign w:val="center"/>
          </w:tcPr>
          <w:p w14:paraId="7816620D"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27</w:t>
            </w:r>
          </w:p>
        </w:tc>
      </w:tr>
      <w:tr w:rsidR="00BA1C58" w:rsidRPr="00BA1C58" w14:paraId="40A9D24C" w14:textId="77777777" w:rsidTr="00BA1C58">
        <w:trPr>
          <w:trHeight w:val="300"/>
        </w:trPr>
        <w:tc>
          <w:tcPr>
            <w:tcW w:w="2333" w:type="pct"/>
            <w:vMerge/>
            <w:tcBorders>
              <w:top w:val="dotted" w:sz="4" w:space="0" w:color="auto"/>
              <w:left w:val="nil"/>
              <w:bottom w:val="nil"/>
              <w:right w:val="nil"/>
            </w:tcBorders>
            <w:vAlign w:val="center"/>
            <w:hideMark/>
          </w:tcPr>
          <w:p w14:paraId="14B3BAA4"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4E0BEB43"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(307.1)</w:t>
            </w:r>
          </w:p>
        </w:tc>
        <w:tc>
          <w:tcPr>
            <w:tcW w:w="1333" w:type="pct"/>
            <w:tcBorders>
              <w:top w:val="nil"/>
              <w:left w:val="nil"/>
              <w:bottom w:val="nil"/>
              <w:right w:val="nil"/>
            </w:tcBorders>
            <w:shd w:val="clear" w:color="000000" w:fill="FFFFFF"/>
            <w:vAlign w:val="center"/>
          </w:tcPr>
          <w:p w14:paraId="3A4D4055"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(51.9)</w:t>
            </w:r>
          </w:p>
        </w:tc>
      </w:tr>
      <w:tr w:rsidR="00BA1C58" w:rsidRPr="00BA1C58" w14:paraId="2C4F0026" w14:textId="77777777" w:rsidTr="00BA1C58">
        <w:trPr>
          <w:trHeight w:val="300"/>
        </w:trPr>
        <w:tc>
          <w:tcPr>
            <w:tcW w:w="2333" w:type="pct"/>
            <w:vMerge/>
            <w:tcBorders>
              <w:top w:val="dotted" w:sz="4" w:space="0" w:color="auto"/>
              <w:left w:val="nil"/>
              <w:bottom w:val="nil"/>
              <w:right w:val="nil"/>
            </w:tcBorders>
            <w:vAlign w:val="center"/>
            <w:hideMark/>
          </w:tcPr>
          <w:p w14:paraId="4DF58A25"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5FC193CB"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16.7%</w:t>
            </w:r>
          </w:p>
        </w:tc>
        <w:tc>
          <w:tcPr>
            <w:tcW w:w="1333" w:type="pct"/>
            <w:tcBorders>
              <w:top w:val="nil"/>
              <w:left w:val="nil"/>
              <w:bottom w:val="nil"/>
              <w:right w:val="nil"/>
            </w:tcBorders>
            <w:shd w:val="clear" w:color="000000" w:fill="FFFFFF"/>
            <w:vAlign w:val="center"/>
          </w:tcPr>
          <w:p w14:paraId="204FB13C"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8.0%</w:t>
            </w:r>
          </w:p>
        </w:tc>
      </w:tr>
      <w:tr w:rsidR="00BA1C58" w:rsidRPr="00BA1C58" w14:paraId="369AD7D0" w14:textId="77777777" w:rsidTr="00BA1C58">
        <w:trPr>
          <w:trHeight w:val="300"/>
        </w:trPr>
        <w:tc>
          <w:tcPr>
            <w:tcW w:w="2333" w:type="pct"/>
            <w:vMerge w:val="restart"/>
            <w:tcBorders>
              <w:top w:val="dotted" w:sz="4" w:space="0" w:color="auto"/>
              <w:left w:val="nil"/>
              <w:bottom w:val="single" w:sz="8" w:space="0" w:color="000000"/>
              <w:right w:val="nil"/>
            </w:tcBorders>
            <w:shd w:val="clear" w:color="000000" w:fill="FFFFFF"/>
            <w:vAlign w:val="center"/>
            <w:hideMark/>
          </w:tcPr>
          <w:p w14:paraId="6DC571DE" w14:textId="77777777" w:rsidR="00BA1C58" w:rsidRPr="00BA1C58" w:rsidRDefault="00BA1C58" w:rsidP="00BA1C58">
            <w:pPr>
              <w:spacing w:after="0" w:line="240" w:lineRule="auto"/>
              <w:ind w:firstLineChars="200" w:firstLine="440"/>
              <w:rPr>
                <w:rFonts w:ascii="Calibri" w:eastAsia="Times New Roman" w:hAnsi="Calibri" w:cs="Times New Roman"/>
                <w:i/>
                <w:iCs/>
                <w:color w:val="FF0000"/>
              </w:rPr>
            </w:pPr>
            <w:r w:rsidRPr="00BA1C58">
              <w:rPr>
                <w:rFonts w:ascii="Calibri" w:eastAsia="Times New Roman" w:hAnsi="Calibri" w:cs="Times New Roman"/>
                <w:i/>
                <w:iCs/>
                <w:color w:val="FF0000"/>
              </w:rPr>
              <w:t>19 years or younger</w:t>
            </w:r>
          </w:p>
        </w:tc>
        <w:tc>
          <w:tcPr>
            <w:tcW w:w="1333" w:type="pct"/>
            <w:tcBorders>
              <w:top w:val="dotted" w:sz="4" w:space="0" w:color="auto"/>
              <w:left w:val="nil"/>
              <w:bottom w:val="nil"/>
              <w:right w:val="nil"/>
            </w:tcBorders>
            <w:shd w:val="clear" w:color="000000" w:fill="FFFFFF"/>
            <w:vAlign w:val="center"/>
          </w:tcPr>
          <w:p w14:paraId="4AAE371A"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4</w:t>
            </w:r>
          </w:p>
        </w:tc>
        <w:tc>
          <w:tcPr>
            <w:tcW w:w="1333" w:type="pct"/>
            <w:tcBorders>
              <w:top w:val="dotted" w:sz="4" w:space="0" w:color="auto"/>
              <w:left w:val="nil"/>
              <w:bottom w:val="nil"/>
              <w:right w:val="nil"/>
            </w:tcBorders>
            <w:shd w:val="clear" w:color="000000" w:fill="FFFFFF"/>
            <w:vAlign w:val="center"/>
          </w:tcPr>
          <w:p w14:paraId="1884B830"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7</w:t>
            </w:r>
          </w:p>
        </w:tc>
      </w:tr>
      <w:tr w:rsidR="00BA1C58" w:rsidRPr="00BA1C58" w14:paraId="4478B535" w14:textId="77777777" w:rsidTr="00BA1C58">
        <w:trPr>
          <w:trHeight w:val="300"/>
        </w:trPr>
        <w:tc>
          <w:tcPr>
            <w:tcW w:w="2333" w:type="pct"/>
            <w:vMerge/>
            <w:tcBorders>
              <w:top w:val="dotted" w:sz="4" w:space="0" w:color="auto"/>
              <w:left w:val="nil"/>
              <w:bottom w:val="single" w:sz="8" w:space="0" w:color="000000"/>
              <w:right w:val="nil"/>
            </w:tcBorders>
            <w:vAlign w:val="center"/>
            <w:hideMark/>
          </w:tcPr>
          <w:p w14:paraId="6D562040"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1C20215A"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(9.4)</w:t>
            </w:r>
          </w:p>
        </w:tc>
        <w:tc>
          <w:tcPr>
            <w:tcW w:w="1333" w:type="pct"/>
            <w:tcBorders>
              <w:top w:val="nil"/>
              <w:left w:val="nil"/>
              <w:bottom w:val="nil"/>
              <w:right w:val="nil"/>
            </w:tcBorders>
            <w:shd w:val="clear" w:color="000000" w:fill="FFFFFF"/>
            <w:vAlign w:val="center"/>
          </w:tcPr>
          <w:p w14:paraId="17AC34F7"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(1.6)</w:t>
            </w:r>
          </w:p>
        </w:tc>
      </w:tr>
      <w:tr w:rsidR="00BA1C58" w:rsidRPr="00BA1C58" w14:paraId="02614516" w14:textId="77777777" w:rsidTr="00BA1C58">
        <w:trPr>
          <w:trHeight w:val="315"/>
        </w:trPr>
        <w:tc>
          <w:tcPr>
            <w:tcW w:w="2333" w:type="pct"/>
            <w:vMerge/>
            <w:tcBorders>
              <w:top w:val="dotted" w:sz="4" w:space="0" w:color="auto"/>
              <w:left w:val="nil"/>
              <w:bottom w:val="single" w:sz="8" w:space="0" w:color="000000"/>
              <w:right w:val="nil"/>
            </w:tcBorders>
            <w:vAlign w:val="center"/>
            <w:hideMark/>
          </w:tcPr>
          <w:p w14:paraId="65CC850C" w14:textId="77777777" w:rsidR="00BA1C58" w:rsidRPr="00BA1C58" w:rsidRDefault="00BA1C58" w:rsidP="00BA1C58">
            <w:pPr>
              <w:spacing w:after="0" w:line="240" w:lineRule="auto"/>
              <w:rPr>
                <w:rFonts w:ascii="Calibri" w:eastAsia="Times New Roman" w:hAnsi="Calibri" w:cs="Times New Roman"/>
                <w:i/>
                <w:iCs/>
                <w:color w:val="FF0000"/>
              </w:rPr>
            </w:pPr>
          </w:p>
        </w:tc>
        <w:tc>
          <w:tcPr>
            <w:tcW w:w="1333" w:type="pct"/>
            <w:tcBorders>
              <w:top w:val="nil"/>
              <w:left w:val="nil"/>
              <w:bottom w:val="single" w:sz="8" w:space="0" w:color="000000"/>
              <w:right w:val="nil"/>
            </w:tcBorders>
            <w:shd w:val="clear" w:color="000000" w:fill="FFFFFF"/>
            <w:vAlign w:val="center"/>
          </w:tcPr>
          <w:p w14:paraId="7219128B"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0.2%</w:t>
            </w:r>
          </w:p>
        </w:tc>
        <w:tc>
          <w:tcPr>
            <w:tcW w:w="1333" w:type="pct"/>
            <w:tcBorders>
              <w:top w:val="nil"/>
              <w:left w:val="nil"/>
              <w:bottom w:val="single" w:sz="8" w:space="0" w:color="000000"/>
              <w:right w:val="nil"/>
            </w:tcBorders>
            <w:shd w:val="clear" w:color="000000" w:fill="FFFFFF"/>
            <w:vAlign w:val="center"/>
          </w:tcPr>
          <w:p w14:paraId="46E961FF"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2.1%</w:t>
            </w:r>
          </w:p>
        </w:tc>
      </w:tr>
    </w:tbl>
    <w:p w14:paraId="68A42179"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t>Frequency Distribution across the Measured Entity:</w:t>
      </w:r>
    </w:p>
    <w:p w14:paraId="7BA51FE8" w14:textId="77777777" w:rsidR="00BA1C58" w:rsidRPr="00BA1C58" w:rsidRDefault="00BA1C58" w:rsidP="00BA1C58">
      <w:pPr>
        <w:autoSpaceDE w:val="0"/>
        <w:autoSpaceDN w:val="0"/>
        <w:adjustRightInd w:val="0"/>
        <w:spacing w:after="0" w:line="240" w:lineRule="auto"/>
        <w:rPr>
          <w:rFonts w:cstheme="minorHAnsi"/>
          <w:bCs/>
          <w:color w:val="FF0000"/>
        </w:rPr>
      </w:pPr>
    </w:p>
    <w:p w14:paraId="08C60F48"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t>The following table details the mean percentage of included responses for each agency characteristic:</w:t>
      </w:r>
    </w:p>
    <w:p w14:paraId="3144E458" w14:textId="77777777" w:rsidR="00BA1C58" w:rsidRPr="00BA1C58" w:rsidRDefault="00BA1C58" w:rsidP="00BA1C58">
      <w:pPr>
        <w:autoSpaceDE w:val="0"/>
        <w:autoSpaceDN w:val="0"/>
        <w:adjustRightInd w:val="0"/>
        <w:spacing w:after="0" w:line="240" w:lineRule="auto"/>
        <w:rPr>
          <w:rFonts w:cstheme="minorHAnsi"/>
          <w:bCs/>
          <w:color w:val="FF0000"/>
        </w:rPr>
      </w:pPr>
    </w:p>
    <w:tbl>
      <w:tblPr>
        <w:tblW w:w="8000" w:type="dxa"/>
        <w:tblInd w:w="93" w:type="dxa"/>
        <w:tblLook w:val="04A0" w:firstRow="1" w:lastRow="0" w:firstColumn="1" w:lastColumn="0" w:noHBand="0" w:noVBand="1"/>
      </w:tblPr>
      <w:tblGrid>
        <w:gridCol w:w="2500"/>
        <w:gridCol w:w="1100"/>
        <w:gridCol w:w="1100"/>
        <w:gridCol w:w="1100"/>
        <w:gridCol w:w="1100"/>
        <w:gridCol w:w="1100"/>
      </w:tblGrid>
      <w:tr w:rsidR="00BA1C58" w:rsidRPr="00BA1C58" w14:paraId="46186B11" w14:textId="77777777" w:rsidTr="00BA1C58">
        <w:trPr>
          <w:trHeight w:val="315"/>
        </w:trPr>
        <w:tc>
          <w:tcPr>
            <w:tcW w:w="2500" w:type="dxa"/>
            <w:tcBorders>
              <w:top w:val="single" w:sz="8" w:space="0" w:color="auto"/>
              <w:left w:val="nil"/>
              <w:bottom w:val="nil"/>
              <w:right w:val="nil"/>
            </w:tcBorders>
            <w:shd w:val="clear" w:color="auto" w:fill="auto"/>
            <w:vAlign w:val="center"/>
            <w:hideMark/>
          </w:tcPr>
          <w:p w14:paraId="3AF8DDBC" w14:textId="77777777" w:rsidR="00BA1C58" w:rsidRPr="00BA1C58" w:rsidRDefault="00BA1C58" w:rsidP="00BA1C58">
            <w:pPr>
              <w:spacing w:after="0" w:line="240" w:lineRule="auto"/>
              <w:jc w:val="center"/>
              <w:rPr>
                <w:rFonts w:ascii="Calibri" w:eastAsia="Times New Roman" w:hAnsi="Calibri" w:cs="Times New Roman"/>
                <w:b/>
                <w:bCs/>
                <w:color w:val="FF0000"/>
              </w:rPr>
            </w:pPr>
            <w:r w:rsidRPr="00BA1C58">
              <w:rPr>
                <w:rFonts w:ascii="Calibri" w:eastAsia="Times New Roman" w:hAnsi="Calibri" w:cs="Times New Roman"/>
                <w:b/>
                <w:bCs/>
                <w:color w:val="FF0000"/>
              </w:rPr>
              <w:t>Hospice Characteristic</w:t>
            </w:r>
          </w:p>
        </w:tc>
        <w:tc>
          <w:tcPr>
            <w:tcW w:w="1100" w:type="dxa"/>
            <w:tcBorders>
              <w:top w:val="single" w:sz="8" w:space="0" w:color="auto"/>
              <w:left w:val="nil"/>
              <w:bottom w:val="nil"/>
              <w:right w:val="nil"/>
            </w:tcBorders>
            <w:shd w:val="clear" w:color="auto" w:fill="auto"/>
            <w:vAlign w:val="center"/>
            <w:hideMark/>
          </w:tcPr>
          <w:p w14:paraId="785F3FFF" w14:textId="77777777" w:rsidR="00BA1C58" w:rsidRPr="00BA1C58" w:rsidRDefault="00BA1C58" w:rsidP="00BA1C58">
            <w:pPr>
              <w:spacing w:after="0" w:line="240" w:lineRule="auto"/>
              <w:jc w:val="center"/>
              <w:rPr>
                <w:rFonts w:ascii="Calibri" w:eastAsia="Times New Roman" w:hAnsi="Calibri" w:cs="Times New Roman"/>
                <w:b/>
                <w:bCs/>
                <w:color w:val="FF0000"/>
              </w:rPr>
            </w:pPr>
            <w:r w:rsidRPr="00BA1C58">
              <w:rPr>
                <w:rFonts w:ascii="Calibri" w:eastAsia="Times New Roman" w:hAnsi="Calibri" w:cs="Times New Roman"/>
                <w:b/>
                <w:bCs/>
                <w:color w:val="FF0000"/>
              </w:rPr>
              <w:t>N</w:t>
            </w:r>
          </w:p>
        </w:tc>
        <w:tc>
          <w:tcPr>
            <w:tcW w:w="1100" w:type="dxa"/>
            <w:tcBorders>
              <w:top w:val="single" w:sz="8" w:space="0" w:color="auto"/>
              <w:left w:val="nil"/>
              <w:bottom w:val="nil"/>
              <w:right w:val="nil"/>
            </w:tcBorders>
            <w:shd w:val="clear" w:color="auto" w:fill="auto"/>
            <w:vAlign w:val="center"/>
            <w:hideMark/>
          </w:tcPr>
          <w:p w14:paraId="79271D82" w14:textId="77777777" w:rsidR="00BA1C58" w:rsidRPr="00BA1C58" w:rsidRDefault="00BA1C58" w:rsidP="00BA1C58">
            <w:pPr>
              <w:spacing w:after="0" w:line="240" w:lineRule="auto"/>
              <w:jc w:val="center"/>
              <w:rPr>
                <w:rFonts w:ascii="Calibri" w:eastAsia="Times New Roman" w:hAnsi="Calibri" w:cs="Times New Roman"/>
                <w:b/>
                <w:bCs/>
                <w:color w:val="FF0000"/>
              </w:rPr>
            </w:pPr>
            <w:r w:rsidRPr="00BA1C58">
              <w:rPr>
                <w:rFonts w:ascii="Calibri" w:eastAsia="Times New Roman" w:hAnsi="Calibri" w:cs="Times New Roman"/>
                <w:b/>
                <w:bCs/>
                <w:color w:val="FF0000"/>
              </w:rPr>
              <w:t>Mean</w:t>
            </w:r>
          </w:p>
        </w:tc>
        <w:tc>
          <w:tcPr>
            <w:tcW w:w="1100" w:type="dxa"/>
            <w:tcBorders>
              <w:top w:val="single" w:sz="8" w:space="0" w:color="auto"/>
              <w:left w:val="nil"/>
              <w:bottom w:val="nil"/>
              <w:right w:val="nil"/>
            </w:tcBorders>
            <w:shd w:val="clear" w:color="auto" w:fill="auto"/>
            <w:vAlign w:val="center"/>
            <w:hideMark/>
          </w:tcPr>
          <w:p w14:paraId="6CA3F870" w14:textId="77777777" w:rsidR="00BA1C58" w:rsidRPr="00BA1C58" w:rsidRDefault="00BA1C58" w:rsidP="00BA1C58">
            <w:pPr>
              <w:spacing w:after="0" w:line="240" w:lineRule="auto"/>
              <w:jc w:val="center"/>
              <w:rPr>
                <w:rFonts w:ascii="Calibri" w:eastAsia="Times New Roman" w:hAnsi="Calibri" w:cs="Times New Roman"/>
                <w:b/>
                <w:bCs/>
                <w:color w:val="FF0000"/>
              </w:rPr>
            </w:pPr>
            <w:r w:rsidRPr="00BA1C58">
              <w:rPr>
                <w:rFonts w:ascii="Calibri" w:eastAsia="Times New Roman" w:hAnsi="Calibri" w:cs="Times New Roman"/>
                <w:b/>
                <w:bCs/>
                <w:color w:val="FF0000"/>
              </w:rPr>
              <w:t>Upper CL</w:t>
            </w:r>
          </w:p>
        </w:tc>
        <w:tc>
          <w:tcPr>
            <w:tcW w:w="1100" w:type="dxa"/>
            <w:tcBorders>
              <w:top w:val="single" w:sz="8" w:space="0" w:color="auto"/>
              <w:left w:val="nil"/>
              <w:bottom w:val="nil"/>
              <w:right w:val="nil"/>
            </w:tcBorders>
            <w:shd w:val="clear" w:color="auto" w:fill="auto"/>
            <w:vAlign w:val="center"/>
            <w:hideMark/>
          </w:tcPr>
          <w:p w14:paraId="697ED666" w14:textId="77777777" w:rsidR="00BA1C58" w:rsidRPr="00BA1C58" w:rsidRDefault="00BA1C58" w:rsidP="00BA1C58">
            <w:pPr>
              <w:spacing w:after="0" w:line="240" w:lineRule="auto"/>
              <w:jc w:val="center"/>
              <w:rPr>
                <w:rFonts w:ascii="Calibri" w:eastAsia="Times New Roman" w:hAnsi="Calibri" w:cs="Times New Roman"/>
                <w:b/>
                <w:bCs/>
                <w:color w:val="FF0000"/>
              </w:rPr>
            </w:pPr>
            <w:r w:rsidRPr="00BA1C58">
              <w:rPr>
                <w:rFonts w:ascii="Calibri" w:eastAsia="Times New Roman" w:hAnsi="Calibri" w:cs="Times New Roman"/>
                <w:b/>
                <w:bCs/>
                <w:color w:val="FF0000"/>
              </w:rPr>
              <w:t>Lower CL</w:t>
            </w:r>
          </w:p>
        </w:tc>
        <w:tc>
          <w:tcPr>
            <w:tcW w:w="1100" w:type="dxa"/>
            <w:tcBorders>
              <w:top w:val="single" w:sz="8" w:space="0" w:color="auto"/>
              <w:left w:val="nil"/>
              <w:bottom w:val="nil"/>
              <w:right w:val="nil"/>
            </w:tcBorders>
            <w:shd w:val="clear" w:color="auto" w:fill="auto"/>
            <w:vAlign w:val="center"/>
            <w:hideMark/>
          </w:tcPr>
          <w:p w14:paraId="41F3EEAE" w14:textId="77777777" w:rsidR="00BA1C58" w:rsidRPr="00BA1C58" w:rsidRDefault="00BA1C58" w:rsidP="00BA1C58">
            <w:pPr>
              <w:spacing w:after="0" w:line="240" w:lineRule="auto"/>
              <w:jc w:val="center"/>
              <w:rPr>
                <w:rFonts w:ascii="Calibri" w:eastAsia="Times New Roman" w:hAnsi="Calibri" w:cs="Times New Roman"/>
                <w:b/>
                <w:bCs/>
                <w:color w:val="FF0000"/>
              </w:rPr>
            </w:pPr>
            <w:r w:rsidRPr="00BA1C58">
              <w:rPr>
                <w:rFonts w:ascii="Calibri" w:eastAsia="Times New Roman" w:hAnsi="Calibri" w:cs="Times New Roman"/>
                <w:b/>
                <w:bCs/>
                <w:color w:val="FF0000"/>
              </w:rPr>
              <w:t>Std Dev</w:t>
            </w:r>
          </w:p>
        </w:tc>
      </w:tr>
      <w:tr w:rsidR="00BA1C58" w:rsidRPr="00BA1C58" w14:paraId="1B8E973F" w14:textId="77777777" w:rsidTr="00BA1C58">
        <w:trPr>
          <w:trHeight w:val="300"/>
        </w:trPr>
        <w:tc>
          <w:tcPr>
            <w:tcW w:w="2500" w:type="dxa"/>
            <w:tcBorders>
              <w:top w:val="single" w:sz="8" w:space="0" w:color="auto"/>
              <w:left w:val="nil"/>
              <w:bottom w:val="nil"/>
              <w:right w:val="nil"/>
            </w:tcBorders>
            <w:shd w:val="clear" w:color="auto" w:fill="auto"/>
            <w:vAlign w:val="center"/>
            <w:hideMark/>
          </w:tcPr>
          <w:p w14:paraId="31D04D8F" w14:textId="77777777" w:rsidR="00BA1C58" w:rsidRPr="00BA1C58" w:rsidRDefault="00BA1C58" w:rsidP="00BA1C58">
            <w:pPr>
              <w:spacing w:after="0" w:line="240" w:lineRule="auto"/>
              <w:jc w:val="center"/>
              <w:rPr>
                <w:rFonts w:ascii="Calibri" w:eastAsia="Times New Roman" w:hAnsi="Calibri" w:cs="Times New Roman"/>
                <w:bCs/>
                <w:color w:val="FF0000"/>
              </w:rPr>
            </w:pPr>
            <w:r w:rsidRPr="00BA1C58">
              <w:rPr>
                <w:rFonts w:ascii="Calibri" w:eastAsia="Times New Roman" w:hAnsi="Calibri" w:cs="Times New Roman"/>
                <w:bCs/>
                <w:color w:val="FF0000"/>
              </w:rPr>
              <w:t>Geographic Area Served</w:t>
            </w:r>
          </w:p>
        </w:tc>
        <w:tc>
          <w:tcPr>
            <w:tcW w:w="1100" w:type="dxa"/>
            <w:tcBorders>
              <w:top w:val="single" w:sz="8" w:space="0" w:color="auto"/>
              <w:left w:val="nil"/>
              <w:bottom w:val="nil"/>
              <w:right w:val="nil"/>
            </w:tcBorders>
            <w:shd w:val="clear" w:color="auto" w:fill="auto"/>
            <w:vAlign w:val="center"/>
            <w:hideMark/>
          </w:tcPr>
          <w:p w14:paraId="1F3C2D62" w14:textId="77777777" w:rsidR="00BA1C58" w:rsidRPr="00BA1C58" w:rsidRDefault="00BA1C58" w:rsidP="00BA1C58">
            <w:pPr>
              <w:spacing w:after="0" w:line="240" w:lineRule="auto"/>
              <w:jc w:val="center"/>
              <w:rPr>
                <w:rFonts w:ascii="Calibri" w:eastAsia="Times New Roman" w:hAnsi="Calibri" w:cs="Times New Roman"/>
                <w:b/>
                <w:bCs/>
                <w:color w:val="FF0000"/>
              </w:rPr>
            </w:pPr>
            <w:r w:rsidRPr="00BA1C58">
              <w:rPr>
                <w:rFonts w:ascii="Calibri" w:eastAsia="Times New Roman" w:hAnsi="Calibri" w:cs="Times New Roman"/>
                <w:b/>
                <w:bCs/>
                <w:color w:val="FF0000"/>
              </w:rPr>
              <w:t> </w:t>
            </w:r>
          </w:p>
        </w:tc>
        <w:tc>
          <w:tcPr>
            <w:tcW w:w="1100" w:type="dxa"/>
            <w:tcBorders>
              <w:top w:val="single" w:sz="8" w:space="0" w:color="auto"/>
              <w:left w:val="nil"/>
              <w:bottom w:val="nil"/>
              <w:right w:val="nil"/>
            </w:tcBorders>
            <w:shd w:val="clear" w:color="auto" w:fill="auto"/>
            <w:vAlign w:val="center"/>
            <w:hideMark/>
          </w:tcPr>
          <w:p w14:paraId="62A5D88C" w14:textId="77777777" w:rsidR="00BA1C58" w:rsidRPr="00BA1C58" w:rsidRDefault="00BA1C58" w:rsidP="00BA1C58">
            <w:pPr>
              <w:spacing w:after="0" w:line="240" w:lineRule="auto"/>
              <w:jc w:val="center"/>
              <w:rPr>
                <w:rFonts w:ascii="Calibri" w:eastAsia="Times New Roman" w:hAnsi="Calibri" w:cs="Times New Roman"/>
                <w:b/>
                <w:bCs/>
                <w:color w:val="FF0000"/>
              </w:rPr>
            </w:pPr>
            <w:r w:rsidRPr="00BA1C58">
              <w:rPr>
                <w:rFonts w:ascii="Calibri" w:eastAsia="Times New Roman" w:hAnsi="Calibri" w:cs="Times New Roman"/>
                <w:b/>
                <w:bCs/>
                <w:color w:val="FF0000"/>
              </w:rPr>
              <w:t> </w:t>
            </w:r>
          </w:p>
        </w:tc>
        <w:tc>
          <w:tcPr>
            <w:tcW w:w="1100" w:type="dxa"/>
            <w:tcBorders>
              <w:top w:val="single" w:sz="8" w:space="0" w:color="auto"/>
              <w:left w:val="nil"/>
              <w:bottom w:val="nil"/>
              <w:right w:val="nil"/>
            </w:tcBorders>
            <w:shd w:val="clear" w:color="auto" w:fill="auto"/>
            <w:vAlign w:val="center"/>
            <w:hideMark/>
          </w:tcPr>
          <w:p w14:paraId="0F716BCC" w14:textId="77777777" w:rsidR="00BA1C58" w:rsidRPr="00BA1C58" w:rsidRDefault="00BA1C58" w:rsidP="00BA1C58">
            <w:pPr>
              <w:spacing w:after="0" w:line="240" w:lineRule="auto"/>
              <w:jc w:val="center"/>
              <w:rPr>
                <w:rFonts w:ascii="Calibri" w:eastAsia="Times New Roman" w:hAnsi="Calibri" w:cs="Times New Roman"/>
                <w:b/>
                <w:bCs/>
                <w:color w:val="FF0000"/>
              </w:rPr>
            </w:pPr>
            <w:r w:rsidRPr="00BA1C58">
              <w:rPr>
                <w:rFonts w:ascii="Calibri" w:eastAsia="Times New Roman" w:hAnsi="Calibri" w:cs="Times New Roman"/>
                <w:b/>
                <w:bCs/>
                <w:color w:val="FF0000"/>
              </w:rPr>
              <w:t> </w:t>
            </w:r>
          </w:p>
        </w:tc>
        <w:tc>
          <w:tcPr>
            <w:tcW w:w="1100" w:type="dxa"/>
            <w:tcBorders>
              <w:top w:val="single" w:sz="8" w:space="0" w:color="auto"/>
              <w:left w:val="nil"/>
              <w:bottom w:val="nil"/>
              <w:right w:val="nil"/>
            </w:tcBorders>
            <w:shd w:val="clear" w:color="auto" w:fill="auto"/>
            <w:vAlign w:val="center"/>
            <w:hideMark/>
          </w:tcPr>
          <w:p w14:paraId="0D412B08" w14:textId="77777777" w:rsidR="00BA1C58" w:rsidRPr="00BA1C58" w:rsidRDefault="00BA1C58" w:rsidP="00BA1C58">
            <w:pPr>
              <w:spacing w:after="0" w:line="240" w:lineRule="auto"/>
              <w:jc w:val="center"/>
              <w:rPr>
                <w:rFonts w:ascii="Calibri" w:eastAsia="Times New Roman" w:hAnsi="Calibri" w:cs="Times New Roman"/>
                <w:b/>
                <w:bCs/>
                <w:color w:val="FF0000"/>
              </w:rPr>
            </w:pPr>
            <w:r w:rsidRPr="00BA1C58">
              <w:rPr>
                <w:rFonts w:ascii="Calibri" w:eastAsia="Times New Roman" w:hAnsi="Calibri" w:cs="Times New Roman"/>
                <w:b/>
                <w:bCs/>
                <w:color w:val="FF0000"/>
              </w:rPr>
              <w:t> </w:t>
            </w:r>
          </w:p>
        </w:tc>
        <w:tc>
          <w:tcPr>
            <w:tcW w:w="1100" w:type="dxa"/>
            <w:tcBorders>
              <w:top w:val="single" w:sz="8" w:space="0" w:color="auto"/>
              <w:left w:val="nil"/>
              <w:bottom w:val="nil"/>
              <w:right w:val="nil"/>
            </w:tcBorders>
            <w:shd w:val="clear" w:color="auto" w:fill="auto"/>
            <w:vAlign w:val="center"/>
            <w:hideMark/>
          </w:tcPr>
          <w:p w14:paraId="181C950B" w14:textId="77777777" w:rsidR="00BA1C58" w:rsidRPr="00BA1C58" w:rsidRDefault="00BA1C58" w:rsidP="00BA1C58">
            <w:pPr>
              <w:spacing w:after="0" w:line="240" w:lineRule="auto"/>
              <w:jc w:val="center"/>
              <w:rPr>
                <w:rFonts w:ascii="Calibri" w:eastAsia="Times New Roman" w:hAnsi="Calibri" w:cs="Times New Roman"/>
                <w:b/>
                <w:bCs/>
                <w:color w:val="FF0000"/>
              </w:rPr>
            </w:pPr>
            <w:r w:rsidRPr="00BA1C58">
              <w:rPr>
                <w:rFonts w:ascii="Calibri" w:eastAsia="Times New Roman" w:hAnsi="Calibri" w:cs="Times New Roman"/>
                <w:b/>
                <w:bCs/>
                <w:color w:val="FF0000"/>
              </w:rPr>
              <w:t> </w:t>
            </w:r>
          </w:p>
        </w:tc>
      </w:tr>
      <w:tr w:rsidR="00BA1C58" w:rsidRPr="00BA1C58" w14:paraId="496EF2CE" w14:textId="77777777" w:rsidTr="00BA1C58">
        <w:trPr>
          <w:trHeight w:val="300"/>
        </w:trPr>
        <w:tc>
          <w:tcPr>
            <w:tcW w:w="2500" w:type="dxa"/>
            <w:tcBorders>
              <w:top w:val="nil"/>
              <w:left w:val="nil"/>
              <w:bottom w:val="nil"/>
              <w:right w:val="nil"/>
            </w:tcBorders>
            <w:shd w:val="clear" w:color="auto" w:fill="auto"/>
            <w:vAlign w:val="center"/>
            <w:hideMark/>
          </w:tcPr>
          <w:p w14:paraId="484D13F8" w14:textId="77777777" w:rsidR="00BA1C58" w:rsidRPr="00BA1C58" w:rsidRDefault="00BA1C58" w:rsidP="00BA1C58">
            <w:pPr>
              <w:spacing w:after="0" w:line="240" w:lineRule="auto"/>
              <w:ind w:firstLineChars="200" w:firstLine="440"/>
              <w:rPr>
                <w:rFonts w:ascii="Calibri" w:eastAsia="Times New Roman" w:hAnsi="Calibri" w:cs="Times New Roman"/>
                <w:bCs/>
                <w:color w:val="FF0000"/>
              </w:rPr>
            </w:pPr>
            <w:r w:rsidRPr="00BA1C58">
              <w:rPr>
                <w:rFonts w:ascii="Calibri" w:eastAsia="Times New Roman" w:hAnsi="Calibri" w:cs="Times New Roman"/>
                <w:bCs/>
                <w:color w:val="FF0000"/>
              </w:rPr>
              <w:t>Rural</w:t>
            </w:r>
          </w:p>
        </w:tc>
        <w:tc>
          <w:tcPr>
            <w:tcW w:w="1100" w:type="dxa"/>
            <w:tcBorders>
              <w:top w:val="nil"/>
              <w:left w:val="nil"/>
              <w:bottom w:val="nil"/>
              <w:right w:val="nil"/>
            </w:tcBorders>
            <w:shd w:val="clear" w:color="auto" w:fill="auto"/>
            <w:noWrap/>
            <w:vAlign w:val="center"/>
          </w:tcPr>
          <w:p w14:paraId="5003E0E4"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32</w:t>
            </w:r>
          </w:p>
        </w:tc>
        <w:tc>
          <w:tcPr>
            <w:tcW w:w="1100" w:type="dxa"/>
            <w:tcBorders>
              <w:top w:val="nil"/>
              <w:left w:val="nil"/>
              <w:bottom w:val="nil"/>
              <w:right w:val="nil"/>
            </w:tcBorders>
            <w:shd w:val="clear" w:color="auto" w:fill="auto"/>
            <w:noWrap/>
            <w:vAlign w:val="center"/>
          </w:tcPr>
          <w:p w14:paraId="3FD775D3"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26.2%</w:t>
            </w:r>
          </w:p>
        </w:tc>
        <w:tc>
          <w:tcPr>
            <w:tcW w:w="1100" w:type="dxa"/>
            <w:tcBorders>
              <w:top w:val="nil"/>
              <w:left w:val="nil"/>
              <w:bottom w:val="nil"/>
              <w:right w:val="nil"/>
            </w:tcBorders>
            <w:shd w:val="clear" w:color="auto" w:fill="auto"/>
            <w:noWrap/>
            <w:vAlign w:val="center"/>
          </w:tcPr>
          <w:p w14:paraId="47D0082D"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30.1%</w:t>
            </w:r>
          </w:p>
        </w:tc>
        <w:tc>
          <w:tcPr>
            <w:tcW w:w="1100" w:type="dxa"/>
            <w:tcBorders>
              <w:top w:val="nil"/>
              <w:left w:val="nil"/>
              <w:bottom w:val="nil"/>
              <w:right w:val="nil"/>
            </w:tcBorders>
            <w:shd w:val="clear" w:color="auto" w:fill="auto"/>
            <w:noWrap/>
            <w:vAlign w:val="center"/>
          </w:tcPr>
          <w:p w14:paraId="12D68F1A"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22.3%</w:t>
            </w:r>
          </w:p>
        </w:tc>
        <w:tc>
          <w:tcPr>
            <w:tcW w:w="1100" w:type="dxa"/>
            <w:tcBorders>
              <w:top w:val="nil"/>
              <w:left w:val="nil"/>
              <w:bottom w:val="nil"/>
              <w:right w:val="nil"/>
            </w:tcBorders>
            <w:shd w:val="clear" w:color="auto" w:fill="auto"/>
            <w:noWrap/>
            <w:vAlign w:val="center"/>
          </w:tcPr>
          <w:p w14:paraId="4C3C8960"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10.8%</w:t>
            </w:r>
          </w:p>
        </w:tc>
      </w:tr>
      <w:tr w:rsidR="00BA1C58" w:rsidRPr="00BA1C58" w14:paraId="72E35EB8" w14:textId="77777777" w:rsidTr="00BA1C58">
        <w:trPr>
          <w:trHeight w:val="300"/>
        </w:trPr>
        <w:tc>
          <w:tcPr>
            <w:tcW w:w="2500" w:type="dxa"/>
            <w:tcBorders>
              <w:top w:val="nil"/>
              <w:left w:val="nil"/>
              <w:bottom w:val="nil"/>
              <w:right w:val="nil"/>
            </w:tcBorders>
            <w:shd w:val="clear" w:color="auto" w:fill="auto"/>
            <w:vAlign w:val="center"/>
            <w:hideMark/>
          </w:tcPr>
          <w:p w14:paraId="406594E3" w14:textId="77777777" w:rsidR="00BA1C58" w:rsidRPr="00BA1C58" w:rsidRDefault="00BA1C58" w:rsidP="00BA1C58">
            <w:pPr>
              <w:spacing w:after="0" w:line="240" w:lineRule="auto"/>
              <w:ind w:firstLineChars="200" w:firstLine="440"/>
              <w:rPr>
                <w:rFonts w:ascii="Calibri" w:eastAsia="Times New Roman" w:hAnsi="Calibri" w:cs="Times New Roman"/>
                <w:bCs/>
                <w:color w:val="FF0000"/>
              </w:rPr>
            </w:pPr>
            <w:r w:rsidRPr="00BA1C58">
              <w:rPr>
                <w:rFonts w:ascii="Calibri" w:eastAsia="Times New Roman" w:hAnsi="Calibri" w:cs="Times New Roman"/>
                <w:bCs/>
                <w:color w:val="FF0000"/>
              </w:rPr>
              <w:t>Urban</w:t>
            </w:r>
          </w:p>
        </w:tc>
        <w:tc>
          <w:tcPr>
            <w:tcW w:w="1100" w:type="dxa"/>
            <w:tcBorders>
              <w:top w:val="nil"/>
              <w:left w:val="nil"/>
              <w:bottom w:val="nil"/>
              <w:right w:val="nil"/>
            </w:tcBorders>
            <w:shd w:val="clear" w:color="auto" w:fill="auto"/>
            <w:noWrap/>
            <w:vAlign w:val="center"/>
          </w:tcPr>
          <w:p w14:paraId="140DB052"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27</w:t>
            </w:r>
          </w:p>
        </w:tc>
        <w:tc>
          <w:tcPr>
            <w:tcW w:w="1100" w:type="dxa"/>
            <w:tcBorders>
              <w:top w:val="nil"/>
              <w:left w:val="nil"/>
              <w:bottom w:val="nil"/>
              <w:right w:val="nil"/>
            </w:tcBorders>
            <w:shd w:val="clear" w:color="auto" w:fill="auto"/>
            <w:noWrap/>
            <w:vAlign w:val="center"/>
          </w:tcPr>
          <w:p w14:paraId="6C31E3D2"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32.9%</w:t>
            </w:r>
          </w:p>
        </w:tc>
        <w:tc>
          <w:tcPr>
            <w:tcW w:w="1100" w:type="dxa"/>
            <w:tcBorders>
              <w:top w:val="nil"/>
              <w:left w:val="nil"/>
              <w:bottom w:val="nil"/>
              <w:right w:val="nil"/>
            </w:tcBorders>
            <w:shd w:val="clear" w:color="auto" w:fill="auto"/>
            <w:noWrap/>
            <w:vAlign w:val="center"/>
          </w:tcPr>
          <w:p w14:paraId="50FDEBAB"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37.7%</w:t>
            </w:r>
          </w:p>
        </w:tc>
        <w:tc>
          <w:tcPr>
            <w:tcW w:w="1100" w:type="dxa"/>
            <w:tcBorders>
              <w:top w:val="nil"/>
              <w:left w:val="nil"/>
              <w:bottom w:val="nil"/>
              <w:right w:val="nil"/>
            </w:tcBorders>
            <w:shd w:val="clear" w:color="auto" w:fill="auto"/>
            <w:noWrap/>
            <w:vAlign w:val="center"/>
          </w:tcPr>
          <w:p w14:paraId="3846ED0B"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28.1%</w:t>
            </w:r>
          </w:p>
        </w:tc>
        <w:tc>
          <w:tcPr>
            <w:tcW w:w="1100" w:type="dxa"/>
            <w:tcBorders>
              <w:top w:val="nil"/>
              <w:left w:val="nil"/>
              <w:bottom w:val="nil"/>
              <w:right w:val="nil"/>
            </w:tcBorders>
            <w:shd w:val="clear" w:color="auto" w:fill="auto"/>
            <w:noWrap/>
            <w:vAlign w:val="center"/>
          </w:tcPr>
          <w:p w14:paraId="14008462"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12.0%</w:t>
            </w:r>
          </w:p>
        </w:tc>
      </w:tr>
      <w:tr w:rsidR="00BA1C58" w:rsidRPr="00BA1C58" w14:paraId="14B46435" w14:textId="77777777" w:rsidTr="00BA1C58">
        <w:trPr>
          <w:trHeight w:val="300"/>
        </w:trPr>
        <w:tc>
          <w:tcPr>
            <w:tcW w:w="2500" w:type="dxa"/>
            <w:tcBorders>
              <w:top w:val="nil"/>
              <w:left w:val="nil"/>
              <w:bottom w:val="nil"/>
              <w:right w:val="nil"/>
            </w:tcBorders>
            <w:shd w:val="clear" w:color="auto" w:fill="auto"/>
            <w:vAlign w:val="center"/>
            <w:hideMark/>
          </w:tcPr>
          <w:p w14:paraId="17B59EC0" w14:textId="77777777" w:rsidR="00BA1C58" w:rsidRPr="00BA1C58" w:rsidRDefault="00BA1C58" w:rsidP="00BA1C58">
            <w:pPr>
              <w:spacing w:after="0" w:line="240" w:lineRule="auto"/>
              <w:ind w:firstLineChars="200" w:firstLine="440"/>
              <w:rPr>
                <w:rFonts w:ascii="Calibri" w:eastAsia="Times New Roman" w:hAnsi="Calibri" w:cs="Times New Roman"/>
                <w:bCs/>
                <w:color w:val="FF0000"/>
              </w:rPr>
            </w:pPr>
            <w:r w:rsidRPr="00BA1C58">
              <w:rPr>
                <w:rFonts w:ascii="Calibri" w:eastAsia="Times New Roman" w:hAnsi="Calibri" w:cs="Times New Roman"/>
                <w:bCs/>
                <w:color w:val="FF0000"/>
              </w:rPr>
              <w:t>Mixed</w:t>
            </w:r>
          </w:p>
        </w:tc>
        <w:tc>
          <w:tcPr>
            <w:tcW w:w="1100" w:type="dxa"/>
            <w:tcBorders>
              <w:top w:val="nil"/>
              <w:left w:val="nil"/>
              <w:bottom w:val="nil"/>
              <w:right w:val="nil"/>
            </w:tcBorders>
            <w:shd w:val="clear" w:color="auto" w:fill="auto"/>
            <w:noWrap/>
            <w:vAlign w:val="center"/>
          </w:tcPr>
          <w:p w14:paraId="2D97E06D"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82</w:t>
            </w:r>
          </w:p>
        </w:tc>
        <w:tc>
          <w:tcPr>
            <w:tcW w:w="1100" w:type="dxa"/>
            <w:tcBorders>
              <w:top w:val="nil"/>
              <w:left w:val="nil"/>
              <w:bottom w:val="nil"/>
              <w:right w:val="nil"/>
            </w:tcBorders>
            <w:shd w:val="clear" w:color="auto" w:fill="auto"/>
            <w:noWrap/>
            <w:vAlign w:val="center"/>
          </w:tcPr>
          <w:p w14:paraId="368983AD"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34.2%</w:t>
            </w:r>
          </w:p>
        </w:tc>
        <w:tc>
          <w:tcPr>
            <w:tcW w:w="1100" w:type="dxa"/>
            <w:tcBorders>
              <w:top w:val="nil"/>
              <w:left w:val="nil"/>
              <w:bottom w:val="nil"/>
              <w:right w:val="nil"/>
            </w:tcBorders>
            <w:shd w:val="clear" w:color="auto" w:fill="auto"/>
            <w:noWrap/>
            <w:vAlign w:val="center"/>
          </w:tcPr>
          <w:p w14:paraId="548D41AA"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36.7%</w:t>
            </w:r>
          </w:p>
        </w:tc>
        <w:tc>
          <w:tcPr>
            <w:tcW w:w="1100" w:type="dxa"/>
            <w:tcBorders>
              <w:top w:val="nil"/>
              <w:left w:val="nil"/>
              <w:bottom w:val="nil"/>
              <w:right w:val="nil"/>
            </w:tcBorders>
            <w:shd w:val="clear" w:color="auto" w:fill="auto"/>
            <w:noWrap/>
            <w:vAlign w:val="center"/>
          </w:tcPr>
          <w:p w14:paraId="4A1CEAFA"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31.7%</w:t>
            </w:r>
          </w:p>
        </w:tc>
        <w:tc>
          <w:tcPr>
            <w:tcW w:w="1100" w:type="dxa"/>
            <w:tcBorders>
              <w:top w:val="nil"/>
              <w:left w:val="nil"/>
              <w:bottom w:val="nil"/>
              <w:right w:val="nil"/>
            </w:tcBorders>
            <w:shd w:val="clear" w:color="auto" w:fill="auto"/>
            <w:noWrap/>
            <w:vAlign w:val="center"/>
          </w:tcPr>
          <w:p w14:paraId="526F58F4"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11.3%</w:t>
            </w:r>
          </w:p>
        </w:tc>
      </w:tr>
      <w:tr w:rsidR="00BA1C58" w:rsidRPr="00BA1C58" w14:paraId="6608BFBA" w14:textId="77777777" w:rsidTr="00BA1C58">
        <w:trPr>
          <w:trHeight w:val="300"/>
        </w:trPr>
        <w:tc>
          <w:tcPr>
            <w:tcW w:w="2500" w:type="dxa"/>
            <w:tcBorders>
              <w:top w:val="nil"/>
              <w:left w:val="nil"/>
              <w:bottom w:val="nil"/>
              <w:right w:val="nil"/>
            </w:tcBorders>
            <w:shd w:val="clear" w:color="auto" w:fill="auto"/>
            <w:vAlign w:val="center"/>
            <w:hideMark/>
          </w:tcPr>
          <w:p w14:paraId="6774F761" w14:textId="77777777" w:rsidR="00BA1C58" w:rsidRPr="00BA1C58" w:rsidRDefault="00BA1C58" w:rsidP="00BA1C58">
            <w:pPr>
              <w:spacing w:after="0" w:line="240" w:lineRule="auto"/>
              <w:rPr>
                <w:rFonts w:ascii="Calibri" w:eastAsia="Times New Roman" w:hAnsi="Calibri" w:cs="Times New Roman"/>
                <w:bCs/>
                <w:color w:val="FF0000"/>
              </w:rPr>
            </w:pPr>
            <w:r w:rsidRPr="00BA1C58">
              <w:rPr>
                <w:rFonts w:ascii="Calibri" w:eastAsia="Times New Roman" w:hAnsi="Calibri" w:cs="Times New Roman"/>
                <w:bCs/>
                <w:color w:val="FF0000"/>
              </w:rPr>
              <w:t>Average Daily Census</w:t>
            </w:r>
          </w:p>
        </w:tc>
        <w:tc>
          <w:tcPr>
            <w:tcW w:w="1100" w:type="dxa"/>
            <w:tcBorders>
              <w:top w:val="nil"/>
              <w:left w:val="nil"/>
              <w:bottom w:val="nil"/>
              <w:right w:val="nil"/>
            </w:tcBorders>
            <w:shd w:val="clear" w:color="auto" w:fill="auto"/>
            <w:noWrap/>
            <w:vAlign w:val="bottom"/>
            <w:hideMark/>
          </w:tcPr>
          <w:p w14:paraId="0D4331F0" w14:textId="77777777" w:rsidR="00BA1C58" w:rsidRPr="00BA1C58" w:rsidRDefault="00BA1C58" w:rsidP="00BA1C58">
            <w:pPr>
              <w:spacing w:after="0" w:line="240" w:lineRule="auto"/>
              <w:rPr>
                <w:rFonts w:ascii="Calibri" w:eastAsia="Times New Roman" w:hAnsi="Calibri" w:cs="Times New Roman"/>
                <w:color w:val="FF0000"/>
              </w:rPr>
            </w:pPr>
          </w:p>
        </w:tc>
        <w:tc>
          <w:tcPr>
            <w:tcW w:w="1100" w:type="dxa"/>
            <w:tcBorders>
              <w:top w:val="nil"/>
              <w:left w:val="nil"/>
              <w:bottom w:val="nil"/>
              <w:right w:val="nil"/>
            </w:tcBorders>
            <w:shd w:val="clear" w:color="auto" w:fill="auto"/>
            <w:noWrap/>
            <w:vAlign w:val="bottom"/>
            <w:hideMark/>
          </w:tcPr>
          <w:p w14:paraId="65DF74AA" w14:textId="77777777" w:rsidR="00BA1C58" w:rsidRPr="00BA1C58" w:rsidRDefault="00BA1C58" w:rsidP="00BA1C58">
            <w:pPr>
              <w:spacing w:after="0" w:line="240" w:lineRule="auto"/>
              <w:rPr>
                <w:rFonts w:ascii="Calibri" w:eastAsia="Times New Roman" w:hAnsi="Calibri" w:cs="Times New Roman"/>
                <w:color w:val="FF0000"/>
              </w:rPr>
            </w:pPr>
          </w:p>
        </w:tc>
        <w:tc>
          <w:tcPr>
            <w:tcW w:w="1100" w:type="dxa"/>
            <w:tcBorders>
              <w:top w:val="nil"/>
              <w:left w:val="nil"/>
              <w:bottom w:val="nil"/>
              <w:right w:val="nil"/>
            </w:tcBorders>
            <w:shd w:val="clear" w:color="auto" w:fill="auto"/>
            <w:noWrap/>
            <w:vAlign w:val="bottom"/>
            <w:hideMark/>
          </w:tcPr>
          <w:p w14:paraId="488B8B9A" w14:textId="77777777" w:rsidR="00BA1C58" w:rsidRPr="00BA1C58" w:rsidRDefault="00BA1C58" w:rsidP="00BA1C58">
            <w:pPr>
              <w:spacing w:after="0" w:line="240" w:lineRule="auto"/>
              <w:rPr>
                <w:rFonts w:ascii="Calibri" w:eastAsia="Times New Roman" w:hAnsi="Calibri" w:cs="Times New Roman"/>
                <w:color w:val="FF0000"/>
              </w:rPr>
            </w:pPr>
          </w:p>
        </w:tc>
        <w:tc>
          <w:tcPr>
            <w:tcW w:w="1100" w:type="dxa"/>
            <w:tcBorders>
              <w:top w:val="nil"/>
              <w:left w:val="nil"/>
              <w:bottom w:val="nil"/>
              <w:right w:val="nil"/>
            </w:tcBorders>
            <w:shd w:val="clear" w:color="auto" w:fill="auto"/>
            <w:noWrap/>
            <w:vAlign w:val="bottom"/>
            <w:hideMark/>
          </w:tcPr>
          <w:p w14:paraId="2C7777BA" w14:textId="77777777" w:rsidR="00BA1C58" w:rsidRPr="00BA1C58" w:rsidRDefault="00BA1C58" w:rsidP="00BA1C58">
            <w:pPr>
              <w:spacing w:after="0" w:line="240" w:lineRule="auto"/>
              <w:rPr>
                <w:rFonts w:ascii="Calibri" w:eastAsia="Times New Roman" w:hAnsi="Calibri" w:cs="Times New Roman"/>
                <w:color w:val="FF0000"/>
              </w:rPr>
            </w:pPr>
          </w:p>
        </w:tc>
        <w:tc>
          <w:tcPr>
            <w:tcW w:w="1100" w:type="dxa"/>
            <w:tcBorders>
              <w:top w:val="nil"/>
              <w:left w:val="nil"/>
              <w:bottom w:val="nil"/>
              <w:right w:val="nil"/>
            </w:tcBorders>
            <w:shd w:val="clear" w:color="auto" w:fill="auto"/>
            <w:noWrap/>
            <w:vAlign w:val="bottom"/>
            <w:hideMark/>
          </w:tcPr>
          <w:p w14:paraId="7E38D9CE" w14:textId="77777777" w:rsidR="00BA1C58" w:rsidRPr="00BA1C58" w:rsidRDefault="00BA1C58" w:rsidP="00BA1C58">
            <w:pPr>
              <w:spacing w:after="0" w:line="240" w:lineRule="auto"/>
              <w:rPr>
                <w:rFonts w:ascii="Calibri" w:eastAsia="Times New Roman" w:hAnsi="Calibri" w:cs="Times New Roman"/>
                <w:color w:val="FF0000"/>
              </w:rPr>
            </w:pPr>
          </w:p>
        </w:tc>
      </w:tr>
      <w:tr w:rsidR="00BA1C58" w:rsidRPr="00BA1C58" w14:paraId="29A98AC7" w14:textId="77777777" w:rsidTr="00BA1C58">
        <w:trPr>
          <w:trHeight w:val="300"/>
        </w:trPr>
        <w:tc>
          <w:tcPr>
            <w:tcW w:w="2500" w:type="dxa"/>
            <w:tcBorders>
              <w:top w:val="nil"/>
              <w:left w:val="nil"/>
              <w:bottom w:val="nil"/>
              <w:right w:val="nil"/>
            </w:tcBorders>
            <w:shd w:val="clear" w:color="auto" w:fill="auto"/>
          </w:tcPr>
          <w:p w14:paraId="78B02134" w14:textId="77777777" w:rsidR="00BA1C58" w:rsidRPr="00BA1C58" w:rsidRDefault="00BA1C58" w:rsidP="00BA1C58">
            <w:pPr>
              <w:spacing w:after="0" w:line="240" w:lineRule="auto"/>
              <w:ind w:firstLineChars="200" w:firstLine="440"/>
              <w:rPr>
                <w:rFonts w:ascii="Calibri" w:eastAsia="Times New Roman" w:hAnsi="Calibri" w:cs="Times New Roman"/>
                <w:bCs/>
                <w:color w:val="FF0000"/>
              </w:rPr>
            </w:pPr>
            <w:r w:rsidRPr="00BA1C58">
              <w:rPr>
                <w:rFonts w:ascii="Calibri" w:eastAsia="Times New Roman" w:hAnsi="Calibri" w:cs="Times New Roman"/>
                <w:bCs/>
                <w:color w:val="FF0000"/>
              </w:rPr>
              <w:t>&lt; 100</w:t>
            </w:r>
          </w:p>
        </w:tc>
        <w:tc>
          <w:tcPr>
            <w:tcW w:w="1100" w:type="dxa"/>
            <w:tcBorders>
              <w:top w:val="nil"/>
              <w:left w:val="nil"/>
              <w:bottom w:val="nil"/>
              <w:right w:val="nil"/>
            </w:tcBorders>
            <w:shd w:val="clear" w:color="auto" w:fill="auto"/>
            <w:noWrap/>
            <w:vAlign w:val="center"/>
          </w:tcPr>
          <w:p w14:paraId="17F6B18B"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24</w:t>
            </w:r>
          </w:p>
        </w:tc>
        <w:tc>
          <w:tcPr>
            <w:tcW w:w="1100" w:type="dxa"/>
            <w:tcBorders>
              <w:top w:val="nil"/>
              <w:left w:val="nil"/>
              <w:bottom w:val="nil"/>
              <w:right w:val="nil"/>
            </w:tcBorders>
            <w:shd w:val="clear" w:color="auto" w:fill="auto"/>
            <w:noWrap/>
            <w:vAlign w:val="center"/>
          </w:tcPr>
          <w:p w14:paraId="6E05D977"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25.0%</w:t>
            </w:r>
          </w:p>
        </w:tc>
        <w:tc>
          <w:tcPr>
            <w:tcW w:w="1100" w:type="dxa"/>
            <w:tcBorders>
              <w:top w:val="nil"/>
              <w:left w:val="nil"/>
              <w:bottom w:val="nil"/>
              <w:right w:val="nil"/>
            </w:tcBorders>
            <w:shd w:val="clear" w:color="auto" w:fill="auto"/>
            <w:noWrap/>
            <w:vAlign w:val="center"/>
          </w:tcPr>
          <w:p w14:paraId="71749E5E"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29.8%</w:t>
            </w:r>
          </w:p>
        </w:tc>
        <w:tc>
          <w:tcPr>
            <w:tcW w:w="1100" w:type="dxa"/>
            <w:tcBorders>
              <w:top w:val="nil"/>
              <w:left w:val="nil"/>
              <w:bottom w:val="nil"/>
              <w:right w:val="nil"/>
            </w:tcBorders>
            <w:shd w:val="clear" w:color="auto" w:fill="auto"/>
            <w:noWrap/>
            <w:vAlign w:val="center"/>
          </w:tcPr>
          <w:p w14:paraId="21EC6AF8"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20.1%</w:t>
            </w:r>
          </w:p>
        </w:tc>
        <w:tc>
          <w:tcPr>
            <w:tcW w:w="1100" w:type="dxa"/>
            <w:tcBorders>
              <w:top w:val="nil"/>
              <w:left w:val="nil"/>
              <w:bottom w:val="nil"/>
              <w:right w:val="nil"/>
            </w:tcBorders>
            <w:shd w:val="clear" w:color="auto" w:fill="auto"/>
            <w:noWrap/>
            <w:vAlign w:val="center"/>
          </w:tcPr>
          <w:p w14:paraId="05D07873"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11.6%</w:t>
            </w:r>
          </w:p>
        </w:tc>
      </w:tr>
      <w:tr w:rsidR="00BA1C58" w:rsidRPr="00BA1C58" w14:paraId="66F6141F" w14:textId="77777777" w:rsidTr="00BA1C58">
        <w:trPr>
          <w:trHeight w:val="300"/>
        </w:trPr>
        <w:tc>
          <w:tcPr>
            <w:tcW w:w="2500" w:type="dxa"/>
            <w:tcBorders>
              <w:top w:val="nil"/>
              <w:left w:val="nil"/>
              <w:bottom w:val="nil"/>
              <w:right w:val="nil"/>
            </w:tcBorders>
            <w:shd w:val="clear" w:color="auto" w:fill="auto"/>
          </w:tcPr>
          <w:p w14:paraId="683DB434" w14:textId="77777777" w:rsidR="00BA1C58" w:rsidRPr="00BA1C58" w:rsidRDefault="00BA1C58" w:rsidP="00BA1C58">
            <w:pPr>
              <w:spacing w:after="0" w:line="240" w:lineRule="auto"/>
              <w:ind w:firstLineChars="200" w:firstLine="440"/>
              <w:rPr>
                <w:rFonts w:ascii="Calibri" w:eastAsia="Times New Roman" w:hAnsi="Calibri" w:cs="Times New Roman"/>
                <w:bCs/>
                <w:color w:val="FF0000"/>
              </w:rPr>
            </w:pPr>
            <w:r w:rsidRPr="00BA1C58">
              <w:rPr>
                <w:rFonts w:ascii="Calibri" w:eastAsia="Times New Roman" w:hAnsi="Calibri" w:cs="Times New Roman"/>
                <w:bCs/>
                <w:color w:val="FF0000"/>
              </w:rPr>
              <w:t>101 to 200</w:t>
            </w:r>
          </w:p>
        </w:tc>
        <w:tc>
          <w:tcPr>
            <w:tcW w:w="1100" w:type="dxa"/>
            <w:tcBorders>
              <w:top w:val="nil"/>
              <w:left w:val="nil"/>
              <w:bottom w:val="nil"/>
              <w:right w:val="nil"/>
            </w:tcBorders>
            <w:shd w:val="clear" w:color="auto" w:fill="auto"/>
            <w:noWrap/>
            <w:vAlign w:val="center"/>
          </w:tcPr>
          <w:p w14:paraId="22372CC6"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13</w:t>
            </w:r>
          </w:p>
        </w:tc>
        <w:tc>
          <w:tcPr>
            <w:tcW w:w="1100" w:type="dxa"/>
            <w:tcBorders>
              <w:top w:val="nil"/>
              <w:left w:val="nil"/>
              <w:bottom w:val="nil"/>
              <w:right w:val="nil"/>
            </w:tcBorders>
            <w:shd w:val="clear" w:color="auto" w:fill="auto"/>
            <w:noWrap/>
            <w:vAlign w:val="center"/>
          </w:tcPr>
          <w:p w14:paraId="39BD6167"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30.5%</w:t>
            </w:r>
          </w:p>
        </w:tc>
        <w:tc>
          <w:tcPr>
            <w:tcW w:w="1100" w:type="dxa"/>
            <w:tcBorders>
              <w:top w:val="nil"/>
              <w:left w:val="nil"/>
              <w:bottom w:val="nil"/>
              <w:right w:val="nil"/>
            </w:tcBorders>
            <w:shd w:val="clear" w:color="auto" w:fill="auto"/>
            <w:noWrap/>
            <w:vAlign w:val="center"/>
          </w:tcPr>
          <w:p w14:paraId="314E6C1C"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35.7%</w:t>
            </w:r>
          </w:p>
        </w:tc>
        <w:tc>
          <w:tcPr>
            <w:tcW w:w="1100" w:type="dxa"/>
            <w:tcBorders>
              <w:top w:val="nil"/>
              <w:left w:val="nil"/>
              <w:bottom w:val="nil"/>
              <w:right w:val="nil"/>
            </w:tcBorders>
            <w:shd w:val="clear" w:color="auto" w:fill="auto"/>
            <w:noWrap/>
            <w:vAlign w:val="center"/>
          </w:tcPr>
          <w:p w14:paraId="289630C9"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25.4%</w:t>
            </w:r>
          </w:p>
        </w:tc>
        <w:tc>
          <w:tcPr>
            <w:tcW w:w="1100" w:type="dxa"/>
            <w:tcBorders>
              <w:top w:val="nil"/>
              <w:left w:val="nil"/>
              <w:bottom w:val="nil"/>
              <w:right w:val="nil"/>
            </w:tcBorders>
            <w:shd w:val="clear" w:color="auto" w:fill="auto"/>
            <w:noWrap/>
            <w:vAlign w:val="center"/>
          </w:tcPr>
          <w:p w14:paraId="24DA54DB"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8.6%</w:t>
            </w:r>
          </w:p>
        </w:tc>
      </w:tr>
      <w:tr w:rsidR="00BA1C58" w:rsidRPr="00BA1C58" w14:paraId="137E6A82" w14:textId="77777777" w:rsidTr="00BA1C58">
        <w:trPr>
          <w:trHeight w:val="300"/>
        </w:trPr>
        <w:tc>
          <w:tcPr>
            <w:tcW w:w="2500" w:type="dxa"/>
            <w:tcBorders>
              <w:top w:val="nil"/>
              <w:left w:val="nil"/>
              <w:bottom w:val="nil"/>
              <w:right w:val="nil"/>
            </w:tcBorders>
            <w:shd w:val="clear" w:color="auto" w:fill="auto"/>
          </w:tcPr>
          <w:p w14:paraId="096EDCCE" w14:textId="77777777" w:rsidR="00BA1C58" w:rsidRPr="00BA1C58" w:rsidRDefault="00BA1C58" w:rsidP="00BA1C58">
            <w:pPr>
              <w:spacing w:after="0" w:line="240" w:lineRule="auto"/>
              <w:ind w:firstLineChars="200" w:firstLine="440"/>
              <w:rPr>
                <w:rFonts w:ascii="Calibri" w:eastAsia="Times New Roman" w:hAnsi="Calibri" w:cs="Times New Roman"/>
                <w:bCs/>
                <w:color w:val="FF0000"/>
              </w:rPr>
            </w:pPr>
            <w:r w:rsidRPr="00BA1C58">
              <w:rPr>
                <w:rFonts w:ascii="Calibri" w:eastAsia="Times New Roman" w:hAnsi="Calibri" w:cs="Times New Roman"/>
                <w:bCs/>
                <w:color w:val="FF0000"/>
              </w:rPr>
              <w:t>&gt; 200</w:t>
            </w:r>
          </w:p>
        </w:tc>
        <w:tc>
          <w:tcPr>
            <w:tcW w:w="1100" w:type="dxa"/>
            <w:tcBorders>
              <w:top w:val="nil"/>
              <w:left w:val="nil"/>
              <w:bottom w:val="nil"/>
              <w:right w:val="nil"/>
            </w:tcBorders>
            <w:shd w:val="clear" w:color="auto" w:fill="auto"/>
            <w:noWrap/>
            <w:vAlign w:val="center"/>
          </w:tcPr>
          <w:p w14:paraId="7D1981C1"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19</w:t>
            </w:r>
          </w:p>
        </w:tc>
        <w:tc>
          <w:tcPr>
            <w:tcW w:w="1100" w:type="dxa"/>
            <w:tcBorders>
              <w:top w:val="nil"/>
              <w:left w:val="nil"/>
              <w:bottom w:val="nil"/>
              <w:right w:val="nil"/>
            </w:tcBorders>
            <w:shd w:val="clear" w:color="auto" w:fill="auto"/>
            <w:noWrap/>
            <w:vAlign w:val="center"/>
          </w:tcPr>
          <w:p w14:paraId="5693CEC9"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35.6%</w:t>
            </w:r>
          </w:p>
        </w:tc>
        <w:tc>
          <w:tcPr>
            <w:tcW w:w="1100" w:type="dxa"/>
            <w:tcBorders>
              <w:top w:val="nil"/>
              <w:left w:val="nil"/>
              <w:bottom w:val="nil"/>
              <w:right w:val="nil"/>
            </w:tcBorders>
            <w:shd w:val="clear" w:color="auto" w:fill="auto"/>
            <w:noWrap/>
            <w:vAlign w:val="center"/>
          </w:tcPr>
          <w:p w14:paraId="7F70D0A7"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39.0%</w:t>
            </w:r>
          </w:p>
        </w:tc>
        <w:tc>
          <w:tcPr>
            <w:tcW w:w="1100" w:type="dxa"/>
            <w:tcBorders>
              <w:top w:val="nil"/>
              <w:left w:val="nil"/>
              <w:bottom w:val="nil"/>
              <w:right w:val="nil"/>
            </w:tcBorders>
            <w:shd w:val="clear" w:color="auto" w:fill="auto"/>
            <w:noWrap/>
            <w:vAlign w:val="center"/>
          </w:tcPr>
          <w:p w14:paraId="26019C7E"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32.1%</w:t>
            </w:r>
          </w:p>
        </w:tc>
        <w:tc>
          <w:tcPr>
            <w:tcW w:w="1100" w:type="dxa"/>
            <w:tcBorders>
              <w:top w:val="nil"/>
              <w:left w:val="nil"/>
              <w:bottom w:val="nil"/>
              <w:right w:val="nil"/>
            </w:tcBorders>
            <w:shd w:val="clear" w:color="auto" w:fill="auto"/>
            <w:noWrap/>
            <w:vAlign w:val="center"/>
          </w:tcPr>
          <w:p w14:paraId="26DD5123"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7.2%</w:t>
            </w:r>
          </w:p>
        </w:tc>
      </w:tr>
      <w:tr w:rsidR="00BA1C58" w:rsidRPr="00BA1C58" w14:paraId="2DB96B05" w14:textId="77777777" w:rsidTr="00BA1C58">
        <w:trPr>
          <w:trHeight w:val="300"/>
        </w:trPr>
        <w:tc>
          <w:tcPr>
            <w:tcW w:w="2500" w:type="dxa"/>
            <w:tcBorders>
              <w:top w:val="nil"/>
              <w:left w:val="nil"/>
              <w:bottom w:val="nil"/>
              <w:right w:val="nil"/>
            </w:tcBorders>
            <w:shd w:val="clear" w:color="auto" w:fill="auto"/>
            <w:hideMark/>
          </w:tcPr>
          <w:p w14:paraId="73C8B8F1" w14:textId="77777777" w:rsidR="00BA1C58" w:rsidRPr="00BA1C58" w:rsidRDefault="00BA1C58" w:rsidP="00BA1C58">
            <w:pPr>
              <w:spacing w:after="0" w:line="240" w:lineRule="auto"/>
              <w:rPr>
                <w:rFonts w:ascii="Calibri" w:eastAsia="Times New Roman" w:hAnsi="Calibri" w:cs="Times New Roman"/>
                <w:bCs/>
                <w:color w:val="FF0000"/>
              </w:rPr>
            </w:pPr>
            <w:r w:rsidRPr="00BA1C58">
              <w:rPr>
                <w:rFonts w:ascii="Calibri" w:eastAsia="Times New Roman" w:hAnsi="Calibri" w:cs="Times New Roman"/>
                <w:bCs/>
                <w:color w:val="FF0000"/>
              </w:rPr>
              <w:t>Tax Status</w:t>
            </w:r>
          </w:p>
        </w:tc>
        <w:tc>
          <w:tcPr>
            <w:tcW w:w="1100" w:type="dxa"/>
            <w:tcBorders>
              <w:top w:val="nil"/>
              <w:left w:val="nil"/>
              <w:bottom w:val="nil"/>
              <w:right w:val="nil"/>
            </w:tcBorders>
            <w:shd w:val="clear" w:color="auto" w:fill="auto"/>
            <w:noWrap/>
            <w:vAlign w:val="center"/>
            <w:hideMark/>
          </w:tcPr>
          <w:p w14:paraId="766BECD5" w14:textId="77777777" w:rsidR="00BA1C58" w:rsidRPr="00BA1C58" w:rsidRDefault="00BA1C58" w:rsidP="00BA1C58">
            <w:pPr>
              <w:spacing w:after="0" w:line="240" w:lineRule="auto"/>
              <w:jc w:val="center"/>
              <w:rPr>
                <w:rFonts w:ascii="Calibri" w:eastAsia="Times New Roman" w:hAnsi="Calibri" w:cs="Times New Roman"/>
                <w:color w:val="FF0000"/>
              </w:rPr>
            </w:pPr>
          </w:p>
        </w:tc>
        <w:tc>
          <w:tcPr>
            <w:tcW w:w="1100" w:type="dxa"/>
            <w:tcBorders>
              <w:top w:val="nil"/>
              <w:left w:val="nil"/>
              <w:bottom w:val="nil"/>
              <w:right w:val="nil"/>
            </w:tcBorders>
            <w:shd w:val="clear" w:color="auto" w:fill="auto"/>
            <w:noWrap/>
            <w:vAlign w:val="center"/>
            <w:hideMark/>
          </w:tcPr>
          <w:p w14:paraId="2569AE2D" w14:textId="77777777" w:rsidR="00BA1C58" w:rsidRPr="00BA1C58" w:rsidRDefault="00BA1C58" w:rsidP="00BA1C58">
            <w:pPr>
              <w:spacing w:after="0" w:line="240" w:lineRule="auto"/>
              <w:jc w:val="center"/>
              <w:rPr>
                <w:rFonts w:ascii="Calibri" w:eastAsia="Times New Roman" w:hAnsi="Calibri" w:cs="Times New Roman"/>
                <w:color w:val="FF0000"/>
              </w:rPr>
            </w:pPr>
          </w:p>
        </w:tc>
        <w:tc>
          <w:tcPr>
            <w:tcW w:w="1100" w:type="dxa"/>
            <w:tcBorders>
              <w:top w:val="nil"/>
              <w:left w:val="nil"/>
              <w:bottom w:val="nil"/>
              <w:right w:val="nil"/>
            </w:tcBorders>
            <w:shd w:val="clear" w:color="auto" w:fill="auto"/>
            <w:noWrap/>
            <w:vAlign w:val="center"/>
            <w:hideMark/>
          </w:tcPr>
          <w:p w14:paraId="624BC57E" w14:textId="77777777" w:rsidR="00BA1C58" w:rsidRPr="00BA1C58" w:rsidRDefault="00BA1C58" w:rsidP="00BA1C58">
            <w:pPr>
              <w:spacing w:after="0" w:line="240" w:lineRule="auto"/>
              <w:jc w:val="center"/>
              <w:rPr>
                <w:rFonts w:ascii="Calibri" w:eastAsia="Times New Roman" w:hAnsi="Calibri" w:cs="Times New Roman"/>
                <w:color w:val="FF0000"/>
              </w:rPr>
            </w:pPr>
          </w:p>
        </w:tc>
        <w:tc>
          <w:tcPr>
            <w:tcW w:w="1100" w:type="dxa"/>
            <w:tcBorders>
              <w:top w:val="nil"/>
              <w:left w:val="nil"/>
              <w:bottom w:val="nil"/>
              <w:right w:val="nil"/>
            </w:tcBorders>
            <w:shd w:val="clear" w:color="auto" w:fill="auto"/>
            <w:noWrap/>
            <w:vAlign w:val="center"/>
            <w:hideMark/>
          </w:tcPr>
          <w:p w14:paraId="0FE4681D" w14:textId="77777777" w:rsidR="00BA1C58" w:rsidRPr="00BA1C58" w:rsidRDefault="00BA1C58" w:rsidP="00BA1C58">
            <w:pPr>
              <w:spacing w:after="0" w:line="240" w:lineRule="auto"/>
              <w:jc w:val="center"/>
              <w:rPr>
                <w:rFonts w:ascii="Calibri" w:eastAsia="Times New Roman" w:hAnsi="Calibri" w:cs="Times New Roman"/>
                <w:color w:val="FF0000"/>
              </w:rPr>
            </w:pPr>
          </w:p>
        </w:tc>
        <w:tc>
          <w:tcPr>
            <w:tcW w:w="1100" w:type="dxa"/>
            <w:tcBorders>
              <w:top w:val="nil"/>
              <w:left w:val="nil"/>
              <w:bottom w:val="nil"/>
              <w:right w:val="nil"/>
            </w:tcBorders>
            <w:shd w:val="clear" w:color="auto" w:fill="auto"/>
            <w:noWrap/>
            <w:vAlign w:val="center"/>
            <w:hideMark/>
          </w:tcPr>
          <w:p w14:paraId="487AE53F" w14:textId="77777777" w:rsidR="00BA1C58" w:rsidRPr="00BA1C58" w:rsidRDefault="00BA1C58" w:rsidP="00BA1C58">
            <w:pPr>
              <w:spacing w:after="0" w:line="240" w:lineRule="auto"/>
              <w:jc w:val="center"/>
              <w:rPr>
                <w:rFonts w:ascii="Calibri" w:eastAsia="Times New Roman" w:hAnsi="Calibri" w:cs="Times New Roman"/>
                <w:color w:val="FF0000"/>
              </w:rPr>
            </w:pPr>
          </w:p>
        </w:tc>
      </w:tr>
      <w:tr w:rsidR="00BA1C58" w:rsidRPr="00BA1C58" w14:paraId="1BAE17D0" w14:textId="77777777" w:rsidTr="00BA1C58">
        <w:trPr>
          <w:trHeight w:val="300"/>
        </w:trPr>
        <w:tc>
          <w:tcPr>
            <w:tcW w:w="2500" w:type="dxa"/>
            <w:tcBorders>
              <w:top w:val="nil"/>
              <w:left w:val="nil"/>
              <w:bottom w:val="nil"/>
              <w:right w:val="nil"/>
            </w:tcBorders>
            <w:shd w:val="clear" w:color="auto" w:fill="auto"/>
            <w:hideMark/>
          </w:tcPr>
          <w:p w14:paraId="3D4B5D15" w14:textId="77777777" w:rsidR="00BA1C58" w:rsidRPr="00BA1C58" w:rsidRDefault="00BA1C58" w:rsidP="00BA1C58">
            <w:pPr>
              <w:spacing w:after="0" w:line="240" w:lineRule="auto"/>
              <w:ind w:firstLineChars="200" w:firstLine="440"/>
              <w:rPr>
                <w:rFonts w:ascii="Calibri" w:eastAsia="Times New Roman" w:hAnsi="Calibri" w:cs="Times New Roman"/>
                <w:bCs/>
                <w:color w:val="FF0000"/>
              </w:rPr>
            </w:pPr>
            <w:r w:rsidRPr="00BA1C58">
              <w:rPr>
                <w:rFonts w:ascii="Calibri" w:eastAsia="Times New Roman" w:hAnsi="Calibri" w:cs="Times New Roman"/>
                <w:bCs/>
                <w:color w:val="FF0000"/>
              </w:rPr>
              <w:t>Not-for-profit</w:t>
            </w:r>
          </w:p>
        </w:tc>
        <w:tc>
          <w:tcPr>
            <w:tcW w:w="1100" w:type="dxa"/>
            <w:tcBorders>
              <w:top w:val="nil"/>
              <w:left w:val="nil"/>
              <w:bottom w:val="nil"/>
              <w:right w:val="nil"/>
            </w:tcBorders>
            <w:shd w:val="clear" w:color="auto" w:fill="auto"/>
            <w:noWrap/>
            <w:vAlign w:val="center"/>
          </w:tcPr>
          <w:p w14:paraId="0F3EC64C"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125</w:t>
            </w:r>
          </w:p>
        </w:tc>
        <w:tc>
          <w:tcPr>
            <w:tcW w:w="1100" w:type="dxa"/>
            <w:tcBorders>
              <w:top w:val="nil"/>
              <w:left w:val="nil"/>
              <w:bottom w:val="nil"/>
              <w:right w:val="nil"/>
            </w:tcBorders>
            <w:shd w:val="clear" w:color="auto" w:fill="auto"/>
            <w:noWrap/>
            <w:vAlign w:val="center"/>
          </w:tcPr>
          <w:p w14:paraId="764A1903"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32.1%</w:t>
            </w:r>
          </w:p>
        </w:tc>
        <w:tc>
          <w:tcPr>
            <w:tcW w:w="1100" w:type="dxa"/>
            <w:tcBorders>
              <w:top w:val="nil"/>
              <w:left w:val="nil"/>
              <w:bottom w:val="nil"/>
              <w:right w:val="nil"/>
            </w:tcBorders>
            <w:shd w:val="clear" w:color="auto" w:fill="auto"/>
            <w:noWrap/>
            <w:vAlign w:val="center"/>
          </w:tcPr>
          <w:p w14:paraId="13AE8C44"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34.0%</w:t>
            </w:r>
          </w:p>
        </w:tc>
        <w:tc>
          <w:tcPr>
            <w:tcW w:w="1100" w:type="dxa"/>
            <w:tcBorders>
              <w:top w:val="nil"/>
              <w:left w:val="nil"/>
              <w:bottom w:val="nil"/>
              <w:right w:val="nil"/>
            </w:tcBorders>
            <w:shd w:val="clear" w:color="auto" w:fill="auto"/>
            <w:noWrap/>
            <w:vAlign w:val="center"/>
          </w:tcPr>
          <w:p w14:paraId="2A47D011"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30.3%</w:t>
            </w:r>
          </w:p>
        </w:tc>
        <w:tc>
          <w:tcPr>
            <w:tcW w:w="1100" w:type="dxa"/>
            <w:tcBorders>
              <w:top w:val="nil"/>
              <w:left w:val="nil"/>
              <w:bottom w:val="nil"/>
              <w:right w:val="nil"/>
            </w:tcBorders>
            <w:shd w:val="clear" w:color="auto" w:fill="auto"/>
            <w:noWrap/>
            <w:vAlign w:val="center"/>
          </w:tcPr>
          <w:p w14:paraId="2005DAF8"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10.5%</w:t>
            </w:r>
          </w:p>
        </w:tc>
      </w:tr>
      <w:tr w:rsidR="00BA1C58" w:rsidRPr="00BA1C58" w14:paraId="2BF0790B" w14:textId="77777777" w:rsidTr="00BA1C58">
        <w:trPr>
          <w:trHeight w:val="300"/>
        </w:trPr>
        <w:tc>
          <w:tcPr>
            <w:tcW w:w="2500" w:type="dxa"/>
            <w:tcBorders>
              <w:top w:val="nil"/>
              <w:left w:val="nil"/>
              <w:bottom w:val="nil"/>
              <w:right w:val="nil"/>
            </w:tcBorders>
            <w:shd w:val="clear" w:color="auto" w:fill="auto"/>
            <w:hideMark/>
          </w:tcPr>
          <w:p w14:paraId="00D4577D" w14:textId="77777777" w:rsidR="00BA1C58" w:rsidRPr="00BA1C58" w:rsidRDefault="00BA1C58" w:rsidP="00BA1C58">
            <w:pPr>
              <w:spacing w:after="0" w:line="240" w:lineRule="auto"/>
              <w:ind w:firstLineChars="200" w:firstLine="440"/>
              <w:rPr>
                <w:rFonts w:ascii="Calibri" w:eastAsia="Times New Roman" w:hAnsi="Calibri" w:cs="Times New Roman"/>
                <w:bCs/>
                <w:color w:val="FF0000"/>
              </w:rPr>
            </w:pPr>
            <w:r w:rsidRPr="00BA1C58">
              <w:rPr>
                <w:rFonts w:ascii="Calibri" w:eastAsia="Times New Roman" w:hAnsi="Calibri" w:cs="Times New Roman"/>
                <w:bCs/>
                <w:color w:val="FF0000"/>
              </w:rPr>
              <w:t>For profit</w:t>
            </w:r>
          </w:p>
        </w:tc>
        <w:tc>
          <w:tcPr>
            <w:tcW w:w="1100" w:type="dxa"/>
            <w:tcBorders>
              <w:top w:val="nil"/>
              <w:left w:val="nil"/>
              <w:bottom w:val="nil"/>
              <w:right w:val="nil"/>
            </w:tcBorders>
            <w:shd w:val="clear" w:color="auto" w:fill="auto"/>
            <w:noWrap/>
            <w:vAlign w:val="center"/>
          </w:tcPr>
          <w:p w14:paraId="6D2D107A"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34</w:t>
            </w:r>
          </w:p>
        </w:tc>
        <w:tc>
          <w:tcPr>
            <w:tcW w:w="1100" w:type="dxa"/>
            <w:tcBorders>
              <w:top w:val="nil"/>
              <w:left w:val="nil"/>
              <w:bottom w:val="nil"/>
              <w:right w:val="nil"/>
            </w:tcBorders>
            <w:shd w:val="clear" w:color="auto" w:fill="auto"/>
            <w:noWrap/>
            <w:vAlign w:val="center"/>
          </w:tcPr>
          <w:p w14:paraId="74DE0FC1"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35.3%</w:t>
            </w:r>
          </w:p>
        </w:tc>
        <w:tc>
          <w:tcPr>
            <w:tcW w:w="1100" w:type="dxa"/>
            <w:tcBorders>
              <w:top w:val="nil"/>
              <w:left w:val="nil"/>
              <w:bottom w:val="nil"/>
              <w:right w:val="nil"/>
            </w:tcBorders>
            <w:shd w:val="clear" w:color="auto" w:fill="auto"/>
            <w:noWrap/>
            <w:vAlign w:val="center"/>
          </w:tcPr>
          <w:p w14:paraId="060F5907"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40.8%</w:t>
            </w:r>
          </w:p>
        </w:tc>
        <w:tc>
          <w:tcPr>
            <w:tcW w:w="1100" w:type="dxa"/>
            <w:tcBorders>
              <w:top w:val="nil"/>
              <w:left w:val="nil"/>
              <w:bottom w:val="nil"/>
              <w:right w:val="nil"/>
            </w:tcBorders>
            <w:shd w:val="clear" w:color="auto" w:fill="auto"/>
            <w:noWrap/>
            <w:vAlign w:val="center"/>
          </w:tcPr>
          <w:p w14:paraId="15D7030A"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29.7%</w:t>
            </w:r>
          </w:p>
        </w:tc>
        <w:tc>
          <w:tcPr>
            <w:tcW w:w="1100" w:type="dxa"/>
            <w:tcBorders>
              <w:top w:val="nil"/>
              <w:left w:val="nil"/>
              <w:bottom w:val="nil"/>
              <w:right w:val="nil"/>
            </w:tcBorders>
            <w:shd w:val="clear" w:color="auto" w:fill="auto"/>
            <w:noWrap/>
            <w:vAlign w:val="center"/>
          </w:tcPr>
          <w:p w14:paraId="749C5186"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16.0%</w:t>
            </w:r>
          </w:p>
        </w:tc>
      </w:tr>
      <w:tr w:rsidR="00BA1C58" w:rsidRPr="00BA1C58" w14:paraId="319A9E2D" w14:textId="77777777" w:rsidTr="00BA1C58">
        <w:trPr>
          <w:trHeight w:val="315"/>
        </w:trPr>
        <w:tc>
          <w:tcPr>
            <w:tcW w:w="2500" w:type="dxa"/>
            <w:tcBorders>
              <w:top w:val="nil"/>
              <w:left w:val="nil"/>
              <w:bottom w:val="single" w:sz="8" w:space="0" w:color="auto"/>
              <w:right w:val="nil"/>
            </w:tcBorders>
            <w:shd w:val="clear" w:color="auto" w:fill="auto"/>
            <w:hideMark/>
          </w:tcPr>
          <w:p w14:paraId="43605C1C" w14:textId="77777777" w:rsidR="00BA1C58" w:rsidRPr="00BA1C58" w:rsidRDefault="00BA1C58" w:rsidP="00BA1C58">
            <w:pPr>
              <w:spacing w:after="0" w:line="240" w:lineRule="auto"/>
              <w:ind w:firstLineChars="200" w:firstLine="440"/>
              <w:rPr>
                <w:rFonts w:ascii="Calibri" w:eastAsia="Times New Roman" w:hAnsi="Calibri" w:cs="Times New Roman"/>
                <w:bCs/>
                <w:color w:val="FF0000"/>
              </w:rPr>
            </w:pPr>
            <w:r w:rsidRPr="00BA1C58">
              <w:rPr>
                <w:rFonts w:ascii="Calibri" w:eastAsia="Times New Roman" w:hAnsi="Calibri" w:cs="Times New Roman"/>
                <w:bCs/>
                <w:color w:val="FF0000"/>
              </w:rPr>
              <w:t>Government</w:t>
            </w:r>
          </w:p>
        </w:tc>
        <w:tc>
          <w:tcPr>
            <w:tcW w:w="1100" w:type="dxa"/>
            <w:tcBorders>
              <w:top w:val="nil"/>
              <w:left w:val="nil"/>
              <w:bottom w:val="single" w:sz="8" w:space="0" w:color="auto"/>
              <w:right w:val="nil"/>
            </w:tcBorders>
            <w:shd w:val="clear" w:color="auto" w:fill="auto"/>
            <w:noWrap/>
            <w:vAlign w:val="center"/>
          </w:tcPr>
          <w:p w14:paraId="62BA7217"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5</w:t>
            </w:r>
          </w:p>
        </w:tc>
        <w:tc>
          <w:tcPr>
            <w:tcW w:w="1100" w:type="dxa"/>
            <w:tcBorders>
              <w:top w:val="nil"/>
              <w:left w:val="nil"/>
              <w:bottom w:val="single" w:sz="8" w:space="0" w:color="auto"/>
              <w:right w:val="nil"/>
            </w:tcBorders>
            <w:shd w:val="clear" w:color="auto" w:fill="auto"/>
            <w:noWrap/>
            <w:vAlign w:val="center"/>
          </w:tcPr>
          <w:p w14:paraId="25B7C6FB"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20.2%</w:t>
            </w:r>
          </w:p>
        </w:tc>
        <w:tc>
          <w:tcPr>
            <w:tcW w:w="1100" w:type="dxa"/>
            <w:tcBorders>
              <w:top w:val="nil"/>
              <w:left w:val="nil"/>
              <w:bottom w:val="single" w:sz="8" w:space="0" w:color="auto"/>
              <w:right w:val="nil"/>
            </w:tcBorders>
            <w:shd w:val="clear" w:color="auto" w:fill="auto"/>
            <w:noWrap/>
            <w:vAlign w:val="center"/>
          </w:tcPr>
          <w:p w14:paraId="165950DF"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36.8%</w:t>
            </w:r>
          </w:p>
        </w:tc>
        <w:tc>
          <w:tcPr>
            <w:tcW w:w="1100" w:type="dxa"/>
            <w:tcBorders>
              <w:top w:val="nil"/>
              <w:left w:val="nil"/>
              <w:bottom w:val="single" w:sz="8" w:space="0" w:color="auto"/>
              <w:right w:val="nil"/>
            </w:tcBorders>
            <w:shd w:val="clear" w:color="auto" w:fill="auto"/>
            <w:noWrap/>
            <w:vAlign w:val="center"/>
          </w:tcPr>
          <w:p w14:paraId="7B802BA3"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3.6%</w:t>
            </w:r>
          </w:p>
        </w:tc>
        <w:tc>
          <w:tcPr>
            <w:tcW w:w="1100" w:type="dxa"/>
            <w:tcBorders>
              <w:top w:val="nil"/>
              <w:left w:val="nil"/>
              <w:bottom w:val="single" w:sz="8" w:space="0" w:color="auto"/>
              <w:right w:val="nil"/>
            </w:tcBorders>
            <w:shd w:val="clear" w:color="auto" w:fill="auto"/>
            <w:noWrap/>
            <w:vAlign w:val="center"/>
          </w:tcPr>
          <w:p w14:paraId="7F1707FE" w14:textId="77777777" w:rsidR="00BA1C58" w:rsidRPr="00BA1C58" w:rsidRDefault="00BA1C58" w:rsidP="00BA1C58">
            <w:pPr>
              <w:spacing w:after="0" w:line="240" w:lineRule="auto"/>
              <w:jc w:val="center"/>
              <w:rPr>
                <w:rFonts w:ascii="Calibri" w:eastAsia="Times New Roman" w:hAnsi="Calibri" w:cs="Times New Roman"/>
                <w:color w:val="FF0000"/>
              </w:rPr>
            </w:pPr>
            <w:r w:rsidRPr="00BA1C58">
              <w:rPr>
                <w:rFonts w:ascii="Calibri" w:eastAsia="Times New Roman" w:hAnsi="Calibri" w:cs="Times New Roman"/>
                <w:color w:val="FF0000"/>
              </w:rPr>
              <w:t>13.4%</w:t>
            </w:r>
          </w:p>
        </w:tc>
      </w:tr>
    </w:tbl>
    <w:p w14:paraId="13B2E46A" w14:textId="77777777" w:rsidR="00BA1C58" w:rsidRPr="00BA1C58" w:rsidRDefault="00BA1C58" w:rsidP="00BA1C58">
      <w:pPr>
        <w:autoSpaceDE w:val="0"/>
        <w:autoSpaceDN w:val="0"/>
        <w:adjustRightInd w:val="0"/>
        <w:spacing w:after="0" w:line="240" w:lineRule="auto"/>
        <w:rPr>
          <w:rFonts w:ascii="Arial Narrow" w:hAnsi="Arial Narrow" w:cs="Arial"/>
          <w:color w:val="FF0000"/>
        </w:rPr>
      </w:pPr>
    </w:p>
    <w:p w14:paraId="50F17599" w14:textId="77777777" w:rsidR="00BA1C58" w:rsidRPr="00BA1C58" w:rsidRDefault="00BA1C58" w:rsidP="00BA1C58">
      <w:pPr>
        <w:autoSpaceDE w:val="0"/>
        <w:autoSpaceDN w:val="0"/>
        <w:adjustRightInd w:val="0"/>
        <w:spacing w:after="0" w:line="240" w:lineRule="auto"/>
        <w:rPr>
          <w:rFonts w:cstheme="minorHAnsi"/>
          <w:bCs/>
          <w:color w:val="FF0000"/>
        </w:rPr>
      </w:pPr>
    </w:p>
    <w:p w14:paraId="4C10DBC2" w14:textId="77777777" w:rsidR="00BA1C58" w:rsidRPr="00BA1C58" w:rsidRDefault="00BA1C58" w:rsidP="00092566">
      <w:pPr>
        <w:autoSpaceDE w:val="0"/>
        <w:autoSpaceDN w:val="0"/>
        <w:adjustRightInd w:val="0"/>
        <w:spacing w:after="0" w:line="240" w:lineRule="auto"/>
        <w:rPr>
          <w:rFonts w:cstheme="minorHAnsi"/>
          <w:bCs/>
          <w:color w:val="FF0000"/>
        </w:rPr>
      </w:pPr>
    </w:p>
    <w:p w14:paraId="21A8970B" w14:textId="069F9B31" w:rsidR="00F07BB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34114AEB" w14:textId="1673E1FB" w:rsidR="00BA1C58" w:rsidRDefault="00BA1C58" w:rsidP="00DB3627">
      <w:pPr>
        <w:autoSpaceDE w:val="0"/>
        <w:autoSpaceDN w:val="0"/>
        <w:adjustRightInd w:val="0"/>
        <w:spacing w:after="0" w:line="240" w:lineRule="auto"/>
        <w:rPr>
          <w:rFonts w:cstheme="minorHAnsi"/>
          <w:bCs/>
        </w:rPr>
      </w:pPr>
    </w:p>
    <w:p w14:paraId="01743D6D"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t>Frequency Distribution across the Target Population:</w:t>
      </w:r>
    </w:p>
    <w:p w14:paraId="63651D17"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t xml:space="preserve">Frequency analysis showed significant differences in the likeliness of being excluded or included based on the characteristics of race, gender, and age.  Closer analysis of race and gender frequency distributions show that, where differences are found, the groups are more likely to be included than expected.  For example, the only major difference between expected and observed frequency of inclusions in the race category were for those identified as African American, where were substantially more frequently included than would </w:t>
      </w:r>
      <w:proofErr w:type="gramStart"/>
      <w:r w:rsidRPr="00BA1C58">
        <w:rPr>
          <w:rFonts w:cstheme="minorHAnsi"/>
          <w:bCs/>
          <w:color w:val="FF0000"/>
        </w:rPr>
        <w:t>expected</w:t>
      </w:r>
      <w:proofErr w:type="gramEnd"/>
      <w:r w:rsidRPr="00BA1C58">
        <w:rPr>
          <w:rFonts w:cstheme="minorHAnsi"/>
          <w:bCs/>
          <w:color w:val="FF0000"/>
        </w:rPr>
        <w:t xml:space="preserve">.  A similar result was observed for wen, where they were included more frequently than would be expected.  </w:t>
      </w:r>
    </w:p>
    <w:p w14:paraId="3919F8CA" w14:textId="77777777" w:rsidR="00BA1C58" w:rsidRPr="00BA1C58" w:rsidRDefault="00BA1C58" w:rsidP="00BA1C58">
      <w:pPr>
        <w:autoSpaceDE w:val="0"/>
        <w:autoSpaceDN w:val="0"/>
        <w:adjustRightInd w:val="0"/>
        <w:spacing w:after="0" w:line="240" w:lineRule="auto"/>
        <w:rPr>
          <w:rFonts w:cstheme="minorHAnsi"/>
          <w:bCs/>
          <w:color w:val="FF0000"/>
        </w:rPr>
      </w:pPr>
    </w:p>
    <w:p w14:paraId="346A1EDF"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t xml:space="preserve">The driver behind the significant difference based on age was found in the 80 years or older group.  Individuals in this group were observed to be excluded substantially more often than would </w:t>
      </w:r>
      <w:proofErr w:type="gramStart"/>
      <w:r w:rsidRPr="00BA1C58">
        <w:rPr>
          <w:rFonts w:cstheme="minorHAnsi"/>
          <w:bCs/>
          <w:color w:val="FF0000"/>
        </w:rPr>
        <w:t>expected</w:t>
      </w:r>
      <w:proofErr w:type="gramEnd"/>
      <w:r w:rsidRPr="00BA1C58">
        <w:rPr>
          <w:rFonts w:cstheme="minorHAnsi"/>
          <w:bCs/>
          <w:color w:val="FF0000"/>
        </w:rPr>
        <w:t xml:space="preserve"> (225 observed vs. 197 expected).  This is likely a reflection of the types of diseases more often experienced by older populations (e.g., Alzheimer’s disease, dementia, etc.) which would prohibit the ability to self-report.   </w:t>
      </w:r>
    </w:p>
    <w:p w14:paraId="662F2168" w14:textId="77777777" w:rsidR="00BA1C58" w:rsidRPr="00BA1C58" w:rsidRDefault="00BA1C58" w:rsidP="00BA1C58">
      <w:pPr>
        <w:autoSpaceDE w:val="0"/>
        <w:autoSpaceDN w:val="0"/>
        <w:adjustRightInd w:val="0"/>
        <w:spacing w:after="0" w:line="240" w:lineRule="auto"/>
        <w:rPr>
          <w:rFonts w:cstheme="minorHAnsi"/>
          <w:bCs/>
          <w:color w:val="FF0000"/>
        </w:rPr>
      </w:pPr>
    </w:p>
    <w:p w14:paraId="39218F2A"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lastRenderedPageBreak/>
        <w:t>Distribution across the Measured Entities:</w:t>
      </w:r>
    </w:p>
    <w:p w14:paraId="577E05D0" w14:textId="77777777" w:rsidR="00BA1C58" w:rsidRPr="00BA1C58" w:rsidRDefault="00BA1C58" w:rsidP="00BA1C58">
      <w:pPr>
        <w:autoSpaceDE w:val="0"/>
        <w:autoSpaceDN w:val="0"/>
        <w:adjustRightInd w:val="0"/>
        <w:spacing w:after="0" w:line="240" w:lineRule="auto"/>
        <w:rPr>
          <w:rFonts w:cstheme="minorHAnsi"/>
          <w:bCs/>
          <w:color w:val="FF0000"/>
        </w:rPr>
      </w:pPr>
      <w:r w:rsidRPr="00BA1C58">
        <w:rPr>
          <w:rFonts w:cstheme="minorHAnsi"/>
          <w:bCs/>
          <w:color w:val="FF0000"/>
        </w:rPr>
        <w:t xml:space="preserve">Statistically significant but not substantial differences were found between the percent of respondents excluded from the Comfortable Dying measure and provider demographic characteristics over the course of the year.  The significant differences were found in the follow groups; rural and mixed urban and rural providers, providers with an ADC &lt;100 and those &gt;200, and for-profit and government agencies. </w:t>
      </w:r>
    </w:p>
    <w:p w14:paraId="76B10E08" w14:textId="77777777" w:rsidR="00BA1C58" w:rsidRPr="00BA1C58" w:rsidRDefault="00BA1C58" w:rsidP="00DB3627">
      <w:pPr>
        <w:autoSpaceDE w:val="0"/>
        <w:autoSpaceDN w:val="0"/>
        <w:adjustRightInd w:val="0"/>
        <w:spacing w:after="0" w:line="240" w:lineRule="auto"/>
        <w:rPr>
          <w:rFonts w:cstheme="minorHAnsi"/>
          <w:bCs/>
          <w:color w:val="FF0000"/>
        </w:rPr>
      </w:pPr>
    </w:p>
    <w:p w14:paraId="0FEC678A" w14:textId="77777777" w:rsidR="00F07BBD" w:rsidRDefault="00F07BBD" w:rsidP="00F07BBD">
      <w:pPr>
        <w:rPr>
          <w:rFonts w:cstheme="minorHAnsi"/>
          <w:bCs/>
          <w:color w:val="FF0000"/>
        </w:rPr>
      </w:pPr>
      <w:r>
        <w:rPr>
          <w:rFonts w:cstheme="minorHAnsi"/>
          <w:bCs/>
          <w:color w:val="FF0000"/>
        </w:rPr>
        <w:t xml:space="preserve">There were three exclusions for this measure: patients less than 18 years old; patients who were unable to self-report at the time of admission; and patients who are unable to communicate and understand the language of the person asking the question.  </w:t>
      </w:r>
    </w:p>
    <w:p w14:paraId="7B4CD9CB" w14:textId="77777777" w:rsidR="00F07BBD" w:rsidRDefault="00F07BBD" w:rsidP="00F07BBD">
      <w:pPr>
        <w:rPr>
          <w:rFonts w:cstheme="minorHAnsi"/>
          <w:bCs/>
          <w:color w:val="FF0000"/>
        </w:rPr>
      </w:pPr>
      <w:r>
        <w:rPr>
          <w:rFonts w:cstheme="minorHAnsi"/>
          <w:bCs/>
          <w:color w:val="FF0000"/>
        </w:rPr>
        <w:t>Most hospices have few patients younger than 18, and so that exclusion has little impact.  Patients truly unable to self-report must be excluded simply because this is a patient-reported measure.  The same is true for patients who are unable to understand and communicate the language of the person asking the question.  Because this is a patient reported measure, the responses to the initial and the follow-up measure questions must be from the patient and not a proxy.  The use of an interpreter, however, is permitted if the patient cannot understand the language of the clinician conducting the assessment. Use of a qualified interpreter will suffice to surmount the language barrier and include the patient in the NQF #0209 measure. The same standard regarding use of an interpreter for the comfort question(s) as for any regular assessment or visit.</w:t>
      </w:r>
    </w:p>
    <w:p w14:paraId="4E4C3795" w14:textId="77777777" w:rsidR="00F07BBD" w:rsidRDefault="00F07BBD" w:rsidP="00F07BBD">
      <w:pPr>
        <w:rPr>
          <w:rFonts w:cstheme="minorHAnsi"/>
          <w:bCs/>
          <w:color w:val="FF0000"/>
        </w:rPr>
      </w:pPr>
      <w:r>
        <w:rPr>
          <w:rFonts w:cstheme="minorHAnsi"/>
          <w:bCs/>
          <w:color w:val="FF0000"/>
        </w:rPr>
        <w:t xml:space="preserve">There was no exclusion for patients who were reported to become unable to self-report for the follow up question, after they were considered able to self-report at admission.  Those patients were counted for the measure just the same as if they had responded to the follow up question by saying that they had not been made comfortable at 48 hours.  The measure was designed in that way to give providers an incentive to persist with attempting to ask the follow up question.  Because some patients </w:t>
      </w:r>
      <w:proofErr w:type="gramStart"/>
      <w:r>
        <w:rPr>
          <w:rFonts w:cstheme="minorHAnsi"/>
          <w:bCs/>
          <w:color w:val="FF0000"/>
        </w:rPr>
        <w:t>actually do</w:t>
      </w:r>
      <w:proofErr w:type="gramEnd"/>
      <w:r>
        <w:rPr>
          <w:rFonts w:cstheme="minorHAnsi"/>
          <w:bCs/>
          <w:color w:val="FF0000"/>
        </w:rPr>
        <w:t xml:space="preserve"> become completely unable to self-report, the result is that the comfortable dying measure will report slightly less than the true percentage of patients who are made comfortable at 48 hours.   </w:t>
      </w:r>
    </w:p>
    <w:p w14:paraId="5CFD2C43" w14:textId="77777777" w:rsidR="00F07BBD" w:rsidRDefault="00F07BBD" w:rsidP="00F07BBD">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01E2FB50" w:rsidR="00033038" w:rsidRPr="005232D6" w:rsidRDefault="00BA1C58"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Content>
          <w:r w:rsidR="0078532C">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BA1C58"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BA1C58"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BA1C58"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637A4F19" w14:textId="77777777" w:rsidR="0078532C" w:rsidRDefault="0078532C" w:rsidP="009D3882">
      <w:pPr>
        <w:rPr>
          <w:rFonts w:cs="Calibri"/>
        </w:rPr>
      </w:pPr>
    </w:p>
    <w:p w14:paraId="0A1E352E" w14:textId="663963D2" w:rsidR="00AF2D68" w:rsidRPr="0078532C" w:rsidRDefault="0078532C" w:rsidP="009D3882">
      <w:pPr>
        <w:rPr>
          <w:rFonts w:cs="Calibri"/>
        </w:rPr>
      </w:pPr>
      <w:r w:rsidRPr="0078532C">
        <w:rPr>
          <w:rFonts w:cs="Calibri"/>
        </w:rPr>
        <w:t>N</w:t>
      </w:r>
      <w:r>
        <w:rPr>
          <w:rFonts w:cs="Calibri"/>
        </w:rPr>
        <w:t>/</w:t>
      </w:r>
      <w:r w:rsidRPr="0078532C">
        <w:rPr>
          <w:rFonts w:cs="Calibri"/>
        </w:rPr>
        <w:t xml:space="preserve">A </w:t>
      </w:r>
    </w:p>
    <w:p w14:paraId="738345DC" w14:textId="77777777" w:rsidR="0078532C" w:rsidRDefault="009C7513" w:rsidP="0078532C">
      <w:pPr>
        <w:autoSpaceDE w:val="0"/>
        <w:autoSpaceDN w:val="0"/>
        <w:adjustRightInd w:val="0"/>
        <w:spacing w:after="0" w:line="240" w:lineRule="auto"/>
        <w:rPr>
          <w:rFonts w:cs="Calibri"/>
          <w:bCs/>
        </w:rPr>
      </w:pPr>
      <w:r>
        <w:rPr>
          <w:rFonts w:cs="Calibri"/>
          <w:b/>
          <w:bCs/>
        </w:rPr>
        <w:lastRenderedPageBreak/>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p>
    <w:p w14:paraId="0CA26E67" w14:textId="277FF914" w:rsidR="0078532C" w:rsidRDefault="009D3882" w:rsidP="0078532C">
      <w:pPr>
        <w:autoSpaceDE w:val="0"/>
        <w:autoSpaceDN w:val="0"/>
        <w:adjustRightInd w:val="0"/>
        <w:spacing w:after="0" w:line="240" w:lineRule="auto"/>
        <w:rPr>
          <w:rFonts w:ascii="Arial Narrow" w:hAnsi="Arial Narrow" w:cs="Arial"/>
        </w:rPr>
      </w:pPr>
      <w:r>
        <w:rPr>
          <w:rFonts w:cs="Calibri"/>
          <w:bCs/>
        </w:rPr>
        <w:br/>
      </w:r>
      <w:r w:rsidR="0078532C">
        <w:rPr>
          <w:rFonts w:ascii="Arial Narrow" w:hAnsi="Arial Narrow" w:cs="Arial"/>
        </w:rPr>
        <w:t>The standard of care for hospices is to provide timely and effective pain management based on patient preferences for all patients regardless of primary diagnosis, underlying mechanism for pain, or other patient characteristics, including pain intensity rating.  Because the measure is based on the patient´s statement of comfort/discomfort no adjustment is necessary (e.g., for patients who report a high pain intensity but refuse intervention aimed at lowering pain intensity levels).</w:t>
      </w:r>
    </w:p>
    <w:p w14:paraId="4E721D77" w14:textId="77777777" w:rsidR="0078532C" w:rsidRDefault="0078532C" w:rsidP="0078532C">
      <w:pPr>
        <w:autoSpaceDE w:val="0"/>
        <w:autoSpaceDN w:val="0"/>
        <w:adjustRightInd w:val="0"/>
        <w:spacing w:after="0" w:line="240" w:lineRule="auto"/>
        <w:rPr>
          <w:rFonts w:cstheme="minorHAnsi"/>
          <w:bCs/>
          <w:color w:val="FF0000"/>
        </w:rPr>
      </w:pPr>
    </w:p>
    <w:p w14:paraId="0AE132FA" w14:textId="77777777" w:rsidR="0078532C" w:rsidRDefault="0078532C" w:rsidP="0078532C">
      <w:pPr>
        <w:autoSpaceDE w:val="0"/>
        <w:autoSpaceDN w:val="0"/>
        <w:adjustRightInd w:val="0"/>
        <w:spacing w:after="0" w:line="240" w:lineRule="auto"/>
        <w:rPr>
          <w:rFonts w:cstheme="minorHAnsi"/>
          <w:bCs/>
          <w:color w:val="FF0000"/>
        </w:rPr>
      </w:pPr>
      <w:r>
        <w:rPr>
          <w:rFonts w:cstheme="minorHAnsi"/>
          <w:bCs/>
          <w:color w:val="FF0000"/>
        </w:rPr>
        <w:t>For this measure, no clear effect has been demonstrated for readily identifiable patient characteristics.</w:t>
      </w:r>
    </w:p>
    <w:p w14:paraId="7C6D6500" w14:textId="77777777" w:rsidR="0078532C" w:rsidRDefault="0078532C" w:rsidP="0078532C">
      <w:pPr>
        <w:rPr>
          <w:rFonts w:cstheme="minorHAnsi"/>
          <w:color w:val="FF0000"/>
        </w:rPr>
      </w:pPr>
      <w:r>
        <w:rPr>
          <w:rFonts w:cstheme="minorHAnsi"/>
          <w:color w:val="FF0000"/>
        </w:rPr>
        <w:t>No risk adjustment strategy has been included in this measure.</w:t>
      </w:r>
    </w:p>
    <w:p w14:paraId="0BC8BC72" w14:textId="0B1F4DAF" w:rsidR="0078532C" w:rsidRDefault="0078532C" w:rsidP="0078532C">
      <w:pPr>
        <w:rPr>
          <w:rFonts w:cstheme="minorHAnsi"/>
          <w:color w:val="FF0000"/>
        </w:rPr>
      </w:pPr>
      <w:r>
        <w:rPr>
          <w:rFonts w:cstheme="minorHAnsi"/>
          <w:color w:val="FF0000"/>
        </w:rPr>
        <w:t>A sample of 2,329 patients was used to investigate possible stratification by age or gender.  Of those patients, 383 qualified for the denominator of this measure.  Of those patients, the measure showed no statistically significant difference between the patients younger than 65 and the patients aged 65 and over.  There was, likewise, no statistically significant difference between male patients and female patients.</w:t>
      </w:r>
    </w:p>
    <w:p w14:paraId="09885581" w14:textId="77777777" w:rsidR="00BA1C58" w:rsidRPr="00BA1C58" w:rsidRDefault="00BA1C58" w:rsidP="00BA1C58">
      <w:pPr>
        <w:pStyle w:val="Default"/>
        <w:rPr>
          <w:rFonts w:asciiTheme="minorHAnsi" w:hAnsiTheme="minorHAnsi" w:cstheme="minorHAnsi"/>
          <w:color w:val="FF0000"/>
          <w:sz w:val="22"/>
          <w:szCs w:val="22"/>
        </w:rPr>
      </w:pPr>
      <w:r w:rsidRPr="00BA1C58">
        <w:rPr>
          <w:rFonts w:asciiTheme="minorHAnsi" w:hAnsiTheme="minorHAnsi" w:cstheme="minorHAnsi"/>
          <w:b/>
          <w:bCs/>
          <w:color w:val="FF0000"/>
          <w:sz w:val="22"/>
          <w:szCs w:val="22"/>
        </w:rPr>
        <w:t xml:space="preserve">We maintain that risk adjustment for NQF measure #0209 is not necessary. </w:t>
      </w:r>
    </w:p>
    <w:p w14:paraId="4E44D8B4" w14:textId="77777777" w:rsidR="00BA1C58" w:rsidRPr="00BA1C58" w:rsidRDefault="00BA1C58" w:rsidP="00BA1C58">
      <w:pPr>
        <w:pStyle w:val="Default"/>
        <w:rPr>
          <w:rFonts w:asciiTheme="minorHAnsi" w:hAnsiTheme="minorHAnsi" w:cstheme="minorHAnsi"/>
          <w:color w:val="FF0000"/>
          <w:sz w:val="22"/>
          <w:szCs w:val="22"/>
        </w:rPr>
      </w:pPr>
      <w:r w:rsidRPr="00BA1C58">
        <w:rPr>
          <w:rFonts w:asciiTheme="minorHAnsi" w:hAnsiTheme="minorHAnsi" w:cstheme="minorHAnsi"/>
          <w:color w:val="FF0000"/>
          <w:sz w:val="22"/>
          <w:szCs w:val="22"/>
        </w:rPr>
        <w:t xml:space="preserve">We contend that the customary approach and factors utilized in risk adjustment are not appropriate for pain management in hospice and palliative care. The standard of care in hospice is to provide timely and effective pain management based on patient preferences for all patients regardless of primary diagnosis, underlying mechanism for pain, or other patient characteristics, including pain intensity rating. Hospice providers should be equally responsible for optimizing pain management for all patients who state they are uncomfortable on the initial pain screening. </w:t>
      </w:r>
    </w:p>
    <w:p w14:paraId="4AF3E440" w14:textId="77777777" w:rsidR="00BA1C58" w:rsidRDefault="00BA1C58" w:rsidP="0078532C">
      <w:pPr>
        <w:rPr>
          <w:rFonts w:cstheme="minorHAnsi"/>
          <w:color w:val="FF0000"/>
        </w:rPr>
      </w:pPr>
    </w:p>
    <w:p w14:paraId="10B0584C" w14:textId="77777777" w:rsidR="0078532C"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55F7D951" w14:textId="77777777" w:rsidR="00BA1C58" w:rsidRPr="00EC08B5" w:rsidRDefault="00BA1C58" w:rsidP="00BA1C58">
      <w:pPr>
        <w:rPr>
          <w:rFonts w:cstheme="minorHAnsi"/>
          <w:bCs/>
          <w:color w:val="FF0000"/>
        </w:rPr>
      </w:pPr>
      <w:r w:rsidRPr="00EC08B5">
        <w:rPr>
          <w:color w:val="FF0000"/>
        </w:rPr>
        <w:t>Factors examined included: geographic location; service area; ownership; race and ethnicity; patient age; patient gender; patient principle diagnosis; and referral source. None of these factors demonstrated an association with the measure scores and no trend was seen between facilities with different proportions of patients in any of the risk factor categories.</w:t>
      </w:r>
      <w:r w:rsidRPr="00EC08B5">
        <w:rPr>
          <w:rFonts w:cstheme="minorHAnsi"/>
          <w:bCs/>
          <w:color w:val="FF0000"/>
        </w:rPr>
        <w:br/>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1E856529" w:rsidR="00275563" w:rsidRPr="005232D6" w:rsidRDefault="00BA1C5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Content>
          <w:r>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0AEEEC13" w:rsidR="00275563" w:rsidRPr="005232D6" w:rsidRDefault="00BA1C5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Content>
          <w:r>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BA1C5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6DCB43B2" w14:textId="77777777" w:rsidR="0078532C" w:rsidRDefault="0078532C" w:rsidP="00001D73">
      <w:pPr>
        <w:autoSpaceDE w:val="0"/>
        <w:autoSpaceDN w:val="0"/>
        <w:adjustRightInd w:val="0"/>
        <w:spacing w:after="0" w:line="240" w:lineRule="auto"/>
        <w:rPr>
          <w:rFonts w:cstheme="minorHAnsi"/>
        </w:rPr>
      </w:pPr>
    </w:p>
    <w:p w14:paraId="7C5644B4" w14:textId="66DB2DDC" w:rsidR="00275563" w:rsidRPr="0078532C" w:rsidRDefault="00275563" w:rsidP="00001D73">
      <w:pPr>
        <w:autoSpaceDE w:val="0"/>
        <w:autoSpaceDN w:val="0"/>
        <w:adjustRightInd w:val="0"/>
        <w:spacing w:after="0" w:line="240" w:lineRule="auto"/>
        <w:rPr>
          <w:rFonts w:cstheme="minorHAnsi"/>
        </w:rPr>
      </w:pPr>
    </w:p>
    <w:p w14:paraId="1B0391DE" w14:textId="77777777" w:rsidR="0078532C" w:rsidRDefault="0078532C" w:rsidP="00001D73">
      <w:pPr>
        <w:autoSpaceDE w:val="0"/>
        <w:autoSpaceDN w:val="0"/>
        <w:adjustRightInd w:val="0"/>
        <w:spacing w:after="0" w:line="240" w:lineRule="auto"/>
        <w:rPr>
          <w:rFonts w:cstheme="minorHAnsi"/>
          <w:b/>
          <w:bCs/>
        </w:rPr>
      </w:pPr>
    </w:p>
    <w:p w14:paraId="54F132F6" w14:textId="29F0EEBD" w:rsidR="0078532C"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p>
    <w:p w14:paraId="4131C013" w14:textId="77777777" w:rsidR="0078532C" w:rsidRDefault="0078532C" w:rsidP="00001D73">
      <w:pPr>
        <w:autoSpaceDE w:val="0"/>
        <w:autoSpaceDN w:val="0"/>
        <w:adjustRightInd w:val="0"/>
        <w:spacing w:after="0" w:line="240" w:lineRule="auto"/>
        <w:rPr>
          <w:rFonts w:cstheme="minorHAnsi"/>
        </w:rPr>
      </w:pPr>
    </w:p>
    <w:p w14:paraId="7FF8A419" w14:textId="77777777" w:rsidR="00FC7402" w:rsidRPr="00EC08B5" w:rsidRDefault="00FC7402" w:rsidP="00FC7402">
      <w:pPr>
        <w:pStyle w:val="Default"/>
        <w:rPr>
          <w:rFonts w:asciiTheme="minorHAnsi" w:hAnsiTheme="minorHAnsi" w:cstheme="minorHAnsi"/>
          <w:color w:val="FF0000"/>
          <w:sz w:val="22"/>
          <w:szCs w:val="22"/>
        </w:rPr>
      </w:pPr>
      <w:r w:rsidRPr="00EC08B5">
        <w:rPr>
          <w:rFonts w:asciiTheme="minorHAnsi" w:hAnsiTheme="minorHAnsi" w:cstheme="minorHAnsi"/>
          <w:color w:val="FF0000"/>
          <w:sz w:val="22"/>
          <w:szCs w:val="22"/>
        </w:rPr>
        <w:t xml:space="preserve">We conducted an analysis of potential risk factors at the facility level. Scores used in this analysis combined data from 2012 and 2013. Because the distribution of scores showed departures from normality, nonparametric statistical tests were used (Kruskal-Wallis, Wilcoxon). </w:t>
      </w:r>
    </w:p>
    <w:p w14:paraId="0CABCFF7" w14:textId="23DD6857" w:rsidR="00092566" w:rsidRPr="0078532C" w:rsidRDefault="00001D73" w:rsidP="00001D73">
      <w:pPr>
        <w:autoSpaceDE w:val="0"/>
        <w:autoSpaceDN w:val="0"/>
        <w:adjustRightInd w:val="0"/>
        <w:spacing w:after="0" w:line="240" w:lineRule="auto"/>
        <w:rPr>
          <w:rFonts w:cstheme="minorHAnsi"/>
        </w:rPr>
      </w:pPr>
      <w:r w:rsidRPr="0078532C">
        <w:rPr>
          <w:rFonts w:cstheme="minorHAnsi"/>
        </w:rPr>
        <w:br/>
      </w: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5F6DC437" w14:textId="77777777" w:rsidR="0078532C" w:rsidRDefault="0078532C" w:rsidP="00001D73">
      <w:pPr>
        <w:autoSpaceDE w:val="0"/>
        <w:autoSpaceDN w:val="0"/>
        <w:adjustRightInd w:val="0"/>
        <w:spacing w:after="0" w:line="240" w:lineRule="auto"/>
        <w:rPr>
          <w:rFonts w:cstheme="minorHAnsi"/>
        </w:rPr>
      </w:pPr>
    </w:p>
    <w:p w14:paraId="2A69DBF8" w14:textId="77777777" w:rsidR="00FC7402" w:rsidRPr="00EC08B5" w:rsidRDefault="00FC7402" w:rsidP="00FC7402">
      <w:pPr>
        <w:pStyle w:val="Default"/>
        <w:rPr>
          <w:rFonts w:asciiTheme="minorHAnsi" w:hAnsiTheme="minorHAnsi" w:cstheme="minorHAnsi"/>
          <w:color w:val="FF0000"/>
          <w:sz w:val="22"/>
          <w:szCs w:val="22"/>
        </w:rPr>
      </w:pPr>
      <w:r w:rsidRPr="00EC08B5">
        <w:rPr>
          <w:rFonts w:asciiTheme="minorHAnsi" w:hAnsiTheme="minorHAnsi" w:cstheme="minorHAnsi"/>
          <w:color w:val="FF0000"/>
          <w:sz w:val="22"/>
          <w:szCs w:val="22"/>
        </w:rPr>
        <w:t xml:space="preserve">Risk adjustment for measure NQF #0209 is not needed because providers have an equal responsibility to provide timely pain management for all patients. The lack of need for risk adjustment is supported by the evidence in the supplementary analyses provided. Moreover, this measure fills a critical gap in the field of palliative and hospice practice. The Comfortable Dying measure is one of the very few </w:t>
      </w:r>
      <w:proofErr w:type="gramStart"/>
      <w:r w:rsidRPr="00EC08B5">
        <w:rPr>
          <w:rFonts w:asciiTheme="minorHAnsi" w:hAnsiTheme="minorHAnsi" w:cstheme="minorHAnsi"/>
          <w:color w:val="FF0000"/>
          <w:sz w:val="22"/>
          <w:szCs w:val="22"/>
        </w:rPr>
        <w:t>patient</w:t>
      </w:r>
      <w:proofErr w:type="gramEnd"/>
      <w:r w:rsidRPr="00EC08B5">
        <w:rPr>
          <w:rFonts w:asciiTheme="minorHAnsi" w:hAnsiTheme="minorHAnsi" w:cstheme="minorHAnsi"/>
          <w:color w:val="FF0000"/>
          <w:sz w:val="22"/>
          <w:szCs w:val="22"/>
        </w:rPr>
        <w:t xml:space="preserve"> reported outcome measures which NQF, and most importantly patients, consider highly desirable. </w:t>
      </w:r>
    </w:p>
    <w:p w14:paraId="0CABCFF9" w14:textId="6ACBE054" w:rsidR="00C1695E" w:rsidRPr="0078532C" w:rsidRDefault="00C1695E" w:rsidP="00001D73">
      <w:pPr>
        <w:autoSpaceDE w:val="0"/>
        <w:autoSpaceDN w:val="0"/>
        <w:adjustRightInd w:val="0"/>
        <w:spacing w:after="0" w:line="240" w:lineRule="auto"/>
        <w:rPr>
          <w:rFonts w:cstheme="minorHAnsi"/>
        </w:rPr>
      </w:pPr>
    </w:p>
    <w:p w14:paraId="5717CFA5" w14:textId="77777777" w:rsidR="0078532C" w:rsidRPr="00001D73" w:rsidRDefault="0078532C" w:rsidP="00001D73">
      <w:pPr>
        <w:autoSpaceDE w:val="0"/>
        <w:autoSpaceDN w:val="0"/>
        <w:adjustRightInd w:val="0"/>
        <w:spacing w:after="0" w:line="240" w:lineRule="auto"/>
        <w:rPr>
          <w:rFonts w:cstheme="minorHAnsi"/>
          <w:b/>
          <w:bCs/>
        </w:rPr>
      </w:pPr>
    </w:p>
    <w:p w14:paraId="48A66BFE" w14:textId="77777777" w:rsidR="0078532C"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4787F41F" w14:textId="77777777" w:rsidR="0078532C" w:rsidRDefault="0078532C" w:rsidP="00092566">
      <w:pPr>
        <w:autoSpaceDE w:val="0"/>
        <w:autoSpaceDN w:val="0"/>
        <w:adjustRightInd w:val="0"/>
        <w:spacing w:after="0" w:line="240" w:lineRule="auto"/>
        <w:rPr>
          <w:rFonts w:cstheme="minorHAnsi"/>
          <w:bCs/>
        </w:rPr>
      </w:pPr>
    </w:p>
    <w:p w14:paraId="0CABCFFA" w14:textId="11FC325B" w:rsidR="00092566" w:rsidRPr="00A25024" w:rsidRDefault="0078532C" w:rsidP="00092566">
      <w:pPr>
        <w:autoSpaceDE w:val="0"/>
        <w:autoSpaceDN w:val="0"/>
        <w:adjustRightInd w:val="0"/>
        <w:spacing w:after="0" w:line="240" w:lineRule="auto"/>
        <w:rPr>
          <w:rFonts w:cstheme="minorHAnsi"/>
          <w:bCs/>
        </w:rPr>
      </w:pPr>
      <w:r>
        <w:rPr>
          <w:rFonts w:cstheme="minorHAnsi"/>
          <w:bCs/>
        </w:rPr>
        <w:t>N/A</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79D5D7A7" w:rsidR="00001D73" w:rsidRP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CABCFFE" w14:textId="57E7DDD4"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2" w:name="question2b49"/>
      <w:bookmarkEnd w:id="12"/>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7777777" w:rsidR="00092566" w:rsidRPr="00A25024" w:rsidRDefault="00092566" w:rsidP="00092566">
      <w:pPr>
        <w:pStyle w:val="ListParagraph"/>
        <w:rPr>
          <w:rFonts w:cstheme="minorHAnsi"/>
          <w:bCs/>
        </w:rPr>
      </w:pPr>
    </w:p>
    <w:p w14:paraId="0CABD002" w14:textId="35305BFC"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lastRenderedPageBreak/>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3" w:name="section2b5"/>
      <w:bookmarkEnd w:id="13"/>
      <w:r>
        <w:rPr>
          <w:rFonts w:cstheme="minorHAnsi"/>
          <w:b/>
          <w:bCs/>
        </w:rPr>
        <w:t>2b4</w:t>
      </w:r>
      <w:r w:rsidR="00D61410" w:rsidRPr="00A25024">
        <w:rPr>
          <w:rFonts w:cstheme="minorHAnsi"/>
          <w:b/>
          <w:bCs/>
        </w:rPr>
        <w:t>. IDENTIFICATION OF STATISTICALLY SIGNIFICANT &amp; MEANINGFUL DIFFERENCES IN PERFORMANCE</w:t>
      </w:r>
    </w:p>
    <w:p w14:paraId="0C1AE406" w14:textId="77777777" w:rsidR="00FC7402" w:rsidRDefault="009C7513" w:rsidP="00FC7402">
      <w:pPr>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2D6AD1E8" w14:textId="7EAA7419" w:rsidR="00FC7402" w:rsidRPr="00FC7402" w:rsidRDefault="00FC7402" w:rsidP="00FC7402">
      <w:pPr>
        <w:rPr>
          <w:rFonts w:cstheme="minorHAnsi"/>
          <w:bCs/>
          <w:color w:val="FF0000"/>
        </w:rPr>
      </w:pPr>
      <w:r w:rsidRPr="00FC7402">
        <w:rPr>
          <w:rFonts w:cstheme="minorHAnsi"/>
          <w:bCs/>
          <w:color w:val="FF0000"/>
        </w:rPr>
        <w:t>To examine the ability of the performance measure to identify differences among hospice providers, we performed three analyses.  First</w:t>
      </w:r>
      <w:r>
        <w:rPr>
          <w:rFonts w:cstheme="minorHAnsi"/>
          <w:bCs/>
          <w:color w:val="FF0000"/>
        </w:rPr>
        <w:t>,</w:t>
      </w:r>
      <w:r w:rsidRPr="00FC7402">
        <w:rPr>
          <w:rFonts w:cstheme="minorHAnsi"/>
          <w:bCs/>
          <w:color w:val="FF0000"/>
        </w:rPr>
        <w:t xml:space="preserve"> we examined the distribution of Comfortable Dying scores across hospice organizations.  Then we assigned each organization to a performance category based on the quartile where its Comfortable Dying Score fell (first quartile = low performance; second quartile = medium-low performance; third quartile = medium-high performance; fourth quartile = high performance).  An analysis of variance was then performed to determine if significant differences existed between Comfortable Dying scores of providers based on their performance rating.  A Tukey’s test was performed to determine if the Comfortable Dying scores varied significantly across groups. </w:t>
      </w:r>
    </w:p>
    <w:p w14:paraId="10872DBD" w14:textId="23162EE3" w:rsidR="00411674" w:rsidRDefault="00411674" w:rsidP="00411674">
      <w:pPr>
        <w:rPr>
          <w:rFonts w:ascii="Arial Narrow" w:hAnsi="Arial Narrow" w:cs="Arial"/>
          <w:b/>
          <w:bCs/>
        </w:rPr>
      </w:pPr>
      <w:r>
        <w:rPr>
          <w:rFonts w:ascii="Arial Narrow" w:hAnsi="Arial Narrow" w:cs="Arial"/>
        </w:rPr>
        <w:t xml:space="preserve">From 2004 through 2010 the National Hospice and Palliative Care Organization has collected aggregate data from hospices for the Comfortable Dying Measure.  Data collected during that time provide evidence for an overall less-than-optimal performance by participant providers.  Deviation from the national mean and the presence of providers with substantially higher (better) scores indicate that performance of individual hospices and the industry </w:t>
      </w:r>
      <w:proofErr w:type="gramStart"/>
      <w:r>
        <w:rPr>
          <w:rFonts w:ascii="Arial Narrow" w:hAnsi="Arial Narrow" w:cs="Arial"/>
        </w:rPr>
        <w:t>as a whole can</w:t>
      </w:r>
      <w:proofErr w:type="gramEnd"/>
      <w:r>
        <w:rPr>
          <w:rFonts w:ascii="Arial Narrow" w:hAnsi="Arial Narrow" w:cs="Arial"/>
        </w:rPr>
        <w:t xml:space="preserve"> be significantly improved. </w:t>
      </w:r>
    </w:p>
    <w:p w14:paraId="2CF25339" w14:textId="77777777" w:rsidR="00411674" w:rsidRDefault="00411674" w:rsidP="00411674">
      <w:pPr>
        <w:rPr>
          <w:rFonts w:ascii="Arial Narrow" w:hAnsi="Arial Narrow" w:cs="Arial"/>
        </w:rPr>
      </w:pPr>
      <w:r>
        <w:rPr>
          <w:rFonts w:ascii="Arial Narrow" w:hAnsi="Arial Narrow" w:cs="Arial"/>
        </w:rPr>
        <w:t xml:space="preserve">The data were obtained through an ongoing collection effort by the NHCPO and submitted by hospices voluntarily providing their aggregated data.  From 2004 through 2007, hospices submitted data annually through the NHPCO Data Analysis and Reporting Tools (DART) system and by manual submission of raw data files (e.g., CSV files).  From 2008 to the present, participating hospices voluntarily submit data on a quarterly basis only through the DART system. </w:t>
      </w:r>
    </w:p>
    <w:p w14:paraId="676F87F3" w14:textId="77777777" w:rsidR="00411674" w:rsidRDefault="00411674" w:rsidP="00411674">
      <w:pPr>
        <w:rPr>
          <w:rFonts w:ascii="Arial Narrow" w:hAnsi="Arial Narrow" w:cs="Arial"/>
        </w:rPr>
      </w:pPr>
      <w:r>
        <w:rPr>
          <w:rFonts w:ascii="Arial Narrow" w:hAnsi="Arial Narrow" w:cs="Arial"/>
        </w:rPr>
        <w:t xml:space="preserve">After collecting data for the specified </w:t>
      </w:r>
      <w:proofErr w:type="gramStart"/>
      <w:r>
        <w:rPr>
          <w:rFonts w:ascii="Arial Narrow" w:hAnsi="Arial Narrow" w:cs="Arial"/>
        </w:rPr>
        <w:t>period of time</w:t>
      </w:r>
      <w:proofErr w:type="gramEnd"/>
      <w:r>
        <w:rPr>
          <w:rFonts w:ascii="Arial Narrow" w:hAnsi="Arial Narrow" w:cs="Arial"/>
        </w:rPr>
        <w:t xml:space="preserve"> (one year / one quarter), hospices reported to NHPCO their aggregated numerator and denominator totals.  The numerator represents the total number of hospice patients who reported being uncomfortable due to pain on admission and were made comfortable with regards to pain within 48 hours after admission.  The denominator value represents the total number of patients admitted to the hospice during the time period who self-report being uncomfortable due to pain on admission.  Hospices also reported time-period totals for admissions, patients self-reported comfort level due to pain (uncomfortable, not uncomfortable, not able to participate), and patient’s comfort level due to pain after admissions (limited to patients  reporting being uncomfortable due to pain on admission). </w:t>
      </w:r>
    </w:p>
    <w:p w14:paraId="3CBF51BD" w14:textId="77777777" w:rsidR="00411674" w:rsidRDefault="00411674" w:rsidP="00411674">
      <w:pPr>
        <w:rPr>
          <w:rFonts w:ascii="Arial Narrow" w:hAnsi="Arial Narrow" w:cs="Arial"/>
          <w:b/>
          <w:bCs/>
        </w:rPr>
      </w:pPr>
      <w:r>
        <w:rPr>
          <w:rFonts w:ascii="Arial Narrow" w:hAnsi="Arial Narrow" w:cs="Arial"/>
        </w:rPr>
        <w:t xml:space="preserve">After the submission period ends, agency-level data are aggregated to the national-level to produce the national mean percent of; admissions participating in the pain measure protocol, patients uncomfortable due to pain on admission, and patients whose pain was brought to a comfortable level within 48 hours after admission to hospice.  </w:t>
      </w:r>
      <w:r>
        <w:rPr>
          <w:rFonts w:ascii="Arial Narrow" w:hAnsi="Arial Narrow" w:cs="Arial"/>
        </w:rPr>
        <w:lastRenderedPageBreak/>
        <w:t>National means as well as agency quartile scores are reported in a National Summary Report for hospices use to compare to their own results.</w:t>
      </w:r>
    </w:p>
    <w:p w14:paraId="12AF9F0C" w14:textId="77777777" w:rsidR="00411674" w:rsidRDefault="00411674" w:rsidP="00411674">
      <w:pPr>
        <w:rPr>
          <w:rFonts w:ascii="Arial Narrow" w:hAnsi="Arial Narrow" w:cs="Arial"/>
        </w:rPr>
      </w:pPr>
      <w:r>
        <w:rPr>
          <w:rFonts w:ascii="Arial Narrow" w:hAnsi="Arial Narrow" w:cs="Arial"/>
        </w:rPr>
        <w:t xml:space="preserve">Hospices evaluate their individual results for subpar performance by comparing their percent of patients </w:t>
      </w:r>
      <w:proofErr w:type="spellStart"/>
      <w:r>
        <w:rPr>
          <w:rFonts w:ascii="Arial Narrow" w:hAnsi="Arial Narrow" w:cs="Arial"/>
        </w:rPr>
        <w:t>whos</w:t>
      </w:r>
      <w:proofErr w:type="spellEnd"/>
      <w:r>
        <w:rPr>
          <w:rFonts w:ascii="Arial Narrow" w:hAnsi="Arial Narrow" w:cs="Arial"/>
        </w:rPr>
        <w:t xml:space="preserve"> pain was brought to a comfortable level within 48 hours of admission with the national mean and quartile scores.  A score below the national average, or even below the 75th percentile, generally indicates significant room for improved pain management care. </w:t>
      </w:r>
    </w:p>
    <w:p w14:paraId="76754B99" w14:textId="77777777" w:rsidR="00411674" w:rsidRDefault="00411674" w:rsidP="00411674">
      <w:pPr>
        <w:rPr>
          <w:rFonts w:cstheme="minorHAnsi"/>
          <w:color w:val="FF0000"/>
        </w:rPr>
      </w:pPr>
      <w:r>
        <w:rPr>
          <w:rFonts w:cstheme="minorHAnsi"/>
          <w:color w:val="FF0000"/>
        </w:rPr>
        <w:t>It is accepted in the field that there is a clinical significance to a change that results in a long-term decrease from 60% to 40% for the fraction of patients who are in pain on admission and are made comfortable by 48 hours.  It is likewise accepted that an increase from 60% to 80% is clinically important.</w:t>
      </w:r>
    </w:p>
    <w:p w14:paraId="0CE22E49" w14:textId="77777777" w:rsidR="00411674" w:rsidRDefault="00411674" w:rsidP="00411674">
      <w:pPr>
        <w:autoSpaceDE w:val="0"/>
        <w:autoSpaceDN w:val="0"/>
        <w:adjustRightInd w:val="0"/>
        <w:spacing w:after="0" w:line="240" w:lineRule="auto"/>
        <w:rPr>
          <w:rFonts w:cstheme="minorHAnsi"/>
          <w:bCs/>
          <w:color w:val="FF0000"/>
        </w:rPr>
      </w:pPr>
      <w:r>
        <w:rPr>
          <w:rFonts w:cstheme="minorHAnsi"/>
          <w:color w:val="FF0000"/>
        </w:rPr>
        <w:t xml:space="preserve">It is less obvious whether such differences from the national average </w:t>
      </w:r>
      <w:proofErr w:type="gramStart"/>
      <w:r>
        <w:rPr>
          <w:rFonts w:cstheme="minorHAnsi"/>
          <w:color w:val="FF0000"/>
        </w:rPr>
        <w:t>exist, and</w:t>
      </w:r>
      <w:proofErr w:type="gramEnd"/>
      <w:r>
        <w:rPr>
          <w:rFonts w:cstheme="minorHAnsi"/>
          <w:color w:val="FF0000"/>
        </w:rPr>
        <w:t xml:space="preserve"> can be shown statistically significant.  In order to address that question, we used data from 97 hospices that had denominators greater than 50 patients, for the year 2013.  </w:t>
      </w:r>
    </w:p>
    <w:p w14:paraId="5C166A2E" w14:textId="77777777" w:rsidR="00411674" w:rsidRDefault="00411674" w:rsidP="00411674">
      <w:pPr>
        <w:autoSpaceDE w:val="0"/>
        <w:autoSpaceDN w:val="0"/>
        <w:adjustRightInd w:val="0"/>
        <w:spacing w:after="0" w:line="240" w:lineRule="auto"/>
        <w:rPr>
          <w:rFonts w:cstheme="minorHAnsi"/>
          <w:bCs/>
        </w:rPr>
      </w:pPr>
      <w:r>
        <w:rPr>
          <w:rFonts w:cstheme="minorHAnsi"/>
          <w:bCs/>
        </w:rPr>
        <w:br/>
        <w:t xml:space="preserve"> </w:t>
      </w:r>
    </w:p>
    <w:p w14:paraId="0249D692" w14:textId="437CD53A" w:rsidR="00411674" w:rsidRDefault="009C7513" w:rsidP="00411674">
      <w:pPr>
        <w:rPr>
          <w:rFonts w:ascii="Arial Narrow" w:hAnsi="Arial Narrow" w:cs="Arial"/>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r w:rsidR="00411674">
        <w:rPr>
          <w:rFonts w:ascii="Arial Narrow" w:hAnsi="Arial Narrow" w:cs="Arial"/>
        </w:rPr>
        <w:t xml:space="preserve">The seven year Comfortable Dying Measure data collection by NHPCO represents a sample of more than 625 hospice providers, reporting on over 470,000 hospice patients.   Data were collected annually from 2004 through 2007 and then quarterly from 2008 through the present.  The seven-year national mean score of 72.2% (SD = 4.2% 95% CI = 68.4% to 76.1%) indicates that more than a quarter of hospice patients do not receive </w:t>
      </w:r>
      <w:proofErr w:type="gramStart"/>
      <w:r w:rsidR="00411674">
        <w:rPr>
          <w:rFonts w:ascii="Arial Narrow" w:hAnsi="Arial Narrow" w:cs="Arial"/>
        </w:rPr>
        <w:t>sufficient</w:t>
      </w:r>
      <w:proofErr w:type="gramEnd"/>
      <w:r w:rsidR="00411674">
        <w:rPr>
          <w:rFonts w:ascii="Arial Narrow" w:hAnsi="Arial Narrow" w:cs="Arial"/>
        </w:rPr>
        <w:t xml:space="preserve"> interventions to bring their pain to a comfortable level within 48 hours after admission to hospice.  The yearly national averages have stayed within a relatively narrow range of scores (minimum = 65.3%, maximum 77.4%) indicating a consistent measure performance over time.  </w:t>
      </w:r>
    </w:p>
    <w:p w14:paraId="58FA48D2" w14:textId="77777777" w:rsidR="00FC7402" w:rsidRDefault="00FC7402" w:rsidP="00411674">
      <w:pPr>
        <w:rPr>
          <w:rFonts w:ascii="Arial Narrow" w:hAnsi="Arial Narrow" w:cs="Arial"/>
        </w:rPr>
      </w:pPr>
      <w:r>
        <w:rPr>
          <w:rFonts w:ascii="Arial" w:hAnsi="Arial" w:cs="Arial"/>
          <w:noProof/>
          <w:color w:val="000000"/>
          <w:sz w:val="20"/>
          <w:szCs w:val="20"/>
        </w:rPr>
        <w:lastRenderedPageBreak/>
        <w:drawing>
          <wp:inline distT="0" distB="0" distL="0" distR="0" wp14:anchorId="3D816E9B" wp14:editId="472BABC0">
            <wp:extent cx="5943600" cy="4457700"/>
            <wp:effectExtent l="0" t="0" r="0" b="0"/>
            <wp:docPr id="3" name="Picture 3" desc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g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p w14:paraId="65B94FBE" w14:textId="7168B525" w:rsidR="00411674" w:rsidRDefault="00411674" w:rsidP="00411674">
      <w:pPr>
        <w:rPr>
          <w:rFonts w:cstheme="minorHAnsi"/>
        </w:rPr>
      </w:pPr>
      <w:r>
        <w:rPr>
          <w:rFonts w:ascii="Arial Narrow" w:hAnsi="Arial Narrow" w:cs="Arial"/>
        </w:rPr>
        <w:t>More recent results obtained from the quarterly submissions of hospices during 2010, show a wide range of individual hospice performance within the quarter. The 2010 mean national percent of patients whose pain was brought to a comfortable level within 48 hours of admission was 72.6% (95% CI 69.1% - 76.2%).  The 75th percentile of hospice’s performance each quarter for 2010 was 94.7%, 98%, 100%, and 96.2% while the 25th percentile was 50%, 61.5%, 62.5%, and 55.6% respectively.</w:t>
      </w:r>
    </w:p>
    <w:p w14:paraId="1135086A" w14:textId="77777777" w:rsidR="00411674" w:rsidRDefault="00411674" w:rsidP="00411674">
      <w:pPr>
        <w:rPr>
          <w:rFonts w:cstheme="minorHAnsi"/>
          <w:color w:val="FF0000"/>
        </w:rPr>
      </w:pPr>
      <w:r>
        <w:rPr>
          <w:rFonts w:cstheme="minorHAnsi"/>
          <w:color w:val="FF0000"/>
        </w:rPr>
        <w:t xml:space="preserve">Using an exact test based on the binomial distribution, facility comfortable dying scores were compared with the average for the group.  16 of those hospices were significantly different from average at the p&lt;.05 level, and 21 of them were significantly different from national average at the p&lt;.1 level.  </w:t>
      </w:r>
    </w:p>
    <w:p w14:paraId="656DD7B3" w14:textId="77777777" w:rsidR="0041167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40BC07CD" w14:textId="77777777" w:rsidR="00411674" w:rsidRDefault="00411674" w:rsidP="00411674">
      <w:pPr>
        <w:rPr>
          <w:rFonts w:cstheme="minorHAnsi"/>
          <w:color w:val="FF0000"/>
        </w:rPr>
      </w:pPr>
    </w:p>
    <w:p w14:paraId="32CC3F11" w14:textId="77777777" w:rsidR="00FC7402" w:rsidRPr="00FC7402" w:rsidRDefault="00FC7402" w:rsidP="00FC7402">
      <w:pPr>
        <w:autoSpaceDE w:val="0"/>
        <w:autoSpaceDN w:val="0"/>
        <w:adjustRightInd w:val="0"/>
        <w:spacing w:after="0" w:line="240" w:lineRule="auto"/>
        <w:rPr>
          <w:rFonts w:cstheme="minorHAnsi"/>
          <w:bCs/>
          <w:color w:val="FF0000"/>
        </w:rPr>
      </w:pPr>
      <w:r w:rsidRPr="00FC7402">
        <w:rPr>
          <w:rFonts w:cstheme="minorHAnsi"/>
          <w:bCs/>
          <w:color w:val="FF0000"/>
        </w:rPr>
        <w:t>The distribution of FEHC Composite Scores across providers reveals a large spread between the top performing hospice and the lowest performing hospice (100% and 13% respectively).  The first, second, and third quartiles were 49%, 62%, and 73% respectively.  The histogram shows a good approximation of a normal distribution of Comfortable Dying scores.  The analysis of variance and subsequent Tukey’s test revealed statistically significant differences in the Comfortable Dying scores across all performance categories.</w:t>
      </w:r>
    </w:p>
    <w:p w14:paraId="609C4006" w14:textId="77777777" w:rsidR="00FC7402" w:rsidRPr="00FC7402" w:rsidRDefault="00FC7402" w:rsidP="00FC7402">
      <w:pPr>
        <w:autoSpaceDE w:val="0"/>
        <w:autoSpaceDN w:val="0"/>
        <w:adjustRightInd w:val="0"/>
        <w:spacing w:after="0" w:line="240" w:lineRule="auto"/>
        <w:rPr>
          <w:rFonts w:cstheme="minorHAnsi"/>
          <w:bCs/>
          <w:color w:val="FF0000"/>
        </w:rPr>
      </w:pPr>
    </w:p>
    <w:p w14:paraId="6550FFA4" w14:textId="77777777" w:rsidR="00FC7402" w:rsidRPr="00FC7402" w:rsidRDefault="00FC7402" w:rsidP="00FC7402">
      <w:pPr>
        <w:autoSpaceDE w:val="0"/>
        <w:autoSpaceDN w:val="0"/>
        <w:adjustRightInd w:val="0"/>
        <w:spacing w:after="0" w:line="240" w:lineRule="auto"/>
        <w:rPr>
          <w:rFonts w:cstheme="minorHAnsi"/>
          <w:bCs/>
          <w:color w:val="FF0000"/>
        </w:rPr>
      </w:pPr>
      <w:r w:rsidRPr="00FC7402">
        <w:rPr>
          <w:rFonts w:cstheme="minorHAnsi"/>
          <w:bCs/>
          <w:color w:val="FF0000"/>
        </w:rPr>
        <w:t>These results indicate that Comfortable Dying scores are well distributed with a substantial range of scores.  Statistically significant differences between hospices are measurable by the Composite Score, and those differences are also meaningful.</w:t>
      </w:r>
    </w:p>
    <w:p w14:paraId="7167B65F" w14:textId="77777777" w:rsidR="00FC7402" w:rsidRDefault="00FC7402" w:rsidP="00411674">
      <w:pPr>
        <w:rPr>
          <w:rFonts w:cstheme="minorHAnsi"/>
          <w:color w:val="FF0000"/>
        </w:rPr>
      </w:pPr>
    </w:p>
    <w:p w14:paraId="14E14CF8" w14:textId="1E27A167" w:rsidR="00411674" w:rsidRDefault="00411674" w:rsidP="00411674">
      <w:pPr>
        <w:rPr>
          <w:rFonts w:cstheme="minorHAnsi"/>
          <w:color w:val="0000CC"/>
        </w:rPr>
      </w:pPr>
      <w:r>
        <w:rPr>
          <w:rFonts w:cstheme="minorHAnsi"/>
          <w:color w:val="FF0000"/>
        </w:rPr>
        <w:t>The result shows that the comfortable dying measure allows identification of some hospices that have scores enough worse than or better than the national average that the differences cannot be explained by simple random variation in the characteristics of patient populations.</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2C74838B" w:rsidR="008F7E67" w:rsidRPr="00A2502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487320EF" w14:textId="77777777" w:rsidR="00FC7402" w:rsidRPr="00FC7402" w:rsidRDefault="00FC7402" w:rsidP="00FC7402">
      <w:pPr>
        <w:pStyle w:val="ListParagraph"/>
        <w:autoSpaceDE w:val="0"/>
        <w:autoSpaceDN w:val="0"/>
        <w:adjustRightInd w:val="0"/>
        <w:spacing w:after="0" w:line="240" w:lineRule="auto"/>
        <w:ind w:left="0"/>
        <w:rPr>
          <w:rFonts w:cstheme="minorHAnsi"/>
          <w:bCs/>
          <w:color w:val="FF0000"/>
        </w:rPr>
      </w:pPr>
      <w:r w:rsidRPr="00FC7402">
        <w:rPr>
          <w:rFonts w:cstheme="minorHAnsi"/>
          <w:bCs/>
          <w:color w:val="FF0000"/>
        </w:rPr>
        <w:t xml:space="preserve">Since this measure is implemented as part of the normal process of care, truly missing data is not a significant issue.  However, a certain proportion of patients are not able to respond to the follow-up </w:t>
      </w:r>
      <w:r w:rsidRPr="00FC7402">
        <w:rPr>
          <w:rFonts w:cstheme="minorHAnsi"/>
          <w:bCs/>
          <w:color w:val="FF0000"/>
        </w:rPr>
        <w:lastRenderedPageBreak/>
        <w:t xml:space="preserve">question either because they have unavailable, incapable of responding, or are deceased.  To analyze the effects of these individuals who are lost-to-follow-up on the measure, we performed a frequency analysis on patient demographic characteristics to determine if there are systematic difference in loss-to-follow-up. </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4DC5AB12" w14:textId="77777777" w:rsidR="00FC7402" w:rsidRPr="00FC7402" w:rsidRDefault="00FC7402" w:rsidP="00FC7402">
      <w:pPr>
        <w:tabs>
          <w:tab w:val="left" w:pos="2810"/>
        </w:tabs>
        <w:autoSpaceDE w:val="0"/>
        <w:autoSpaceDN w:val="0"/>
        <w:adjustRightInd w:val="0"/>
        <w:spacing w:after="0" w:line="240" w:lineRule="auto"/>
        <w:rPr>
          <w:rFonts w:cstheme="minorHAnsi"/>
          <w:bCs/>
          <w:color w:val="FF0000"/>
        </w:rPr>
      </w:pPr>
      <w:r w:rsidRPr="00FC7402">
        <w:rPr>
          <w:rFonts w:cstheme="minorHAnsi"/>
          <w:bCs/>
          <w:color w:val="FF0000"/>
        </w:rPr>
        <w:tab/>
      </w:r>
    </w:p>
    <w:tbl>
      <w:tblPr>
        <w:tblW w:w="5000" w:type="pct"/>
        <w:tblLook w:val="04A0" w:firstRow="1" w:lastRow="0" w:firstColumn="1" w:lastColumn="0" w:noHBand="0" w:noVBand="1"/>
      </w:tblPr>
      <w:tblGrid>
        <w:gridCol w:w="4368"/>
        <w:gridCol w:w="2495"/>
        <w:gridCol w:w="2497"/>
      </w:tblGrid>
      <w:tr w:rsidR="00FC7402" w:rsidRPr="00FC7402" w14:paraId="29C9DD0F" w14:textId="77777777" w:rsidTr="00ED5D7F">
        <w:trPr>
          <w:trHeight w:val="300"/>
        </w:trPr>
        <w:tc>
          <w:tcPr>
            <w:tcW w:w="2333" w:type="pct"/>
            <w:vMerge w:val="restart"/>
            <w:tcBorders>
              <w:top w:val="single" w:sz="8" w:space="0" w:color="000000"/>
              <w:left w:val="nil"/>
              <w:bottom w:val="single" w:sz="8" w:space="0" w:color="000000"/>
              <w:right w:val="nil"/>
            </w:tcBorders>
            <w:shd w:val="clear" w:color="000000" w:fill="FFFFFF"/>
            <w:vAlign w:val="center"/>
            <w:hideMark/>
          </w:tcPr>
          <w:p w14:paraId="3340BA71" w14:textId="77777777" w:rsidR="00FC7402" w:rsidRPr="00FC7402" w:rsidRDefault="00FC7402" w:rsidP="00ED5D7F">
            <w:pPr>
              <w:spacing w:after="0" w:line="240" w:lineRule="auto"/>
              <w:jc w:val="center"/>
              <w:rPr>
                <w:rFonts w:ascii="Calibri" w:eastAsia="Times New Roman" w:hAnsi="Calibri" w:cs="Times New Roman"/>
                <w:b/>
                <w:bCs/>
                <w:color w:val="FF0000"/>
              </w:rPr>
            </w:pPr>
            <w:r w:rsidRPr="00FC7402">
              <w:rPr>
                <w:rFonts w:ascii="Calibri" w:eastAsia="Times New Roman" w:hAnsi="Calibri" w:cs="Times New Roman"/>
                <w:b/>
                <w:bCs/>
                <w:color w:val="FF0000"/>
              </w:rPr>
              <w:t>Demographic Category</w:t>
            </w:r>
          </w:p>
        </w:tc>
        <w:tc>
          <w:tcPr>
            <w:tcW w:w="2667" w:type="pct"/>
            <w:gridSpan w:val="2"/>
            <w:tcBorders>
              <w:top w:val="single" w:sz="8" w:space="0" w:color="000000"/>
              <w:left w:val="nil"/>
              <w:bottom w:val="nil"/>
              <w:right w:val="nil"/>
            </w:tcBorders>
            <w:shd w:val="clear" w:color="auto" w:fill="auto"/>
            <w:noWrap/>
            <w:vAlign w:val="bottom"/>
            <w:hideMark/>
          </w:tcPr>
          <w:p w14:paraId="553D3FEA" w14:textId="77777777" w:rsidR="00FC7402" w:rsidRPr="00FC7402" w:rsidRDefault="00FC7402" w:rsidP="00ED5D7F">
            <w:pPr>
              <w:spacing w:after="0" w:line="240" w:lineRule="auto"/>
              <w:rPr>
                <w:rFonts w:ascii="Calibri" w:eastAsia="Times New Roman" w:hAnsi="Calibri" w:cs="Times New Roman"/>
                <w:b/>
                <w:bCs/>
                <w:color w:val="FF0000"/>
              </w:rPr>
            </w:pPr>
          </w:p>
        </w:tc>
      </w:tr>
      <w:tr w:rsidR="00FC7402" w:rsidRPr="00FC7402" w14:paraId="311273C4" w14:textId="77777777" w:rsidTr="00ED5D7F">
        <w:trPr>
          <w:trHeight w:val="300"/>
        </w:trPr>
        <w:tc>
          <w:tcPr>
            <w:tcW w:w="2333" w:type="pct"/>
            <w:vMerge/>
            <w:tcBorders>
              <w:top w:val="single" w:sz="8" w:space="0" w:color="000000"/>
              <w:left w:val="nil"/>
              <w:bottom w:val="single" w:sz="8" w:space="0" w:color="000000"/>
              <w:right w:val="nil"/>
            </w:tcBorders>
            <w:vAlign w:val="center"/>
            <w:hideMark/>
          </w:tcPr>
          <w:p w14:paraId="40325540" w14:textId="77777777" w:rsidR="00FC7402" w:rsidRPr="00FC7402" w:rsidRDefault="00FC7402" w:rsidP="00ED5D7F">
            <w:pPr>
              <w:spacing w:after="0" w:line="240" w:lineRule="auto"/>
              <w:rPr>
                <w:rFonts w:ascii="Calibri" w:eastAsia="Times New Roman" w:hAnsi="Calibri" w:cs="Times New Roman"/>
                <w:b/>
                <w:bCs/>
                <w:color w:val="FF0000"/>
              </w:rPr>
            </w:pPr>
          </w:p>
        </w:tc>
        <w:tc>
          <w:tcPr>
            <w:tcW w:w="1333" w:type="pct"/>
            <w:tcBorders>
              <w:top w:val="nil"/>
              <w:left w:val="nil"/>
              <w:bottom w:val="nil"/>
              <w:right w:val="nil"/>
            </w:tcBorders>
            <w:shd w:val="clear" w:color="auto" w:fill="auto"/>
            <w:noWrap/>
            <w:vAlign w:val="bottom"/>
            <w:hideMark/>
          </w:tcPr>
          <w:p w14:paraId="65FD590E" w14:textId="77777777" w:rsidR="00FC7402" w:rsidRPr="00FC7402" w:rsidRDefault="00FC7402" w:rsidP="00ED5D7F">
            <w:pPr>
              <w:spacing w:after="0" w:line="240" w:lineRule="auto"/>
              <w:jc w:val="center"/>
              <w:rPr>
                <w:rFonts w:ascii="Calibri" w:eastAsia="Times New Roman" w:hAnsi="Calibri" w:cs="Times New Roman"/>
                <w:i/>
                <w:iCs/>
                <w:color w:val="FF0000"/>
                <w:u w:val="single"/>
              </w:rPr>
            </w:pPr>
            <w:r w:rsidRPr="00FC7402">
              <w:rPr>
                <w:rFonts w:ascii="Calibri" w:eastAsia="Times New Roman" w:hAnsi="Calibri" w:cs="Times New Roman"/>
                <w:i/>
                <w:iCs/>
                <w:color w:val="FF0000"/>
                <w:u w:val="single"/>
              </w:rPr>
              <w:t>Included</w:t>
            </w:r>
          </w:p>
        </w:tc>
        <w:tc>
          <w:tcPr>
            <w:tcW w:w="1334" w:type="pct"/>
            <w:tcBorders>
              <w:top w:val="nil"/>
              <w:left w:val="nil"/>
              <w:bottom w:val="nil"/>
              <w:right w:val="nil"/>
            </w:tcBorders>
            <w:shd w:val="clear" w:color="auto" w:fill="auto"/>
            <w:noWrap/>
            <w:vAlign w:val="bottom"/>
            <w:hideMark/>
          </w:tcPr>
          <w:p w14:paraId="434E6200" w14:textId="77777777" w:rsidR="00FC7402" w:rsidRPr="00FC7402" w:rsidRDefault="00FC7402" w:rsidP="00ED5D7F">
            <w:pPr>
              <w:spacing w:after="0" w:line="240" w:lineRule="auto"/>
              <w:jc w:val="center"/>
              <w:rPr>
                <w:rFonts w:ascii="Calibri" w:eastAsia="Times New Roman" w:hAnsi="Calibri" w:cs="Times New Roman"/>
                <w:i/>
                <w:iCs/>
                <w:color w:val="FF0000"/>
                <w:u w:val="single"/>
              </w:rPr>
            </w:pPr>
            <w:r w:rsidRPr="00FC7402">
              <w:rPr>
                <w:rFonts w:ascii="Calibri" w:eastAsia="Times New Roman" w:hAnsi="Calibri" w:cs="Times New Roman"/>
                <w:i/>
                <w:iCs/>
                <w:color w:val="FF0000"/>
                <w:u w:val="single"/>
              </w:rPr>
              <w:t>Lost-to-Follow-up</w:t>
            </w:r>
          </w:p>
        </w:tc>
      </w:tr>
      <w:tr w:rsidR="00FC7402" w:rsidRPr="00FC7402" w14:paraId="24BF8ADC" w14:textId="77777777" w:rsidTr="00ED5D7F">
        <w:trPr>
          <w:trHeight w:val="750"/>
        </w:trPr>
        <w:tc>
          <w:tcPr>
            <w:tcW w:w="2333" w:type="pct"/>
            <w:vMerge/>
            <w:tcBorders>
              <w:top w:val="single" w:sz="8" w:space="0" w:color="000000"/>
              <w:left w:val="nil"/>
              <w:bottom w:val="single" w:sz="8" w:space="0" w:color="000000"/>
              <w:right w:val="nil"/>
            </w:tcBorders>
            <w:vAlign w:val="center"/>
            <w:hideMark/>
          </w:tcPr>
          <w:p w14:paraId="2BEFF0E8" w14:textId="77777777" w:rsidR="00FC7402" w:rsidRPr="00FC7402" w:rsidRDefault="00FC7402" w:rsidP="00ED5D7F">
            <w:pPr>
              <w:spacing w:after="0" w:line="240" w:lineRule="auto"/>
              <w:rPr>
                <w:rFonts w:ascii="Calibri" w:eastAsia="Times New Roman" w:hAnsi="Calibri" w:cs="Times New Roman"/>
                <w:b/>
                <w:bCs/>
                <w:color w:val="FF0000"/>
              </w:rPr>
            </w:pPr>
          </w:p>
        </w:tc>
        <w:tc>
          <w:tcPr>
            <w:tcW w:w="1333" w:type="pct"/>
            <w:tcBorders>
              <w:top w:val="nil"/>
              <w:left w:val="nil"/>
              <w:bottom w:val="single" w:sz="8" w:space="0" w:color="000000"/>
              <w:right w:val="nil"/>
            </w:tcBorders>
            <w:shd w:val="clear" w:color="auto" w:fill="auto"/>
            <w:vAlign w:val="center"/>
            <w:hideMark/>
          </w:tcPr>
          <w:p w14:paraId="2EF9D1CB" w14:textId="77777777" w:rsidR="00FC7402" w:rsidRPr="00FC7402" w:rsidRDefault="00FC7402" w:rsidP="00ED5D7F">
            <w:pPr>
              <w:spacing w:after="0" w:line="240" w:lineRule="auto"/>
              <w:jc w:val="center"/>
              <w:rPr>
                <w:rFonts w:ascii="Calibri" w:eastAsia="Times New Roman" w:hAnsi="Calibri" w:cs="Times New Roman"/>
                <w:color w:val="FF0000"/>
                <w:sz w:val="18"/>
                <w:szCs w:val="18"/>
              </w:rPr>
            </w:pPr>
            <w:r w:rsidRPr="00FC7402">
              <w:rPr>
                <w:rFonts w:ascii="Calibri" w:eastAsia="Times New Roman" w:hAnsi="Calibri" w:cs="Times New Roman"/>
                <w:color w:val="FF0000"/>
                <w:sz w:val="18"/>
                <w:szCs w:val="18"/>
              </w:rPr>
              <w:t>Frequency</w:t>
            </w:r>
            <w:r w:rsidRPr="00FC7402">
              <w:rPr>
                <w:rFonts w:ascii="Calibri" w:eastAsia="Times New Roman" w:hAnsi="Calibri" w:cs="Times New Roman"/>
                <w:color w:val="FF0000"/>
                <w:sz w:val="18"/>
                <w:szCs w:val="18"/>
              </w:rPr>
              <w:br/>
              <w:t xml:space="preserve">(Expected </w:t>
            </w:r>
            <w:proofErr w:type="spellStart"/>
            <w:r w:rsidRPr="00FC7402">
              <w:rPr>
                <w:rFonts w:ascii="Calibri" w:eastAsia="Times New Roman" w:hAnsi="Calibri" w:cs="Times New Roman"/>
                <w:color w:val="FF0000"/>
                <w:sz w:val="18"/>
                <w:szCs w:val="18"/>
              </w:rPr>
              <w:t>freq</w:t>
            </w:r>
            <w:proofErr w:type="spellEnd"/>
            <w:r w:rsidRPr="00FC7402">
              <w:rPr>
                <w:rFonts w:ascii="Calibri" w:eastAsia="Times New Roman" w:hAnsi="Calibri" w:cs="Times New Roman"/>
                <w:color w:val="FF0000"/>
                <w:sz w:val="18"/>
                <w:szCs w:val="18"/>
              </w:rPr>
              <w:t>)</w:t>
            </w:r>
            <w:r w:rsidRPr="00FC7402">
              <w:rPr>
                <w:rFonts w:ascii="Calibri" w:eastAsia="Times New Roman" w:hAnsi="Calibri" w:cs="Times New Roman"/>
                <w:color w:val="FF0000"/>
                <w:sz w:val="18"/>
                <w:szCs w:val="18"/>
              </w:rPr>
              <w:br/>
              <w:t>Column %</w:t>
            </w:r>
          </w:p>
        </w:tc>
        <w:tc>
          <w:tcPr>
            <w:tcW w:w="1334" w:type="pct"/>
            <w:tcBorders>
              <w:top w:val="nil"/>
              <w:left w:val="nil"/>
              <w:bottom w:val="single" w:sz="8" w:space="0" w:color="000000"/>
              <w:right w:val="nil"/>
            </w:tcBorders>
            <w:shd w:val="clear" w:color="auto" w:fill="auto"/>
            <w:vAlign w:val="center"/>
            <w:hideMark/>
          </w:tcPr>
          <w:p w14:paraId="40F22699" w14:textId="77777777" w:rsidR="00FC7402" w:rsidRPr="00FC7402" w:rsidRDefault="00FC7402" w:rsidP="00ED5D7F">
            <w:pPr>
              <w:spacing w:after="0" w:line="240" w:lineRule="auto"/>
              <w:jc w:val="center"/>
              <w:rPr>
                <w:rFonts w:ascii="Calibri" w:eastAsia="Times New Roman" w:hAnsi="Calibri" w:cs="Times New Roman"/>
                <w:color w:val="FF0000"/>
                <w:sz w:val="18"/>
                <w:szCs w:val="18"/>
              </w:rPr>
            </w:pPr>
            <w:r w:rsidRPr="00FC7402">
              <w:rPr>
                <w:rFonts w:ascii="Calibri" w:eastAsia="Times New Roman" w:hAnsi="Calibri" w:cs="Times New Roman"/>
                <w:color w:val="FF0000"/>
                <w:sz w:val="18"/>
                <w:szCs w:val="18"/>
              </w:rPr>
              <w:t>Frequency</w:t>
            </w:r>
            <w:r w:rsidRPr="00FC7402">
              <w:rPr>
                <w:rFonts w:ascii="Calibri" w:eastAsia="Times New Roman" w:hAnsi="Calibri" w:cs="Times New Roman"/>
                <w:color w:val="FF0000"/>
                <w:sz w:val="18"/>
                <w:szCs w:val="18"/>
              </w:rPr>
              <w:br/>
              <w:t xml:space="preserve">(Expected </w:t>
            </w:r>
            <w:proofErr w:type="spellStart"/>
            <w:r w:rsidRPr="00FC7402">
              <w:rPr>
                <w:rFonts w:ascii="Calibri" w:eastAsia="Times New Roman" w:hAnsi="Calibri" w:cs="Times New Roman"/>
                <w:color w:val="FF0000"/>
                <w:sz w:val="18"/>
                <w:szCs w:val="18"/>
              </w:rPr>
              <w:t>freq</w:t>
            </w:r>
            <w:proofErr w:type="spellEnd"/>
            <w:r w:rsidRPr="00FC7402">
              <w:rPr>
                <w:rFonts w:ascii="Calibri" w:eastAsia="Times New Roman" w:hAnsi="Calibri" w:cs="Times New Roman"/>
                <w:color w:val="FF0000"/>
                <w:sz w:val="18"/>
                <w:szCs w:val="18"/>
              </w:rPr>
              <w:t>)</w:t>
            </w:r>
            <w:r w:rsidRPr="00FC7402">
              <w:rPr>
                <w:rFonts w:ascii="Calibri" w:eastAsia="Times New Roman" w:hAnsi="Calibri" w:cs="Times New Roman"/>
                <w:color w:val="FF0000"/>
                <w:sz w:val="18"/>
                <w:szCs w:val="18"/>
              </w:rPr>
              <w:br/>
              <w:t>Column %</w:t>
            </w:r>
          </w:p>
        </w:tc>
      </w:tr>
      <w:tr w:rsidR="00FC7402" w:rsidRPr="00FC7402" w14:paraId="12C520EB" w14:textId="77777777" w:rsidTr="00ED5D7F">
        <w:trPr>
          <w:trHeight w:val="300"/>
        </w:trPr>
        <w:tc>
          <w:tcPr>
            <w:tcW w:w="2333" w:type="pct"/>
            <w:tcBorders>
              <w:top w:val="nil"/>
              <w:left w:val="nil"/>
              <w:bottom w:val="nil"/>
              <w:right w:val="nil"/>
            </w:tcBorders>
            <w:shd w:val="clear" w:color="000000" w:fill="FFFFFF"/>
            <w:vAlign w:val="bottom"/>
            <w:hideMark/>
          </w:tcPr>
          <w:p w14:paraId="633ED424" w14:textId="77777777" w:rsidR="00FC7402" w:rsidRPr="00FC7402" w:rsidRDefault="00FC7402" w:rsidP="00ED5D7F">
            <w:pPr>
              <w:spacing w:after="0" w:line="240" w:lineRule="auto"/>
              <w:rPr>
                <w:rFonts w:ascii="Calibri" w:eastAsia="Times New Roman" w:hAnsi="Calibri" w:cs="Times New Roman"/>
                <w:color w:val="FF0000"/>
              </w:rPr>
            </w:pPr>
            <w:r w:rsidRPr="00FC7402">
              <w:rPr>
                <w:rFonts w:ascii="Calibri" w:eastAsia="Times New Roman" w:hAnsi="Calibri" w:cs="Times New Roman"/>
                <w:color w:val="FF0000"/>
              </w:rPr>
              <w:t>Ethnicity (P= 0.276)</w:t>
            </w:r>
          </w:p>
        </w:tc>
        <w:tc>
          <w:tcPr>
            <w:tcW w:w="1333" w:type="pct"/>
            <w:tcBorders>
              <w:top w:val="nil"/>
              <w:left w:val="nil"/>
              <w:bottom w:val="nil"/>
              <w:right w:val="nil"/>
            </w:tcBorders>
            <w:shd w:val="clear" w:color="auto" w:fill="auto"/>
            <w:noWrap/>
            <w:vAlign w:val="bottom"/>
            <w:hideMark/>
          </w:tcPr>
          <w:p w14:paraId="7C5D4815" w14:textId="77777777" w:rsidR="00FC7402" w:rsidRPr="00FC7402" w:rsidRDefault="00FC7402" w:rsidP="00ED5D7F">
            <w:pPr>
              <w:spacing w:after="0" w:line="240" w:lineRule="auto"/>
              <w:jc w:val="center"/>
              <w:rPr>
                <w:rFonts w:ascii="Calibri" w:eastAsia="Times New Roman" w:hAnsi="Calibri" w:cs="Times New Roman"/>
                <w:color w:val="FF0000"/>
              </w:rPr>
            </w:pPr>
          </w:p>
        </w:tc>
        <w:tc>
          <w:tcPr>
            <w:tcW w:w="1334" w:type="pct"/>
            <w:tcBorders>
              <w:top w:val="nil"/>
              <w:left w:val="nil"/>
              <w:bottom w:val="nil"/>
              <w:right w:val="nil"/>
            </w:tcBorders>
            <w:shd w:val="clear" w:color="auto" w:fill="auto"/>
            <w:noWrap/>
            <w:vAlign w:val="bottom"/>
            <w:hideMark/>
          </w:tcPr>
          <w:p w14:paraId="21A35A1F" w14:textId="77777777" w:rsidR="00FC7402" w:rsidRPr="00FC7402" w:rsidRDefault="00FC7402" w:rsidP="00ED5D7F">
            <w:pPr>
              <w:spacing w:after="0" w:line="240" w:lineRule="auto"/>
              <w:jc w:val="center"/>
              <w:rPr>
                <w:rFonts w:ascii="Calibri" w:eastAsia="Times New Roman" w:hAnsi="Calibri" w:cs="Times New Roman"/>
                <w:color w:val="FF0000"/>
              </w:rPr>
            </w:pPr>
          </w:p>
        </w:tc>
      </w:tr>
      <w:tr w:rsidR="00FC7402" w:rsidRPr="00FC7402" w14:paraId="529D2338" w14:textId="77777777" w:rsidTr="00ED5D7F">
        <w:trPr>
          <w:trHeight w:val="300"/>
        </w:trPr>
        <w:tc>
          <w:tcPr>
            <w:tcW w:w="2333" w:type="pct"/>
            <w:vMerge w:val="restart"/>
            <w:tcBorders>
              <w:top w:val="dotted" w:sz="4" w:space="0" w:color="auto"/>
              <w:left w:val="nil"/>
              <w:bottom w:val="nil"/>
              <w:right w:val="nil"/>
            </w:tcBorders>
            <w:shd w:val="clear" w:color="auto" w:fill="auto"/>
            <w:noWrap/>
            <w:vAlign w:val="center"/>
            <w:hideMark/>
          </w:tcPr>
          <w:p w14:paraId="2F8CA00E" w14:textId="77777777" w:rsidR="00FC7402" w:rsidRPr="00FC7402" w:rsidRDefault="00FC7402" w:rsidP="00ED5D7F">
            <w:pPr>
              <w:spacing w:after="0" w:line="240" w:lineRule="auto"/>
              <w:ind w:firstLineChars="200" w:firstLine="440"/>
              <w:rPr>
                <w:rFonts w:ascii="Calibri" w:eastAsia="Times New Roman" w:hAnsi="Calibri" w:cs="Times New Roman"/>
                <w:color w:val="FF0000"/>
              </w:rPr>
            </w:pPr>
            <w:r w:rsidRPr="00FC7402">
              <w:rPr>
                <w:rFonts w:ascii="Calibri" w:eastAsia="Times New Roman" w:hAnsi="Calibri" w:cs="Times New Roman"/>
                <w:color w:val="FF0000"/>
              </w:rPr>
              <w:t>Hispanic</w:t>
            </w:r>
          </w:p>
        </w:tc>
        <w:tc>
          <w:tcPr>
            <w:tcW w:w="1333" w:type="pct"/>
            <w:tcBorders>
              <w:top w:val="dotted" w:sz="4" w:space="0" w:color="auto"/>
              <w:left w:val="nil"/>
              <w:bottom w:val="nil"/>
              <w:right w:val="nil"/>
            </w:tcBorders>
            <w:shd w:val="clear" w:color="000000" w:fill="FFFFFF"/>
          </w:tcPr>
          <w:p w14:paraId="40E4F3E8"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3</w:t>
            </w:r>
          </w:p>
        </w:tc>
        <w:tc>
          <w:tcPr>
            <w:tcW w:w="1334" w:type="pct"/>
            <w:tcBorders>
              <w:top w:val="dotted" w:sz="4" w:space="0" w:color="auto"/>
              <w:left w:val="nil"/>
              <w:bottom w:val="nil"/>
              <w:right w:val="nil"/>
            </w:tcBorders>
            <w:shd w:val="clear" w:color="000000" w:fill="FFFFFF"/>
          </w:tcPr>
          <w:p w14:paraId="2A6DD550"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2</w:t>
            </w:r>
          </w:p>
        </w:tc>
      </w:tr>
      <w:tr w:rsidR="00FC7402" w:rsidRPr="00FC7402" w14:paraId="47279151" w14:textId="77777777" w:rsidTr="00ED5D7F">
        <w:trPr>
          <w:trHeight w:val="300"/>
        </w:trPr>
        <w:tc>
          <w:tcPr>
            <w:tcW w:w="2333" w:type="pct"/>
            <w:vMerge/>
            <w:tcBorders>
              <w:top w:val="dotted" w:sz="4" w:space="0" w:color="auto"/>
              <w:left w:val="nil"/>
              <w:bottom w:val="nil"/>
              <w:right w:val="nil"/>
            </w:tcBorders>
            <w:vAlign w:val="center"/>
            <w:hideMark/>
          </w:tcPr>
          <w:p w14:paraId="715D0E48" w14:textId="77777777" w:rsidR="00FC7402" w:rsidRPr="00FC7402" w:rsidRDefault="00FC7402" w:rsidP="00ED5D7F">
            <w:pPr>
              <w:spacing w:after="0" w:line="240" w:lineRule="auto"/>
              <w:rPr>
                <w:rFonts w:ascii="Calibri" w:eastAsia="Times New Roman" w:hAnsi="Calibri" w:cs="Times New Roman"/>
                <w:color w:val="FF0000"/>
              </w:rPr>
            </w:pPr>
          </w:p>
        </w:tc>
        <w:tc>
          <w:tcPr>
            <w:tcW w:w="1333" w:type="pct"/>
            <w:tcBorders>
              <w:top w:val="nil"/>
              <w:left w:val="nil"/>
              <w:bottom w:val="nil"/>
              <w:right w:val="nil"/>
            </w:tcBorders>
            <w:shd w:val="clear" w:color="000000" w:fill="FFFFFF"/>
          </w:tcPr>
          <w:p w14:paraId="19F9D26D"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(3.9)</w:t>
            </w:r>
          </w:p>
        </w:tc>
        <w:tc>
          <w:tcPr>
            <w:tcW w:w="1334" w:type="pct"/>
            <w:tcBorders>
              <w:top w:val="nil"/>
              <w:left w:val="nil"/>
              <w:bottom w:val="nil"/>
              <w:right w:val="nil"/>
            </w:tcBorders>
            <w:shd w:val="clear" w:color="000000" w:fill="FFFFFF"/>
          </w:tcPr>
          <w:p w14:paraId="200A533A"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(1.1)</w:t>
            </w:r>
          </w:p>
        </w:tc>
      </w:tr>
      <w:tr w:rsidR="00FC7402" w:rsidRPr="00FC7402" w14:paraId="76A35768" w14:textId="77777777" w:rsidTr="00ED5D7F">
        <w:trPr>
          <w:trHeight w:val="300"/>
        </w:trPr>
        <w:tc>
          <w:tcPr>
            <w:tcW w:w="2333" w:type="pct"/>
            <w:vMerge/>
            <w:tcBorders>
              <w:top w:val="dotted" w:sz="4" w:space="0" w:color="auto"/>
              <w:left w:val="nil"/>
              <w:bottom w:val="nil"/>
              <w:right w:val="nil"/>
            </w:tcBorders>
            <w:vAlign w:val="center"/>
            <w:hideMark/>
          </w:tcPr>
          <w:p w14:paraId="53FEA192" w14:textId="77777777" w:rsidR="00FC7402" w:rsidRPr="00FC7402" w:rsidRDefault="00FC7402" w:rsidP="00ED5D7F">
            <w:pPr>
              <w:spacing w:after="0" w:line="240" w:lineRule="auto"/>
              <w:rPr>
                <w:rFonts w:ascii="Calibri" w:eastAsia="Times New Roman" w:hAnsi="Calibri" w:cs="Times New Roman"/>
                <w:color w:val="FF0000"/>
              </w:rPr>
            </w:pPr>
          </w:p>
        </w:tc>
        <w:tc>
          <w:tcPr>
            <w:tcW w:w="1333" w:type="pct"/>
            <w:tcBorders>
              <w:top w:val="nil"/>
              <w:left w:val="nil"/>
              <w:bottom w:val="nil"/>
              <w:right w:val="nil"/>
            </w:tcBorders>
            <w:shd w:val="clear" w:color="000000" w:fill="FFFFFF"/>
          </w:tcPr>
          <w:p w14:paraId="6A895360"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1.3%</w:t>
            </w:r>
          </w:p>
        </w:tc>
        <w:tc>
          <w:tcPr>
            <w:tcW w:w="1334" w:type="pct"/>
            <w:tcBorders>
              <w:top w:val="nil"/>
              <w:left w:val="nil"/>
              <w:bottom w:val="nil"/>
              <w:right w:val="nil"/>
            </w:tcBorders>
            <w:shd w:val="clear" w:color="000000" w:fill="FFFFFF"/>
          </w:tcPr>
          <w:p w14:paraId="315074F3"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3.1%</w:t>
            </w:r>
          </w:p>
        </w:tc>
      </w:tr>
      <w:tr w:rsidR="00FC7402" w:rsidRPr="00FC7402" w14:paraId="458E0FAA" w14:textId="77777777" w:rsidTr="00ED5D7F">
        <w:trPr>
          <w:trHeight w:val="300"/>
        </w:trPr>
        <w:tc>
          <w:tcPr>
            <w:tcW w:w="2333" w:type="pct"/>
            <w:vMerge w:val="restart"/>
            <w:tcBorders>
              <w:top w:val="dotted" w:sz="4" w:space="0" w:color="auto"/>
              <w:left w:val="nil"/>
              <w:bottom w:val="nil"/>
              <w:right w:val="nil"/>
            </w:tcBorders>
            <w:shd w:val="clear" w:color="auto" w:fill="auto"/>
            <w:noWrap/>
            <w:vAlign w:val="center"/>
            <w:hideMark/>
          </w:tcPr>
          <w:p w14:paraId="735D1568" w14:textId="77777777" w:rsidR="00FC7402" w:rsidRPr="00FC7402" w:rsidRDefault="00FC7402" w:rsidP="00ED5D7F">
            <w:pPr>
              <w:spacing w:after="0" w:line="240" w:lineRule="auto"/>
              <w:ind w:firstLineChars="200" w:firstLine="440"/>
              <w:rPr>
                <w:rFonts w:ascii="Calibri" w:eastAsia="Times New Roman" w:hAnsi="Calibri" w:cs="Times New Roman"/>
                <w:color w:val="FF0000"/>
              </w:rPr>
            </w:pPr>
            <w:r w:rsidRPr="00FC7402">
              <w:rPr>
                <w:rFonts w:ascii="Calibri" w:eastAsia="Times New Roman" w:hAnsi="Calibri" w:cs="Times New Roman"/>
                <w:color w:val="FF0000"/>
              </w:rPr>
              <w:t xml:space="preserve">Non-Hispanic </w:t>
            </w:r>
          </w:p>
        </w:tc>
        <w:tc>
          <w:tcPr>
            <w:tcW w:w="1333" w:type="pct"/>
            <w:tcBorders>
              <w:top w:val="dotted" w:sz="4" w:space="0" w:color="auto"/>
              <w:left w:val="nil"/>
              <w:bottom w:val="nil"/>
              <w:right w:val="nil"/>
            </w:tcBorders>
            <w:shd w:val="clear" w:color="000000" w:fill="FFFFFF"/>
          </w:tcPr>
          <w:p w14:paraId="550B34E2"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223</w:t>
            </w:r>
          </w:p>
        </w:tc>
        <w:tc>
          <w:tcPr>
            <w:tcW w:w="1334" w:type="pct"/>
            <w:tcBorders>
              <w:top w:val="dotted" w:sz="4" w:space="0" w:color="auto"/>
              <w:left w:val="nil"/>
              <w:bottom w:val="nil"/>
              <w:right w:val="nil"/>
            </w:tcBorders>
            <w:shd w:val="clear" w:color="000000" w:fill="FFFFFF"/>
          </w:tcPr>
          <w:p w14:paraId="29F8B6EB"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62</w:t>
            </w:r>
          </w:p>
        </w:tc>
      </w:tr>
      <w:tr w:rsidR="00FC7402" w:rsidRPr="00FC7402" w14:paraId="49A56570" w14:textId="77777777" w:rsidTr="00ED5D7F">
        <w:trPr>
          <w:trHeight w:val="300"/>
        </w:trPr>
        <w:tc>
          <w:tcPr>
            <w:tcW w:w="2333" w:type="pct"/>
            <w:vMerge/>
            <w:tcBorders>
              <w:top w:val="dotted" w:sz="4" w:space="0" w:color="auto"/>
              <w:left w:val="nil"/>
              <w:bottom w:val="nil"/>
              <w:right w:val="nil"/>
            </w:tcBorders>
            <w:vAlign w:val="center"/>
            <w:hideMark/>
          </w:tcPr>
          <w:p w14:paraId="75FBD2BB" w14:textId="77777777" w:rsidR="00FC7402" w:rsidRPr="00FC7402" w:rsidRDefault="00FC7402" w:rsidP="00ED5D7F">
            <w:pPr>
              <w:spacing w:after="0" w:line="240" w:lineRule="auto"/>
              <w:rPr>
                <w:rFonts w:ascii="Calibri" w:eastAsia="Times New Roman" w:hAnsi="Calibri" w:cs="Times New Roman"/>
                <w:color w:val="FF0000"/>
              </w:rPr>
            </w:pPr>
          </w:p>
        </w:tc>
        <w:tc>
          <w:tcPr>
            <w:tcW w:w="1333" w:type="pct"/>
            <w:tcBorders>
              <w:top w:val="nil"/>
              <w:left w:val="nil"/>
              <w:bottom w:val="nil"/>
              <w:right w:val="nil"/>
            </w:tcBorders>
            <w:shd w:val="clear" w:color="000000" w:fill="FFFFFF"/>
          </w:tcPr>
          <w:p w14:paraId="58D0584D"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(222.1)</w:t>
            </w:r>
          </w:p>
        </w:tc>
        <w:tc>
          <w:tcPr>
            <w:tcW w:w="1334" w:type="pct"/>
            <w:tcBorders>
              <w:top w:val="nil"/>
              <w:left w:val="nil"/>
              <w:bottom w:val="nil"/>
              <w:right w:val="nil"/>
            </w:tcBorders>
            <w:shd w:val="clear" w:color="000000" w:fill="FFFFFF"/>
          </w:tcPr>
          <w:p w14:paraId="4BD8724A"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(62.9)</w:t>
            </w:r>
          </w:p>
        </w:tc>
      </w:tr>
      <w:tr w:rsidR="00FC7402" w:rsidRPr="00FC7402" w14:paraId="074C1C81" w14:textId="77777777" w:rsidTr="00ED5D7F">
        <w:trPr>
          <w:trHeight w:val="300"/>
        </w:trPr>
        <w:tc>
          <w:tcPr>
            <w:tcW w:w="2333" w:type="pct"/>
            <w:vMerge/>
            <w:tcBorders>
              <w:top w:val="dotted" w:sz="4" w:space="0" w:color="auto"/>
              <w:left w:val="nil"/>
              <w:bottom w:val="nil"/>
              <w:right w:val="nil"/>
            </w:tcBorders>
            <w:vAlign w:val="center"/>
            <w:hideMark/>
          </w:tcPr>
          <w:p w14:paraId="69314A62" w14:textId="77777777" w:rsidR="00FC7402" w:rsidRPr="00FC7402" w:rsidRDefault="00FC7402" w:rsidP="00ED5D7F">
            <w:pPr>
              <w:spacing w:after="0" w:line="240" w:lineRule="auto"/>
              <w:rPr>
                <w:rFonts w:ascii="Calibri" w:eastAsia="Times New Roman" w:hAnsi="Calibri" w:cs="Times New Roman"/>
                <w:color w:val="FF0000"/>
              </w:rPr>
            </w:pPr>
          </w:p>
        </w:tc>
        <w:tc>
          <w:tcPr>
            <w:tcW w:w="1333" w:type="pct"/>
            <w:tcBorders>
              <w:top w:val="nil"/>
              <w:left w:val="nil"/>
              <w:bottom w:val="nil"/>
              <w:right w:val="nil"/>
            </w:tcBorders>
            <w:shd w:val="clear" w:color="000000" w:fill="FFFFFF"/>
          </w:tcPr>
          <w:p w14:paraId="22FF837F"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98.7%</w:t>
            </w:r>
          </w:p>
        </w:tc>
        <w:tc>
          <w:tcPr>
            <w:tcW w:w="1334" w:type="pct"/>
            <w:tcBorders>
              <w:top w:val="nil"/>
              <w:left w:val="nil"/>
              <w:bottom w:val="nil"/>
              <w:right w:val="nil"/>
            </w:tcBorders>
            <w:shd w:val="clear" w:color="000000" w:fill="FFFFFF"/>
          </w:tcPr>
          <w:p w14:paraId="3F645636"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96.9%</w:t>
            </w:r>
          </w:p>
        </w:tc>
      </w:tr>
      <w:tr w:rsidR="00FC7402" w:rsidRPr="00FC7402" w14:paraId="50CA47DC" w14:textId="77777777" w:rsidTr="00ED5D7F">
        <w:trPr>
          <w:trHeight w:val="300"/>
        </w:trPr>
        <w:tc>
          <w:tcPr>
            <w:tcW w:w="2333" w:type="pct"/>
            <w:tcBorders>
              <w:top w:val="single" w:sz="4" w:space="0" w:color="auto"/>
              <w:left w:val="nil"/>
              <w:bottom w:val="nil"/>
              <w:right w:val="nil"/>
            </w:tcBorders>
            <w:shd w:val="clear" w:color="auto" w:fill="auto"/>
            <w:noWrap/>
            <w:vAlign w:val="bottom"/>
            <w:hideMark/>
          </w:tcPr>
          <w:p w14:paraId="0DEE2DE6" w14:textId="77777777" w:rsidR="00FC7402" w:rsidRPr="00FC7402" w:rsidRDefault="00FC7402" w:rsidP="00ED5D7F">
            <w:pPr>
              <w:spacing w:after="0" w:line="240" w:lineRule="auto"/>
              <w:rPr>
                <w:rFonts w:ascii="Calibri" w:eastAsia="Times New Roman" w:hAnsi="Calibri" w:cs="Times New Roman"/>
                <w:color w:val="FF0000"/>
              </w:rPr>
            </w:pPr>
            <w:r w:rsidRPr="00FC7402">
              <w:rPr>
                <w:rFonts w:ascii="Calibri" w:eastAsia="Times New Roman" w:hAnsi="Calibri" w:cs="Times New Roman"/>
                <w:color w:val="FF0000"/>
              </w:rPr>
              <w:t>Race (P=0.430)</w:t>
            </w:r>
          </w:p>
        </w:tc>
        <w:tc>
          <w:tcPr>
            <w:tcW w:w="1333" w:type="pct"/>
            <w:tcBorders>
              <w:top w:val="single" w:sz="4" w:space="0" w:color="auto"/>
              <w:left w:val="nil"/>
              <w:bottom w:val="nil"/>
              <w:right w:val="nil"/>
            </w:tcBorders>
            <w:shd w:val="clear" w:color="auto" w:fill="auto"/>
            <w:noWrap/>
            <w:vAlign w:val="center"/>
          </w:tcPr>
          <w:p w14:paraId="05638A67" w14:textId="77777777" w:rsidR="00FC7402" w:rsidRPr="00FC7402" w:rsidRDefault="00FC7402" w:rsidP="00ED5D7F">
            <w:pPr>
              <w:spacing w:after="0" w:line="240" w:lineRule="auto"/>
              <w:jc w:val="center"/>
              <w:rPr>
                <w:rFonts w:ascii="Calibri" w:eastAsia="Times New Roman" w:hAnsi="Calibri" w:cs="Times New Roman"/>
                <w:color w:val="FF0000"/>
              </w:rPr>
            </w:pPr>
          </w:p>
        </w:tc>
        <w:tc>
          <w:tcPr>
            <w:tcW w:w="1334" w:type="pct"/>
            <w:tcBorders>
              <w:top w:val="single" w:sz="4" w:space="0" w:color="auto"/>
              <w:left w:val="nil"/>
              <w:bottom w:val="nil"/>
              <w:right w:val="nil"/>
            </w:tcBorders>
            <w:shd w:val="clear" w:color="auto" w:fill="auto"/>
            <w:noWrap/>
            <w:vAlign w:val="center"/>
          </w:tcPr>
          <w:p w14:paraId="56C14D96" w14:textId="77777777" w:rsidR="00FC7402" w:rsidRPr="00FC7402" w:rsidRDefault="00FC7402" w:rsidP="00ED5D7F">
            <w:pPr>
              <w:spacing w:after="0" w:line="240" w:lineRule="auto"/>
              <w:jc w:val="center"/>
              <w:rPr>
                <w:rFonts w:ascii="Calibri" w:eastAsia="Times New Roman" w:hAnsi="Calibri" w:cs="Times New Roman"/>
                <w:color w:val="FF0000"/>
              </w:rPr>
            </w:pPr>
          </w:p>
        </w:tc>
      </w:tr>
      <w:tr w:rsidR="00FC7402" w:rsidRPr="00FC7402" w14:paraId="63DD3A27" w14:textId="77777777" w:rsidTr="00ED5D7F">
        <w:trPr>
          <w:trHeight w:val="300"/>
        </w:trPr>
        <w:tc>
          <w:tcPr>
            <w:tcW w:w="2333" w:type="pct"/>
            <w:vMerge w:val="restart"/>
            <w:tcBorders>
              <w:top w:val="dotted" w:sz="4" w:space="0" w:color="auto"/>
              <w:left w:val="nil"/>
              <w:bottom w:val="nil"/>
              <w:right w:val="nil"/>
            </w:tcBorders>
            <w:shd w:val="clear" w:color="000000" w:fill="FFFFFF"/>
            <w:vAlign w:val="center"/>
            <w:hideMark/>
          </w:tcPr>
          <w:p w14:paraId="7B33B0FD" w14:textId="77777777" w:rsidR="00FC7402" w:rsidRPr="00FC7402" w:rsidRDefault="00FC7402" w:rsidP="00ED5D7F">
            <w:pPr>
              <w:spacing w:after="0" w:line="240" w:lineRule="auto"/>
              <w:ind w:firstLineChars="300" w:firstLine="660"/>
              <w:rPr>
                <w:rFonts w:ascii="Calibri" w:eastAsia="Times New Roman" w:hAnsi="Calibri" w:cs="Times New Roman"/>
                <w:i/>
                <w:iCs/>
                <w:color w:val="FF0000"/>
              </w:rPr>
            </w:pPr>
            <w:r w:rsidRPr="00FC7402">
              <w:rPr>
                <w:rFonts w:ascii="Calibri" w:eastAsia="Times New Roman" w:hAnsi="Calibri" w:cs="Times New Roman"/>
                <w:i/>
                <w:iCs/>
                <w:color w:val="FF0000"/>
              </w:rPr>
              <w:t>All Other Races</w:t>
            </w:r>
          </w:p>
        </w:tc>
        <w:tc>
          <w:tcPr>
            <w:tcW w:w="1333" w:type="pct"/>
            <w:tcBorders>
              <w:top w:val="dotted" w:sz="4" w:space="0" w:color="auto"/>
              <w:left w:val="nil"/>
              <w:bottom w:val="nil"/>
              <w:right w:val="nil"/>
            </w:tcBorders>
            <w:shd w:val="clear" w:color="000000" w:fill="FFFFFF"/>
            <w:vAlign w:val="center"/>
          </w:tcPr>
          <w:p w14:paraId="0919D399"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1</w:t>
            </w:r>
          </w:p>
        </w:tc>
        <w:tc>
          <w:tcPr>
            <w:tcW w:w="1334" w:type="pct"/>
            <w:tcBorders>
              <w:top w:val="dotted" w:sz="4" w:space="0" w:color="auto"/>
              <w:left w:val="nil"/>
              <w:bottom w:val="nil"/>
              <w:right w:val="nil"/>
            </w:tcBorders>
            <w:shd w:val="clear" w:color="000000" w:fill="FFFFFF"/>
            <w:vAlign w:val="center"/>
          </w:tcPr>
          <w:p w14:paraId="3ED74775"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1</w:t>
            </w:r>
          </w:p>
        </w:tc>
      </w:tr>
      <w:tr w:rsidR="00FC7402" w:rsidRPr="00FC7402" w14:paraId="299497A4" w14:textId="77777777" w:rsidTr="00ED5D7F">
        <w:trPr>
          <w:trHeight w:val="300"/>
        </w:trPr>
        <w:tc>
          <w:tcPr>
            <w:tcW w:w="2333" w:type="pct"/>
            <w:vMerge/>
            <w:tcBorders>
              <w:top w:val="dotted" w:sz="4" w:space="0" w:color="auto"/>
              <w:left w:val="nil"/>
              <w:bottom w:val="nil"/>
              <w:right w:val="nil"/>
            </w:tcBorders>
            <w:vAlign w:val="center"/>
            <w:hideMark/>
          </w:tcPr>
          <w:p w14:paraId="390CE487"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3EA7DA45"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(1.6)</w:t>
            </w:r>
          </w:p>
        </w:tc>
        <w:tc>
          <w:tcPr>
            <w:tcW w:w="1334" w:type="pct"/>
            <w:tcBorders>
              <w:top w:val="nil"/>
              <w:left w:val="nil"/>
              <w:bottom w:val="nil"/>
              <w:right w:val="nil"/>
            </w:tcBorders>
            <w:shd w:val="clear" w:color="000000" w:fill="FFFFFF"/>
            <w:vAlign w:val="center"/>
          </w:tcPr>
          <w:p w14:paraId="486D70FE"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(0.4)</w:t>
            </w:r>
          </w:p>
        </w:tc>
      </w:tr>
      <w:tr w:rsidR="00FC7402" w:rsidRPr="00FC7402" w14:paraId="0C0C0833" w14:textId="77777777" w:rsidTr="00ED5D7F">
        <w:trPr>
          <w:trHeight w:val="300"/>
        </w:trPr>
        <w:tc>
          <w:tcPr>
            <w:tcW w:w="2333" w:type="pct"/>
            <w:vMerge/>
            <w:tcBorders>
              <w:top w:val="dotted" w:sz="4" w:space="0" w:color="auto"/>
              <w:left w:val="nil"/>
              <w:bottom w:val="nil"/>
              <w:right w:val="nil"/>
            </w:tcBorders>
            <w:vAlign w:val="center"/>
            <w:hideMark/>
          </w:tcPr>
          <w:p w14:paraId="448A407A"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06D85041"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0.5%</w:t>
            </w:r>
          </w:p>
        </w:tc>
        <w:tc>
          <w:tcPr>
            <w:tcW w:w="1334" w:type="pct"/>
            <w:tcBorders>
              <w:top w:val="nil"/>
              <w:left w:val="nil"/>
              <w:bottom w:val="nil"/>
              <w:right w:val="nil"/>
            </w:tcBorders>
            <w:shd w:val="clear" w:color="000000" w:fill="FFFFFF"/>
            <w:vAlign w:val="center"/>
          </w:tcPr>
          <w:p w14:paraId="338B8F7A"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1.6%</w:t>
            </w:r>
          </w:p>
        </w:tc>
      </w:tr>
      <w:tr w:rsidR="00FC7402" w:rsidRPr="00FC7402" w14:paraId="69A38955" w14:textId="77777777" w:rsidTr="00ED5D7F">
        <w:trPr>
          <w:trHeight w:val="300"/>
        </w:trPr>
        <w:tc>
          <w:tcPr>
            <w:tcW w:w="2333" w:type="pct"/>
            <w:vMerge w:val="restart"/>
            <w:tcBorders>
              <w:top w:val="dotted" w:sz="4" w:space="0" w:color="auto"/>
              <w:left w:val="nil"/>
              <w:bottom w:val="nil"/>
              <w:right w:val="nil"/>
            </w:tcBorders>
            <w:shd w:val="clear" w:color="000000" w:fill="FFFFFF"/>
            <w:vAlign w:val="center"/>
            <w:hideMark/>
          </w:tcPr>
          <w:p w14:paraId="44A34DF1" w14:textId="77777777" w:rsidR="00FC7402" w:rsidRPr="00FC7402" w:rsidRDefault="00FC7402" w:rsidP="00ED5D7F">
            <w:pPr>
              <w:spacing w:after="0" w:line="240" w:lineRule="auto"/>
              <w:ind w:firstLineChars="300" w:firstLine="660"/>
              <w:rPr>
                <w:rFonts w:ascii="Calibri" w:eastAsia="Times New Roman" w:hAnsi="Calibri" w:cs="Times New Roman"/>
                <w:i/>
                <w:iCs/>
                <w:color w:val="FF0000"/>
              </w:rPr>
            </w:pPr>
            <w:r w:rsidRPr="00FC7402">
              <w:rPr>
                <w:rFonts w:ascii="Calibri" w:eastAsia="Times New Roman" w:hAnsi="Calibri" w:cs="Times New Roman"/>
                <w:i/>
                <w:iCs/>
                <w:color w:val="FF0000"/>
              </w:rPr>
              <w:t xml:space="preserve">Black </w:t>
            </w:r>
          </w:p>
        </w:tc>
        <w:tc>
          <w:tcPr>
            <w:tcW w:w="1333" w:type="pct"/>
            <w:tcBorders>
              <w:top w:val="dotted" w:sz="4" w:space="0" w:color="auto"/>
              <w:left w:val="nil"/>
              <w:bottom w:val="nil"/>
              <w:right w:val="nil"/>
            </w:tcBorders>
            <w:shd w:val="clear" w:color="000000" w:fill="FFFFFF"/>
            <w:vAlign w:val="center"/>
          </w:tcPr>
          <w:p w14:paraId="47F1DFFB"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6</w:t>
            </w:r>
          </w:p>
        </w:tc>
        <w:tc>
          <w:tcPr>
            <w:tcW w:w="1334" w:type="pct"/>
            <w:tcBorders>
              <w:top w:val="dotted" w:sz="4" w:space="0" w:color="auto"/>
              <w:left w:val="nil"/>
              <w:bottom w:val="nil"/>
              <w:right w:val="nil"/>
            </w:tcBorders>
            <w:shd w:val="clear" w:color="000000" w:fill="FFFFFF"/>
            <w:vAlign w:val="center"/>
          </w:tcPr>
          <w:p w14:paraId="252A7A53"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3</w:t>
            </w:r>
          </w:p>
        </w:tc>
      </w:tr>
      <w:tr w:rsidR="00FC7402" w:rsidRPr="00FC7402" w14:paraId="0EF86030" w14:textId="77777777" w:rsidTr="00ED5D7F">
        <w:trPr>
          <w:trHeight w:val="300"/>
        </w:trPr>
        <w:tc>
          <w:tcPr>
            <w:tcW w:w="2333" w:type="pct"/>
            <w:vMerge/>
            <w:tcBorders>
              <w:top w:val="dotted" w:sz="4" w:space="0" w:color="auto"/>
              <w:left w:val="nil"/>
              <w:bottom w:val="nil"/>
              <w:right w:val="nil"/>
            </w:tcBorders>
            <w:vAlign w:val="center"/>
            <w:hideMark/>
          </w:tcPr>
          <w:p w14:paraId="41D87126"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27798E88"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(7.0)</w:t>
            </w:r>
          </w:p>
        </w:tc>
        <w:tc>
          <w:tcPr>
            <w:tcW w:w="1334" w:type="pct"/>
            <w:tcBorders>
              <w:top w:val="nil"/>
              <w:left w:val="nil"/>
              <w:bottom w:val="nil"/>
              <w:right w:val="nil"/>
            </w:tcBorders>
            <w:shd w:val="clear" w:color="000000" w:fill="FFFFFF"/>
            <w:vAlign w:val="center"/>
          </w:tcPr>
          <w:p w14:paraId="7D5DB512"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(1.9)</w:t>
            </w:r>
          </w:p>
        </w:tc>
      </w:tr>
      <w:tr w:rsidR="00FC7402" w:rsidRPr="00FC7402" w14:paraId="3B194BEA" w14:textId="77777777" w:rsidTr="00ED5D7F">
        <w:trPr>
          <w:trHeight w:val="300"/>
        </w:trPr>
        <w:tc>
          <w:tcPr>
            <w:tcW w:w="2333" w:type="pct"/>
            <w:vMerge/>
            <w:tcBorders>
              <w:top w:val="dotted" w:sz="4" w:space="0" w:color="auto"/>
              <w:left w:val="nil"/>
              <w:bottom w:val="nil"/>
              <w:right w:val="nil"/>
            </w:tcBorders>
            <w:vAlign w:val="center"/>
            <w:hideMark/>
          </w:tcPr>
          <w:p w14:paraId="698ED399"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27587D55"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2.7%</w:t>
            </w:r>
          </w:p>
        </w:tc>
        <w:tc>
          <w:tcPr>
            <w:tcW w:w="1334" w:type="pct"/>
            <w:tcBorders>
              <w:top w:val="nil"/>
              <w:left w:val="nil"/>
              <w:bottom w:val="nil"/>
              <w:right w:val="nil"/>
            </w:tcBorders>
            <w:shd w:val="clear" w:color="000000" w:fill="FFFFFF"/>
            <w:vAlign w:val="center"/>
          </w:tcPr>
          <w:p w14:paraId="08CCFD2D"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4.8%</w:t>
            </w:r>
          </w:p>
        </w:tc>
      </w:tr>
      <w:tr w:rsidR="00FC7402" w:rsidRPr="00FC7402" w14:paraId="786AEF87" w14:textId="77777777" w:rsidTr="00ED5D7F">
        <w:trPr>
          <w:trHeight w:val="300"/>
        </w:trPr>
        <w:tc>
          <w:tcPr>
            <w:tcW w:w="2333" w:type="pct"/>
            <w:vMerge w:val="restart"/>
            <w:tcBorders>
              <w:top w:val="dotted" w:sz="4" w:space="0" w:color="auto"/>
              <w:left w:val="nil"/>
              <w:bottom w:val="nil"/>
              <w:right w:val="nil"/>
            </w:tcBorders>
            <w:shd w:val="clear" w:color="000000" w:fill="FFFFFF"/>
            <w:vAlign w:val="center"/>
            <w:hideMark/>
          </w:tcPr>
          <w:p w14:paraId="54821C0F" w14:textId="77777777" w:rsidR="00FC7402" w:rsidRPr="00FC7402" w:rsidRDefault="00FC7402" w:rsidP="00ED5D7F">
            <w:pPr>
              <w:spacing w:after="0" w:line="240" w:lineRule="auto"/>
              <w:ind w:firstLineChars="300" w:firstLine="660"/>
              <w:rPr>
                <w:rFonts w:ascii="Calibri" w:eastAsia="Times New Roman" w:hAnsi="Calibri" w:cs="Times New Roman"/>
                <w:i/>
                <w:iCs/>
                <w:color w:val="FF0000"/>
              </w:rPr>
            </w:pPr>
            <w:r w:rsidRPr="00FC7402">
              <w:rPr>
                <w:rFonts w:ascii="Calibri" w:eastAsia="Times New Roman" w:hAnsi="Calibri" w:cs="Times New Roman"/>
                <w:i/>
                <w:iCs/>
                <w:color w:val="FF0000"/>
              </w:rPr>
              <w:t xml:space="preserve">White </w:t>
            </w:r>
          </w:p>
        </w:tc>
        <w:tc>
          <w:tcPr>
            <w:tcW w:w="1333" w:type="pct"/>
            <w:tcBorders>
              <w:top w:val="dotted" w:sz="4" w:space="0" w:color="auto"/>
              <w:left w:val="nil"/>
              <w:bottom w:val="nil"/>
              <w:right w:val="nil"/>
            </w:tcBorders>
            <w:shd w:val="clear" w:color="000000" w:fill="FFFFFF"/>
            <w:vAlign w:val="center"/>
          </w:tcPr>
          <w:p w14:paraId="1E7B534D"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216</w:t>
            </w:r>
          </w:p>
        </w:tc>
        <w:tc>
          <w:tcPr>
            <w:tcW w:w="1334" w:type="pct"/>
            <w:tcBorders>
              <w:top w:val="dotted" w:sz="4" w:space="0" w:color="auto"/>
              <w:left w:val="nil"/>
              <w:bottom w:val="nil"/>
              <w:right w:val="nil"/>
            </w:tcBorders>
            <w:shd w:val="clear" w:color="000000" w:fill="FFFFFF"/>
            <w:vAlign w:val="center"/>
          </w:tcPr>
          <w:p w14:paraId="7C37815E"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58</w:t>
            </w:r>
          </w:p>
        </w:tc>
      </w:tr>
      <w:tr w:rsidR="00FC7402" w:rsidRPr="00FC7402" w14:paraId="1C09B340" w14:textId="77777777" w:rsidTr="00ED5D7F">
        <w:trPr>
          <w:trHeight w:val="300"/>
        </w:trPr>
        <w:tc>
          <w:tcPr>
            <w:tcW w:w="2333" w:type="pct"/>
            <w:vMerge/>
            <w:tcBorders>
              <w:top w:val="dotted" w:sz="4" w:space="0" w:color="auto"/>
              <w:left w:val="nil"/>
              <w:bottom w:val="nil"/>
              <w:right w:val="nil"/>
            </w:tcBorders>
            <w:vAlign w:val="center"/>
            <w:hideMark/>
          </w:tcPr>
          <w:p w14:paraId="3973FBF7"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3195F831"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(214.4)</w:t>
            </w:r>
          </w:p>
        </w:tc>
        <w:tc>
          <w:tcPr>
            <w:tcW w:w="1334" w:type="pct"/>
            <w:tcBorders>
              <w:top w:val="nil"/>
              <w:left w:val="nil"/>
              <w:bottom w:val="nil"/>
              <w:right w:val="nil"/>
            </w:tcBorders>
            <w:shd w:val="clear" w:color="000000" w:fill="FFFFFF"/>
            <w:vAlign w:val="center"/>
          </w:tcPr>
          <w:p w14:paraId="615F31E3"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(59.6)</w:t>
            </w:r>
          </w:p>
        </w:tc>
      </w:tr>
      <w:tr w:rsidR="00FC7402" w:rsidRPr="00FC7402" w14:paraId="077EB8A5" w14:textId="77777777" w:rsidTr="00ED5D7F">
        <w:trPr>
          <w:trHeight w:val="300"/>
        </w:trPr>
        <w:tc>
          <w:tcPr>
            <w:tcW w:w="2333" w:type="pct"/>
            <w:vMerge/>
            <w:tcBorders>
              <w:top w:val="dotted" w:sz="4" w:space="0" w:color="auto"/>
              <w:left w:val="nil"/>
              <w:bottom w:val="nil"/>
              <w:right w:val="nil"/>
            </w:tcBorders>
            <w:vAlign w:val="center"/>
            <w:hideMark/>
          </w:tcPr>
          <w:p w14:paraId="3B2E534D"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7B3E7B86"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96.9%</w:t>
            </w:r>
          </w:p>
        </w:tc>
        <w:tc>
          <w:tcPr>
            <w:tcW w:w="1334" w:type="pct"/>
            <w:tcBorders>
              <w:top w:val="nil"/>
              <w:left w:val="nil"/>
              <w:bottom w:val="nil"/>
              <w:right w:val="nil"/>
            </w:tcBorders>
            <w:shd w:val="clear" w:color="000000" w:fill="FFFFFF"/>
            <w:vAlign w:val="center"/>
          </w:tcPr>
          <w:p w14:paraId="2715B99E"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93.6%</w:t>
            </w:r>
          </w:p>
        </w:tc>
      </w:tr>
      <w:tr w:rsidR="00FC7402" w:rsidRPr="00FC7402" w14:paraId="5C8025C9" w14:textId="77777777" w:rsidTr="00ED5D7F">
        <w:trPr>
          <w:trHeight w:val="300"/>
        </w:trPr>
        <w:tc>
          <w:tcPr>
            <w:tcW w:w="2333" w:type="pct"/>
            <w:tcBorders>
              <w:top w:val="single" w:sz="4" w:space="0" w:color="auto"/>
              <w:left w:val="nil"/>
              <w:bottom w:val="nil"/>
              <w:right w:val="nil"/>
            </w:tcBorders>
            <w:shd w:val="clear" w:color="auto" w:fill="auto"/>
            <w:noWrap/>
            <w:vAlign w:val="bottom"/>
            <w:hideMark/>
          </w:tcPr>
          <w:p w14:paraId="237E480B" w14:textId="77777777" w:rsidR="00FC7402" w:rsidRPr="00FC7402" w:rsidRDefault="00FC7402" w:rsidP="00ED5D7F">
            <w:pPr>
              <w:spacing w:after="0" w:line="240" w:lineRule="auto"/>
              <w:rPr>
                <w:rFonts w:ascii="Calibri" w:eastAsia="Times New Roman" w:hAnsi="Calibri" w:cs="Times New Roman"/>
                <w:color w:val="FF0000"/>
              </w:rPr>
            </w:pPr>
            <w:r w:rsidRPr="00FC7402">
              <w:rPr>
                <w:rFonts w:ascii="Calibri" w:eastAsia="Times New Roman" w:hAnsi="Calibri" w:cs="Times New Roman"/>
                <w:color w:val="FF0000"/>
              </w:rPr>
              <w:t>Gender (P = 0.063)</w:t>
            </w:r>
          </w:p>
        </w:tc>
        <w:tc>
          <w:tcPr>
            <w:tcW w:w="1333" w:type="pct"/>
            <w:tcBorders>
              <w:top w:val="single" w:sz="4" w:space="0" w:color="auto"/>
              <w:left w:val="nil"/>
              <w:bottom w:val="nil"/>
              <w:right w:val="nil"/>
            </w:tcBorders>
            <w:shd w:val="clear" w:color="auto" w:fill="auto"/>
            <w:noWrap/>
            <w:vAlign w:val="center"/>
          </w:tcPr>
          <w:p w14:paraId="3E9E8704" w14:textId="77777777" w:rsidR="00FC7402" w:rsidRPr="00FC7402" w:rsidRDefault="00FC7402" w:rsidP="00ED5D7F">
            <w:pPr>
              <w:spacing w:after="0" w:line="240" w:lineRule="auto"/>
              <w:jc w:val="center"/>
              <w:rPr>
                <w:rFonts w:ascii="Calibri" w:eastAsia="Times New Roman" w:hAnsi="Calibri" w:cs="Times New Roman"/>
                <w:color w:val="FF0000"/>
              </w:rPr>
            </w:pPr>
          </w:p>
        </w:tc>
        <w:tc>
          <w:tcPr>
            <w:tcW w:w="1334" w:type="pct"/>
            <w:tcBorders>
              <w:top w:val="single" w:sz="4" w:space="0" w:color="auto"/>
              <w:left w:val="nil"/>
              <w:bottom w:val="nil"/>
              <w:right w:val="nil"/>
            </w:tcBorders>
            <w:shd w:val="clear" w:color="auto" w:fill="auto"/>
            <w:noWrap/>
            <w:vAlign w:val="center"/>
          </w:tcPr>
          <w:p w14:paraId="62AE870F" w14:textId="77777777" w:rsidR="00FC7402" w:rsidRPr="00FC7402" w:rsidRDefault="00FC7402" w:rsidP="00ED5D7F">
            <w:pPr>
              <w:spacing w:after="0" w:line="240" w:lineRule="auto"/>
              <w:jc w:val="center"/>
              <w:rPr>
                <w:rFonts w:ascii="Calibri" w:eastAsia="Times New Roman" w:hAnsi="Calibri" w:cs="Times New Roman"/>
                <w:color w:val="FF0000"/>
              </w:rPr>
            </w:pPr>
          </w:p>
        </w:tc>
      </w:tr>
      <w:tr w:rsidR="00FC7402" w:rsidRPr="00FC7402" w14:paraId="565C887E" w14:textId="77777777" w:rsidTr="00ED5D7F">
        <w:trPr>
          <w:trHeight w:val="300"/>
        </w:trPr>
        <w:tc>
          <w:tcPr>
            <w:tcW w:w="2333" w:type="pct"/>
            <w:vMerge w:val="restart"/>
            <w:tcBorders>
              <w:top w:val="dotted" w:sz="4" w:space="0" w:color="auto"/>
              <w:left w:val="nil"/>
              <w:bottom w:val="nil"/>
              <w:right w:val="nil"/>
            </w:tcBorders>
            <w:shd w:val="clear" w:color="000000" w:fill="FFFFFF"/>
            <w:vAlign w:val="center"/>
            <w:hideMark/>
          </w:tcPr>
          <w:p w14:paraId="3B3679F8" w14:textId="77777777" w:rsidR="00FC7402" w:rsidRPr="00FC7402" w:rsidRDefault="00FC7402" w:rsidP="00ED5D7F">
            <w:pPr>
              <w:spacing w:after="0" w:line="240" w:lineRule="auto"/>
              <w:ind w:firstLineChars="200" w:firstLine="440"/>
              <w:rPr>
                <w:rFonts w:ascii="Calibri" w:eastAsia="Times New Roman" w:hAnsi="Calibri" w:cs="Times New Roman"/>
                <w:i/>
                <w:iCs/>
                <w:color w:val="FF0000"/>
              </w:rPr>
            </w:pPr>
            <w:r w:rsidRPr="00FC7402">
              <w:rPr>
                <w:rFonts w:ascii="Calibri" w:eastAsia="Times New Roman" w:hAnsi="Calibri" w:cs="Times New Roman"/>
                <w:i/>
                <w:iCs/>
                <w:color w:val="FF0000"/>
              </w:rPr>
              <w:t xml:space="preserve">Male </w:t>
            </w:r>
          </w:p>
        </w:tc>
        <w:tc>
          <w:tcPr>
            <w:tcW w:w="1333" w:type="pct"/>
            <w:tcBorders>
              <w:top w:val="dotted" w:sz="4" w:space="0" w:color="auto"/>
              <w:left w:val="nil"/>
              <w:bottom w:val="nil"/>
              <w:right w:val="nil"/>
            </w:tcBorders>
            <w:shd w:val="clear" w:color="000000" w:fill="FFFFFF"/>
            <w:vAlign w:val="center"/>
          </w:tcPr>
          <w:p w14:paraId="33F1F2CA"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99</w:t>
            </w:r>
          </w:p>
        </w:tc>
        <w:tc>
          <w:tcPr>
            <w:tcW w:w="1334" w:type="pct"/>
            <w:tcBorders>
              <w:top w:val="dotted" w:sz="4" w:space="0" w:color="auto"/>
              <w:left w:val="nil"/>
              <w:bottom w:val="nil"/>
              <w:right w:val="nil"/>
            </w:tcBorders>
            <w:shd w:val="clear" w:color="000000" w:fill="FFFFFF"/>
            <w:vAlign w:val="center"/>
          </w:tcPr>
          <w:p w14:paraId="63FC0519"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20</w:t>
            </w:r>
          </w:p>
        </w:tc>
      </w:tr>
      <w:tr w:rsidR="00FC7402" w:rsidRPr="00FC7402" w14:paraId="343BFAEC" w14:textId="77777777" w:rsidTr="00ED5D7F">
        <w:trPr>
          <w:trHeight w:val="300"/>
        </w:trPr>
        <w:tc>
          <w:tcPr>
            <w:tcW w:w="2333" w:type="pct"/>
            <w:vMerge/>
            <w:tcBorders>
              <w:top w:val="dotted" w:sz="4" w:space="0" w:color="auto"/>
              <w:left w:val="nil"/>
              <w:bottom w:val="nil"/>
              <w:right w:val="nil"/>
            </w:tcBorders>
            <w:vAlign w:val="center"/>
            <w:hideMark/>
          </w:tcPr>
          <w:p w14:paraId="36ED1FA4"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41E3B690"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(92.4)</w:t>
            </w:r>
          </w:p>
        </w:tc>
        <w:tc>
          <w:tcPr>
            <w:tcW w:w="1334" w:type="pct"/>
            <w:tcBorders>
              <w:top w:val="nil"/>
              <w:left w:val="nil"/>
              <w:bottom w:val="nil"/>
              <w:right w:val="nil"/>
            </w:tcBorders>
            <w:shd w:val="clear" w:color="000000" w:fill="FFFFFF"/>
            <w:vAlign w:val="center"/>
          </w:tcPr>
          <w:p w14:paraId="57DF7FF0"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(26.6)</w:t>
            </w:r>
          </w:p>
        </w:tc>
      </w:tr>
      <w:tr w:rsidR="00FC7402" w:rsidRPr="00FC7402" w14:paraId="72A59F4E" w14:textId="77777777" w:rsidTr="00ED5D7F">
        <w:trPr>
          <w:trHeight w:val="300"/>
        </w:trPr>
        <w:tc>
          <w:tcPr>
            <w:tcW w:w="2333" w:type="pct"/>
            <w:vMerge/>
            <w:tcBorders>
              <w:top w:val="dotted" w:sz="4" w:space="0" w:color="auto"/>
              <w:left w:val="nil"/>
              <w:bottom w:val="nil"/>
              <w:right w:val="nil"/>
            </w:tcBorders>
            <w:vAlign w:val="center"/>
            <w:hideMark/>
          </w:tcPr>
          <w:p w14:paraId="7C15F650"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71975F4F"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43.8%</w:t>
            </w:r>
          </w:p>
        </w:tc>
        <w:tc>
          <w:tcPr>
            <w:tcW w:w="1334" w:type="pct"/>
            <w:tcBorders>
              <w:top w:val="nil"/>
              <w:left w:val="nil"/>
              <w:bottom w:val="nil"/>
              <w:right w:val="nil"/>
            </w:tcBorders>
            <w:shd w:val="clear" w:color="000000" w:fill="FFFFFF"/>
            <w:vAlign w:val="center"/>
          </w:tcPr>
          <w:p w14:paraId="57304A77"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30.8%</w:t>
            </w:r>
          </w:p>
        </w:tc>
      </w:tr>
      <w:tr w:rsidR="00FC7402" w:rsidRPr="00FC7402" w14:paraId="1D7DD481" w14:textId="77777777" w:rsidTr="00ED5D7F">
        <w:trPr>
          <w:trHeight w:val="300"/>
        </w:trPr>
        <w:tc>
          <w:tcPr>
            <w:tcW w:w="2333" w:type="pct"/>
            <w:vMerge w:val="restart"/>
            <w:tcBorders>
              <w:top w:val="dotted" w:sz="4" w:space="0" w:color="auto"/>
              <w:left w:val="nil"/>
              <w:bottom w:val="nil"/>
              <w:right w:val="nil"/>
            </w:tcBorders>
            <w:shd w:val="clear" w:color="000000" w:fill="FFFFFF"/>
            <w:vAlign w:val="center"/>
            <w:hideMark/>
          </w:tcPr>
          <w:p w14:paraId="56DD58A3" w14:textId="77777777" w:rsidR="00FC7402" w:rsidRPr="00FC7402" w:rsidRDefault="00FC7402" w:rsidP="00ED5D7F">
            <w:pPr>
              <w:spacing w:after="0" w:line="240" w:lineRule="auto"/>
              <w:ind w:firstLineChars="200" w:firstLine="440"/>
              <w:rPr>
                <w:rFonts w:ascii="Calibri" w:eastAsia="Times New Roman" w:hAnsi="Calibri" w:cs="Times New Roman"/>
                <w:i/>
                <w:iCs/>
                <w:color w:val="FF0000"/>
              </w:rPr>
            </w:pPr>
            <w:r w:rsidRPr="00FC7402">
              <w:rPr>
                <w:rFonts w:ascii="Calibri" w:eastAsia="Times New Roman" w:hAnsi="Calibri" w:cs="Times New Roman"/>
                <w:i/>
                <w:iCs/>
                <w:color w:val="FF0000"/>
              </w:rPr>
              <w:t xml:space="preserve">Female </w:t>
            </w:r>
          </w:p>
        </w:tc>
        <w:tc>
          <w:tcPr>
            <w:tcW w:w="1333" w:type="pct"/>
            <w:tcBorders>
              <w:top w:val="dotted" w:sz="4" w:space="0" w:color="auto"/>
              <w:left w:val="nil"/>
              <w:bottom w:val="nil"/>
              <w:right w:val="nil"/>
            </w:tcBorders>
            <w:shd w:val="clear" w:color="000000" w:fill="FFFFFF"/>
            <w:vAlign w:val="center"/>
          </w:tcPr>
          <w:p w14:paraId="049E553D"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127</w:t>
            </w:r>
          </w:p>
        </w:tc>
        <w:tc>
          <w:tcPr>
            <w:tcW w:w="1334" w:type="pct"/>
            <w:tcBorders>
              <w:top w:val="dotted" w:sz="4" w:space="0" w:color="auto"/>
              <w:left w:val="nil"/>
              <w:bottom w:val="nil"/>
              <w:right w:val="nil"/>
            </w:tcBorders>
            <w:shd w:val="clear" w:color="000000" w:fill="FFFFFF"/>
            <w:vAlign w:val="center"/>
          </w:tcPr>
          <w:p w14:paraId="4938A77A"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45</w:t>
            </w:r>
          </w:p>
        </w:tc>
      </w:tr>
      <w:tr w:rsidR="00FC7402" w:rsidRPr="00FC7402" w14:paraId="6CC99E46" w14:textId="77777777" w:rsidTr="00ED5D7F">
        <w:trPr>
          <w:trHeight w:val="300"/>
        </w:trPr>
        <w:tc>
          <w:tcPr>
            <w:tcW w:w="2333" w:type="pct"/>
            <w:vMerge/>
            <w:tcBorders>
              <w:top w:val="dotted" w:sz="4" w:space="0" w:color="auto"/>
              <w:left w:val="nil"/>
              <w:bottom w:val="nil"/>
              <w:right w:val="nil"/>
            </w:tcBorders>
            <w:vAlign w:val="center"/>
            <w:hideMark/>
          </w:tcPr>
          <w:p w14:paraId="7F4E22E4"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739D7059"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(133.6)</w:t>
            </w:r>
          </w:p>
        </w:tc>
        <w:tc>
          <w:tcPr>
            <w:tcW w:w="1334" w:type="pct"/>
            <w:tcBorders>
              <w:top w:val="nil"/>
              <w:left w:val="nil"/>
              <w:bottom w:val="nil"/>
              <w:right w:val="nil"/>
            </w:tcBorders>
            <w:shd w:val="clear" w:color="000000" w:fill="FFFFFF"/>
            <w:vAlign w:val="center"/>
          </w:tcPr>
          <w:p w14:paraId="79EBF958"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(38.4)</w:t>
            </w:r>
          </w:p>
        </w:tc>
      </w:tr>
      <w:tr w:rsidR="00FC7402" w:rsidRPr="00FC7402" w14:paraId="7DAE2FC3" w14:textId="77777777" w:rsidTr="00ED5D7F">
        <w:trPr>
          <w:trHeight w:val="300"/>
        </w:trPr>
        <w:tc>
          <w:tcPr>
            <w:tcW w:w="2333" w:type="pct"/>
            <w:vMerge/>
            <w:tcBorders>
              <w:top w:val="dotted" w:sz="4" w:space="0" w:color="auto"/>
              <w:left w:val="nil"/>
              <w:bottom w:val="nil"/>
              <w:right w:val="nil"/>
            </w:tcBorders>
            <w:vAlign w:val="center"/>
            <w:hideMark/>
          </w:tcPr>
          <w:p w14:paraId="0DC9E6A2"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15A18A6E"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56.2%</w:t>
            </w:r>
          </w:p>
        </w:tc>
        <w:tc>
          <w:tcPr>
            <w:tcW w:w="1334" w:type="pct"/>
            <w:tcBorders>
              <w:top w:val="nil"/>
              <w:left w:val="nil"/>
              <w:bottom w:val="nil"/>
              <w:right w:val="nil"/>
            </w:tcBorders>
            <w:shd w:val="clear" w:color="000000" w:fill="FFFFFF"/>
            <w:vAlign w:val="center"/>
          </w:tcPr>
          <w:p w14:paraId="71484C90"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69.2%</w:t>
            </w:r>
          </w:p>
        </w:tc>
      </w:tr>
      <w:tr w:rsidR="00FC7402" w:rsidRPr="00FC7402" w14:paraId="32D956DE" w14:textId="77777777" w:rsidTr="00ED5D7F">
        <w:trPr>
          <w:trHeight w:val="300"/>
        </w:trPr>
        <w:tc>
          <w:tcPr>
            <w:tcW w:w="2333" w:type="pct"/>
            <w:tcBorders>
              <w:top w:val="single" w:sz="4" w:space="0" w:color="auto"/>
              <w:left w:val="nil"/>
              <w:bottom w:val="nil"/>
              <w:right w:val="nil"/>
            </w:tcBorders>
            <w:shd w:val="clear" w:color="auto" w:fill="auto"/>
            <w:noWrap/>
            <w:vAlign w:val="bottom"/>
            <w:hideMark/>
          </w:tcPr>
          <w:p w14:paraId="1E6B4AFF" w14:textId="77777777" w:rsidR="00FC7402" w:rsidRPr="00FC7402" w:rsidRDefault="00FC7402" w:rsidP="00ED5D7F">
            <w:pPr>
              <w:spacing w:after="0" w:line="240" w:lineRule="auto"/>
              <w:rPr>
                <w:rFonts w:ascii="Calibri" w:eastAsia="Times New Roman" w:hAnsi="Calibri" w:cs="Times New Roman"/>
                <w:color w:val="FF0000"/>
              </w:rPr>
            </w:pPr>
            <w:r w:rsidRPr="00FC7402">
              <w:rPr>
                <w:rFonts w:ascii="Calibri" w:eastAsia="Times New Roman" w:hAnsi="Calibri" w:cs="Times New Roman"/>
                <w:color w:val="FF0000"/>
              </w:rPr>
              <w:t>Age (P=0.510)</w:t>
            </w:r>
          </w:p>
        </w:tc>
        <w:tc>
          <w:tcPr>
            <w:tcW w:w="1333" w:type="pct"/>
            <w:tcBorders>
              <w:top w:val="single" w:sz="4" w:space="0" w:color="auto"/>
              <w:left w:val="nil"/>
              <w:bottom w:val="nil"/>
              <w:right w:val="nil"/>
            </w:tcBorders>
            <w:shd w:val="clear" w:color="auto" w:fill="auto"/>
            <w:noWrap/>
            <w:vAlign w:val="center"/>
          </w:tcPr>
          <w:p w14:paraId="1528D58E" w14:textId="77777777" w:rsidR="00FC7402" w:rsidRPr="00FC7402" w:rsidRDefault="00FC7402" w:rsidP="00ED5D7F">
            <w:pPr>
              <w:spacing w:after="0" w:line="240" w:lineRule="auto"/>
              <w:jc w:val="center"/>
              <w:rPr>
                <w:rFonts w:ascii="Calibri" w:eastAsia="Times New Roman" w:hAnsi="Calibri" w:cs="Times New Roman"/>
                <w:color w:val="FF0000"/>
              </w:rPr>
            </w:pPr>
          </w:p>
        </w:tc>
        <w:tc>
          <w:tcPr>
            <w:tcW w:w="1334" w:type="pct"/>
            <w:tcBorders>
              <w:top w:val="single" w:sz="4" w:space="0" w:color="auto"/>
              <w:left w:val="nil"/>
              <w:bottom w:val="nil"/>
              <w:right w:val="nil"/>
            </w:tcBorders>
            <w:shd w:val="clear" w:color="auto" w:fill="auto"/>
            <w:noWrap/>
            <w:vAlign w:val="center"/>
          </w:tcPr>
          <w:p w14:paraId="5A9575E9" w14:textId="77777777" w:rsidR="00FC7402" w:rsidRPr="00FC7402" w:rsidRDefault="00FC7402" w:rsidP="00ED5D7F">
            <w:pPr>
              <w:spacing w:after="0" w:line="240" w:lineRule="auto"/>
              <w:jc w:val="center"/>
              <w:rPr>
                <w:rFonts w:ascii="Calibri" w:eastAsia="Times New Roman" w:hAnsi="Calibri" w:cs="Times New Roman"/>
                <w:color w:val="FF0000"/>
              </w:rPr>
            </w:pPr>
          </w:p>
        </w:tc>
      </w:tr>
      <w:tr w:rsidR="00FC7402" w:rsidRPr="00FC7402" w14:paraId="1DEE1A8B" w14:textId="77777777" w:rsidTr="00ED5D7F">
        <w:trPr>
          <w:trHeight w:val="300"/>
        </w:trPr>
        <w:tc>
          <w:tcPr>
            <w:tcW w:w="2333" w:type="pct"/>
            <w:vMerge w:val="restart"/>
            <w:tcBorders>
              <w:top w:val="dotted" w:sz="4" w:space="0" w:color="auto"/>
              <w:left w:val="nil"/>
              <w:bottom w:val="nil"/>
              <w:right w:val="nil"/>
            </w:tcBorders>
            <w:shd w:val="clear" w:color="000000" w:fill="FFFFFF"/>
            <w:vAlign w:val="center"/>
            <w:hideMark/>
          </w:tcPr>
          <w:p w14:paraId="56E659B7" w14:textId="77777777" w:rsidR="00FC7402" w:rsidRPr="00FC7402" w:rsidRDefault="00FC7402" w:rsidP="00ED5D7F">
            <w:pPr>
              <w:spacing w:after="0" w:line="240" w:lineRule="auto"/>
              <w:ind w:firstLineChars="200" w:firstLine="440"/>
              <w:rPr>
                <w:rFonts w:ascii="Calibri" w:eastAsia="Times New Roman" w:hAnsi="Calibri" w:cs="Times New Roman"/>
                <w:i/>
                <w:iCs/>
                <w:color w:val="FF0000"/>
              </w:rPr>
            </w:pPr>
            <w:r w:rsidRPr="00FC7402">
              <w:rPr>
                <w:rFonts w:ascii="Calibri" w:eastAsia="Times New Roman" w:hAnsi="Calibri" w:cs="Times New Roman"/>
                <w:i/>
                <w:iCs/>
                <w:color w:val="FF0000"/>
              </w:rPr>
              <w:t xml:space="preserve">80 years or older </w:t>
            </w:r>
          </w:p>
        </w:tc>
        <w:tc>
          <w:tcPr>
            <w:tcW w:w="1333" w:type="pct"/>
            <w:tcBorders>
              <w:top w:val="dotted" w:sz="4" w:space="0" w:color="auto"/>
              <w:left w:val="nil"/>
              <w:bottom w:val="nil"/>
              <w:right w:val="nil"/>
            </w:tcBorders>
            <w:shd w:val="clear" w:color="000000" w:fill="FFFFFF"/>
            <w:vAlign w:val="center"/>
          </w:tcPr>
          <w:p w14:paraId="5E0C9DDE"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83</w:t>
            </w:r>
          </w:p>
        </w:tc>
        <w:tc>
          <w:tcPr>
            <w:tcW w:w="1334" w:type="pct"/>
            <w:tcBorders>
              <w:top w:val="dotted" w:sz="4" w:space="0" w:color="auto"/>
              <w:left w:val="nil"/>
              <w:bottom w:val="nil"/>
              <w:right w:val="nil"/>
            </w:tcBorders>
            <w:shd w:val="clear" w:color="000000" w:fill="FFFFFF"/>
            <w:vAlign w:val="center"/>
          </w:tcPr>
          <w:p w14:paraId="25112611"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29</w:t>
            </w:r>
          </w:p>
        </w:tc>
      </w:tr>
      <w:tr w:rsidR="00FC7402" w:rsidRPr="00FC7402" w14:paraId="7B9C5880" w14:textId="77777777" w:rsidTr="00ED5D7F">
        <w:trPr>
          <w:trHeight w:val="300"/>
        </w:trPr>
        <w:tc>
          <w:tcPr>
            <w:tcW w:w="2333" w:type="pct"/>
            <w:vMerge/>
            <w:tcBorders>
              <w:top w:val="dotted" w:sz="4" w:space="0" w:color="auto"/>
              <w:left w:val="nil"/>
              <w:bottom w:val="nil"/>
              <w:right w:val="nil"/>
            </w:tcBorders>
            <w:vAlign w:val="center"/>
            <w:hideMark/>
          </w:tcPr>
          <w:p w14:paraId="527CFB18"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1FB9B531"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(87.0)</w:t>
            </w:r>
          </w:p>
        </w:tc>
        <w:tc>
          <w:tcPr>
            <w:tcW w:w="1334" w:type="pct"/>
            <w:tcBorders>
              <w:top w:val="nil"/>
              <w:left w:val="nil"/>
              <w:bottom w:val="nil"/>
              <w:right w:val="nil"/>
            </w:tcBorders>
            <w:shd w:val="clear" w:color="000000" w:fill="FFFFFF"/>
            <w:vAlign w:val="center"/>
          </w:tcPr>
          <w:p w14:paraId="3268DABD"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(25.0)</w:t>
            </w:r>
          </w:p>
        </w:tc>
      </w:tr>
      <w:tr w:rsidR="00FC7402" w:rsidRPr="00FC7402" w14:paraId="4F4C7B75" w14:textId="77777777" w:rsidTr="00ED5D7F">
        <w:trPr>
          <w:trHeight w:val="300"/>
        </w:trPr>
        <w:tc>
          <w:tcPr>
            <w:tcW w:w="2333" w:type="pct"/>
            <w:vMerge/>
            <w:tcBorders>
              <w:top w:val="dotted" w:sz="4" w:space="0" w:color="auto"/>
              <w:left w:val="nil"/>
              <w:bottom w:val="nil"/>
              <w:right w:val="nil"/>
            </w:tcBorders>
            <w:vAlign w:val="center"/>
            <w:hideMark/>
          </w:tcPr>
          <w:p w14:paraId="37FC3085"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60DE2845"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36.7%</w:t>
            </w:r>
          </w:p>
        </w:tc>
        <w:tc>
          <w:tcPr>
            <w:tcW w:w="1334" w:type="pct"/>
            <w:tcBorders>
              <w:top w:val="nil"/>
              <w:left w:val="nil"/>
              <w:bottom w:val="nil"/>
              <w:right w:val="nil"/>
            </w:tcBorders>
            <w:shd w:val="clear" w:color="000000" w:fill="FFFFFF"/>
            <w:vAlign w:val="center"/>
          </w:tcPr>
          <w:p w14:paraId="45BBC39F"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44.6%</w:t>
            </w:r>
          </w:p>
        </w:tc>
      </w:tr>
      <w:tr w:rsidR="00FC7402" w:rsidRPr="00FC7402" w14:paraId="4EBFE38E" w14:textId="77777777" w:rsidTr="00ED5D7F">
        <w:trPr>
          <w:trHeight w:val="300"/>
        </w:trPr>
        <w:tc>
          <w:tcPr>
            <w:tcW w:w="2333" w:type="pct"/>
            <w:vMerge w:val="restart"/>
            <w:tcBorders>
              <w:top w:val="dotted" w:sz="4" w:space="0" w:color="auto"/>
              <w:left w:val="nil"/>
              <w:bottom w:val="nil"/>
              <w:right w:val="nil"/>
            </w:tcBorders>
            <w:shd w:val="clear" w:color="000000" w:fill="FFFFFF"/>
            <w:vAlign w:val="center"/>
            <w:hideMark/>
          </w:tcPr>
          <w:p w14:paraId="44292965" w14:textId="77777777" w:rsidR="00FC7402" w:rsidRPr="00FC7402" w:rsidRDefault="00FC7402" w:rsidP="00ED5D7F">
            <w:pPr>
              <w:spacing w:after="0" w:line="240" w:lineRule="auto"/>
              <w:ind w:firstLineChars="200" w:firstLine="440"/>
              <w:rPr>
                <w:rFonts w:ascii="Calibri" w:eastAsia="Times New Roman" w:hAnsi="Calibri" w:cs="Times New Roman"/>
                <w:i/>
                <w:iCs/>
                <w:color w:val="FF0000"/>
              </w:rPr>
            </w:pPr>
            <w:r w:rsidRPr="00FC7402">
              <w:rPr>
                <w:rFonts w:ascii="Calibri" w:eastAsia="Times New Roman" w:hAnsi="Calibri" w:cs="Times New Roman"/>
                <w:i/>
                <w:iCs/>
                <w:color w:val="FF0000"/>
              </w:rPr>
              <w:t xml:space="preserve">65 - 79 years </w:t>
            </w:r>
          </w:p>
        </w:tc>
        <w:tc>
          <w:tcPr>
            <w:tcW w:w="1333" w:type="pct"/>
            <w:tcBorders>
              <w:top w:val="dotted" w:sz="4" w:space="0" w:color="auto"/>
              <w:left w:val="nil"/>
              <w:bottom w:val="nil"/>
              <w:right w:val="nil"/>
            </w:tcBorders>
            <w:shd w:val="clear" w:color="000000" w:fill="FFFFFF"/>
            <w:vAlign w:val="center"/>
          </w:tcPr>
          <w:p w14:paraId="7A25E520"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77</w:t>
            </w:r>
          </w:p>
        </w:tc>
        <w:tc>
          <w:tcPr>
            <w:tcW w:w="1334" w:type="pct"/>
            <w:tcBorders>
              <w:top w:val="dotted" w:sz="4" w:space="0" w:color="auto"/>
              <w:left w:val="nil"/>
              <w:bottom w:val="nil"/>
              <w:right w:val="nil"/>
            </w:tcBorders>
            <w:shd w:val="clear" w:color="000000" w:fill="FFFFFF"/>
            <w:vAlign w:val="center"/>
          </w:tcPr>
          <w:p w14:paraId="1AD3E9E0"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20</w:t>
            </w:r>
          </w:p>
        </w:tc>
      </w:tr>
      <w:tr w:rsidR="00FC7402" w:rsidRPr="00FC7402" w14:paraId="0D9244AF" w14:textId="77777777" w:rsidTr="00ED5D7F">
        <w:trPr>
          <w:trHeight w:val="300"/>
        </w:trPr>
        <w:tc>
          <w:tcPr>
            <w:tcW w:w="2333" w:type="pct"/>
            <w:vMerge/>
            <w:tcBorders>
              <w:top w:val="dotted" w:sz="4" w:space="0" w:color="auto"/>
              <w:left w:val="nil"/>
              <w:bottom w:val="nil"/>
              <w:right w:val="nil"/>
            </w:tcBorders>
            <w:vAlign w:val="center"/>
            <w:hideMark/>
          </w:tcPr>
          <w:p w14:paraId="3289ACBB"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66B45C38"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(75.3)</w:t>
            </w:r>
          </w:p>
        </w:tc>
        <w:tc>
          <w:tcPr>
            <w:tcW w:w="1334" w:type="pct"/>
            <w:tcBorders>
              <w:top w:val="nil"/>
              <w:left w:val="nil"/>
              <w:bottom w:val="nil"/>
              <w:right w:val="nil"/>
            </w:tcBorders>
            <w:shd w:val="clear" w:color="000000" w:fill="FFFFFF"/>
            <w:vAlign w:val="center"/>
          </w:tcPr>
          <w:p w14:paraId="3042CBD4"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(21.7)</w:t>
            </w:r>
          </w:p>
        </w:tc>
      </w:tr>
      <w:tr w:rsidR="00FC7402" w:rsidRPr="00FC7402" w14:paraId="165B5F83" w14:textId="77777777" w:rsidTr="00ED5D7F">
        <w:trPr>
          <w:trHeight w:val="300"/>
        </w:trPr>
        <w:tc>
          <w:tcPr>
            <w:tcW w:w="2333" w:type="pct"/>
            <w:vMerge/>
            <w:tcBorders>
              <w:top w:val="dotted" w:sz="4" w:space="0" w:color="auto"/>
              <w:left w:val="nil"/>
              <w:bottom w:val="nil"/>
              <w:right w:val="nil"/>
            </w:tcBorders>
            <w:vAlign w:val="center"/>
            <w:hideMark/>
          </w:tcPr>
          <w:p w14:paraId="3F6197AF"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1E04F190"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34.1%</w:t>
            </w:r>
          </w:p>
        </w:tc>
        <w:tc>
          <w:tcPr>
            <w:tcW w:w="1334" w:type="pct"/>
            <w:tcBorders>
              <w:top w:val="nil"/>
              <w:left w:val="nil"/>
              <w:bottom w:val="nil"/>
              <w:right w:val="nil"/>
            </w:tcBorders>
            <w:shd w:val="clear" w:color="000000" w:fill="FFFFFF"/>
            <w:vAlign w:val="center"/>
          </w:tcPr>
          <w:p w14:paraId="3EB3E4C0"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30.8%</w:t>
            </w:r>
          </w:p>
        </w:tc>
      </w:tr>
      <w:tr w:rsidR="00FC7402" w:rsidRPr="00FC7402" w14:paraId="227DF716" w14:textId="77777777" w:rsidTr="00ED5D7F">
        <w:trPr>
          <w:trHeight w:val="300"/>
        </w:trPr>
        <w:tc>
          <w:tcPr>
            <w:tcW w:w="2333" w:type="pct"/>
            <w:vMerge w:val="restart"/>
            <w:tcBorders>
              <w:top w:val="dotted" w:sz="4" w:space="0" w:color="auto"/>
              <w:left w:val="nil"/>
              <w:bottom w:val="nil"/>
              <w:right w:val="nil"/>
            </w:tcBorders>
            <w:shd w:val="clear" w:color="000000" w:fill="FFFFFF"/>
            <w:vAlign w:val="center"/>
            <w:hideMark/>
          </w:tcPr>
          <w:p w14:paraId="4A6BDC30" w14:textId="77777777" w:rsidR="00FC7402" w:rsidRPr="00FC7402" w:rsidRDefault="00FC7402" w:rsidP="00ED5D7F">
            <w:pPr>
              <w:spacing w:after="0" w:line="240" w:lineRule="auto"/>
              <w:ind w:firstLineChars="200" w:firstLine="440"/>
              <w:rPr>
                <w:rFonts w:ascii="Calibri" w:eastAsia="Times New Roman" w:hAnsi="Calibri" w:cs="Times New Roman"/>
                <w:i/>
                <w:iCs/>
                <w:color w:val="FF0000"/>
              </w:rPr>
            </w:pPr>
            <w:r w:rsidRPr="00FC7402">
              <w:rPr>
                <w:rFonts w:ascii="Calibri" w:eastAsia="Times New Roman" w:hAnsi="Calibri" w:cs="Times New Roman"/>
                <w:i/>
                <w:iCs/>
                <w:color w:val="FF0000"/>
              </w:rPr>
              <w:t xml:space="preserve">20 - 64 years </w:t>
            </w:r>
          </w:p>
        </w:tc>
        <w:tc>
          <w:tcPr>
            <w:tcW w:w="1333" w:type="pct"/>
            <w:tcBorders>
              <w:top w:val="dotted" w:sz="4" w:space="0" w:color="auto"/>
              <w:left w:val="nil"/>
              <w:bottom w:val="nil"/>
              <w:right w:val="nil"/>
            </w:tcBorders>
            <w:shd w:val="clear" w:color="000000" w:fill="FFFFFF"/>
            <w:vAlign w:val="center"/>
          </w:tcPr>
          <w:p w14:paraId="26EAEEBD"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66</w:t>
            </w:r>
          </w:p>
        </w:tc>
        <w:tc>
          <w:tcPr>
            <w:tcW w:w="1334" w:type="pct"/>
            <w:tcBorders>
              <w:top w:val="dotted" w:sz="4" w:space="0" w:color="auto"/>
              <w:left w:val="nil"/>
              <w:bottom w:val="nil"/>
              <w:right w:val="nil"/>
            </w:tcBorders>
            <w:shd w:val="clear" w:color="000000" w:fill="FFFFFF"/>
            <w:vAlign w:val="center"/>
          </w:tcPr>
          <w:p w14:paraId="1DD57F36"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16</w:t>
            </w:r>
          </w:p>
        </w:tc>
      </w:tr>
      <w:tr w:rsidR="00FC7402" w:rsidRPr="00FC7402" w14:paraId="1E544C93" w14:textId="77777777" w:rsidTr="00ED5D7F">
        <w:trPr>
          <w:trHeight w:val="300"/>
        </w:trPr>
        <w:tc>
          <w:tcPr>
            <w:tcW w:w="2333" w:type="pct"/>
            <w:vMerge/>
            <w:tcBorders>
              <w:top w:val="dotted" w:sz="4" w:space="0" w:color="auto"/>
              <w:left w:val="nil"/>
              <w:bottom w:val="nil"/>
              <w:right w:val="nil"/>
            </w:tcBorders>
            <w:vAlign w:val="center"/>
            <w:hideMark/>
          </w:tcPr>
          <w:p w14:paraId="557CD0DF"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3065D899"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(63.7)</w:t>
            </w:r>
          </w:p>
        </w:tc>
        <w:tc>
          <w:tcPr>
            <w:tcW w:w="1334" w:type="pct"/>
            <w:tcBorders>
              <w:top w:val="nil"/>
              <w:left w:val="nil"/>
              <w:bottom w:val="nil"/>
              <w:right w:val="nil"/>
            </w:tcBorders>
            <w:shd w:val="clear" w:color="000000" w:fill="FFFFFF"/>
            <w:vAlign w:val="center"/>
          </w:tcPr>
          <w:p w14:paraId="4E333A66"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(18.3)</w:t>
            </w:r>
          </w:p>
        </w:tc>
      </w:tr>
      <w:tr w:rsidR="00FC7402" w:rsidRPr="00FC7402" w14:paraId="7A057941" w14:textId="77777777" w:rsidTr="00ED5D7F">
        <w:trPr>
          <w:trHeight w:val="300"/>
        </w:trPr>
        <w:tc>
          <w:tcPr>
            <w:tcW w:w="2333" w:type="pct"/>
            <w:vMerge/>
            <w:tcBorders>
              <w:top w:val="dotted" w:sz="4" w:space="0" w:color="auto"/>
              <w:left w:val="nil"/>
              <w:bottom w:val="nil"/>
              <w:right w:val="nil"/>
            </w:tcBorders>
            <w:vAlign w:val="center"/>
            <w:hideMark/>
          </w:tcPr>
          <w:p w14:paraId="230A5E00"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5FC4DB1F"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29.2%</w:t>
            </w:r>
          </w:p>
        </w:tc>
        <w:tc>
          <w:tcPr>
            <w:tcW w:w="1334" w:type="pct"/>
            <w:tcBorders>
              <w:top w:val="nil"/>
              <w:left w:val="nil"/>
              <w:bottom w:val="nil"/>
              <w:right w:val="nil"/>
            </w:tcBorders>
            <w:shd w:val="clear" w:color="000000" w:fill="FFFFFF"/>
            <w:vAlign w:val="center"/>
          </w:tcPr>
          <w:p w14:paraId="1E172C26"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24.6%</w:t>
            </w:r>
          </w:p>
        </w:tc>
      </w:tr>
      <w:tr w:rsidR="00FC7402" w:rsidRPr="00FC7402" w14:paraId="1B76BC7E" w14:textId="77777777" w:rsidTr="00ED5D7F">
        <w:trPr>
          <w:trHeight w:val="300"/>
        </w:trPr>
        <w:tc>
          <w:tcPr>
            <w:tcW w:w="2333" w:type="pct"/>
            <w:vMerge w:val="restart"/>
            <w:tcBorders>
              <w:top w:val="dotted" w:sz="4" w:space="0" w:color="auto"/>
              <w:left w:val="nil"/>
              <w:bottom w:val="single" w:sz="8" w:space="0" w:color="000000"/>
              <w:right w:val="nil"/>
            </w:tcBorders>
            <w:shd w:val="clear" w:color="000000" w:fill="FFFFFF"/>
            <w:vAlign w:val="center"/>
            <w:hideMark/>
          </w:tcPr>
          <w:p w14:paraId="3F09AF72" w14:textId="77777777" w:rsidR="00FC7402" w:rsidRPr="00FC7402" w:rsidRDefault="00FC7402" w:rsidP="00ED5D7F">
            <w:pPr>
              <w:spacing w:after="0" w:line="240" w:lineRule="auto"/>
              <w:ind w:firstLineChars="200" w:firstLine="440"/>
              <w:rPr>
                <w:rFonts w:ascii="Calibri" w:eastAsia="Times New Roman" w:hAnsi="Calibri" w:cs="Times New Roman"/>
                <w:i/>
                <w:iCs/>
                <w:color w:val="FF0000"/>
              </w:rPr>
            </w:pPr>
            <w:r w:rsidRPr="00FC7402">
              <w:rPr>
                <w:rFonts w:ascii="Calibri" w:eastAsia="Times New Roman" w:hAnsi="Calibri" w:cs="Times New Roman"/>
                <w:i/>
                <w:iCs/>
                <w:color w:val="FF0000"/>
              </w:rPr>
              <w:t>19 years or younger</w:t>
            </w:r>
          </w:p>
        </w:tc>
        <w:tc>
          <w:tcPr>
            <w:tcW w:w="1333" w:type="pct"/>
            <w:tcBorders>
              <w:top w:val="dotted" w:sz="4" w:space="0" w:color="auto"/>
              <w:left w:val="nil"/>
              <w:bottom w:val="nil"/>
              <w:right w:val="nil"/>
            </w:tcBorders>
            <w:shd w:val="clear" w:color="000000" w:fill="FFFFFF"/>
            <w:vAlign w:val="center"/>
          </w:tcPr>
          <w:p w14:paraId="719C7390"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0</w:t>
            </w:r>
          </w:p>
        </w:tc>
        <w:tc>
          <w:tcPr>
            <w:tcW w:w="1334" w:type="pct"/>
            <w:tcBorders>
              <w:top w:val="dotted" w:sz="4" w:space="0" w:color="auto"/>
              <w:left w:val="nil"/>
              <w:bottom w:val="nil"/>
              <w:right w:val="nil"/>
            </w:tcBorders>
            <w:shd w:val="clear" w:color="000000" w:fill="FFFFFF"/>
            <w:vAlign w:val="center"/>
          </w:tcPr>
          <w:p w14:paraId="1A0A62A3"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0</w:t>
            </w:r>
          </w:p>
        </w:tc>
      </w:tr>
      <w:tr w:rsidR="00FC7402" w:rsidRPr="00FC7402" w14:paraId="3714210F" w14:textId="77777777" w:rsidTr="00ED5D7F">
        <w:trPr>
          <w:trHeight w:val="300"/>
        </w:trPr>
        <w:tc>
          <w:tcPr>
            <w:tcW w:w="2333" w:type="pct"/>
            <w:vMerge/>
            <w:tcBorders>
              <w:top w:val="dotted" w:sz="4" w:space="0" w:color="auto"/>
              <w:left w:val="nil"/>
              <w:bottom w:val="single" w:sz="8" w:space="0" w:color="000000"/>
              <w:right w:val="nil"/>
            </w:tcBorders>
            <w:vAlign w:val="center"/>
            <w:hideMark/>
          </w:tcPr>
          <w:p w14:paraId="3529E6DF"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nil"/>
              <w:right w:val="nil"/>
            </w:tcBorders>
            <w:shd w:val="clear" w:color="000000" w:fill="FFFFFF"/>
            <w:vAlign w:val="center"/>
          </w:tcPr>
          <w:p w14:paraId="238ABC39"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(0)</w:t>
            </w:r>
          </w:p>
        </w:tc>
        <w:tc>
          <w:tcPr>
            <w:tcW w:w="1334" w:type="pct"/>
            <w:tcBorders>
              <w:top w:val="nil"/>
              <w:left w:val="nil"/>
              <w:bottom w:val="nil"/>
              <w:right w:val="nil"/>
            </w:tcBorders>
            <w:shd w:val="clear" w:color="000000" w:fill="FFFFFF"/>
            <w:vAlign w:val="center"/>
          </w:tcPr>
          <w:p w14:paraId="1C63ADED"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(0)</w:t>
            </w:r>
          </w:p>
        </w:tc>
        <w:bookmarkStart w:id="14" w:name="_GoBack"/>
        <w:bookmarkEnd w:id="14"/>
      </w:tr>
      <w:tr w:rsidR="00FC7402" w:rsidRPr="00FC7402" w14:paraId="007A10E5" w14:textId="77777777" w:rsidTr="00ED5D7F">
        <w:trPr>
          <w:trHeight w:val="315"/>
        </w:trPr>
        <w:tc>
          <w:tcPr>
            <w:tcW w:w="2333" w:type="pct"/>
            <w:vMerge/>
            <w:tcBorders>
              <w:top w:val="dotted" w:sz="4" w:space="0" w:color="auto"/>
              <w:left w:val="nil"/>
              <w:bottom w:val="single" w:sz="8" w:space="0" w:color="000000"/>
              <w:right w:val="nil"/>
            </w:tcBorders>
            <w:vAlign w:val="center"/>
            <w:hideMark/>
          </w:tcPr>
          <w:p w14:paraId="1A450CA0" w14:textId="77777777" w:rsidR="00FC7402" w:rsidRPr="00FC7402" w:rsidRDefault="00FC7402" w:rsidP="00ED5D7F">
            <w:pPr>
              <w:spacing w:after="0" w:line="240" w:lineRule="auto"/>
              <w:rPr>
                <w:rFonts w:ascii="Calibri" w:eastAsia="Times New Roman" w:hAnsi="Calibri" w:cs="Times New Roman"/>
                <w:i/>
                <w:iCs/>
                <w:color w:val="FF0000"/>
              </w:rPr>
            </w:pPr>
          </w:p>
        </w:tc>
        <w:tc>
          <w:tcPr>
            <w:tcW w:w="1333" w:type="pct"/>
            <w:tcBorders>
              <w:top w:val="nil"/>
              <w:left w:val="nil"/>
              <w:bottom w:val="single" w:sz="8" w:space="0" w:color="000000"/>
              <w:right w:val="nil"/>
            </w:tcBorders>
            <w:shd w:val="clear" w:color="000000" w:fill="FFFFFF"/>
            <w:vAlign w:val="center"/>
          </w:tcPr>
          <w:p w14:paraId="6602173C"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0.0%</w:t>
            </w:r>
          </w:p>
        </w:tc>
        <w:tc>
          <w:tcPr>
            <w:tcW w:w="1334" w:type="pct"/>
            <w:tcBorders>
              <w:top w:val="nil"/>
              <w:left w:val="nil"/>
              <w:bottom w:val="single" w:sz="8" w:space="0" w:color="000000"/>
              <w:right w:val="nil"/>
            </w:tcBorders>
            <w:shd w:val="clear" w:color="000000" w:fill="FFFFFF"/>
            <w:vAlign w:val="center"/>
          </w:tcPr>
          <w:p w14:paraId="79425314" w14:textId="77777777" w:rsidR="00FC7402" w:rsidRPr="00FC7402" w:rsidRDefault="00FC7402" w:rsidP="00ED5D7F">
            <w:pPr>
              <w:spacing w:after="0" w:line="240" w:lineRule="auto"/>
              <w:jc w:val="center"/>
              <w:rPr>
                <w:rFonts w:ascii="Calibri" w:eastAsia="Times New Roman" w:hAnsi="Calibri" w:cs="Times New Roman"/>
                <w:color w:val="FF0000"/>
              </w:rPr>
            </w:pPr>
            <w:r w:rsidRPr="00FC7402">
              <w:rPr>
                <w:rFonts w:ascii="Calibri" w:eastAsia="Times New Roman" w:hAnsi="Calibri" w:cs="Times New Roman"/>
                <w:color w:val="FF0000"/>
              </w:rPr>
              <w:t>0.0%</w:t>
            </w:r>
          </w:p>
        </w:tc>
      </w:tr>
    </w:tbl>
    <w:p w14:paraId="65E6C096" w14:textId="77777777" w:rsidR="00FC7402" w:rsidRDefault="00FC7402" w:rsidP="00FC7402">
      <w:pPr>
        <w:autoSpaceDE w:val="0"/>
        <w:autoSpaceDN w:val="0"/>
        <w:adjustRightInd w:val="0"/>
        <w:spacing w:after="0" w:line="240" w:lineRule="auto"/>
        <w:rPr>
          <w:rFonts w:cstheme="minorHAnsi"/>
          <w:bCs/>
        </w:rPr>
      </w:pPr>
    </w:p>
    <w:p w14:paraId="0CABD01E" w14:textId="3224EDDB" w:rsidR="008F7E67" w:rsidRPr="00E1508F" w:rsidRDefault="008F7E67" w:rsidP="00FC7402">
      <w:pPr>
        <w:tabs>
          <w:tab w:val="left" w:pos="2810"/>
        </w:tabs>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0499D0D1" w:rsidR="00BA053B" w:rsidRDefault="00BA053B">
      <w:pPr>
        <w:autoSpaceDE w:val="0"/>
        <w:autoSpaceDN w:val="0"/>
        <w:adjustRightInd w:val="0"/>
        <w:spacing w:after="0" w:line="240" w:lineRule="auto"/>
        <w:rPr>
          <w:rFonts w:cstheme="minorHAnsi"/>
          <w:bCs/>
        </w:rPr>
      </w:pPr>
    </w:p>
    <w:p w14:paraId="269896EB" w14:textId="77777777" w:rsidR="00FC7402" w:rsidRPr="00FC7402" w:rsidRDefault="00FC7402" w:rsidP="00FC7402">
      <w:pPr>
        <w:autoSpaceDE w:val="0"/>
        <w:autoSpaceDN w:val="0"/>
        <w:adjustRightInd w:val="0"/>
        <w:spacing w:after="0" w:line="240" w:lineRule="auto"/>
        <w:rPr>
          <w:rFonts w:cstheme="minorHAnsi"/>
          <w:bCs/>
          <w:color w:val="FF0000"/>
        </w:rPr>
      </w:pPr>
      <w:r w:rsidRPr="00FC7402">
        <w:rPr>
          <w:rFonts w:cstheme="minorHAnsi"/>
          <w:bCs/>
          <w:color w:val="FF0000"/>
        </w:rPr>
        <w:t xml:space="preserve">There were no significant differences found in the proportion of individuals lost to follow-up based on the demographic characteristics of age, gender, race, or ethnicity.  As such, there is no evidence that all individuals are equally as likely to be available to answer the follow-up question. And, likewise, there is no evidence of a systematic difference in LTF based on these categories. </w:t>
      </w:r>
    </w:p>
    <w:p w14:paraId="46E27B34" w14:textId="77777777" w:rsidR="00FC7402" w:rsidRPr="00FC7402" w:rsidRDefault="00FC7402" w:rsidP="00FC7402">
      <w:pPr>
        <w:autoSpaceDE w:val="0"/>
        <w:autoSpaceDN w:val="0"/>
        <w:adjustRightInd w:val="0"/>
        <w:spacing w:after="0" w:line="240" w:lineRule="auto"/>
        <w:rPr>
          <w:rFonts w:cstheme="minorHAnsi"/>
          <w:bCs/>
          <w:color w:val="FF0000"/>
        </w:rPr>
      </w:pPr>
    </w:p>
    <w:p w14:paraId="1BEC8DB0" w14:textId="77777777" w:rsidR="00FC7402" w:rsidRPr="005560E7" w:rsidRDefault="00FC7402">
      <w:pPr>
        <w:autoSpaceDE w:val="0"/>
        <w:autoSpaceDN w:val="0"/>
        <w:adjustRightInd w:val="0"/>
        <w:spacing w:after="0" w:line="240" w:lineRule="auto"/>
        <w:rPr>
          <w:rFonts w:cstheme="minorHAnsi"/>
          <w:bCs/>
        </w:rPr>
      </w:pPr>
    </w:p>
    <w:sectPr w:rsidR="00FC7402" w:rsidRPr="005560E7"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BD023" w14:textId="77777777" w:rsidR="00BA1C58" w:rsidRDefault="00BA1C58" w:rsidP="005C73CA">
      <w:pPr>
        <w:spacing w:after="0" w:line="240" w:lineRule="auto"/>
      </w:pPr>
      <w:r>
        <w:separator/>
      </w:r>
    </w:p>
  </w:endnote>
  <w:endnote w:type="continuationSeparator" w:id="0">
    <w:p w14:paraId="0CABD024" w14:textId="77777777" w:rsidR="00BA1C58" w:rsidRDefault="00BA1C5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7C0BE216" w:rsidR="00BA1C58" w:rsidRDefault="00BA1C58">
    <w:pPr>
      <w:pStyle w:val="Footer"/>
    </w:pPr>
    <w:r>
      <w:t>Version 7.1 9/6/2017</w:t>
    </w:r>
    <w:r>
      <w:ptab w:relativeTo="margin" w:alignment="right" w:leader="none"/>
    </w: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BD021" w14:textId="77777777" w:rsidR="00BA1C58" w:rsidRDefault="00BA1C58" w:rsidP="005C73CA">
      <w:pPr>
        <w:spacing w:after="0" w:line="240" w:lineRule="auto"/>
      </w:pPr>
      <w:r>
        <w:separator/>
      </w:r>
    </w:p>
  </w:footnote>
  <w:footnote w:type="continuationSeparator" w:id="0">
    <w:p w14:paraId="0CABD022" w14:textId="77777777" w:rsidR="00BA1C58" w:rsidRDefault="00BA1C58"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BA1C58" w:rsidRPr="00105D8B" w:rsidRDefault="00BA1C58"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A3B50"/>
    <w:multiLevelType w:val="hybridMultilevel"/>
    <w:tmpl w:val="13C4A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4"/>
  </w:num>
  <w:num w:numId="4">
    <w:abstractNumId w:val="7"/>
  </w:num>
  <w:num w:numId="5">
    <w:abstractNumId w:val="3"/>
  </w:num>
  <w:num w:numId="6">
    <w:abstractNumId w:val="2"/>
  </w:num>
  <w:num w:numId="7">
    <w:abstractNumId w:val="5"/>
  </w:num>
  <w:num w:numId="8">
    <w:abstractNumId w:val="22"/>
  </w:num>
  <w:num w:numId="9">
    <w:abstractNumId w:val="11"/>
  </w:num>
  <w:num w:numId="10">
    <w:abstractNumId w:val="27"/>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8"/>
  </w:num>
  <w:num w:numId="24">
    <w:abstractNumId w:val="15"/>
  </w:num>
  <w:num w:numId="25">
    <w:abstractNumId w:val="14"/>
  </w:num>
  <w:num w:numId="26">
    <w:abstractNumId w:val="28"/>
  </w:num>
  <w:num w:numId="27">
    <w:abstractNumId w:val="0"/>
  </w:num>
  <w:num w:numId="28">
    <w:abstractNumId w:val="10"/>
  </w:num>
  <w:num w:numId="29">
    <w:abstractNumId w:val="18"/>
  </w:num>
  <w:num w:numId="30">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4329"/>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5F11"/>
    <w:rsid w:val="003D294B"/>
    <w:rsid w:val="003D6401"/>
    <w:rsid w:val="003E1863"/>
    <w:rsid w:val="00411674"/>
    <w:rsid w:val="0041606D"/>
    <w:rsid w:val="00416962"/>
    <w:rsid w:val="004206A8"/>
    <w:rsid w:val="004348CC"/>
    <w:rsid w:val="00450C58"/>
    <w:rsid w:val="00451B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1D44"/>
    <w:rsid w:val="006574D2"/>
    <w:rsid w:val="00663563"/>
    <w:rsid w:val="006676D4"/>
    <w:rsid w:val="00675535"/>
    <w:rsid w:val="00681359"/>
    <w:rsid w:val="00682693"/>
    <w:rsid w:val="0069157C"/>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8532C"/>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341D"/>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AF2D68"/>
    <w:rsid w:val="00B037BA"/>
    <w:rsid w:val="00B20139"/>
    <w:rsid w:val="00B218DA"/>
    <w:rsid w:val="00B342FA"/>
    <w:rsid w:val="00B53E8B"/>
    <w:rsid w:val="00B774D2"/>
    <w:rsid w:val="00B8015A"/>
    <w:rsid w:val="00B82A57"/>
    <w:rsid w:val="00BA053B"/>
    <w:rsid w:val="00BA1C58"/>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72D6"/>
    <w:rsid w:val="00E76024"/>
    <w:rsid w:val="00E856A2"/>
    <w:rsid w:val="00E967AD"/>
    <w:rsid w:val="00E96884"/>
    <w:rsid w:val="00EA5435"/>
    <w:rsid w:val="00EA5F47"/>
    <w:rsid w:val="00EB455E"/>
    <w:rsid w:val="00EC79DE"/>
    <w:rsid w:val="00ED4ACE"/>
    <w:rsid w:val="00EE4D35"/>
    <w:rsid w:val="00EF2DA7"/>
    <w:rsid w:val="00F07BBD"/>
    <w:rsid w:val="00F1412B"/>
    <w:rsid w:val="00F15BFA"/>
    <w:rsid w:val="00F34FAB"/>
    <w:rsid w:val="00F435AA"/>
    <w:rsid w:val="00F5738A"/>
    <w:rsid w:val="00F612D4"/>
    <w:rsid w:val="00F7389E"/>
    <w:rsid w:val="00F77F1D"/>
    <w:rsid w:val="00F87CCB"/>
    <w:rsid w:val="00FA48C7"/>
    <w:rsid w:val="00FB51FB"/>
    <w:rsid w:val="00FB73C1"/>
    <w:rsid w:val="00FC740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xmsonormal">
    <w:name w:val="x_msonormal"/>
    <w:basedOn w:val="Normal"/>
    <w:rsid w:val="00682693"/>
    <w:pPr>
      <w:spacing w:after="0" w:line="240" w:lineRule="auto"/>
    </w:pPr>
    <w:rPr>
      <w:rFonts w:ascii="Calibri" w:eastAsiaTheme="minorHAnsi" w:hAnsi="Calibri" w:cs="Calibri"/>
    </w:rPr>
  </w:style>
  <w:style w:type="paragraph" w:customStyle="1" w:styleId="Default">
    <w:name w:val="Default"/>
    <w:rsid w:val="00BA1C5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0117">
      <w:bodyDiv w:val="1"/>
      <w:marLeft w:val="0"/>
      <w:marRight w:val="0"/>
      <w:marTop w:val="0"/>
      <w:marBottom w:val="0"/>
      <w:divBdr>
        <w:top w:val="none" w:sz="0" w:space="0" w:color="auto"/>
        <w:left w:val="none" w:sz="0" w:space="0" w:color="auto"/>
        <w:bottom w:val="none" w:sz="0" w:space="0" w:color="auto"/>
        <w:right w:val="none" w:sz="0" w:space="0" w:color="auto"/>
      </w:divBdr>
    </w:div>
    <w:div w:id="35086912">
      <w:bodyDiv w:val="1"/>
      <w:marLeft w:val="0"/>
      <w:marRight w:val="0"/>
      <w:marTop w:val="0"/>
      <w:marBottom w:val="0"/>
      <w:divBdr>
        <w:top w:val="none" w:sz="0" w:space="0" w:color="auto"/>
        <w:left w:val="none" w:sz="0" w:space="0" w:color="auto"/>
        <w:bottom w:val="none" w:sz="0" w:space="0" w:color="auto"/>
        <w:right w:val="none" w:sz="0" w:space="0" w:color="auto"/>
      </w:divBdr>
    </w:div>
    <w:div w:id="56823017">
      <w:bodyDiv w:val="1"/>
      <w:marLeft w:val="0"/>
      <w:marRight w:val="0"/>
      <w:marTop w:val="0"/>
      <w:marBottom w:val="0"/>
      <w:divBdr>
        <w:top w:val="none" w:sz="0" w:space="0" w:color="auto"/>
        <w:left w:val="none" w:sz="0" w:space="0" w:color="auto"/>
        <w:bottom w:val="none" w:sz="0" w:space="0" w:color="auto"/>
        <w:right w:val="none" w:sz="0" w:space="0" w:color="auto"/>
      </w:divBdr>
    </w:div>
    <w:div w:id="119032645">
      <w:bodyDiv w:val="1"/>
      <w:marLeft w:val="0"/>
      <w:marRight w:val="0"/>
      <w:marTop w:val="0"/>
      <w:marBottom w:val="0"/>
      <w:divBdr>
        <w:top w:val="none" w:sz="0" w:space="0" w:color="auto"/>
        <w:left w:val="none" w:sz="0" w:space="0" w:color="auto"/>
        <w:bottom w:val="none" w:sz="0" w:space="0" w:color="auto"/>
        <w:right w:val="none" w:sz="0" w:space="0" w:color="auto"/>
      </w:divBdr>
    </w:div>
    <w:div w:id="172844629">
      <w:bodyDiv w:val="1"/>
      <w:marLeft w:val="0"/>
      <w:marRight w:val="0"/>
      <w:marTop w:val="0"/>
      <w:marBottom w:val="0"/>
      <w:divBdr>
        <w:top w:val="none" w:sz="0" w:space="0" w:color="auto"/>
        <w:left w:val="none" w:sz="0" w:space="0" w:color="auto"/>
        <w:bottom w:val="none" w:sz="0" w:space="0" w:color="auto"/>
        <w:right w:val="none" w:sz="0" w:space="0" w:color="auto"/>
      </w:divBdr>
    </w:div>
    <w:div w:id="25772023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72357815">
      <w:bodyDiv w:val="1"/>
      <w:marLeft w:val="0"/>
      <w:marRight w:val="0"/>
      <w:marTop w:val="0"/>
      <w:marBottom w:val="0"/>
      <w:divBdr>
        <w:top w:val="none" w:sz="0" w:space="0" w:color="auto"/>
        <w:left w:val="none" w:sz="0" w:space="0" w:color="auto"/>
        <w:bottom w:val="none" w:sz="0" w:space="0" w:color="auto"/>
        <w:right w:val="none" w:sz="0" w:space="0" w:color="auto"/>
      </w:divBdr>
    </w:div>
    <w:div w:id="654378966">
      <w:bodyDiv w:val="1"/>
      <w:marLeft w:val="0"/>
      <w:marRight w:val="0"/>
      <w:marTop w:val="0"/>
      <w:marBottom w:val="0"/>
      <w:divBdr>
        <w:top w:val="none" w:sz="0" w:space="0" w:color="auto"/>
        <w:left w:val="none" w:sz="0" w:space="0" w:color="auto"/>
        <w:bottom w:val="none" w:sz="0" w:space="0" w:color="auto"/>
        <w:right w:val="none" w:sz="0" w:space="0" w:color="auto"/>
      </w:divBdr>
    </w:div>
    <w:div w:id="676077980">
      <w:bodyDiv w:val="1"/>
      <w:marLeft w:val="0"/>
      <w:marRight w:val="0"/>
      <w:marTop w:val="0"/>
      <w:marBottom w:val="0"/>
      <w:divBdr>
        <w:top w:val="none" w:sz="0" w:space="0" w:color="auto"/>
        <w:left w:val="none" w:sz="0" w:space="0" w:color="auto"/>
        <w:bottom w:val="none" w:sz="0" w:space="0" w:color="auto"/>
        <w:right w:val="none" w:sz="0" w:space="0" w:color="auto"/>
      </w:divBdr>
    </w:div>
    <w:div w:id="684403831">
      <w:bodyDiv w:val="1"/>
      <w:marLeft w:val="0"/>
      <w:marRight w:val="0"/>
      <w:marTop w:val="0"/>
      <w:marBottom w:val="0"/>
      <w:divBdr>
        <w:top w:val="none" w:sz="0" w:space="0" w:color="auto"/>
        <w:left w:val="none" w:sz="0" w:space="0" w:color="auto"/>
        <w:bottom w:val="none" w:sz="0" w:space="0" w:color="auto"/>
        <w:right w:val="none" w:sz="0" w:space="0" w:color="auto"/>
      </w:divBdr>
    </w:div>
    <w:div w:id="762381113">
      <w:bodyDiv w:val="1"/>
      <w:marLeft w:val="0"/>
      <w:marRight w:val="0"/>
      <w:marTop w:val="0"/>
      <w:marBottom w:val="0"/>
      <w:divBdr>
        <w:top w:val="none" w:sz="0" w:space="0" w:color="auto"/>
        <w:left w:val="none" w:sz="0" w:space="0" w:color="auto"/>
        <w:bottom w:val="none" w:sz="0" w:space="0" w:color="auto"/>
        <w:right w:val="none" w:sz="0" w:space="0" w:color="auto"/>
      </w:divBdr>
    </w:div>
    <w:div w:id="768234447">
      <w:bodyDiv w:val="1"/>
      <w:marLeft w:val="0"/>
      <w:marRight w:val="0"/>
      <w:marTop w:val="0"/>
      <w:marBottom w:val="0"/>
      <w:divBdr>
        <w:top w:val="none" w:sz="0" w:space="0" w:color="auto"/>
        <w:left w:val="none" w:sz="0" w:space="0" w:color="auto"/>
        <w:bottom w:val="none" w:sz="0" w:space="0" w:color="auto"/>
        <w:right w:val="none" w:sz="0" w:space="0" w:color="auto"/>
      </w:divBdr>
    </w:div>
    <w:div w:id="887913256">
      <w:bodyDiv w:val="1"/>
      <w:marLeft w:val="0"/>
      <w:marRight w:val="0"/>
      <w:marTop w:val="0"/>
      <w:marBottom w:val="0"/>
      <w:divBdr>
        <w:top w:val="none" w:sz="0" w:space="0" w:color="auto"/>
        <w:left w:val="none" w:sz="0" w:space="0" w:color="auto"/>
        <w:bottom w:val="none" w:sz="0" w:space="0" w:color="auto"/>
        <w:right w:val="none" w:sz="0" w:space="0" w:color="auto"/>
      </w:divBdr>
    </w:div>
    <w:div w:id="931014609">
      <w:bodyDiv w:val="1"/>
      <w:marLeft w:val="0"/>
      <w:marRight w:val="0"/>
      <w:marTop w:val="0"/>
      <w:marBottom w:val="0"/>
      <w:divBdr>
        <w:top w:val="none" w:sz="0" w:space="0" w:color="auto"/>
        <w:left w:val="none" w:sz="0" w:space="0" w:color="auto"/>
        <w:bottom w:val="none" w:sz="0" w:space="0" w:color="auto"/>
        <w:right w:val="none" w:sz="0" w:space="0" w:color="auto"/>
      </w:divBdr>
    </w:div>
    <w:div w:id="1315767190">
      <w:bodyDiv w:val="1"/>
      <w:marLeft w:val="0"/>
      <w:marRight w:val="0"/>
      <w:marTop w:val="0"/>
      <w:marBottom w:val="0"/>
      <w:divBdr>
        <w:top w:val="none" w:sz="0" w:space="0" w:color="auto"/>
        <w:left w:val="none" w:sz="0" w:space="0" w:color="auto"/>
        <w:bottom w:val="none" w:sz="0" w:space="0" w:color="auto"/>
        <w:right w:val="none" w:sz="0" w:space="0" w:color="auto"/>
      </w:divBdr>
    </w:div>
    <w:div w:id="143991391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7381918">
      <w:bodyDiv w:val="1"/>
      <w:marLeft w:val="0"/>
      <w:marRight w:val="0"/>
      <w:marTop w:val="0"/>
      <w:marBottom w:val="0"/>
      <w:divBdr>
        <w:top w:val="none" w:sz="0" w:space="0" w:color="auto"/>
        <w:left w:val="none" w:sz="0" w:space="0" w:color="auto"/>
        <w:bottom w:val="none" w:sz="0" w:space="0" w:color="auto"/>
        <w:right w:val="none" w:sz="0" w:space="0" w:color="auto"/>
      </w:divBdr>
    </w:div>
    <w:div w:id="1597251061">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45BA0"/>
    <w:rsid w:val="00A95183"/>
    <w:rsid w:val="00AB4AF7"/>
    <w:rsid w:val="00AD7C4F"/>
    <w:rsid w:val="00B445F5"/>
    <w:rsid w:val="00BD40CB"/>
    <w:rsid w:val="00C362A2"/>
    <w:rsid w:val="00C90121"/>
    <w:rsid w:val="00C96E73"/>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schemas.microsoft.com/office/2006/documentManagement/types"/>
    <ds:schemaRef ds:uri="http://schemas.microsoft.com/office/2006/metadata/properties"/>
    <ds:schemaRef ds:uri="http://purl.org/dc/elements/1.1/"/>
    <ds:schemaRef ds:uri="836b82f1-340d-495e-85b5-201c5296619a"/>
    <ds:schemaRef ds:uri="http://schemas.openxmlformats.org/package/2006/metadata/core-properties"/>
    <ds:schemaRef ds:uri="http://purl.org/dc/term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486F39-706C-4688-9B55-2C1E0B7C5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8822</Words>
  <Characters>50288</Characters>
  <Application>Microsoft Office Word</Application>
  <DocSecurity>0</DocSecurity>
  <Lines>419</Lines>
  <Paragraphs>117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Lori Bishop</cp:lastModifiedBy>
  <cp:revision>2</cp:revision>
  <dcterms:created xsi:type="dcterms:W3CDTF">2020-10-02T21:49:00Z</dcterms:created>
  <dcterms:modified xsi:type="dcterms:W3CDTF">2020-10-02T21:49:00Z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