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0213</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Percentage of patients who died from cancer admitted to the Intensive Care Unit (ICU) in the last 30 days of life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American Society of Clinical Oncology</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Percentage of patients who died from cancer admitted to the ICU in the last 30 days of life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Institute of Medicine’s report, Dying in America, advocates for measures to improve the quality and sustainability of end-of-life care, urging the federal government to “require public reporting on quality measures, outcomes, and costs regarding care near the end-of-life” (Daly et al., 2016). Studies suggest that over time, cancer care is becoming more aggressive near the end of life. Intensive care unit (ICU) admissions in the last 30 days of life are deemed as “aggressive care” and often used as an indicator of lower quality of care (Barbera, 2015). A higher quality of life has been predicted in patients who avoid aggressive measures such as ICU stays in the last week of life (Zhang, 2012). Furthermore, a longitudinal population-based study found patients who enrolled in hospice (long-or short-term) vs. those who did not receive hospice services had a reduced likelihood of being admitted to an ICU in the last 30 days of life by approximately 75% (Kao, 2015). ICU admissions, particularly those that result in a patient dying in the ICU, are more likely to result in physical and emotional distress as well as a less positive death experience (Wright, 2010).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According to a study of Medicare claims data, ICU use in the last 30 days of life increased 5% between 2000 and 2009 (Khandelwal et al., 2015). Despite limited evidence of improved patient outcomes, nearly 25% of Medicare expenditures are spent on intensive care in the final month of life (Wright, 2010). A reduction in health care expenditures can be achieved by reduced utilization of hospital services including ICU stays and a greater focus on palliative care and hospice services (Langton, 2014).</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Palliative care in most studies has actually reduced the total cost of care, often substantially.</w:t>
      </w:r>
      <w:r>
        <w:rPr>
          <w:rFonts w:ascii="Calibri" w:eastAsia="Calibri" w:hAnsi="Calibri" w:cs="Calibri"/>
          <w:b w:val="0"/>
          <w:color w:val="0000FF"/>
          <w:sz w:val="20"/>
        </w:rPr>
        <w:t xml:space="preserve"> The first large randomized trials of usual care versus usual care plus an interdisciplinary palliative care team were conducted by a vertically integrated health care organization—Kaiser-Permanente—involving more than 800 patients. Avoided hospital and intensive care unit days in the last month of life led to equal survival, better satisfaction and communication, and cost savings of $7,550 and $4,885 (ASCO Guideline, 2017)</w:t>
      </w:r>
      <w:r>
        <w:rPr>
          <w:rFonts w:ascii="Calibri" w:eastAsia="Calibri" w:hAnsi="Calibri" w:cs="Calibri"/>
          <w:b w:val="0"/>
          <w:color w:val="0000FF"/>
          <w:sz w:val="20"/>
        </w:rPr>
        <w:t xml:space="preser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References: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Daly, B., Hantel, A., Wroblewski, K., Balachandran, J.S., Chow, S., DeBoer, R., Fleming, G.F., Hahn, O.M., Kline, J., Liu, H., Patel, B.K., Verma, A., Witt, L.J., Fukui, M., Kumar, A., Howell, M.D., Polite, B.N. (2016). No Exit: Identifying Avoidable Terminal Oncology Intensive Care Unit Hospitalizations</w:t>
      </w:r>
      <w:r>
        <w:rPr>
          <w:rFonts w:ascii="Calibri" w:eastAsia="Calibri" w:hAnsi="Calibri" w:cs="Calibri"/>
          <w:b w:val="0"/>
          <w:i/>
          <w:iCs/>
          <w:color w:val="000000"/>
          <w:sz w:val="20"/>
        </w:rPr>
        <w:t>. J Oncol Pract</w:t>
      </w:r>
      <w:r>
        <w:rPr>
          <w:rFonts w:ascii="Calibri" w:eastAsia="Calibri" w:hAnsi="Calibri" w:cs="Calibri"/>
          <w:b w:val="0"/>
          <w:color w:val="000000"/>
          <w:sz w:val="20"/>
        </w:rPr>
        <w:t>, 12(10), e901-e911. doi: 10.1200/JOP.2016.012823. Retrieved from</w:t>
      </w:r>
      <w:hyperlink r:id="rId5" w:tgtFrame="_blank" w:history="1">
        <w:r>
          <w:rPr>
            <w:rFonts w:ascii="Calibri" w:eastAsia="Calibri" w:hAnsi="Calibri" w:cs="Calibri"/>
            <w:b w:val="0"/>
            <w:color w:val="0000FF"/>
            <w:sz w:val="20"/>
            <w:u w:val="single" w:color="0000FF"/>
          </w:rPr>
          <w:t>https://pubmed.ncbi.nlm.nih.gov/27601514/</w:t>
        </w:r>
      </w:hyperlink>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Barbera L, Seow H, et al. Quality of end-of-life cancer care in Canada: a retrospective four-province study using administrative health care data. Curr Oncol 2015 Oct: 22(5): 341-355. Available at: </w:t>
      </w:r>
      <w:hyperlink r:id="rId6" w:tgtFrame="_blank" w:history="1">
        <w:r>
          <w:rPr>
            <w:rFonts w:ascii="Calibri" w:eastAsia="Calibri" w:hAnsi="Calibri" w:cs="Calibri"/>
            <w:b w:val="0"/>
            <w:color w:val="0000FF"/>
            <w:sz w:val="20"/>
            <w:u w:val="single" w:color="0000FF"/>
          </w:rPr>
          <w:t>http://www.ncbi.nlm.nih.gov/pmc/articles/PMC4608400/</w:t>
        </w:r>
      </w:hyperlink>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Zhang B, Nilsson ME, Prigerson HG. Factors important to patients´ quality of life at the end of life. Arch Intern Med 2012;172:1133-1142.Available at: http://www.ncbi.nlm.nih.gov/pmc/articles/PMC3806298/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Kao YH, Chiang JK. Effect of hospice care on quality indicators of end-of-life care among patients with liver cancer: a national longitudinal population based study in Taiwan 2000-2011. BMC Palliat Care 2015: 14:39. Available at: http://www.ncbi.nlm.nih.gov/pmc/articles/PMC4545784/#CR5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Wright AA, Keating NL, Balboni TA, et al. Place of death: correlations with quality of life of patients with cancer and predictors of bereaved caregivers’ mental health. J Clin Oncol 2010; 28:4457–4464. Available at: http://www.ncbi.nlm.nih.gov/pmc/articles/PMC2988637/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Khandelwal, N., Kross, E.K., Engelberg, R.A., et al. (2015). Estimating the effect of palliative care interventions and advance care planning on ICU utilization: a systematic review. </w:t>
      </w:r>
      <w:r>
        <w:rPr>
          <w:rFonts w:ascii="Calibri" w:eastAsia="Calibri" w:hAnsi="Calibri" w:cs="Calibri"/>
          <w:b w:val="0"/>
          <w:i/>
          <w:iCs/>
          <w:color w:val="000000"/>
          <w:sz w:val="20"/>
        </w:rPr>
        <w:t>Crit Care Med</w:t>
      </w:r>
      <w:r>
        <w:rPr>
          <w:rFonts w:ascii="Calibri" w:eastAsia="Calibri" w:hAnsi="Calibri" w:cs="Calibri"/>
          <w:b w:val="0"/>
          <w:color w:val="000000"/>
          <w:sz w:val="20"/>
        </w:rPr>
        <w:t>, 43, 1102-11. Retrieved from</w:t>
      </w:r>
      <w:r>
        <w:rPr>
          <w:rFonts w:ascii="Calibri" w:eastAsia="Calibri" w:hAnsi="Calibri" w:cs="Calibri"/>
          <w:b w:val="0"/>
          <w:color w:val="C00000"/>
          <w:sz w:val="20"/>
        </w:rPr>
        <w:t xml:space="preserve"> </w:t>
      </w:r>
      <w:hyperlink r:id="rId7" w:tgtFrame="_blank" w:history="1">
        <w:r>
          <w:rPr>
            <w:rFonts w:ascii="Calibri" w:eastAsia="Calibri" w:hAnsi="Calibri" w:cs="Calibri"/>
            <w:b w:val="0"/>
            <w:color w:val="0000FF"/>
            <w:sz w:val="20"/>
            <w:u w:val="single" w:color="0000FF"/>
          </w:rPr>
          <w:t>https://www.ncbi.nlm.nih.gov/pmc/articles/PMC4499326/</w:t>
        </w:r>
      </w:hyperlink>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Langton JM, Blanch B, Drew AK, et al. Retrospective studies of end of-life resource utilization and costs in cancer care using health administrative data: a systematic review. Palliat Med 2014;28:1167-1196. Available at: http://www.ncbi.nlm.nih.gov/pubmed/24866758.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Ferrell, B. R., Temel, J. S., Temin, S., Alesi, E. R., Balboni, T. A., Basch, E. M., Firn, J. I., Paice, J. A., Peppercorn, J. M., Phillips, T., Stovall, E. L., Zimmermann, C., &amp; Smith, T. J. (2017). Integration of Palliative Care Into Standard Oncology Care: American Society of Clinical Oncology Clinical Practice Guideline Update. </w:t>
      </w:r>
      <w:r>
        <w:rPr>
          <w:rFonts w:ascii="Calibri" w:eastAsia="Calibri" w:hAnsi="Calibri" w:cs="Calibri"/>
          <w:b w:val="0"/>
          <w:i/>
          <w:iCs/>
          <w:color w:val="000000"/>
          <w:sz w:val="20"/>
        </w:rPr>
        <w:t>Journal of Clinical Oncology</w:t>
      </w:r>
      <w:r>
        <w:rPr>
          <w:rFonts w:ascii="Calibri" w:eastAsia="Calibri" w:hAnsi="Calibri" w:cs="Calibri"/>
          <w:b w:val="0"/>
          <w:color w:val="000000"/>
          <w:sz w:val="20"/>
        </w:rPr>
        <w:t xml:space="preserve">, </w:t>
      </w:r>
      <w:r>
        <w:rPr>
          <w:rFonts w:ascii="Calibri" w:eastAsia="Calibri" w:hAnsi="Calibri" w:cs="Calibri"/>
          <w:b w:val="0"/>
          <w:i/>
          <w:iCs/>
          <w:color w:val="000000"/>
          <w:sz w:val="20"/>
        </w:rPr>
        <w:t>35</w:t>
      </w:r>
      <w:r>
        <w:rPr>
          <w:rFonts w:ascii="Calibri" w:eastAsia="Calibri" w:hAnsi="Calibri" w:cs="Calibri"/>
          <w:b w:val="0"/>
          <w:color w:val="000000"/>
          <w:sz w:val="20"/>
        </w:rPr>
        <w:t xml:space="preserve">(1), 96–112. Retrieved from </w:t>
      </w:r>
      <w:hyperlink r:id="rId8" w:tgtFrame="_blank" w:history="1">
        <w:r>
          <w:rPr>
            <w:rFonts w:ascii="Calibri" w:eastAsia="Calibri" w:hAnsi="Calibri" w:cs="Calibri"/>
            <w:b w:val="0"/>
            <w:color w:val="0000FF"/>
            <w:sz w:val="20"/>
            <w:u w:val="single" w:color="0000FF"/>
          </w:rPr>
          <w:t>https://doi.org/10.1200/jco.2016.70.1474</w:t>
        </w:r>
      </w:hyperlink>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Patients who died from cancer and were admitted to the ICU in the last 30 days of life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Patients who died from cancer</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None</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Registry Data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Clinician: Group/Practice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Clinician: Individual</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2009-08-10 12:00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Yes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 xml:space="preserve">    [Yes Please Explain]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There are new clinical guidelines, systematic reviews, and relevant research studies that continue to support the measure since the last NQF submission in 2016.</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114471"/>
            <wp:docPr id="100008" name="" descr="This logic model links the steps to improved patient and family outcomes for cancer patients at the end of 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9"/>
                    <a:stretch>
                      <a:fillRect/>
                    </a:stretch>
                  </pic:blipFill>
                  <pic:spPr>
                    <a:xfrm>
                      <a:off x="0" y="0"/>
                      <a:ext cx="5943600" cy="3114471"/>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Timely enrollment in palliative care and/or hospice care for the cancer population can lead to reduction of aggressive interventions and ICU admissions at the end of life and ultimately improve quality of life, patient and family satisfaction, and reduced resource utilization costs.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Clinical Practice Guideline recommendation (with evidence review)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systematic review and grading of the body of evidence (e.g., Cochrane Collaboration, AHRQ Evidence Practice Center)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published studies (see 1a.13)</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National Comprehensive Cancer Network Clinical Practice Guidelines in Oncology. (2021). Palliative Care (version 2.2021). Retrieved from </w:t>
      </w:r>
      <w:hyperlink r:id="rId10" w:tgtFrame="_blank" w:history="1">
        <w:r>
          <w:rPr>
            <w:rFonts w:ascii="Calibri" w:eastAsia="Calibri" w:hAnsi="Calibri" w:cs="Calibri"/>
            <w:b w:val="0"/>
            <w:i w:val="0"/>
            <w:color w:val="0000FF"/>
            <w:sz w:val="20"/>
            <w:u w:val="single" w:color="0000FF"/>
          </w:rPr>
          <w:t>https://www.nccn.org/guidelines/guidelines-detail?category=3&amp;id=1454</w:t>
        </w:r>
      </w:hyperlink>
      <w:r>
        <w:rPr>
          <w:rFonts w:ascii="Calibri" w:eastAsia="Calibri" w:hAnsi="Calibri" w:cs="Calibri"/>
          <w:b w:val="0"/>
          <w:i w:val="0"/>
          <w:color w:val="000000"/>
          <w:sz w:val="20"/>
        </w:rPr>
        <w:t xml:space="preserve">. </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Date: February 12, 2021</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Page no (for recommendation): PAL 3 and PAL 6</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URL: </w:t>
      </w:r>
      <w:hyperlink r:id="rId11" w:tgtFrame="_blank" w:history="1">
        <w:r>
          <w:rPr>
            <w:rFonts w:ascii="Calibri" w:eastAsia="Calibri" w:hAnsi="Calibri" w:cs="Calibri"/>
            <w:b w:val="0"/>
            <w:i w:val="0"/>
            <w:color w:val="0000FF"/>
            <w:sz w:val="20"/>
            <w:u w:val="single" w:color="0000FF"/>
          </w:rPr>
          <w:t>https://www.nccn.org/guidelines/category_3</w:t>
        </w:r>
      </w:hyperlink>
      <w:r>
        <w:rPr>
          <w:rFonts w:ascii="Calibri" w:eastAsia="Calibri" w:hAnsi="Calibri" w:cs="Calibri"/>
          <w:b w:val="0"/>
          <w:i w:val="0"/>
          <w:color w:val="000000"/>
          <w:sz w:val="20"/>
        </w:rPr>
        <w:t xml:space="preserve">.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Ferrell, B. R., Temel, J. S., Temin, S., Alesi, E. R., Balboni, T. A., Basch, E. M., Firn, J. I., Paice, J. A., Peppercorn, J. M., Phillips, T., Stovall, E. L., Zimmermann, C., &amp; Smith, T. J. (2017). Integration of Palliative Care Into Standard Oncology Care: American Society of Clinical Oncology Clinical Practice Guideline Update. </w:t>
      </w:r>
      <w:r>
        <w:rPr>
          <w:rFonts w:ascii="Calibri" w:eastAsia="Calibri" w:hAnsi="Calibri" w:cs="Calibri"/>
          <w:b w:val="0"/>
          <w:i/>
          <w:iCs/>
          <w:color w:val="000000"/>
          <w:sz w:val="20"/>
        </w:rPr>
        <w:t>Journal of Clinical Oncology</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35</w:t>
      </w:r>
      <w:r>
        <w:rPr>
          <w:rFonts w:ascii="Calibri" w:eastAsia="Calibri" w:hAnsi="Calibri" w:cs="Calibri"/>
          <w:b w:val="0"/>
          <w:i w:val="0"/>
          <w:color w:val="000000"/>
          <w:sz w:val="20"/>
        </w:rPr>
        <w:t xml:space="preserve">(1), 96–112. Retrieved from </w:t>
      </w:r>
      <w:hyperlink r:id="rId8" w:tgtFrame="_blank" w:history="1">
        <w:r>
          <w:rPr>
            <w:rFonts w:ascii="Calibri" w:eastAsia="Calibri" w:hAnsi="Calibri" w:cs="Calibri"/>
            <w:b w:val="0"/>
            <w:i w:val="0"/>
            <w:color w:val="0000FF"/>
            <w:sz w:val="20"/>
            <w:u w:val="single" w:color="0000FF"/>
          </w:rPr>
          <w:t>https://doi.org/10.1200/jco.2016.70.1474</w:t>
        </w:r>
      </w:hyperlink>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Date: January 1, 2017</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Page no (for recommendation): 97 and 99</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URL: </w:t>
      </w:r>
      <w:hyperlink r:id="rId12" w:tgtFrame="_blank" w:history="1">
        <w:r>
          <w:rPr>
            <w:rFonts w:ascii="Calibri" w:eastAsia="Calibri" w:hAnsi="Calibri" w:cs="Calibri"/>
            <w:b w:val="0"/>
            <w:i w:val="0"/>
            <w:color w:val="0000FF"/>
            <w:sz w:val="20"/>
            <w:u w:val="single" w:color="0000FF"/>
          </w:rPr>
          <w:t>https://ascopubs.org/doi/10.1200/JCO.2016.70.1474</w:t>
        </w:r>
      </w:hyperlink>
      <w:r>
        <w:rPr>
          <w:rFonts w:ascii="Calibri" w:eastAsia="Calibri" w:hAnsi="Calibri" w:cs="Calibri"/>
          <w:b w:val="0"/>
          <w:i w:val="0"/>
          <w:color w:val="000000"/>
          <w:sz w:val="20"/>
        </w:rPr>
        <w:t xml:space="preserve">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ICSI Health Care Guidelines: Palliative Care for Adults. (2020). Sixth edition. Retrieved from </w:t>
      </w:r>
      <w:hyperlink r:id="rId13" w:tgtFrame="_blank" w:history="1">
        <w:r>
          <w:rPr>
            <w:rFonts w:ascii="Calibri" w:eastAsia="Calibri" w:hAnsi="Calibri" w:cs="Calibri"/>
            <w:b w:val="0"/>
            <w:i w:val="0"/>
            <w:color w:val="0000FF"/>
            <w:sz w:val="20"/>
            <w:u w:val="single" w:color="0000FF"/>
          </w:rPr>
          <w:t>PalliativeCare_6th-Ed_2020_v2.pdf (icsi.org)</w:t>
        </w:r>
      </w:hyperlink>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Date: January 2020</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Page no (for recommendation): 12</w:t>
      </w:r>
    </w:p>
    <w:p w:rsidR="00A77B3E">
      <w:pPr>
        <w:numPr>
          <w:ilvl w:val="1"/>
          <w:numId w:val="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URL: </w:t>
      </w:r>
      <w:hyperlink r:id="rId13" w:tgtFrame="_blank" w:history="1">
        <w:r>
          <w:rPr>
            <w:rFonts w:ascii="Calibri" w:eastAsia="Calibri" w:hAnsi="Calibri" w:cs="Calibri"/>
            <w:b w:val="0"/>
            <w:i w:val="0"/>
            <w:color w:val="0000FF"/>
            <w:sz w:val="20"/>
            <w:u w:val="single" w:color="0000FF"/>
          </w:rPr>
          <w:t>PalliativeCare_6th-Ed_2020_v2.pdf (icsi.org)</w:t>
        </w:r>
      </w:hyperlink>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Khandelwal, N., Kross, E.K., Engelberg, R.A., et al. (2015). Estimating the effect of palliative care interventions and advance care planning on ICU utilization: a systematic review. </w:t>
      </w:r>
      <w:r>
        <w:rPr>
          <w:rFonts w:ascii="Calibri" w:eastAsia="Calibri" w:hAnsi="Calibri" w:cs="Calibri"/>
          <w:b w:val="0"/>
          <w:i/>
          <w:iCs/>
          <w:color w:val="000000"/>
          <w:sz w:val="20"/>
        </w:rPr>
        <w:t>Crit Care Med</w:t>
      </w:r>
      <w:r>
        <w:rPr>
          <w:rFonts w:ascii="Calibri" w:eastAsia="Calibri" w:hAnsi="Calibri" w:cs="Calibri"/>
          <w:b w:val="0"/>
          <w:i w:val="0"/>
          <w:color w:val="000000"/>
          <w:sz w:val="20"/>
        </w:rPr>
        <w:t xml:space="preserve">, 43, 1102-11. Retrieved from </w:t>
      </w:r>
      <w:hyperlink r:id="rId7" w:tgtFrame="_blank" w:history="1">
        <w:r>
          <w:rPr>
            <w:rFonts w:ascii="Calibri" w:eastAsia="Calibri" w:hAnsi="Calibri" w:cs="Calibri"/>
            <w:b w:val="0"/>
            <w:i w:val="0"/>
            <w:color w:val="0000FF"/>
            <w:sz w:val="20"/>
            <w:u w:val="single" w:color="0000FF"/>
          </w:rPr>
          <w:t>https://www.ncbi.nlm.nih.gov/pmc/articles/PMC4499326/</w:t>
        </w:r>
      </w:hyperlink>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Starr, L. T., Ulrich, C. M., Corey, K. L., &amp; Meghani, S. H. (2019). Associations Among End-of-Life Discussions, Health-Care Utilization, and Costs in Persons With Advanced Cancer: A Systematic Review. The American journal of hospice &amp; palliative care, 36(10), 913–926. </w:t>
      </w:r>
      <w:hyperlink r:id="rId14" w:tgtFrame="_blank" w:history="1">
        <w:r>
          <w:rPr>
            <w:rFonts w:ascii="Calibri" w:eastAsia="Calibri" w:hAnsi="Calibri" w:cs="Calibri"/>
            <w:b w:val="0"/>
            <w:i w:val="0"/>
            <w:color w:val="0000FF"/>
            <w:sz w:val="20"/>
            <w:u w:val="single" w:color="0000FF"/>
          </w:rPr>
          <w:t>https://doi.org/10.1177/1049909119848148</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NCCN Clinical Guidelines in Oncology: Palliative Care. 2021.</w:t>
      </w:r>
    </w:p>
    <w:p w:rsidR="00A77B3E">
      <w:pPr>
        <w:numPr>
          <w:ilvl w:val="1"/>
          <w:numId w:val="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Recommendation: Oncologists should integrate palliative care into general oncology care. Early consultation/collaboration with a palliative care specialist/hospice team should be considered to improve quality of life and survival (Category 2A).</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Integration of Palliative Care Into Standard Oncology Care: ASCO Clinical Practice Guideline. 2017. </w:t>
      </w:r>
    </w:p>
    <w:p w:rsidR="00A77B3E">
      <w:pPr>
        <w:numPr>
          <w:ilvl w:val="1"/>
          <w:numId w:val="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Recommendation: Patients with advanced cancer should be referred to interdisciplinary palliative care teams (consultation) that provide inpatient and outpatient care early in the course of disease, alongside active treatment of their cancer (type: evidence based, benefits outweigh harms; evidence quality: intermediate; strength of recommendation: strong).</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ICSI Health Care Guidelines: Palliative Care for Adults. 2020.</w:t>
      </w:r>
    </w:p>
    <w:p w:rsidR="00A77B3E">
      <w:pPr>
        <w:numPr>
          <w:ilvl w:val="1"/>
          <w:numId w:val="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Recommendation: Palliative care discussion or referral should be considered whenever a patient develops or presents with a serious or life threatening illness, in all care settings. (Quality of Evidence: Low; Strength of Recommendation: Strong)</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Estimating the effect of palliative care interventions and advance care planning on ICU utilization: a systematic review. 2015.</w:t>
      </w:r>
    </w:p>
    <w:p w:rsidR="00A77B3E">
      <w:pPr>
        <w:numPr>
          <w:ilvl w:val="1"/>
          <w:numId w:val="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Despite wide variation in study type and quality, patients who received advance care planning or palliative care interventions consistently showed a pattern toward decreased ICU admissions and reduced ICU length of stay. Although sds are wide and study quality varied, the magnitude of the effect is possible to estimate and provides a basis for modeling impact on healthcare costs.</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Associations Among End-of-Life Discussions, Health-Care Utilization, and Costs in Persons With Advanced Cancer: A Systematic Review. 2019.</w:t>
      </w:r>
    </w:p>
    <w:p w:rsidR="00A77B3E">
      <w:pPr>
        <w:numPr>
          <w:ilvl w:val="1"/>
          <w:numId w:val="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End-of-life discussions are associated with lower healthcare costs in the last 30 days of life (median $1,048 vs. $23,482; p &lt; .001); lower likelihood of acute care at EOL [Odds Ratios (OR) ranging 0.43 to 0.69]; lower likelihood of intensive care at EOL (ORs ranging 0.26 to 0.68). Earlier EOL discussions (30+ days before death) are more strongly associated with less aggressive care outcomes than conversations occurring near death.</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NCCN Clinical Guidelines in Oncology: Palliative Care. 2021.</w:t>
      </w:r>
    </w:p>
    <w:p w:rsidR="00A77B3E">
      <w:pPr>
        <w:numPr>
          <w:ilvl w:val="1"/>
          <w:numId w:val="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Category 2A definition-Based upon lower-level evidence, there is uniform NCCN consensus that the intervention is appropriate.</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Integration of Palliative Care Into Standard Oncology Care: ASCO Clinical Practice Guideline 2017. </w:t>
      </w:r>
    </w:p>
    <w:p w:rsidR="00A77B3E">
      <w:pPr>
        <w:numPr>
          <w:ilvl w:val="1"/>
          <w:numId w:val="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type: evidence based, benefits outweigh harms; </w:t>
      </w:r>
    </w:p>
    <w:p w:rsidR="00A77B3E">
      <w:pPr>
        <w:numPr>
          <w:ilvl w:val="1"/>
          <w:numId w:val="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evidence quality: intermediate; </w:t>
      </w:r>
    </w:p>
    <w:p w:rsidR="00A77B3E">
      <w:pPr>
        <w:numPr>
          <w:ilvl w:val="2"/>
          <w:numId w:val="3"/>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Definition of intermediate- Moderate confidence that the available evidence reflects the true magnitude and direction of the net effect. Further research is unlikely to alter the direction of the net effect; however, it might alter the magnitude of the net effect.</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ICSI Health Care Guidelines: Palliative Care for Adults. 2020.</w:t>
      </w:r>
    </w:p>
    <w:p w:rsidR="00A77B3E">
      <w:pPr>
        <w:numPr>
          <w:ilvl w:val="1"/>
          <w:numId w:val="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Quality of Evidence: Low</w:t>
      </w:r>
    </w:p>
    <w:p w:rsidR="00A77B3E">
      <w:pPr>
        <w:numPr>
          <w:ilvl w:val="2"/>
          <w:numId w:val="3"/>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Definition of low- Our confidence in the effect estimate is limited: The true effect may be substantially different from the estimate of the effect. </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Estimating the effect of palliative care interventions and advance care planning on ICU utilization: a systematic review. 2015.</w:t>
      </w:r>
    </w:p>
    <w:p w:rsidR="00A77B3E">
      <w:pPr>
        <w:numPr>
          <w:ilvl w:val="1"/>
          <w:numId w:val="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No grading provided as it is not a clinical guideline recommendation.</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Associations Among End-of-Life Discussions, Health-Care Utilization, and Costs in Persons With Advanced Cancer: A Systematic Review. 2019.</w:t>
      </w:r>
    </w:p>
    <w:p w:rsidR="00A77B3E">
      <w:pPr>
        <w:numPr>
          <w:ilvl w:val="1"/>
          <w:numId w:val="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 grading provided as it is not a clinical guideline recommendation. However, the quality of the 20 studies in this systematic review was assessed by two authors using the </w:t>
      </w:r>
      <w:hyperlink r:id="rId15" w:tgtFrame="_blank" w:history="1">
        <w:r>
          <w:rPr>
            <w:rFonts w:ascii="Calibri" w:eastAsia="Calibri" w:hAnsi="Calibri" w:cs="Calibri"/>
            <w:b w:val="0"/>
            <w:i w:val="0"/>
            <w:color w:val="0000FF"/>
            <w:sz w:val="20"/>
            <w:u w:val="single" w:color="0000FF"/>
          </w:rPr>
          <w:t>Oxford Centre for Evidence-based Medicine Levels of Evidence grading guide</w:t>
        </w:r>
      </w:hyperlink>
      <w:r>
        <w:rPr>
          <w:rFonts w:ascii="Calibri" w:eastAsia="Calibri" w:hAnsi="Calibri" w:cs="Calibri"/>
          <w:b w:val="0"/>
          <w:i w:val="0"/>
          <w:color w:val="000000"/>
          <w:sz w:val="20"/>
        </w:rPr>
        <w:t xml:space="preserve">. </w:t>
      </w:r>
    </w:p>
    <w:p w:rsidR="00A77B3E">
      <w:pPr>
        <w:numPr>
          <w:ilvl w:val="2"/>
          <w:numId w:val="3"/>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Definition of Level 2b (13 studies in this systematic review): Individual cohort study (including low quality RCT; e.g., &lt;80% follow-up)</w:t>
      </w:r>
    </w:p>
    <w:p w:rsidR="00A77B3E">
      <w:pPr>
        <w:numPr>
          <w:ilvl w:val="2"/>
          <w:numId w:val="3"/>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Definition of Level 4 (6 studies in this systematic review): Case-series (and poor quality cohort and case-control studies)</w:t>
      </w:r>
    </w:p>
    <w:p w:rsidR="00A77B3E">
      <w:pPr>
        <w:numPr>
          <w:ilvl w:val="2"/>
          <w:numId w:val="3"/>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Definition of Level 1b (1 study in this systematic review): Individual RCT (with narrow Confidence Interval”)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NCCN Clinical Guidelines in Oncology: Palliative Care. 2021.</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val="0"/>
          <w:i w:val="0"/>
          <w:color w:val="000000"/>
          <w:sz w:val="20"/>
        </w:rPr>
        <w:t>The guideline grading system is based on the NCCN Categories of Evidence and Consensus.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1</w:t>
      </w:r>
      <w:r>
        <w:rPr>
          <w:rFonts w:ascii="Calibri" w:eastAsia="Calibri" w:hAnsi="Calibri" w:cs="Calibri"/>
          <w:b w:val="0"/>
          <w:i w:val="0"/>
          <w:color w:val="000000"/>
          <w:sz w:val="20"/>
        </w:rPr>
        <w:t>- Based upon high-level evidence, there is uniform NCCN consensus that the intervention is appropriate</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2A</w:t>
      </w:r>
      <w:r>
        <w:rPr>
          <w:rFonts w:ascii="Calibri" w:eastAsia="Calibri" w:hAnsi="Calibri" w:cs="Calibri"/>
          <w:b w:val="0"/>
          <w:i w:val="0"/>
          <w:color w:val="000000"/>
          <w:sz w:val="20"/>
        </w:rPr>
        <w:t xml:space="preserve"> -Based upon lower-level evidence, there is uniform NCCN consensus that the intervention is appropriate.</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2B</w:t>
      </w:r>
      <w:r>
        <w:rPr>
          <w:rFonts w:ascii="Calibri" w:eastAsia="Calibri" w:hAnsi="Calibri" w:cs="Calibri"/>
          <w:b w:val="0"/>
          <w:i w:val="0"/>
          <w:color w:val="000000"/>
          <w:sz w:val="20"/>
        </w:rPr>
        <w:t>- Based upon lower-level evidence, there is NCCN consensus that the intervention is appropriate.</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3</w:t>
      </w:r>
      <w:r>
        <w:rPr>
          <w:rFonts w:ascii="Calibri" w:eastAsia="Calibri" w:hAnsi="Calibri" w:cs="Calibri"/>
          <w:b w:val="0"/>
          <w:i w:val="0"/>
          <w:color w:val="000000"/>
          <w:sz w:val="20"/>
        </w:rPr>
        <w:t>-Based upon any level of evidence, there is major NCCN disagreement that the intervention is appropriate.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Integration of Palliative Care Into Standard Oncology Care: ASCO Clinical Practice Guideline. 2017.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val="0"/>
          <w:i w:val="0"/>
          <w:color w:val="000000"/>
          <w:sz w:val="20"/>
        </w:rPr>
        <w:t>The guideline recommendations were crafted, in part, using the GuideLines Into DEcision Support (GLIDES) methodology and accompanying BRIDGE-Wiz software</w:t>
      </w:r>
      <w:r>
        <w:rPr>
          <w:rFonts w:ascii="Calibri" w:eastAsia="Calibri" w:hAnsi="Calibri" w:cs="Calibri"/>
          <w:b w:val="0"/>
          <w:i w:val="0"/>
          <w:color w:val="000000"/>
          <w:sz w:val="20"/>
          <w:vertAlign w:val="superscript"/>
        </w:rPr>
        <w:t>TM</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Quality of Evidence Definitions: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High</w:t>
      </w:r>
      <w:r>
        <w:rPr>
          <w:rFonts w:ascii="Calibri" w:eastAsia="Calibri" w:hAnsi="Calibri" w:cs="Calibri"/>
          <w:b w:val="0"/>
          <w:i w:val="0"/>
          <w:color w:val="000000"/>
          <w:sz w:val="20"/>
        </w:rPr>
        <w:t>- High confidence that the available evidence reflects the true magnitude and direction of the net effect (i.e., balance of benefits v harms) and that further research is very unlikely to change either the magnitude or direction of this net effect.</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Intermediate</w:t>
      </w:r>
      <w:r>
        <w:rPr>
          <w:rFonts w:ascii="Calibri" w:eastAsia="Calibri" w:hAnsi="Calibri" w:cs="Calibri"/>
          <w:b w:val="0"/>
          <w:i w:val="0"/>
          <w:color w:val="000000"/>
          <w:sz w:val="20"/>
        </w:rPr>
        <w:t>- Moderate confidence that the available evidence reflects the true magnitude and direction of the net effect. Further research is unlikely to alter the direction of the net effect; however, it might alter the magnitude of the net effect.</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Low</w:t>
      </w:r>
      <w:r>
        <w:rPr>
          <w:rFonts w:ascii="Calibri" w:eastAsia="Calibri" w:hAnsi="Calibri" w:cs="Calibri"/>
          <w:b w:val="0"/>
          <w:i w:val="0"/>
          <w:color w:val="000000"/>
          <w:sz w:val="20"/>
        </w:rPr>
        <w:t>- Low confidence that the available evidence reflects the true magnitude and direction of the net effect. Further research may change either the magnitude and/or direction this net effect.</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Insufficient</w:t>
      </w:r>
      <w:r>
        <w:rPr>
          <w:rFonts w:ascii="Calibri" w:eastAsia="Calibri" w:hAnsi="Calibri" w:cs="Calibri"/>
          <w:b w:val="0"/>
          <w:i w:val="0"/>
          <w:color w:val="000000"/>
          <w:sz w:val="20"/>
        </w:rPr>
        <w:t>- Evidence is insufficient to discern the true magnitude and direction of the net effect. Further research may better inform the topic. The use of the consensus opinion of experts is reasonable to inform outcomes related to the topic.</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ICSI Health Care Guidelines: Palliative Care for Adults. 2020.</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val="0"/>
          <w:i w:val="0"/>
          <w:color w:val="000000"/>
          <w:sz w:val="20"/>
        </w:rPr>
        <w:t>The guideline recommendations were crafted, in part, using GRADE methodology.</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Quality of Evidence Definitions: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High</w:t>
      </w:r>
      <w:r>
        <w:rPr>
          <w:rFonts w:ascii="Calibri" w:eastAsia="Calibri" w:hAnsi="Calibri" w:cs="Calibri"/>
          <w:b w:val="0"/>
          <w:i w:val="0"/>
          <w:color w:val="000000"/>
          <w:sz w:val="20"/>
        </w:rPr>
        <w:t xml:space="preserve"> = We are very confident that the true effect lies close to that of the estimate of the effect.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r>
        <w:rPr>
          <w:rFonts w:ascii="Calibri" w:eastAsia="Calibri" w:hAnsi="Calibri" w:cs="Calibri"/>
          <w:b w:val="0"/>
          <w:i w:val="0"/>
          <w:color w:val="000000"/>
          <w:sz w:val="20"/>
        </w:rPr>
        <w:t xml:space="preserve"> = We are moderately confident in the effect estimate: The true effect is likely to be close to the estimate of the effect, but there is a possibility that it is substantially different.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Low</w:t>
      </w:r>
      <w:r>
        <w:rPr>
          <w:rFonts w:ascii="Calibri" w:eastAsia="Calibri" w:hAnsi="Calibri" w:cs="Calibri"/>
          <w:b w:val="0"/>
          <w:i w:val="0"/>
          <w:color w:val="000000"/>
          <w:sz w:val="20"/>
        </w:rPr>
        <w:t xml:space="preserve"> = Our confidence in the effect estimate is limited: The true effect may be substantially different from the estimate of the effect.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Very low</w:t>
      </w:r>
      <w:r>
        <w:rPr>
          <w:rFonts w:ascii="Calibri" w:eastAsia="Calibri" w:hAnsi="Calibri" w:cs="Calibri"/>
          <w:b w:val="0"/>
          <w:i w:val="0"/>
          <w:color w:val="000000"/>
          <w:sz w:val="20"/>
        </w:rPr>
        <w:t xml:space="preserve"> = We have very little confidence in the effect estimate: The true effect is likely to be substantially different from the estimate of effect.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Estimating the effect of palliative care interventions and advance care planning on ICU utilization: a systematic review. 2015.</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No grading provided as it is not a clinical guideline recommendation.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Associations Among End-of-Life Discussions, Health-Care Utilization, and Costs in Persons With Advanced Cancer: A Systematic Review. 2019.</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 grading provided as it is not a clinical guideline recommendation. However, the quality of the 20 studies in this systematic review was assessed by two authors using the </w:t>
      </w:r>
      <w:hyperlink r:id="rId15" w:tgtFrame="_blank" w:history="1">
        <w:r>
          <w:rPr>
            <w:rFonts w:ascii="Calibri" w:eastAsia="Calibri" w:hAnsi="Calibri" w:cs="Calibri"/>
            <w:b w:val="0"/>
            <w:i w:val="0"/>
            <w:color w:val="0000FF"/>
            <w:sz w:val="20"/>
            <w:u w:val="single" w:color="0000FF"/>
          </w:rPr>
          <w:t>Oxford Centre for Evidence-based Medicine Levels of Evidence grading guide</w:t>
        </w:r>
      </w:hyperlink>
      <w:r>
        <w:rPr>
          <w:rFonts w:ascii="Calibri" w:eastAsia="Calibri" w:hAnsi="Calibri" w:cs="Calibri"/>
          <w:b w:val="0"/>
          <w:i w:val="0"/>
          <w:color w:val="000000"/>
          <w:sz w:val="20"/>
        </w:rPr>
        <w:t xml:space="preserve">.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Therapy/Prevention/Etiology/Harm Level of Evidence Definitions: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1a</w:t>
      </w:r>
      <w:r>
        <w:rPr>
          <w:rFonts w:ascii="Calibri" w:eastAsia="Calibri" w:hAnsi="Calibri" w:cs="Calibri"/>
          <w:b w:val="0"/>
          <w:i w:val="0"/>
          <w:color w:val="000000"/>
          <w:sz w:val="20"/>
        </w:rPr>
        <w:t xml:space="preserve">: Systematic reviews (with homogeneity ) of randomized controlled trials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1b</w:t>
      </w:r>
      <w:r>
        <w:rPr>
          <w:rFonts w:ascii="Calibri" w:eastAsia="Calibri" w:hAnsi="Calibri" w:cs="Calibri"/>
          <w:b w:val="0"/>
          <w:i w:val="0"/>
          <w:color w:val="000000"/>
          <w:sz w:val="20"/>
        </w:rPr>
        <w:t xml:space="preserve">: Individual randomized controlled trials (with narrow confidence interval)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1c</w:t>
      </w:r>
      <w:r>
        <w:rPr>
          <w:rFonts w:ascii="Calibri" w:eastAsia="Calibri" w:hAnsi="Calibri" w:cs="Calibri"/>
          <w:b w:val="0"/>
          <w:i w:val="0"/>
          <w:color w:val="000000"/>
          <w:sz w:val="20"/>
        </w:rPr>
        <w:t xml:space="preserve">: All or none randomized controlled trials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2a</w:t>
      </w:r>
      <w:r>
        <w:rPr>
          <w:rFonts w:ascii="Calibri" w:eastAsia="Calibri" w:hAnsi="Calibri" w:cs="Calibri"/>
          <w:b w:val="0"/>
          <w:i w:val="0"/>
          <w:color w:val="000000"/>
          <w:sz w:val="20"/>
        </w:rPr>
        <w:t>: Systematic reviews (with homogeneity) of cohort studies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2b</w:t>
      </w:r>
      <w:r>
        <w:rPr>
          <w:rFonts w:ascii="Calibri" w:eastAsia="Calibri" w:hAnsi="Calibri" w:cs="Calibri"/>
          <w:b w:val="0"/>
          <w:i w:val="0"/>
          <w:color w:val="000000"/>
          <w:sz w:val="20"/>
        </w:rPr>
        <w:t>: Individual cohort study or low quality randomized controlled trials ((including low quality RCT; e.g., &lt;80% follow-up)</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2c</w:t>
      </w:r>
      <w:r>
        <w:rPr>
          <w:rFonts w:ascii="Calibri" w:eastAsia="Calibri" w:hAnsi="Calibri" w:cs="Calibri"/>
          <w:b w:val="0"/>
          <w:i w:val="0"/>
          <w:color w:val="000000"/>
          <w:sz w:val="20"/>
        </w:rPr>
        <w:t>: “Outcomes” Research; Ecological studies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3a</w:t>
      </w:r>
      <w:r>
        <w:rPr>
          <w:rFonts w:ascii="Calibri" w:eastAsia="Calibri" w:hAnsi="Calibri" w:cs="Calibri"/>
          <w:b w:val="0"/>
          <w:i w:val="0"/>
          <w:color w:val="000000"/>
          <w:sz w:val="20"/>
        </w:rPr>
        <w:t>: SR (with homogeneity*) of case-control studies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3b:</w:t>
      </w:r>
      <w:r>
        <w:rPr>
          <w:rFonts w:ascii="Calibri" w:eastAsia="Calibri" w:hAnsi="Calibri" w:cs="Calibri"/>
          <w:b w:val="0"/>
          <w:i w:val="0"/>
          <w:color w:val="000000"/>
          <w:sz w:val="20"/>
        </w:rPr>
        <w:t xml:space="preserve"> Individual Case-Control Study</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4</w:t>
      </w:r>
      <w:r>
        <w:rPr>
          <w:rFonts w:ascii="Calibri" w:eastAsia="Calibri" w:hAnsi="Calibri" w:cs="Calibri"/>
          <w:b w:val="0"/>
          <w:i w:val="0"/>
          <w:color w:val="000000"/>
          <w:sz w:val="20"/>
        </w:rPr>
        <w:t>: Case-series (and poor quality cohort and case-control studies)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5</w:t>
      </w:r>
      <w:r>
        <w:rPr>
          <w:rFonts w:ascii="Calibri" w:eastAsia="Calibri" w:hAnsi="Calibri" w:cs="Calibri"/>
          <w:b w:val="0"/>
          <w:i w:val="0"/>
          <w:color w:val="000000"/>
          <w:sz w:val="20"/>
        </w:rPr>
        <w:t>: Expert opinion without explicit critical appraisal, or based on physiology, bench research or “first principles”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NCCN Clinical Guidelines in Oncology: Palliative Care. 2021.</w:t>
      </w:r>
    </w:p>
    <w:p w:rsidR="00A77B3E">
      <w:pPr>
        <w:numPr>
          <w:ilvl w:val="1"/>
          <w:numId w:val="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Category 2A definition-Based upon lower-level evidence, there is uniform NCCN consensus that the intervention is appropriate.</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Integration of Palliative Care Into Standard Oncology Care: ASCO Clinical Practice Guideline. 2017. </w:t>
      </w:r>
    </w:p>
    <w:p w:rsidR="00A77B3E">
      <w:pPr>
        <w:numPr>
          <w:ilvl w:val="1"/>
          <w:numId w:val="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Type: evidence based, benefits outweigh harms; </w:t>
      </w:r>
    </w:p>
    <w:p w:rsidR="00A77B3E">
      <w:pPr>
        <w:numPr>
          <w:ilvl w:val="1"/>
          <w:numId w:val="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recommendation: strong</w:t>
      </w:r>
    </w:p>
    <w:p w:rsidR="00A77B3E">
      <w:pPr>
        <w:numPr>
          <w:ilvl w:val="2"/>
          <w:numId w:val="6"/>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Definition of strong-There is high confidence that the recommendation reflects best practice. This is based on (1) strong evidence for a true net effect (eg, benefits exceed harms); (2) consistent results, with no or minor exceptions; (3) minor or no concerns about study quality; and/or (4) the extent of Expert Panelists’ agreement. Other compelling considerations (discussed in the guideline’s literature review and analyses) may also warrant a strong recommendation.</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ICSI Health Care Guidelines: Palliative Care for Adults. 2020.</w:t>
      </w:r>
    </w:p>
    <w:p w:rsidR="00A77B3E">
      <w:pPr>
        <w:numPr>
          <w:ilvl w:val="1"/>
          <w:numId w:val="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recommendation: strong</w:t>
      </w:r>
    </w:p>
    <w:p w:rsidR="00A77B3E">
      <w:pPr>
        <w:numPr>
          <w:ilvl w:val="2"/>
          <w:numId w:val="7"/>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Definition of strong- In recommendations for an intervention, the desirable effects of an intervention outweigh its undesirable effects. In recommendations against an intervention, the undesirable effects of an intervention outweigh its desirable effects. All or almost all informed people would make the recommended choice for or against an intervention. </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Estimating the effect of palliative care interventions and advance care planning on ICU utilization: a systematic review. 2015.</w:t>
      </w:r>
    </w:p>
    <w:p w:rsidR="00A77B3E">
      <w:pPr>
        <w:numPr>
          <w:ilvl w:val="1"/>
          <w:numId w:val="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No grading provided as it is not a clinical guideline recommendation.</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Associations Among End-of-Life Discussions, Health-Care Utilization, and Costs in Persons With Advanced Cancer: A Systematic Review. 2019.</w:t>
      </w:r>
    </w:p>
    <w:p w:rsidR="00A77B3E">
      <w:pPr>
        <w:numPr>
          <w:ilvl w:val="1"/>
          <w:numId w:val="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No grading provided as it is not a clinical guideline recommendation.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1.NCCN Clinical Guidelines in Oncology: Palliative Care. 2021.</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val="0"/>
          <w:i w:val="0"/>
          <w:color w:val="000000"/>
          <w:sz w:val="20"/>
        </w:rPr>
        <w:t>The guideline grading system is based on the NCCN Categories of Evidence and Consensus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1</w:t>
      </w:r>
      <w:r>
        <w:rPr>
          <w:rFonts w:ascii="Calibri" w:eastAsia="Calibri" w:hAnsi="Calibri" w:cs="Calibri"/>
          <w:b w:val="0"/>
          <w:i w:val="0"/>
          <w:color w:val="000000"/>
          <w:sz w:val="20"/>
        </w:rPr>
        <w:t>- Based upon high-level evidence, there is uniform NCCN consensus that the intervention is appropriate.</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2A</w:t>
      </w:r>
      <w:r>
        <w:rPr>
          <w:rFonts w:ascii="Calibri" w:eastAsia="Calibri" w:hAnsi="Calibri" w:cs="Calibri"/>
          <w:b w:val="0"/>
          <w:i w:val="0"/>
          <w:color w:val="000000"/>
          <w:sz w:val="20"/>
        </w:rPr>
        <w:t xml:space="preserve"> -Based upon lower-level evidence, there is uniform NCCN consensus that the intervention is appropriate.</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2B-</w:t>
      </w:r>
      <w:r>
        <w:rPr>
          <w:rFonts w:ascii="Calibri" w:eastAsia="Calibri" w:hAnsi="Calibri" w:cs="Calibri"/>
          <w:b w:val="0"/>
          <w:i w:val="0"/>
          <w:color w:val="000000"/>
          <w:sz w:val="20"/>
        </w:rPr>
        <w:t xml:space="preserve"> Based upon lower-level evidence, there is NCCN consensus that the intervention is appropriate.</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Category 3</w:t>
      </w:r>
      <w:r>
        <w:rPr>
          <w:rFonts w:ascii="Calibri" w:eastAsia="Calibri" w:hAnsi="Calibri" w:cs="Calibri"/>
          <w:b w:val="0"/>
          <w:i w:val="0"/>
          <w:color w:val="000000"/>
          <w:sz w:val="20"/>
        </w:rPr>
        <w:t>-Based upon any level of evidence, there is major NCCN disagreement that the intervention is appropriate.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Integration of Palliative Care Into Standard Oncology Care: ASCO Clinical Practice Guideline 2017.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val="0"/>
          <w:i w:val="0"/>
          <w:color w:val="000000"/>
          <w:sz w:val="20"/>
        </w:rPr>
        <w:t>The guideline recommendations were crafted, in part, using the GuideLines Into DEcision Support (GLIDES) methodology and accompanying BRIDGE-Wiz software</w:t>
      </w:r>
      <w:r>
        <w:rPr>
          <w:rFonts w:ascii="Calibri" w:eastAsia="Calibri" w:hAnsi="Calibri" w:cs="Calibri"/>
          <w:b w:val="0"/>
          <w:i w:val="0"/>
          <w:color w:val="000000"/>
          <w:sz w:val="20"/>
          <w:vertAlign w:val="superscript"/>
        </w:rPr>
        <w:t>TM</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Strength of Recommendation Definitions: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Strong</w:t>
      </w:r>
      <w:r>
        <w:rPr>
          <w:rFonts w:ascii="Calibri" w:eastAsia="Calibri" w:hAnsi="Calibri" w:cs="Calibri"/>
          <w:b w:val="0"/>
          <w:i w:val="0"/>
          <w:color w:val="000000"/>
          <w:sz w:val="20"/>
        </w:rPr>
        <w:t>- There is high confidence that the recommendation reflects best practice. This is based on (1) strong evidence for a true net effect (eg, benefits exceed harms); (2) consistent results, with no or minor exceptions; (3) minor or no concerns about study quality; and/or (4) the extent of Expert Panelists’ agreement. Other compelling considerations (discussed in the guideline’s literature review and analyses) may also warrant a strong recommendation.</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r>
        <w:rPr>
          <w:rFonts w:ascii="Calibri" w:eastAsia="Calibri" w:hAnsi="Calibri" w:cs="Calibri"/>
          <w:b w:val="0"/>
          <w:i w:val="0"/>
          <w:color w:val="000000"/>
          <w:sz w:val="20"/>
        </w:rPr>
        <w:t>- There is moderate confidence that the recommendation reflects best practice. This is based on (1) good evidence for a true net effect (eg, benefits exceed harms); (2) consistent results, with minor and/or few exceptions; (3) minor and/or few concerns about study quality; and/or (4) the extent of Expert Panelists’ agreement. Other compelling considerations (discussed in the guideline’s literature review and analyses) may also warrant a moderate recommendation.</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Weak</w:t>
      </w:r>
      <w:r>
        <w:rPr>
          <w:rFonts w:ascii="Calibri" w:eastAsia="Calibri" w:hAnsi="Calibri" w:cs="Calibri"/>
          <w:b w:val="0"/>
          <w:i w:val="0"/>
          <w:color w:val="000000"/>
          <w:sz w:val="20"/>
        </w:rPr>
        <w:t>- There is some confidence that the recommendation offers the best current guidance for practice. This is based on (1) limited evidence for a true net effect (eg, benefits exceed harms); (2) consistent results, but with important exceptions; (3) concerns about study quality; and/or (4) the extent of Expert Panelists’ agreement. Other considerations (discussed in the guideline’s literature review and analyses) may also warrant a weak recommendation.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ICSI Health Care Guidelines: Palliative Care for Adults 2020.</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val="0"/>
          <w:i w:val="0"/>
          <w:color w:val="000000"/>
          <w:sz w:val="20"/>
        </w:rPr>
        <w:t>The guideline recommendations were crafted, in part, using GRADE methodology.</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Strength of Recommendation Definitions:</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Strong</w:t>
      </w:r>
      <w:r>
        <w:rPr>
          <w:rFonts w:ascii="Calibri" w:eastAsia="Calibri" w:hAnsi="Calibri" w:cs="Calibri"/>
          <w:b w:val="0"/>
          <w:i w:val="0"/>
          <w:color w:val="000000"/>
          <w:sz w:val="20"/>
        </w:rPr>
        <w:t xml:space="preserve">- In recommendations for an intervention, the desirable effects of an intervention outweigh its undesirable effects. In recommendations against an intervention, the undesirable effects of an intervention outweigh its desirable effects. All or almost all informed people would make the recommended choice for or against an intervention. </w:t>
      </w:r>
    </w:p>
    <w:p w:rsidR="00A77B3E">
      <w:pPr>
        <w:spacing w:before="0" w:after="80"/>
        <w:ind w:left="1160"/>
        <w:jc w:val="left"/>
        <w:rPr>
          <w:rFonts w:ascii="Calibri" w:eastAsia="Calibri" w:hAnsi="Calibri" w:cs="Calibri"/>
          <w:b w:val="0"/>
          <w:i w:val="0"/>
          <w:color w:val="000000"/>
          <w:sz w:val="20"/>
        </w:rPr>
      </w:pPr>
      <w:r>
        <w:rPr>
          <w:rFonts w:ascii="Calibri" w:eastAsia="Calibri" w:hAnsi="Calibri" w:cs="Calibri"/>
          <w:b/>
          <w:bCs/>
          <w:i w:val="0"/>
          <w:color w:val="000000"/>
          <w:sz w:val="20"/>
        </w:rPr>
        <w:t>Weak</w:t>
      </w:r>
      <w:r>
        <w:rPr>
          <w:rFonts w:ascii="Calibri" w:eastAsia="Calibri" w:hAnsi="Calibri" w:cs="Calibri"/>
          <w:b w:val="0"/>
          <w:i w:val="0"/>
          <w:color w:val="000000"/>
          <w:sz w:val="20"/>
        </w:rPr>
        <w:t xml:space="preserve">- In recommendations for an intervention, the desirable effects probably outweigh the undesirable effects, but appreciable uncertainty exists. In recommendations against an intervention, the undesirable effects probably outweigh the desirable effects, but appreciable uncertainty exists. Most informed people would choose the recommended course of action, but a substantial number would not.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Estimating the effect of palliative care interventions and advance care planning on ICU utilization: a systematic review. 2015.</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No grading provided as it is not a clinical guideline recommendation.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Associations Among End-of-Life Discussions, Health-Care Utilization, and Costs in Persons With Advanced Cancer: A Systematic Review. 2019.</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No grading provided as it is not a clinical guideline recommendation.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NCCN Clinical Guidelines in Oncology: Palliative Care. 2021.</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Quantity: The NCCN guidelines do not provide this information.</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Quality: Guidelines utilized the PubMed database to obtain key literature on palliative care. The search results were narrowed by selecting studies in humans published in English. Results were confined to the following article types: Clinical Trial, Guideline, Meta-Analysis, Multicenter Study, Observational Study, Randomized Control Trial, Systematic Reviews, and Validation Studies. Where high level evidence is lacking, recommendations are based on lower-level evidence and the NCCN panels’ expert opinion.</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Integration of Palliative Care Into Standard Oncology Care: ASCO Clinical Practice Guideline. 2017. </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Quantity: A total of nine new RCTS, two publications reporting on one large quasiexperimental trial, and five secondary publications based on prior published RCTs. met eligibility criteria and/or were suggested by the Expert Panel and form the evidentiary basis for the guideline recommendations. The identified trials were published between 2011 and 2016.</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Quality: Study quality was formally assessed for nine RCTs and one quasiexperimental study identified on palliative care interventions in the cancer population. Assessment of study quality was performed for included evidence by one methodologist. Study design aspects related to individual study quality (eg, randomization method and allocation concealment) and risk of bias were evaluated. Assessment generally indicated </w:t>
      </w:r>
      <w:r>
        <w:rPr>
          <w:rFonts w:ascii="Calibri" w:eastAsia="Calibri" w:hAnsi="Calibri" w:cs="Calibri"/>
          <w:b w:val="0"/>
          <w:i w:val="0"/>
          <w:color w:val="000000"/>
          <w:sz w:val="20"/>
          <w:u w:val="single"/>
        </w:rPr>
        <w:t>low</w:t>
      </w:r>
      <w:r>
        <w:rPr>
          <w:rFonts w:ascii="Calibri" w:eastAsia="Calibri" w:hAnsi="Calibri" w:cs="Calibri"/>
          <w:b w:val="0"/>
          <w:i w:val="0"/>
          <w:color w:val="000000"/>
          <w:sz w:val="20"/>
        </w:rPr>
        <w:t xml:space="preserve"> potential risk of bias for most identified evidence.</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ICSI Health Care Guidelines: Palliative Care for Adults. 2020.</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Quantity: A total of 2 Systematic Review/Meta-Analysis; 1 Report; 1 Review; 1 Summary; 1 Consensus Report form the evidentiary basis for the guideline recommendations. Literature searches for this guideline were done during the time frame of Jan. 1, 2013, through Dec. 1, 2018. </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Quality: Types of studies searched for included: systematic reviews and meta-analysis, randomized controlled trials, implementation studies and observational studies (case-control, cohort and cross-sectional studies). There is broad research supporting the benefit of early, specialized palliative care for patients with advanced solid cancers, indicating that such early involvement (from near the time of diagnosis) improves patient and family quality of life and coping when compared to usual care. (Temel, 2017) The American Society of Clinical Oncology urges early integration of specialty palliative care teams into the care of all patients with advanced cancers (Aslakson, 2017), and strongly recommend organizations implement policies and programs to make specialty palliative care available to all patients with advanced cancers from the time of diagnosis.</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Estimating the effect of palliative care interventions and advance care planning on ICU utilization: a systematic review. 2015.</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Quantity: Nine randomized controlled trials and 13 nonrandomized controlled trials were selected from 216 references. Nineteen of these studies were used to provide estimates of the magnitude of effect of palliative care interventions and advance care planning on ICU admission and length of stay. The systematic review included a search of MEDLINE, EMBASE, Cochrane Controlled Clinical Trials, and Cumulative Index to Nursing and Allied Health Literature databases from 1995 through March 2014. </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Quality: The mean relative risk reduction for ICU admissions associated with advance care planning and palliative care interventions was 37% (sd, 23%). The mean relative risk reduction for ICU LOS associated with all palliative care interventions in the ICU setting was 26% (sd, 23%). When restricting to palliative care interventions in the ICU setting that were directly targeted at the level of individual patients, the mean relative risk reduction was 33% (sd, 23%). </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Associations Among End-of-Life Discussions, Health-Care Utilization, and Costs in Persons With Advanced Cancer: A Systematic Review. 2019.</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Quantity: Based on review criteria, 20 studies were included. One study was a retrospective analysis of a randomized clinical trial (RCT);one study was non-randomized, intervention-based; and 18 studies were observational. The systematic review included a search of PubMed, Embase, and CINAHL databases to find studies conducted in the United States published from January 1, 2012 to January 8, 2019 that explored relationships between EOL discussions and financial costs, healthcare utilization, or place of death in adults with advanced cancer.</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Quality: Studies of EOL or goals-of-care (GOC) discussions not involving advance directives (ADs) or physician orders for life-sustaining treatment (POLST) found associations between these discussions and a lower likelihood of receiving ICU care in the last 30 days of life (ORs 0.26 and 0.68) with insignificant results suggesting trends toward lower utilization.</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Quality: Patients with an advance directive were similarly less likely to receive ICU care within 30 days of death (25% vs. 40%, OR 0.49, p = 0.001) than patients without advance directives.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NCCN Clinical Guidelines in Oncology: Palliative Care. 2021.</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NCCN guidelines does not provide this information.</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Integration of Palliative Care Into Standard Oncology Care: ASCO Clinical Practice Guideline. 2017. </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Recommendation is strong- There is high confidence that the recommendation reflects best practice. This is based on (1) strong evidence for a true net effect (eg, benefits exceed harms); (2) consistent results, with no or minor exceptions; (3) minor or no concerns about study quality; and/or (4) the extent of Expert Panelists’ agreement. Other compelling considerations (discussed in the guideline’s literature review and analyses) may also warrant a strong recommendation.</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ICSI Health Care Guidelines: Palliative Care for Adults. 2020.</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Palliative care involvement in patients with serious illness has been shown to improve quality of life and resource utilization. Patients are more likely to receive care that is consistent with their wishes. No information provided on the consistency across studies.</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Systematic literature reviews also show that individuals who receive advance care planning or palliative care interventions are less likely to be admitted to intensive care units, and, if admitted, have shorter lengths of stay (Khandelwal, 2015).</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Estimating the effect of palliative care interventions and advance care planning on ICU utilization: a systematic review. 2015.</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Again the systematic review included 22 studies—nine RCTs and 13 non-RCTs. Interventions were diverse, populations were heterogeneous, and study designs varied. Variability in these dimensions limited the ability to conduct a quantitative meta-analysis. Despite this, two important trends emerged that warrant further investigation: 1) studies targeting ICU admissions suggest that advance care planning and palliative care interventions reduce the number of ICU admissions for patients at high risk of death; and 2) the majority of studies demonstrated a reduced ICU LOS with advance care planning or palliative care interventions.</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Associations Among End-of-Life Discussions, Health-Care Utilization, and Costs in Persons With Advanced Cancer: A Systematic Review. 2019.</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Again the systematic review included 20 studies- One study was a retrospective analysis of a randomized clinical trial (RCT);one study was non-randomized, intervention-based; and 18 studies were observational. Strengths of the studies included clearly-stated objectives and inclusion criteria, sample sizes adequate for meeting objectives, and well-defined outcomes and variables. </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is wide variation in how studies defined EOL discussions. Most studies based EOL discussions on documentation in the medical record or patient/surrogate reports of an EOL conversation with a healthcare provider; and others defined ACP in terms of documentation of medical orders such as DNR/DNI, POLST, AD, or living will.</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is variation in studies in how clinicians conceptualize aggressive care and overuse of healthcare services near EOL.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NCCN Clinical Guidelines in Oncology: Palliative Care. 2021.</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harms identified.</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Integration of Palliative Care Into Standard Oncology Care: ASCO Clinical Practice Guideline. 2017. </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harms identified by integrating palliative care interventions/services in the studies included. As stated above, the strength of recommendation indicates that the evidence shows a true net effect (eg, benefits exceeds harms).</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ICSI Health Care Guidelines: Palliative Care for Adults. 2020.</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harms identified.</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Estimating the effect of palliative care interventions and advance care planning on ICU utilization: a systematic review. 2015.</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harms identified.</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Associations Among End-of-Life Discussions, Health-Care Utilization, and Costs in Persons With Advanced Cancer: A Systematic Review. 2019.</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harms identified.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relevant studies have been conducted and published since the clinical guidelines/systematic reviews.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2 -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 TJ, Temin S, Alesi ER, et al. American Society of Clinical Oncology Provisional Clinical Opinion: The Integration of Palliative Care into Standard Oncology Care. J Clin Oncol 2012;30:880-887. Available at: </w:t>
      </w:r>
      <w:hyperlink r:id="rId16" w:tgtFrame="_blank" w:history="1">
        <w:r>
          <w:rPr>
            <w:rFonts w:ascii="Calibri" w:eastAsia="Calibri" w:hAnsi="Calibri" w:cs="Calibri"/>
            <w:b w:val="0"/>
            <w:i w:val="0"/>
            <w:color w:val="0000FF"/>
            <w:sz w:val="20"/>
            <w:u w:val="single" w:color="0000FF"/>
          </w:rPr>
          <w:t>http://www.instituteforquality.org/asco-provisional-clinical-opinion-integration-palliative-care-standard-oncology-care.</w:t>
        </w:r>
      </w:hyperlink>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Gomes, B., N. Calanzani, et al. (2013). "Effectiveness and cost-effectiveness of home palliative care services for adults with advanced illness and their caregivers." Cochrane Database Syst Rev </w:t>
      </w:r>
      <w:r>
        <w:rPr>
          <w:rFonts w:ascii="Calibri" w:eastAsia="Calibri" w:hAnsi="Calibri" w:cs="Calibri"/>
          <w:b/>
          <w:bCs/>
          <w:i w:val="0"/>
          <w:color w:val="000000"/>
          <w:sz w:val="20"/>
        </w:rPr>
        <w:t>6</w:t>
      </w:r>
      <w:r>
        <w:rPr>
          <w:rFonts w:ascii="Calibri" w:eastAsia="Calibri" w:hAnsi="Calibri" w:cs="Calibri"/>
          <w:b w:val="0"/>
          <w:i w:val="0"/>
          <w:color w:val="000000"/>
          <w:sz w:val="20"/>
        </w:rPr>
        <w:t xml:space="preserve">: CD007760 Available at: </w:t>
      </w:r>
      <w:hyperlink r:id="rId17" w:tgtFrame="_blank" w:history="1">
        <w:r>
          <w:rPr>
            <w:rFonts w:ascii="Calibri" w:eastAsia="Calibri" w:hAnsi="Calibri" w:cs="Calibri"/>
            <w:b w:val="0"/>
            <w:i w:val="0"/>
            <w:color w:val="0000FF"/>
            <w:sz w:val="20"/>
            <w:u w:val="single" w:color="0000FF"/>
          </w:rPr>
          <w:t>http://onlinelibrary.wiley.com/doi/10.1002/14651858.CD007760.pub2/pdf</w:t>
        </w:r>
      </w:hyperlink>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2012 American Society of Clinical Oncology (ASCO) Provisional Clinical Opinion (PCO) addresses the integration of palliative care (PC) services into standard oncology care at the time a person is diagnosed with metastatic cancer and/or high symptom burden.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2013 Cochrane Review, ‘Effectiveness and cost-effectiveness of home palliative care services for adults with advanced illness and their caregivers’, evaluated the impact of home palliative care services on outcomes for adults with advanced illness or their family caregivers, or both. The aim of the review was to quantify the effect of home palliative care services on a patients’ odds of dying at home, examine the clinical effectiveness of home palliative care services on other outcomes such as symptom control, quality of life, caregiver distress and satisfaction with care, and comparing resource use and costs associated with these services.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2012 ASCO PCO (p. 881): The American Society of Clinical Oncology (ASCO) has established a rigorous, evidence-based approach—the provisional clinical opinion (PCO)—to offer a rapid response to emerging data in clinical oncology. The PCO is intended to offer timely clinical direction to ASCO’s oncologists after publication or presentation of potentially practice- changing data from major studies. The PCO may serve in some cases as interim direction to the membership pending the development or updating of an ASCO clinical practice guideline. As such, the evidence is not graded in a PCO and is a result of expert consensus. A clinical guideline on palliative care integration with recommendations and the associated grading is under development.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2013 Cochrane Review (p. 12): Two independent reviewers assessed all included studies for methodological quality using the standard criteria developed by the Cochrane EPOC Review Group for RCTs/CCTs, CBAs and ITSs. The checklist for RCTs/CCTs contains seven items qualified as done, unclear and not done for concealment of allocation, follow-up of professionals, follow up of patients or episodes of care, blinded assessment of primary outcome(s), baseline assessment, reliable primary outcome measure(s) and protection against contamination. Blinding and reliability of all outcomes were also assessed.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Each criterion was scored zero (not done), 0.5 (not clear or when scores varied across outcomes) and one (done). Total scores for RCTs/ CCTs ranged from zero to six; studies with a score of 3.5 or above were considered of high quality. Integration of the results of the quality assessment in data analysis was done in addition to meta-analyses with sensitivity analyses including only high quality studies.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1a.05 for this information.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1a.05 for this information.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1a.05 for this information.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2012 ASCO PCO: 7 randomized controlled trials. This PCO did not provide an assessment of the overall quality of evidence across the studies. This analysis will be completed during the development of the upcoming clinical guideline.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2013 Cochrane Review: 5 randomized controlled trials and 2 controlled clinical trials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2013 Cochrane Review: p. 3: The direction of the effect was consistent across all studies but did not reach statistical significance in 3; ORs ranged from 1. 36 (95% CI 0.80 to 2.31) to 2. 86 (95% CI 0.78 to 10.53) Sensitivity analyses showed that exclusion of the 2 CCTs (both of Swedish hospital-based services with a pooled OR 3.44, 95% CI 0.60 to 19.57) and inclusion of only high quality RCTs resulted in a reduction of the OR to 1.28 (95% CI 1.28 to 2.33) and 1.75 (95% CI 1.24 to 2. 47)</w:t>
      </w:r>
      <w:r>
        <w:rPr>
          <w:rFonts w:ascii="Calibri" w:eastAsia="Calibri" w:hAnsi="Calibri" w:cs="Calibri"/>
          <w:b w:val="0"/>
          <w:i w:val="0"/>
          <w:color w:val="FF0000"/>
          <w:sz w:val="20"/>
        </w:rPr>
        <w:t xml:space="preserve"> respectively, with more precision and less heterogeneity.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 22: Pooled data from seven studies (five RCTs, three of high quality, and two CCTs with 1222 participants) showed that those receiving home palliative care had statistically significantly higher odds of dying at home than those receiving usual care (OR 2.21, 95% CI 1.31 to 3.71; Z = 2.98, P value = 0.003; Chi2 = 20.57, degrees of freedom (df ) = 6, P value = 0.002; I2 = 71%). The study population control risk was of 307 home deaths per 1000 deaths; based on this ACR of 0.307, the NNTB was 5 (95% CI 3 to 14), meaning that for one additional patient to die at home five more would need to receive home palliative care as opposed to usual care. Assuming a medium cancer home death rate population ACR of 0.278 (i.e. 278 home deaths per 1000 cancer deaths), the NNTB was 6 (95% CI 3 to 15). This means that for one additional cancer patient to die at home in a population where there are 278 home deaths per 1000 cancer deaths, six more would need to receive home palliative care. NNTB estimates ranged from 9 patients (95% CI 5 to 16) when applied to a low home death rate population such as the one observed in Norway (128 home deaths per 1000 cancer deaths) to 5 patients (95% CI 3 to 13) when applied to a high home death rate population such as the one observed in the Netherlands (454 home deaths per 1000 cancer deaths).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2012 ASCO PCO (p. 884): Seven published randomized trials demonstrate the feasibility of providing various components of PC alongside usual oncology care. There is, however, a dearth of data evaluating the integration of modern PC practices into standard oncology care, especially in concert with ongoing antitumor therapy. Overall, the addition of PC interventions to standard oncology care delivered via different models to patients with cancer provided evidence of benefit.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2013 Cochrane Review (p. 22): The study population control risk was of 307 home deaths per 1000 deaths; based on this ACR of 0.307, the NNTB was 5 (95% CI 3 to 14), meaning that for one additional patient to die at home five more would need to receive home palliative care as opposed to usual care. Assuming a medium cancer home death rate population ACR of 0.278 (i.e. 278 home deaths per 1000 cancer deaths), the NNTB was 6 (95% CI 3 to 15). This means that for one additional cancer patient to die at home in a population where there are 278 home deaths per 1000 cancer deaths, six more would need to receive home palliative care. NNTB estimates ranged from 9 patients (95% CI 5 to 16) when applied to a low home death rate population such as the one observed in Norway (128 home deaths per 1000 cancer deaths) to 5 patients (95% CI 3 to 13) when applied to a high home death rate population such as the one observed in the Netherlands (454 home deaths per 1000 cancer deaths).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2012 ASCO PCO (p. 884-885): No harm to any patient was observed in any trial, even with discussions of EOL planning, such as hospice and ADs. Two of five trials measuring change in symptoms, two of five studies measuring QOL, two of three studies measuring patient/caregiver satisfaction, and one of three studies measuring survival found statistically significant improvements with PC. Three of six studies measuring mood, two of five studies measuring resource use, and one of four studies measuring outcomes of advance care planning found statistically significant differences, and one outcome of borderline significance was also found in each of these three areas, Therefore, most trials showed benefits ranging from equal to improved overall survival, reduced depression, improved caregiver and/or patient QOL, and overall lower resource use and cost because EOL hospitalizations were avoided.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2013 Cochrane Review: Discussion of harms was not addressed.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relevant studies have been conducted and published since the systematic reviews.</w:t>
      </w:r>
      <w:r>
        <w:rPr>
          <w:rFonts w:ascii="Calibri" w:eastAsia="Calibri" w:hAnsi="Calibri" w:cs="Calibri"/>
          <w:b w:val="0"/>
          <w:i w:val="0"/>
          <w:color w:val="000000"/>
          <w:sz w:val="20"/>
          <w:u w:val="single"/>
        </w:rPr>
        <w:t xml:space="preserv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1.Early Palliative Care Reduces End-of-Life Intensive Care Unit (ICU) Use but Not ICU Course in Patients with Advanced Cancer.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CARE Track (Comprehensive Assessment with Rapid Evaluation and Treatment) program is a multiyear study of a phased palliative care intervention implemented by the University of Virginia Emily Couric Clinical Cancer Center that began in 2012. All patients participating in the CARE Track program who were deceased as of February 2015 are included in the analysis. Patients with stage IV solid tumors or other advanced cancer identified as incurable by the referring provider were referred to the CARE Track program at the discretion of their oncologist. The control group was identified from among all patients not enrolled in the outpatient CARE Track program who received care within the cancer center during the same period, who had similar cancer diagnoses, and who died during the same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Family Perspectives on Aggressive Cancer Care Near the End of Life.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was a survey of family members of elderly Medicare patients with advanced-stage lung or colorectal cancer in the Cancer Care Outcomes Research and Surveillance study (a multi-regional, prospective, observational study) who died by 2011. In the survey, it provides the family member’s rating of the quality of end of life care. It also examined whether patients treated with aggressive care near death received care that was congruent with their preferences.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Early Palliative Care Reduces End-of-Life Intensive Care Unit (ICU) Use but Not ICU Course in Patients with Advanced Cancer.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retrospective cohort of patients with advanced cancer enrolled in an early palliative care program (n=275) was compared with a concurrent control group of patients receiving standard care (n=195) during the same time period by using multivariable logistic regression analysis. The multidisciplinary outpatient palliative care program used early end-of-life care planning, weekly interdisciplinary meetings to discuss patient status, and patient-reported outcomes assessment integrated within the electronic health record.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Compared with the CARE Track group (i.e. enrolled in early palliative care program), the control group had significantly higher adjusted odds of ICU admission during the last 6 months of life (odds ratio [OR], 3.1; 95% CI, 1.81–5.21), during the last month of life (OR, 3.6; 95% CI, 1.9626.59), during the terminal admission (OR, 4.7; 95% CI, 2.27–9.72), and higher odds of death in the hospital (OR, 4.1; 95% CI, 2.42–7.08) or death in the ICU (OR, 5.6; 95% CI, 1.98–15.69). Patients in the control group were also significantly less likely to be enrolled in hospice (OR, 0.13; 95% CI, 0.06–0.26).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Family Perspectives on Aggressive Cancer Care Near the End of Life.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was a survey of family members of elderly Medicare patients with advanced-stage lung or colorectal cancer in the Cancer Care Outcomes Research and Surveillance study (a multi-regional, prospective, observational study) who died by 2011. This study is one of the first empirical validations of these aggressive end-of-life care indicators using patient- and family-centered outcomes in a population-based cohort. Of 1,146 cancer patients (median [IQR] age, 76.0 [65.0-87.0] years, 55.8% male), bereaved family members reported excellent EOL care quality for 51.3%. Family of patients admitted to an ICU ≤30 days before death or who died in the hospital less often reported excellent EOL care quality than those who were not [45.0% (68/151) vs. 52.3% (520/995); adjusted difference=-9.4 percentage points; 95% CI -18.2 to -0.6; and 42.2% (194/460) vs. 57.4% (394/686); adjusted difference=-17.0 percentage points; 95% CI=-22.9 to -11.1, respectively].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1.Early Palliative Care Reduces End-of-Life Intensive Care Unit (ICU) Use but Not ICU Course in Patients with Advanced Cancer.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Early palliative care for advanced cancer patients improves quality of life and survival, but less is known about its effect on intensive care unit (ICU) use at the end of life. This analysis assessed the effect of a comprehensive early palliative care program on ICU use and other outcomes among patients with advanced cancer.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Family Perspectives on Aggressive Cancer Care Near the End of Life.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study is one of the first empirical validations of these aggressive end-of-life care indicators using patient- and family-centered outcomes in a population-based cohort. An NQF Standing Committee member referenced this study during the 2015-2016 NQF Maintenance review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1.Romano, A.M., Gade, K.E., Nielsen, G., Havard, R., Harrison, J.H. Jr, Barclay, J., Stukenborg, G.J., Read, P.W., Blackhall, L.J., Dillon, P.M. (2017). Early Palliative Care Reduces End-of-Life Intensive Care Unit (ICU) Use but Not ICU Course in Patients with Advanced Cancer. </w:t>
      </w:r>
      <w:r>
        <w:rPr>
          <w:rFonts w:ascii="Calibri" w:eastAsia="Calibri" w:hAnsi="Calibri" w:cs="Calibri"/>
          <w:b w:val="0"/>
          <w:i/>
          <w:iCs/>
          <w:color w:val="000000"/>
          <w:sz w:val="20"/>
        </w:rPr>
        <w:t>Oncologist</w:t>
      </w:r>
      <w:r>
        <w:rPr>
          <w:rFonts w:ascii="Calibri" w:eastAsia="Calibri" w:hAnsi="Calibri" w:cs="Calibri"/>
          <w:b w:val="0"/>
          <w:i w:val="0"/>
          <w:color w:val="000000"/>
          <w:sz w:val="20"/>
        </w:rPr>
        <w:t xml:space="preserve">, 22(3), 318-323. doi: 10.1634/theoncologist.2016-0227. Retrieved from </w:t>
      </w:r>
      <w:hyperlink r:id="rId18" w:tgtFrame="_blank" w:history="1">
        <w:r>
          <w:rPr>
            <w:rFonts w:ascii="Calibri" w:eastAsia="Calibri" w:hAnsi="Calibri" w:cs="Calibri"/>
            <w:b w:val="0"/>
            <w:i w:val="0"/>
            <w:color w:val="0000FF"/>
            <w:sz w:val="20"/>
            <w:u w:val="single" w:color="0000FF"/>
          </w:rPr>
          <w:t>https://pubmed.ncbi.nlm.nih.gov/28220023/</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Wright, A.A., Keating, N.L., Ayanian, J.Z., Chrischilles, E.A., Kahn, K.L., Ritchie, C.S., Weeks, J.C., Earle, C.C., Landrum, M.B. (2016). Family Perspectives on Aggressive Cancer Care Near the End of Life. </w:t>
      </w:r>
      <w:r>
        <w:rPr>
          <w:rFonts w:ascii="Calibri" w:eastAsia="Calibri" w:hAnsi="Calibri" w:cs="Calibri"/>
          <w:b w:val="0"/>
          <w:i/>
          <w:iCs/>
          <w:color w:val="000000"/>
          <w:sz w:val="20"/>
        </w:rPr>
        <w:t>JAMA</w:t>
      </w:r>
      <w:r>
        <w:rPr>
          <w:rFonts w:ascii="Calibri" w:eastAsia="Calibri" w:hAnsi="Calibri" w:cs="Calibri"/>
          <w:b w:val="0"/>
          <w:i w:val="0"/>
          <w:color w:val="000000"/>
          <w:sz w:val="20"/>
        </w:rPr>
        <w:t xml:space="preserve">, 315(3), 284-92. doi: 10.1001/jama.2015.18604. Retrieved from </w:t>
      </w:r>
      <w:hyperlink r:id="rId19" w:tgtFrame="_blank" w:history="1">
        <w:r>
          <w:rPr>
            <w:rFonts w:ascii="Calibri" w:eastAsia="Calibri" w:hAnsi="Calibri" w:cs="Calibri"/>
            <w:b w:val="0"/>
            <w:i w:val="0"/>
            <w:color w:val="0000FF"/>
            <w:sz w:val="20"/>
            <w:u w:val="single" w:color="0000FF"/>
          </w:rPr>
          <w:t>https://pubmed.ncbi.nlm.nih.gov/26784776/</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Institute of Medicine’s report, Dying in America, advocates for measures to improve the quality and sustainability of end-of-life care, urging the federal government to “require public reporting on quality measures, outcomes, and costs regarding care near the end-of-life” (Daly et al., 2016). Studies suggest that over time, cancer care is becoming more aggressive near the end of life. Intensive care unit (ICU) admissions in the last 30 days of life are deemed as “aggressive care” and often used as an indicator of lower quality of care (Barbera, 2015). A higher quality of life has been predicted in patients who avoid aggressive measures such as ICU stays in the last week of life (Zhang, 2012). Furthermore, a longitudinal population-based study found patients who enrolled in hospice (long-or short-term) vs. those who did not receive hospice services had a reduced likelihood of being admitted to an ICU in the last 30 days of life by approximately 75% (Kao, 2015). ICU admissions, particularly those that result in a patient dying in the ICU, are more likely to result in physical and emotional distress as well as a less positive death experience (Wright, 2010).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According to a study of Medicare claims data, ICU use in the last 30 days of life increased 5% between 2000 and 2009 (Khandelwal et al., 2015). Despite limited evidence of improved patient outcomes, nearly 25% of Medicare expenditures are spent on intensive care in the final month of life (Wright, 2010). A reduction in health care expenditures can be achieved by reduced utilization of hospital services including ICU stays and a greater focus on palliative care and hospice services (Langton, 2014).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Palliative care in most studies has actually reduced the total cost of care, often substantially.</w:t>
      </w:r>
      <w:r>
        <w:rPr>
          <w:rFonts w:ascii="Calibri" w:eastAsia="Calibri" w:hAnsi="Calibri" w:cs="Calibri"/>
          <w:b w:val="0"/>
          <w:i w:val="0"/>
          <w:color w:val="0000FF"/>
          <w:sz w:val="20"/>
        </w:rPr>
        <w:t xml:space="preserve"> The first large randomized trials of usual care versus usual care plus an interdisciplinary palliative care team were conducted by a vertically integrated health care organization—Kaiser-Permanente—involving more than 800 patients. Avoided hospital and intensive care unit days in the last month of life led to equal survival, better satisfaction and communication, and cost savings of $7,550 and $4,885 (ASCO Guideline, 2017)</w:t>
      </w:r>
      <w:r>
        <w:rPr>
          <w:rFonts w:ascii="Calibri" w:eastAsia="Calibri" w:hAnsi="Calibri" w:cs="Calibri"/>
          <w:b w:val="0"/>
          <w:i w:val="0"/>
          <w:color w:val="0000FF"/>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Daly, B., Hantel, A., Wroblewski, K., Balachandran, J.S., Chow, S., DeBoer, R., Fleming, G.F., Hahn, O.M., Kline, J., Liu, H., Patel, B.K., Verma, A., Witt, L.J., Fukui, M., Kumar, A., Howell, M.D., Polite, B.N. (2016). No Exit: Identifying Avoidable Terminal Oncology Intensive Care Unit Hospitalizations</w:t>
      </w:r>
      <w:r>
        <w:rPr>
          <w:rFonts w:ascii="Calibri" w:eastAsia="Calibri" w:hAnsi="Calibri" w:cs="Calibri"/>
          <w:b w:val="0"/>
          <w:i/>
          <w:iCs/>
          <w:color w:val="000000"/>
          <w:sz w:val="20"/>
        </w:rPr>
        <w:t>. J Oncol Pract</w:t>
      </w:r>
      <w:r>
        <w:rPr>
          <w:rFonts w:ascii="Calibri" w:eastAsia="Calibri" w:hAnsi="Calibri" w:cs="Calibri"/>
          <w:b w:val="0"/>
          <w:i w:val="0"/>
          <w:color w:val="000000"/>
          <w:sz w:val="20"/>
        </w:rPr>
        <w:t>, 12(10), e901-e911. doi: 10.1200/JOP.2016.012823. Retrieved from</w:t>
      </w:r>
      <w:hyperlink r:id="rId5" w:tgtFrame="_blank" w:history="1">
        <w:r>
          <w:rPr>
            <w:rFonts w:ascii="Calibri" w:eastAsia="Calibri" w:hAnsi="Calibri" w:cs="Calibri"/>
            <w:b w:val="0"/>
            <w:i w:val="0"/>
            <w:color w:val="0000FF"/>
            <w:sz w:val="20"/>
            <w:u w:val="single" w:color="0000FF"/>
          </w:rPr>
          <w:t>https://pubmed.ncbi.nlm.nih.gov/27601514/</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Barbera L, Seow H, et al. Quality of end-of-life cancer care in Canada: a retrospective four-province study using administrative health care data. Curr Oncol 2015 Oct: 22(5): 341-355. Available at: </w:t>
      </w:r>
      <w:hyperlink r:id="rId6" w:tgtFrame="_blank" w:history="1">
        <w:r>
          <w:rPr>
            <w:rFonts w:ascii="Calibri" w:eastAsia="Calibri" w:hAnsi="Calibri" w:cs="Calibri"/>
            <w:b w:val="0"/>
            <w:i w:val="0"/>
            <w:color w:val="0000FF"/>
            <w:sz w:val="20"/>
            <w:u w:val="single" w:color="0000FF"/>
          </w:rPr>
          <w:t>http://www.ncbi.nlm.nih.gov/pmc/articles/PMC4608400/</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Zhang B, Nilsson ME, Prigerson HG. Factors important to patients´ quality of life at the end of life. Arch Intern Med 2012;172:1133-1142.Available at: http://www.ncbi.nlm.nih.gov/pmc/articles/PMC3806298/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Kao YH, Chiang JK. Effect of hospice care on quality indicators of end-of-life care among patients with liver cancer: a national longitudinal population based study in Taiwan 2000-2011. BMC Palliat Care 2015: 14:39. Available at: http://www.ncbi.nlm.nih.gov/pmc/articles/PMC4545784/#CR5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Wright AA, Keating NL, Balboni TA, et al. Place of death: correlations with quality of life of patients with cancer and predictors of bereaved caregivers’ mental health. J Clin Oncol 2010; 28:4457–4464. Available at: http://www.ncbi.nlm.nih.gov/pmc/articles/PMC2988637/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Khandelwal, N., Kross, E.K., Engelberg, R.A., et al. (2015). Estimating the effect of palliative care interventions and advance care planning on ICU utilization: a systematic review. </w:t>
      </w:r>
      <w:r>
        <w:rPr>
          <w:rFonts w:ascii="Calibri" w:eastAsia="Calibri" w:hAnsi="Calibri" w:cs="Calibri"/>
          <w:b w:val="0"/>
          <w:i/>
          <w:iCs/>
          <w:color w:val="000000"/>
          <w:sz w:val="20"/>
        </w:rPr>
        <w:t>Crit Care Med</w:t>
      </w:r>
      <w:r>
        <w:rPr>
          <w:rFonts w:ascii="Calibri" w:eastAsia="Calibri" w:hAnsi="Calibri" w:cs="Calibri"/>
          <w:b w:val="0"/>
          <w:i w:val="0"/>
          <w:color w:val="000000"/>
          <w:sz w:val="20"/>
        </w:rPr>
        <w:t>, 43, 1102-11. Retrieved from</w:t>
      </w:r>
      <w:r>
        <w:rPr>
          <w:rFonts w:ascii="Calibri" w:eastAsia="Calibri" w:hAnsi="Calibri" w:cs="Calibri"/>
          <w:b w:val="0"/>
          <w:i w:val="0"/>
          <w:color w:val="C00000"/>
          <w:sz w:val="20"/>
        </w:rPr>
        <w:t xml:space="preserve"> </w:t>
      </w:r>
      <w:hyperlink r:id="rId7" w:tgtFrame="_blank" w:history="1">
        <w:r>
          <w:rPr>
            <w:rFonts w:ascii="Calibri" w:eastAsia="Calibri" w:hAnsi="Calibri" w:cs="Calibri"/>
            <w:b w:val="0"/>
            <w:i w:val="0"/>
            <w:color w:val="0000FF"/>
            <w:sz w:val="20"/>
            <w:u w:val="single" w:color="0000FF"/>
          </w:rPr>
          <w:t>https://www.ncbi.nlm.nih.gov/pmc/articles/PMC4499326/</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Langton JM, Blanch B, Drew AK, et al. Retrospective studies of end of-life resource utilization and costs in cancer care using health administrative data: a systematic review. Palliat Med 2014;28:1167-1196. Available at: http://www.ncbi.nlm.nih.gov/pubmed/24866758.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Ferrell, B. R., Temel, J. S., Temin, S., Alesi, E. R., Balboni, T. A., Basch, E. M., Firn, J. I., Paice, J. A., Peppercorn, J. M., Phillips, T., Stovall, E. L., Zimmermann, C., &amp; Smith, T. J. (2017). Integration of Palliative Care Into Standard Oncology Care: American Society of Clinical Oncology Clinical Practice Guideline Update. </w:t>
      </w:r>
      <w:r>
        <w:rPr>
          <w:rFonts w:ascii="Calibri" w:eastAsia="Calibri" w:hAnsi="Calibri" w:cs="Calibri"/>
          <w:b w:val="0"/>
          <w:i/>
          <w:iCs/>
          <w:color w:val="000000"/>
          <w:sz w:val="20"/>
        </w:rPr>
        <w:t>Journal of Clinical Oncology</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35</w:t>
      </w:r>
      <w:r>
        <w:rPr>
          <w:rFonts w:ascii="Calibri" w:eastAsia="Calibri" w:hAnsi="Calibri" w:cs="Calibri"/>
          <w:b w:val="0"/>
          <w:i w:val="0"/>
          <w:color w:val="000000"/>
          <w:sz w:val="20"/>
        </w:rPr>
        <w:t xml:space="preserve">(1), 96–112. Retrieved from </w:t>
      </w:r>
      <w:hyperlink r:id="rId8" w:tgtFrame="_blank" w:history="1">
        <w:r>
          <w:rPr>
            <w:rFonts w:ascii="Calibri" w:eastAsia="Calibri" w:hAnsi="Calibri" w:cs="Calibri"/>
            <w:b w:val="0"/>
            <w:i w:val="0"/>
            <w:color w:val="0000FF"/>
            <w:sz w:val="20"/>
            <w:u w:val="single" w:color="0000FF"/>
          </w:rPr>
          <w:t>https://doi.org/10.1200/jco.2016.70.1474</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Below are performance scores provided by 2 sources where this registry measure has been in use (QOPI Registry and MIPS). The scores indicate that there continues to be a performance gap for this measure, there is variation amongst providers, and there is still an opportunity for improvement.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1.The measure was implemented in the ASCO Quality Oncology Practice Initiative (QOPI) Registry through PY 2020. Below are the performance rates in QOPI from 2017-2020. QOPI offers two data abstraction rounds per year in which practices select patient charts to report on based on chart selection criteria provided by QOPI. QOPI Round 1 generally spans the first half of the year, January - June, while QOPI Round 2 generally runs from July - December. This is an inverse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QOPI Registry-Measure Performance for NQF 0213 (QOPI EOL 49icu)</w:t>
      </w:r>
    </w:p>
    <w:tbl>
      <w:tblPr>
        <w:tblStyle w:val="TableGrid"/>
        <w:tblCaption w:val="NQF 0213 (QOPI EOL 49icu) Reported Performance in ASCO QOPI Registry PY 2017-2020"/>
        <w:tblDescription w:val="NQF 0213 (QOPI EOL 49icu) Reported Performance in ASCO QOPI Registry PY 2017-202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46"/>
        <w:gridCol w:w="767"/>
        <w:gridCol w:w="603"/>
        <w:gridCol w:w="564"/>
        <w:gridCol w:w="775"/>
        <w:gridCol w:w="815"/>
        <w:gridCol w:w="544"/>
        <w:gridCol w:w="841"/>
        <w:gridCol w:w="697"/>
        <w:gridCol w:w="685"/>
        <w:gridCol w:w="697"/>
        <w:gridCol w:w="841"/>
        <w:gridCol w:w="47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028"/>
          <w:tblHeader/>
        </w:trPr>
        <w:tc>
          <w:tcPr>
            <w:tcW w:w="168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QOPI Measure Performance Report Year/Round</w:t>
            </w:r>
          </w:p>
        </w:tc>
        <w:tc>
          <w:tcPr>
            <w:tcW w:w="111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of Practices</w:t>
            </w:r>
          </w:p>
        </w:tc>
        <w:tc>
          <w:tcPr>
            <w:tcW w:w="103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of Charts</w:t>
            </w:r>
          </w:p>
        </w:tc>
        <w:tc>
          <w:tcPr>
            <w:tcW w:w="103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tcW w:w="96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Standard Dev.</w:t>
            </w:r>
          </w:p>
        </w:tc>
        <w:tc>
          <w:tcPr>
            <w:tcW w:w="111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(Absolute Value)</w:t>
            </w:r>
            <w:r>
              <w:rPr>
                <w:rFonts w:ascii="Calibri" w:eastAsia="Calibri" w:hAnsi="Calibri" w:cs="Calibri"/>
                <w:b/>
                <w:bCs/>
                <w:i w:val="0"/>
                <w:color w:val="000000"/>
                <w:sz w:val="20"/>
              </w:rPr>
              <w:t xml:space="preserve"> IQR </w:t>
            </w:r>
          </w:p>
        </w:tc>
        <w:tc>
          <w:tcPr>
            <w:tcW w:w="8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Min</w:t>
            </w:r>
          </w:p>
        </w:tc>
        <w:tc>
          <w:tcPr>
            <w:tcW w:w="94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10</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percentile</w:t>
            </w:r>
          </w:p>
        </w:tc>
        <w:tc>
          <w:tcPr>
            <w:tcW w:w="94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Lower quartile</w:t>
            </w:r>
          </w:p>
        </w:tc>
        <w:tc>
          <w:tcPr>
            <w:tcW w:w="12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Median</w:t>
            </w:r>
          </w:p>
        </w:tc>
        <w:tc>
          <w:tcPr>
            <w:tcW w:w="103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Upper quartile</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90</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percentile</w:t>
            </w:r>
          </w:p>
        </w:tc>
        <w:tc>
          <w:tcPr>
            <w:tcW w:w="8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Max</w:t>
            </w:r>
          </w:p>
        </w:tc>
      </w:tr>
      <w:tr>
        <w:trPr>
          <w:cantSplit/>
          <w:trHeight w:val="522"/>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2020 Round 1</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2084</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7.56</w:t>
            </w:r>
          </w:p>
        </w:tc>
        <w:tc>
          <w:tcPr>
            <w:tcW w:w="9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13.23</w:t>
            </w:r>
          </w:p>
        </w:tc>
        <w:tc>
          <w:tcPr>
            <w:tcW w:w="11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14.31</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62.22</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42.73</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22.64</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11.76</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5.71</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68"/>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2019 Round 1</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2614</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9.46</w:t>
            </w:r>
          </w:p>
        </w:tc>
        <w:tc>
          <w:tcPr>
            <w:tcW w:w="9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17.54</w:t>
            </w:r>
          </w:p>
        </w:tc>
        <w:tc>
          <w:tcPr>
            <w:tcW w:w="11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13.73</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41.75</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23.44</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9.71</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4.91</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54"/>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2019</w:t>
            </w:r>
            <w:hyperlink w:anchor="_msocom_1" w:tgtFrame="_blank" w:history="1">
              <w:r>
                <w:rPr>
                  <w:rFonts w:ascii="Calibri" w:eastAsia="Calibri" w:hAnsi="Calibri" w:cs="Calibri"/>
                  <w:b w:val="0"/>
                  <w:i w:val="0"/>
                  <w:color w:val="0000FF"/>
                  <w:sz w:val="20"/>
                  <w:u w:val="single" w:color="0000FF"/>
                </w:rPr>
                <w:t>[HD1]</w:t>
              </w:r>
            </w:hyperlink>
            <w:r>
              <w:rPr>
                <w:rFonts w:ascii="Calibri" w:eastAsia="Calibri" w:hAnsi="Calibri" w:cs="Calibri"/>
                <w:b w:val="0"/>
                <w:i w:val="0"/>
                <w:color w:val="000000"/>
                <w:sz w:val="20"/>
              </w:rPr>
              <w:t xml:space="preserve"> Round 2</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149</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2432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9.63</w:t>
            </w:r>
          </w:p>
        </w:tc>
        <w:tc>
          <w:tcPr>
            <w:tcW w:w="9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68"/>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2018 Round 1</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3045</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8.31</w:t>
            </w:r>
          </w:p>
        </w:tc>
        <w:tc>
          <w:tcPr>
            <w:tcW w:w="9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13.44</w:t>
            </w:r>
          </w:p>
        </w:tc>
        <w:tc>
          <w:tcPr>
            <w:tcW w:w="11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10.44</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27.85</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20.44</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12.90</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4.83</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54"/>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2018 Round 2</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3117</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7.03</w:t>
            </w:r>
          </w:p>
        </w:tc>
        <w:tc>
          <w:tcPr>
            <w:tcW w:w="9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10.29</w:t>
            </w:r>
          </w:p>
        </w:tc>
        <w:tc>
          <w:tcPr>
            <w:tcW w:w="11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14.58</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26.03</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20.00</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11.70</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5.42</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3.60</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68"/>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Spring</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4744</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12.86</w:t>
            </w:r>
          </w:p>
        </w:tc>
        <w:tc>
          <w:tcPr>
            <w:tcW w:w="9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16.97</w:t>
            </w:r>
          </w:p>
        </w:tc>
        <w:tc>
          <w:tcPr>
            <w:tcW w:w="11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13.10</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38.00</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20.00</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12.50</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6.90</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4.10</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54"/>
        </w:trPr>
        <w:tc>
          <w:tcPr>
            <w:tcW w:w="168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Fall</w:t>
            </w:r>
          </w:p>
        </w:tc>
        <w:tc>
          <w:tcPr>
            <w:tcW w:w="11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4467</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8.12</w:t>
            </w:r>
          </w:p>
        </w:tc>
        <w:tc>
          <w:tcPr>
            <w:tcW w:w="9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12.40</w:t>
            </w:r>
          </w:p>
        </w:tc>
        <w:tc>
          <w:tcPr>
            <w:tcW w:w="11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14.70</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66.67</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33.33</w:t>
            </w:r>
          </w:p>
        </w:tc>
        <w:tc>
          <w:tcPr>
            <w:tcW w:w="9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20.00</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11.83</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5.30</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2.89</w:t>
            </w:r>
          </w:p>
        </w:tc>
        <w:tc>
          <w:tcPr>
            <w:tcW w:w="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NQF 0213 (QOPI EOL 49icu) Reported Performance in ASCO QOPI Registry PY 2017-2020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cell intentionally left blank</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w:t>
      </w:r>
      <w:hyperlink r:id="rId20" w:tgtFrame="_blank" w:history="1">
        <w:r>
          <w:rPr>
            <w:rFonts w:ascii="Calibri" w:eastAsia="Calibri" w:hAnsi="Calibri" w:cs="Calibri"/>
            <w:b w:val="0"/>
            <w:i w:val="0"/>
            <w:color w:val="0000FF"/>
            <w:sz w:val="20"/>
            <w:u w:val="single" w:color="0000FF"/>
          </w:rPr>
          <w:t>2017 QPP Experience Report Appendix</w:t>
        </w:r>
      </w:hyperlink>
      <w:r>
        <w:rPr>
          <w:rFonts w:ascii="Calibri" w:eastAsia="Calibri" w:hAnsi="Calibri" w:cs="Calibri"/>
          <w:b w:val="0"/>
          <w:i w:val="0"/>
          <w:color w:val="000000"/>
          <w:sz w:val="20"/>
        </w:rPr>
        <w:t xml:space="preserve"> (refer to Quality Measure Metrics tab), provides performance reporting and scoring metrics by quality measures for the inaugural year (2017) of the Quality Payment Program. CMS did not provide the number of entities measured, the standard deviation, deciles, nor interquartile range in this 2017 report. This is an inverse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QPP Experience Report-Quality Measure Metrics for NQF 0213 (QPP 455)</w:t>
      </w:r>
    </w:p>
    <w:tbl>
      <w:tblPr>
        <w:tblStyle w:val="TableGrid"/>
        <w:tblCaption w:val="NQF 0213 (QPP 455) Reported Performance in MIPS PY 2017"/>
        <w:tblDescription w:val="NQF 0213 (QPP 455) Reported Performance in MIPS PY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71"/>
        <w:gridCol w:w="2851"/>
        <w:gridCol w:w="285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63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Program/Year</w:t>
            </w:r>
          </w:p>
        </w:tc>
        <w:tc>
          <w:tcPr>
            <w:tcW w:w="262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Participants Reporting Measure</w:t>
            </w:r>
          </w:p>
        </w:tc>
        <w:tc>
          <w:tcPr>
            <w:tcW w:w="262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Average Performance Rate</w:t>
            </w:r>
          </w:p>
        </w:tc>
      </w:tr>
      <w:tr>
        <w:trPr>
          <w:cantSplit/>
        </w:trPr>
        <w:tc>
          <w:tcPr>
            <w:tcW w:w="263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MIPS 2017</w:t>
            </w:r>
          </w:p>
        </w:tc>
        <w:tc>
          <w:tcPr>
            <w:tcW w:w="26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125</w:t>
            </w:r>
          </w:p>
        </w:tc>
        <w:tc>
          <w:tcPr>
            <w:tcW w:w="26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21.42%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NQF 0213 (QPP 455) Reported Performance in MIPS PY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was first implemented into the Merit-based Incentive Payment System (MIPS) program in 2017. We are still awaiting benchmark data from CMS for subsequent years. It is important to note that the Merit-based Incentive Payment System (MIPS), has been and remains a voluntary reporting program. Participants are allowed to self-select measures and may choose those that will result in high performance rates. As a result, performance rates may not be nationally representative.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literature noted below supports that there is still an existing performance gap for this measure.</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According to a study of Medicare claims data, ICU use in the last 30 days of life increased 5% between 2000 and 2009 (Khandelwal et al, 2015).</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IRB approved retrospective chart review was conducted on patients with solid tumors at Lifespan Cancer Institute (LCI) who died in timepoints ending in January, July and November of 2016 and 2017. Patients were identified through their tumor registry. Patients’ medical records were reviewed for cancer stage, care received, palliative care contact, site of death, ICU admission in last 30 days. A total of 250 patients were included in the analysis. 18.8% of LCI patients were admitted to the ICU in the last 30 days of life (You et al., 2020). </w:t>
      </w:r>
    </w:p>
    <w:p w:rsidR="00A77B3E">
      <w:pPr>
        <w:numPr>
          <w:ilvl w:val="1"/>
          <w:numId w:val="1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Significant factors associated with an ICU admission in the last 30 days of life were a diagnosis of lymphoma compared to breast, gynecologic, gastrointestinal, lung, genitourinary, melanoma/carcinoma of unknown primary/head and neck cancer, or other (42.9% vs 20% vs 14.3% vs 9% vs 23.1% vs 25% vs 0% vs 26.3%; P = 0.01), systemic anticancer therapy in last 2 weeks of life (40.6% vs 16.1%; P &lt; 0.005), and age ≤ 45 years at time of metastatic disease compared to age 46-65 or age ≥ 66 (50% vs 15.9% vs 18.1%; P &lt; 0.05).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Khandelwal, N., Kross, E.K., Engelberg, R.A., et al. (2015). Estimating the effect of palliative care interventions and advance care planning on ICU utilization: a systematic review. </w:t>
      </w:r>
      <w:r>
        <w:rPr>
          <w:rFonts w:ascii="Calibri" w:eastAsia="Calibri" w:hAnsi="Calibri" w:cs="Calibri"/>
          <w:b w:val="0"/>
          <w:i/>
          <w:iCs/>
          <w:color w:val="000000"/>
          <w:sz w:val="20"/>
        </w:rPr>
        <w:t>Crit Care Med</w:t>
      </w:r>
      <w:r>
        <w:rPr>
          <w:rFonts w:ascii="Calibri" w:eastAsia="Calibri" w:hAnsi="Calibri" w:cs="Calibri"/>
          <w:b w:val="0"/>
          <w:i w:val="0"/>
          <w:color w:val="000000"/>
          <w:sz w:val="20"/>
        </w:rPr>
        <w:t xml:space="preserve">, 43, 1102-11. Retrieved from </w:t>
      </w:r>
      <w:hyperlink r:id="rId7" w:tgtFrame="_blank" w:history="1">
        <w:r>
          <w:rPr>
            <w:rFonts w:ascii="Calibri" w:eastAsia="Calibri" w:hAnsi="Calibri" w:cs="Calibri"/>
            <w:b w:val="0"/>
            <w:i w:val="0"/>
            <w:color w:val="0000FF"/>
            <w:sz w:val="20"/>
            <w:u w:val="single" w:color="0000FF"/>
          </w:rPr>
          <w:t>https://www.ncbi.nlm.nih.gov/pmc/articles/PMC4499326/</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You, H., Dizon, D.S., Wong, N., Martin, E.W., Fenton, M.A. (2020). Admission to the ICU in the last 30 days of life and systemic anticancer therapy in the last two weeks of life at Lifespan Cancer Institute (LCI). </w:t>
      </w:r>
      <w:r>
        <w:rPr>
          <w:rFonts w:ascii="Calibri" w:eastAsia="Calibri" w:hAnsi="Calibri" w:cs="Calibri"/>
          <w:b w:val="0"/>
          <w:i/>
          <w:iCs/>
          <w:color w:val="000000"/>
          <w:sz w:val="20"/>
        </w:rPr>
        <w:t>Journal of Clinical Oncology</w:t>
      </w:r>
      <w:r>
        <w:rPr>
          <w:rFonts w:ascii="Calibri" w:eastAsia="Calibri" w:hAnsi="Calibri" w:cs="Calibri"/>
          <w:b w:val="0"/>
          <w:i w:val="0"/>
          <w:color w:val="000000"/>
          <w:sz w:val="20"/>
        </w:rPr>
        <w:t xml:space="preserve">, 38 (29), 214-214. DOI: 10.1200/JCO.2020.38.29_suppl.214. Retrieved from </w:t>
      </w:r>
      <w:hyperlink r:id="rId21" w:tgtFrame="_blank" w:history="1">
        <w:r>
          <w:rPr>
            <w:rFonts w:ascii="Calibri" w:eastAsia="Calibri" w:hAnsi="Calibri" w:cs="Calibri"/>
            <w:b w:val="0"/>
            <w:i w:val="0"/>
            <w:color w:val="0000FF"/>
            <w:sz w:val="20"/>
            <w:u w:val="single" w:color="0000FF"/>
          </w:rPr>
          <w:t>https://ascopubs.org/doi/abs/10.1200/JCO.2020.38.29_suppl.214</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While this measure is included in the MIPS federal program, CMS has not yet made sociodemographic data available for their quality measures to developers to analyze for disparities.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advance health equity, the ASCO’s measure development team plans to look more closely at disparities in care among oncology patient populations. This includes bringing transparency to where gaps exist (or do not exist). We are currently evaluating the ASCO programs that use our measures and are assessing the feasibility to add the required collection or race and ethnicity. To ensure clinicians were not overly burdened, only the data elements needed to calculate the measure have been required, thus the non-required data elements (race and ethnicity) have only been sparsely populated.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literature noted below supports that there are potentially disparities for this measure.</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One example of a disparity was found in a 2010 prospective longitudinal cohort study of black and white patients with advanced cancer conducted by Mack et al, who examined the differences in how patients and physicians communicate about EOL care by race. The investigation was based on the observation that some black patients receive more life-prolonging EOL care than some white patients. (ASCO Guideline, 2017). Mack and colleagues found that compared to White patients, Black/African American patients (OR 0.37, 95% CI 0.19 to 0.73) and Hispanic patients (OR 0.29, 95% CI 0.12 to 0.73) were less likely to experience EOL discussions (p = 0.005) (Starr et al, 2019)</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Another study showed dissemination of information about palliative and EOL care may not reach some black audiences in the United States at all. Fishman et al performed a content analysis of cancer news intended for black audiences or nonspecific audiences to find discussions of palliative care–related topics, including adverse events, EOL care, or palliative or hospice care. The authors found statistically significant lower reporting on adverse events, treatment failure, and death and dying in black American media. The authors found zero articles on palliative care or hospice in the media directed at black audiences. (ASCO Guideline, 2017)</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Studies have shown that patients covered by Medicaid in the United States have not received guideline- or quality-adherent palliative care (e.g., receipt of chemotherapy at EOL; v those with Medicare). (ASCO Guideline, 2017) </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 2020 retrospective cohort study analyzed the degree of aggressive end-of-life care among 349 adult Medicaid beneficiaries diagnosed between 2011 to 2015 with stage IV breast (30%) and colorectal (70%) cancer, and died by January 2016. Data were obtained from a New Jersey State cancer Registry-Medicaid claims linked data set. The study found racial and ethnic disparities in aggressive end of life care, after adjusting for sociodemographic and clinical factors. Aggressive end of life care measured in study include: &gt;1 hospitalization; &gt;1 ED visit; were admitted to the ICU in the last 30 days of life; or received chemotherapy (34%) in the last 14 days of life (Yang et al., 2020).</w:t>
      </w:r>
    </w:p>
    <w:p w:rsidR="00A77B3E">
      <w:pPr>
        <w:numPr>
          <w:ilvl w:val="1"/>
          <w:numId w:val="1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study data support the hypothesis that a higher proportion of patients with cancer enrolled in Medicaid receive aggressive EOL care compared with Medicare or privately insured populations. </w:t>
      </w:r>
    </w:p>
    <w:p w:rsidR="00A77B3E">
      <w:pPr>
        <w:numPr>
          <w:ilvl w:val="1"/>
          <w:numId w:val="1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Compared with Non-Hispanic White patients, Black patients had higher odds of receiving any aggressive EOL care (odds ratio [OR], 1.87; 95% CI, 1.07 to 3.26).</w:t>
      </w:r>
    </w:p>
    <w:p w:rsidR="00A77B3E">
      <w:pPr>
        <w:numPr>
          <w:ilvl w:val="1"/>
          <w:numId w:val="1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Hispanic patients had lower odds of being admitted to the ICU than NH White patients (OR, 0.44; 95% CI, 0.21 to 0.93).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Ferrell, B. R., Temel, J. S., Temin, S., Alesi, E. R., Balboni, T. A., Basch, E. M., Firn, J. I., Paice, J. A., Peppercorn, J. M., Phillips, T., Stovall, E. L., Zimmermann, C., &amp; Smith, T. J. (2017). Integration of Palliative Care Into Standard Oncology Care: American Society of Clinical Oncology Clinical Practice Guideline Update. </w:t>
      </w:r>
      <w:r>
        <w:rPr>
          <w:rFonts w:ascii="Calibri" w:eastAsia="Calibri" w:hAnsi="Calibri" w:cs="Calibri"/>
          <w:b w:val="0"/>
          <w:i/>
          <w:iCs/>
          <w:color w:val="000000"/>
          <w:sz w:val="20"/>
        </w:rPr>
        <w:t>Journal of Clinical Oncology</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35</w:t>
      </w:r>
      <w:r>
        <w:rPr>
          <w:rFonts w:ascii="Calibri" w:eastAsia="Calibri" w:hAnsi="Calibri" w:cs="Calibri"/>
          <w:b w:val="0"/>
          <w:i w:val="0"/>
          <w:color w:val="000000"/>
          <w:sz w:val="20"/>
        </w:rPr>
        <w:t xml:space="preserve">(1), 96–112. Retrieved from </w:t>
      </w:r>
      <w:hyperlink r:id="rId8" w:tgtFrame="_blank" w:history="1">
        <w:r>
          <w:rPr>
            <w:rFonts w:ascii="Calibri" w:eastAsia="Calibri" w:hAnsi="Calibri" w:cs="Calibri"/>
            <w:b w:val="0"/>
            <w:i w:val="0"/>
            <w:color w:val="0000FF"/>
            <w:sz w:val="20"/>
            <w:u w:val="single" w:color="0000FF"/>
          </w:rPr>
          <w:t>https://doi.org/10.1200/jco.2016.70.1474</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Starr, L. T., Ulrich, C. M., Corey, K. L., &amp; Meghani, S. H. (2019). Associations Among End-of-Life Discussions, Health-Care Utilization, and Costs in Persons With Advanced Cancer: A Systematic Review. The American journal of hospice &amp; palliative care, 36(10), 913–926. </w:t>
      </w:r>
      <w:hyperlink r:id="rId14" w:tgtFrame="_blank" w:history="1">
        <w:r>
          <w:rPr>
            <w:rFonts w:ascii="Calibri" w:eastAsia="Calibri" w:hAnsi="Calibri" w:cs="Calibri"/>
            <w:b w:val="0"/>
            <w:i w:val="0"/>
            <w:color w:val="0000FF"/>
            <w:sz w:val="20"/>
            <w:u w:val="single" w:color="0000FF"/>
          </w:rPr>
          <w:t>https://doi.org/10.1177/1049909119848148</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Yang, A., Goldin, D., Nova, J., Malhotra, J., Cantor, J. C., Tsui, J. (2020). Racial Disparities in Health Care Utilization at the End of Life Among New Jersey Medicaid Beneficiaries With Advanced Cancer</w:t>
      </w:r>
      <w:r>
        <w:rPr>
          <w:rFonts w:ascii="Calibri" w:eastAsia="Calibri" w:hAnsi="Calibri" w:cs="Calibri"/>
          <w:b w:val="0"/>
          <w:i/>
          <w:iCs/>
          <w:color w:val="000000"/>
          <w:sz w:val="20"/>
        </w:rPr>
        <w:t>. JCO Oncology Practice</w:t>
      </w:r>
      <w:r>
        <w:rPr>
          <w:rFonts w:ascii="Calibri" w:eastAsia="Calibri" w:hAnsi="Calibri" w:cs="Calibri"/>
          <w:b w:val="0"/>
          <w:i w:val="0"/>
          <w:color w:val="000000"/>
          <w:sz w:val="20"/>
        </w:rPr>
        <w:t xml:space="preserve">, 16(6), e538–e548. Retrieved from </w:t>
      </w:r>
      <w:hyperlink r:id="rId22" w:tgtFrame="_blank" w:history="1">
        <w:r>
          <w:rPr>
            <w:rFonts w:ascii="Calibri" w:eastAsia="Calibri" w:hAnsi="Calibri" w:cs="Calibri"/>
            <w:b w:val="0"/>
            <w:i w:val="0"/>
            <w:color w:val="0000FF"/>
            <w:sz w:val="20"/>
            <w:u w:val="single" w:color="0000FF"/>
          </w:rPr>
          <w:t>https://doi.org/10.1200/jop.19.00767</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[Yes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Minor update to the measure title and description had been made. “Proportion” was replaced by “Percentage”, although the measure intent and the measure calculation remains the same.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Minor update to the measure title and description had been made. “Proportion” was replaced by “Percentage”, although the measure intent and the measure calculation remains the same.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23"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patients who died from cancer admitted to the Intensive Care Unit (ICU) in the last 30 days of life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patients who died from cancer admitted to the ICU in the last 30 days of life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Cancer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Palliative Care and End-of-Life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Palliative Care and End-of-Life Care: Inappropriate use of acute care services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Transitions of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Effective Clinical Care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5"/>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Adults (Age &gt;= 18)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1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Group/Practice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Individual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Ambulatory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Outpatient Services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hyperlink r:id="rId24" w:tgtFrame="_blank" w:history="1">
        <w:r>
          <w:rPr>
            <w:rFonts w:ascii="Calibri" w:eastAsia="Calibri" w:hAnsi="Calibri" w:cs="Calibri"/>
            <w:b w:val="0"/>
            <w:i w:val="0"/>
            <w:color w:val="0000FF"/>
            <w:sz w:val="20"/>
            <w:u w:val="single" w:color="0000FF"/>
          </w:rPr>
          <w:t>https://qpp-cm-prod-content.s3.amazonaws.com/uploads/1690/2022+Clinical+Quality+Measure+Specifications+and+Supporting+Documents.zip</w:t>
        </w:r>
      </w:hyperlink>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25"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Excel or csv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died from cancer and were admitted to the ICU in the last 30 days of life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Individuals in the denominator who died from cancer and were admitted to the ICU in last 30 days of life will be counted in the numerator. This measure is to be submitted a minimum of once per performance period for patients who died of cancer during the measurement year (January 1-December 31).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Numerator Instructions: INVERSE MEASURE- A lower calculated performance rate for this measure indicates better clinical care or control. The “Performance Not Met” numerator option for this measure is the representation of the better clinical quality or control. Submitting that numerator option will produce a performance rate that trends closer to 0%, as quality increases. For inverse measures, a rate of 100% means all of the denominator eligible patients did not receive the appropriate care or were not in proper control.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Numerator Options: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Met:</w:t>
      </w:r>
      <w:r>
        <w:rPr>
          <w:rFonts w:ascii="Calibri" w:eastAsia="Calibri" w:hAnsi="Calibri" w:cs="Calibri"/>
          <w:b/>
          <w:bCs/>
          <w:i/>
          <w:iCs/>
          <w:color w:val="000000"/>
          <w:sz w:val="20"/>
        </w:rPr>
        <w:t xml:space="preserve"> </w:t>
      </w:r>
      <w:r>
        <w:rPr>
          <w:rFonts w:ascii="Calibri" w:eastAsia="Calibri" w:hAnsi="Calibri" w:cs="Calibri"/>
          <w:b w:val="0"/>
          <w:i w:val="0"/>
          <w:color w:val="000000"/>
          <w:sz w:val="20"/>
        </w:rPr>
        <w:t xml:space="preserve">Patient admitted to the ICU in the last 30 days of life </w:t>
      </w:r>
      <w:r>
        <w:rPr>
          <w:rFonts w:ascii="Calibri" w:eastAsia="Calibri" w:hAnsi="Calibri" w:cs="Calibri"/>
          <w:b/>
          <w:bCs/>
          <w:i w:val="0"/>
          <w:color w:val="000000"/>
          <w:sz w:val="20"/>
        </w:rPr>
        <w:t>(G9853)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OR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Not Met</w:t>
      </w:r>
      <w:r>
        <w:rPr>
          <w:rFonts w:ascii="Calibri" w:eastAsia="Calibri" w:hAnsi="Calibri" w:cs="Calibri"/>
          <w:b/>
          <w:bCs/>
          <w:i/>
          <w:iCs/>
          <w:color w:val="000000"/>
          <w:sz w:val="20"/>
        </w:rPr>
        <w:t xml:space="preserve">: </w:t>
      </w:r>
      <w:r>
        <w:rPr>
          <w:rFonts w:ascii="Calibri" w:eastAsia="Calibri" w:hAnsi="Calibri" w:cs="Calibri"/>
          <w:b w:val="0"/>
          <w:i w:val="0"/>
          <w:color w:val="000000"/>
          <w:sz w:val="20"/>
        </w:rPr>
        <w:t xml:space="preserve">Patient was not admitted to the ICU in the last 30 days of life </w:t>
      </w:r>
      <w:r>
        <w:rPr>
          <w:rFonts w:ascii="Calibri" w:eastAsia="Calibri" w:hAnsi="Calibri" w:cs="Calibri"/>
          <w:b/>
          <w:bCs/>
          <w:i w:val="0"/>
          <w:color w:val="000000"/>
          <w:sz w:val="20"/>
        </w:rPr>
        <w:t>(G9854)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died from cancer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is to be submitted a minimum of </w:t>
      </w:r>
      <w:r>
        <w:rPr>
          <w:rFonts w:ascii="Calibri" w:eastAsia="Calibri" w:hAnsi="Calibri" w:cs="Calibri"/>
          <w:b/>
          <w:bCs/>
          <w:i w:val="0"/>
          <w:color w:val="000000"/>
          <w:sz w:val="20"/>
        </w:rPr>
        <w:t xml:space="preserve">once per performance period </w:t>
      </w:r>
      <w:r>
        <w:rPr>
          <w:rFonts w:ascii="Calibri" w:eastAsia="Calibri" w:hAnsi="Calibri" w:cs="Calibri"/>
          <w:b w:val="0"/>
          <w:i w:val="0"/>
          <w:color w:val="000000"/>
          <w:sz w:val="20"/>
        </w:rPr>
        <w:t>for patients who died of cancer during the measurement year (January 1- December 31). It is anticipated that eligible clinicians who provide services for patients with the diagnosis of cancer will submit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Denominator Criteria (Eligible Cases):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Diagnosis for cancer (ICD-10-CM): </w:t>
      </w:r>
      <w:r>
        <w:rPr>
          <w:rFonts w:ascii="Calibri" w:eastAsia="Calibri" w:hAnsi="Calibri" w:cs="Calibri"/>
          <w:b w:val="0"/>
          <w:i w:val="0"/>
          <w:color w:val="000000"/>
          <w:sz w:val="20"/>
        </w:rPr>
        <w:t>Re</w:t>
      </w:r>
      <w:r>
        <w:rPr>
          <w:rFonts w:ascii="Calibri" w:eastAsia="Calibri" w:hAnsi="Calibri" w:cs="Calibri"/>
          <w:b w:val="0"/>
          <w:i w:val="0"/>
          <w:color w:val="000000"/>
          <w:sz w:val="20"/>
        </w:rPr>
        <w:t>fer to attached data dictionary (Excel file).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At least two patient encounters during the performance period (CPT): </w:t>
      </w:r>
      <w:r>
        <w:rPr>
          <w:rFonts w:ascii="Calibri" w:eastAsia="Calibri" w:hAnsi="Calibri" w:cs="Calibri"/>
          <w:b w:val="0"/>
          <w:i w:val="0"/>
          <w:color w:val="000000"/>
          <w:sz w:val="20"/>
        </w:rPr>
        <w:t>99202, 99203, 99204, 99205, 99212, 99213, 99214, 99215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WITHOUT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Telehealth Modifier: </w:t>
      </w:r>
      <w:r>
        <w:rPr>
          <w:rFonts w:ascii="Calibri" w:eastAsia="Calibri" w:hAnsi="Calibri" w:cs="Calibri"/>
          <w:b w:val="0"/>
          <w:i w:val="0"/>
          <w:color w:val="000000"/>
          <w:sz w:val="20"/>
        </w:rPr>
        <w:t>GQ, GT, 95, POS 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1A1A1A"/>
          <w:sz w:val="20"/>
        </w:rPr>
        <w:t xml:space="preserve">Patients who died from cancer: </w:t>
      </w:r>
      <w:r>
        <w:rPr>
          <w:rFonts w:ascii="Calibri" w:eastAsia="Calibri" w:hAnsi="Calibri" w:cs="Calibri"/>
          <w:b w:val="0"/>
          <w:i w:val="0"/>
          <w:color w:val="1A1A1A"/>
          <w:sz w:val="20"/>
        </w:rPr>
        <w:t>G9852</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Performance is calculated as: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Identify those patients that meet the denominator criteria defined in the measure.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Subtract those patients with a denominator exclusion from the denominator if applicable. Note: this measure does not have exclusions.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3. From the patients who qualify for the denominator (after any exclusions are removed), identify those who meet the numerator criteria.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4. Calculation: Numerator/Denominator-Denominator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26"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27"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was conducted using 2017 Physician Quality Reporting System (PQRS) registry performance data. The measure has now transitioned into Merit-based Incentive Payment System (MIPS).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01/01/2017 – 12/31/2017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19"/>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19"/>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Group/Practice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Individual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was conducted using 2017 PQRS registry performance data provided by CMS. Providers were identified by NPIs, and the 2017 dataset provided performance information on 9 NPIs. Additional descriptive characteristics of the measured providers, such as size and location type, are unknown. Entities submitted data for inclusion in this data set according to the eligibility and reporting requirements for PQRS during the 2017 program year. We were unable to determine from our rolled-up data sample the number of clinicians who reported to PQRS as an individual or a group; therefore, this measure should be considered for endorsement at the group/practice level, with a potential group size as n of 1 or group of 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using 2017 PQRS registry performance data provided by CMS was conducted on 77 denominator-eligible patients. Additional descriptive characteristics of the measured patients are unknown since they were not provided in the CMS created dataset. Eligible patients were included in this dataset according to the reporting requirements for the 2017 PQRS program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Data/Sample: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was conducted using 2017 PQRS registry performance data provided by CMS. Providers were identified by NPIs, and the 2017 dataset provided performance information on 9 NPIs.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Data/Sample: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Two subsets of 7 and 6 providers each from the 2017 PQRS registry performance dataset of 9 providers were used for measure validity testing. For the first validity analysis, 7 providers which reported on both Measure 455 - Proportion Admitted to the Intensive Care Unit (ICU) in the Last 30 Days of Life (NQF 213) and Measure 456 - Proportion Not Admitted to Hospice (NQF 215) were investigated. For the second validity analysis, 6 providers which reported on both Measure 455 - Proportion Admitted to the Intensive Care Unit (ICU) in the Last 30 Days of Life (NQF 213) and Measure 453 - Proportion Receiving Chemotherapy in the Last 14 Days of Life (NQF 210) were examined.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Only face validity testing was carried out for 2016 submission. Therefore, the same dataset was used for all testing analyses.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data for social risk factors was not available to perform an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Analysis of social factors and their impact on measure performance was not required.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of the computed measure scores was determined using the signal to noise analysis. The signal is the proportion of the variability in measured performance scores that can be explained by real differences in provider performance and the noise is the total variability in measured performance. Reliability is calculated as the ratio of the provider-to-provider variance divided by the sum of the provider-to-provider variance plus the error variance specific to a provider. A reliability approaching zero implies that all the variability in performance scores is attributable to measurement error. A reliability equal to one implies that all the variability is attributable to real differences in provider performance. A reliability of 0.70 – 0.80 is generally considered the acceptable threshold for reliability, 0.80 – 0.90 is considered high reliability, and 0.90 – 1.0 is considered very high.</w:t>
      </w:r>
      <w:r>
        <w:rPr>
          <w:rFonts w:ascii="Calibri" w:eastAsia="Calibri" w:hAnsi="Calibri" w:cs="Calibri"/>
          <w:b w:val="0"/>
          <w:i w:val="0"/>
          <w:color w:val="000000"/>
          <w:sz w:val="20"/>
          <w:vertAlign w:val="superscript"/>
        </w:rPr>
        <w:t>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assess signal-to-noise, we employed the beta-binomial model as described by JL Adams</w:t>
      </w: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Thirty-four (34) unique providers reported numerators and denominators in accordance with the measure specifications. Through the estimation of the beta-binomial parameters (often referred to as alpha and beta) as described by Adams</w:t>
      </w: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xml:space="preserve">, we estimated the provider-to-provider variance and the within provider variance.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Adams JL, Mehrotra A, McGlynn EA, Estimating Reliability and Misclassification in Physician Profiling, Santa Monica, CA: RAND Corporation, 2010. </w:t>
      </w:r>
      <w:hyperlink r:id="rId28" w:tgtFrame="_blank" w:history="1">
        <w:r>
          <w:rPr>
            <w:rFonts w:ascii="Calibri" w:eastAsia="Calibri" w:hAnsi="Calibri" w:cs="Calibri"/>
            <w:b w:val="0"/>
            <w:i w:val="0"/>
            <w:color w:val="0000FF"/>
            <w:sz w:val="20"/>
            <w:u w:val="single" w:color="0000FF"/>
          </w:rPr>
          <w:t>www.rand.org/pubs/technical_reports/TR863</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27"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Score-Level Reliability</w:t>
      </w:r>
    </w:p>
    <w:tbl>
      <w:tblPr>
        <w:tblStyle w:val="TableGrid"/>
        <w:tblCaption w:val="NQF 213 (QPP 455) Performance Score Reliability"/>
        <w:tblDescription w:val="NQF 213 (QPP 455) Performance Score Reliabilit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
        <w:gridCol w:w="588"/>
        <w:gridCol w:w="1634"/>
        <w:gridCol w:w="844"/>
        <w:gridCol w:w="1295"/>
        <w:gridCol w:w="669"/>
        <w:gridCol w:w="1295"/>
        <w:gridCol w:w="8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Standard Deviation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Minimum</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25th Percentile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Median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75th Percentile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Maximum</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0.9465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0.0942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0.7213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0.9540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NQF 213 (QPP 455) Performance Score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Beta-Binomial Model Parameters</w:t>
      </w:r>
    </w:p>
    <w:tbl>
      <w:tblPr>
        <w:tblStyle w:val="TableGrid"/>
        <w:tblCaption w:val="Parameters of the Beta-Binomial Model"/>
        <w:tblDescription w:val="Parameters of the Beta-Binomial Mode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591"/>
        <w:gridCol w:w="591"/>
        <w:gridCol w:w="59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Mu</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Alpha</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Beta</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0.2992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0.5280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1.2369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Parameters of the Beta-Binomial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Score-Level Reliability among Providers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667328"/>
            <wp:docPr id="100011" name="" descr="Histogram representing the counts of providers with reliability scores divided into tenths. All providers have reliability scores between 0.7 an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29"/>
                    <a:stretch>
                      <a:fillRect/>
                    </a:stretch>
                  </pic:blipFill>
                  <pic:spPr>
                    <a:xfrm>
                      <a:off x="0" y="0"/>
                      <a:ext cx="5943600" cy="3667328"/>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Reliability Scores for All Providers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measure reliability is very high. The mean reliability of 9 providers reporting on the measure is 95%. Half of providers reporting on the measure have reliability of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reliability testing was performed.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hospitals, clinicians)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demonstrate concurrent validity, a bivariate correlation analysis was performed to evaluate the strength of the association between two measures. The value of the correlation coefficient calculated through this analysis varies between +1 and -1. A value of +1 or -1 indicates a perfect degree of association between the two measures. As the correlation coefficient value nears 0, the relationship between the two measures weakens. The direction of the relationship is indicated by the sign of the coefficient. A plus (+) sign indicates a positive relationship and a minus (-) sign indicates a negative relationship.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hypothesized that a positive association exists between Measure 455 - Proportion Admitted to the Intensive Care Unit (ICU) in the Last 30 Days of Life (NQF 213) and Measure 456 - Proportion Not Admitted to Hospice (NQF 215 ) due to the similarities in both the domain of the quality action and patient populations. Both measures detect overly aggressive cancer treatment for a patient with limited life expectancy. Patients still being treated with anti-cancer therapies in their last days of life are very likely to be admitted to ICU and are unlikely to be entered into hospice. Therefore, measure scores on these two measures for the same provider should be very similar.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Additionally, ASCO hypothesized that a positive association exists between Measure 455 - Proportion Admitted to the Intensive Care Unit (ICU) in the Last 30 Days of Life (NQF 213) and Measure 453 - Proportion Receiving Chemotherapy in the Last 14 Days of Life (NQF 210) due to the similarities in both the domain of the quality action and patient populations. Patients receiving chemotherapy in their final days of life have a much greater chance of being admitted to an ICU, since ICU admittance frequently follows overly aggressive treatment of a dying cancer patient. Hence, measure scores on these two measures for the same provider should be very similar.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performed a Pearson correlation analysis using 2017 PQRS datasets for both measures 455 and 453, as well as 455 and 456. Pearson correlation coefficients were calculated to evaluate the association between performance scores of NPIs who had scores on both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following criteria were used to evaluate the strength of the correlation</w:t>
      </w: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w:t>
      </w:r>
    </w:p>
    <w:tbl>
      <w:tblPr>
        <w:tblStyle w:val="TableGrid"/>
        <w:tblCaption w:val="Correlation Coefficient Interpretation Criteria"/>
        <w:tblDescription w:val="Correlation Coefficient Interpretation Criteri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19"/>
        <w:gridCol w:w="121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Correlation Coefficient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Interpretation</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Perfect</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 ±0.8, ±0.7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Strong</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 ±0.5, ±0.4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Moderate</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 ±0.2, ±0.1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Weak</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Zero</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Correlation Coefficient Interpretation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Akoglu H. (2018). User's guide to correlation coefficients. Turkish journal of emergency medicine, 18(3), 91–93. </w:t>
      </w:r>
      <w:hyperlink r:id="rId30" w:tgtFrame="_blank" w:history="1">
        <w:r>
          <w:rPr>
            <w:rFonts w:ascii="Calibri" w:eastAsia="Calibri" w:hAnsi="Calibri" w:cs="Calibri"/>
            <w:b w:val="0"/>
            <w:i w:val="0"/>
            <w:color w:val="0000FF"/>
            <w:sz w:val="20"/>
            <w:u w:val="single" w:color="0000FF"/>
          </w:rPr>
          <w:t>https://doi.org/10.1016/j.tjem.2018.08.001</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Face validity testing was accomplished by first seeking input from patients and their caregivers and then consulting a panel of clinical experts to put patients' stated preferences for care into action. ASCO-led focus groups and structured interviews with end-of-life cancer patients and bereaved caregivers collected patients' feedback regarding their care. Over 40 patients and their caregivers were surveyed and asked questions about their desire to avoid overly aggressive treatment, when to stop treatment, when to start hospice, and desire to avoid emergency room/hospital visits as much as possible. Patient responses were structured into quality actions, which were then vetted by an expert panel of 12 cancer subject matter experts (5 oncologists, 2 researchers, a hospice physician, a hospitalist, a nurse, a social worker, and a patient representative). The panel survey explicitly asked whether the scores obtained from the measures as specified will provide an accurate reflection of quality and can be used to distinguish good and poor quality. The idea that cancer patients with terminal illness do not benefit from heroic attempts at life prolongation, and that such attempts often reflect a lack of honest discussion with patients, is summed up by the statement of one of the oncologists on the expert panel who said, 'for most of our patients, a trip to the ICU is a kind of failure.'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559126"/>
            <wp:docPr id="100013" name="" descr="Graph shows a strong linear relationship between measures 455 (NQF 213) and 456 (NQF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31"/>
                    <a:stretch>
                      <a:fillRect/>
                    </a:stretch>
                  </pic:blipFill>
                  <pic:spPr>
                    <a:xfrm>
                      <a:off x="0" y="0"/>
                      <a:ext cx="5943600" cy="3559126"/>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Correlation between Measure 455 (NQF 213) and Measure 456 (NQF 215)</w:t>
      </w:r>
    </w:p>
    <w:tbl>
      <w:tblPr>
        <w:tblStyle w:val="TableGrid"/>
        <w:tblCaption w:val="Correlation Statistics"/>
        <w:tblDescription w:val="Correlation Statistic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78"/>
        <w:gridCol w:w="59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Correlation Coefficient 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0.9166</w:t>
            </w:r>
          </w:p>
        </w:tc>
      </w:tr>
      <w:tr>
        <w:trPr>
          <w:cantSplit/>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 Square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0.8402</w:t>
            </w:r>
          </w:p>
        </w:tc>
      </w:tr>
      <w:tr>
        <w:trPr>
          <w:cantSplit/>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0.0037</w:t>
            </w:r>
          </w:p>
        </w:tc>
      </w:tr>
      <w:tr>
        <w:trPr>
          <w:cantSplit/>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Providers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Correlation Statistics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04843" cy="304843"/>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32"/>
                    <a:stretch>
                      <a:fillRect/>
                    </a:stretch>
                  </pic:blipFill>
                  <pic:spPr>
                    <a:xfrm>
                      <a:off x="0" y="0"/>
                      <a:ext cx="304843" cy="304843"/>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471117"/>
            <wp:docPr id="100017" name="" descr="Graph shows a strong relationship between measures 455 (NQF 213) and 453 (NQF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33"/>
                    <a:stretch>
                      <a:fillRect/>
                    </a:stretch>
                  </pic:blipFill>
                  <pic:spPr>
                    <a:xfrm>
                      <a:off x="0" y="0"/>
                      <a:ext cx="5943600" cy="3471117"/>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Correlation between Measure 455 (NQF 213) and Measure 453 (NQF 210)</w:t>
      </w:r>
    </w:p>
    <w:tbl>
      <w:tblPr>
        <w:tblStyle w:val="TableGrid"/>
        <w:tblCaption w:val="Correlation Statistics"/>
        <w:tblDescription w:val="Correlation Statistic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77"/>
        <w:gridCol w:w="82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Correlation Coefficient 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0.9945</w:t>
            </w:r>
          </w:p>
        </w:tc>
      </w:tr>
      <w:tr>
        <w:trPr>
          <w:cantSplit/>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 Square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0.9890</w:t>
            </w:r>
          </w:p>
        </w:tc>
      </w:tr>
      <w:tr>
        <w:trPr>
          <w:cantSplit/>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 x 10</w:t>
            </w:r>
            <w:r>
              <w:rPr>
                <w:rFonts w:ascii="Calibri" w:eastAsia="Calibri" w:hAnsi="Calibri" w:cs="Calibri"/>
                <w:b w:val="0"/>
                <w:i w:val="0"/>
                <w:color w:val="000000"/>
                <w:sz w:val="20"/>
                <w:vertAlign w:val="superscript"/>
              </w:rPr>
              <w:t>-5</w:t>
            </w:r>
          </w:p>
        </w:tc>
      </w:tr>
      <w:tr>
        <w:trPr>
          <w:cantSplit/>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Providers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Correlation Statistics</w:t>
      </w:r>
    </w:p>
    <w:p w:rsidR="00A77B3E">
      <w:pPr>
        <w:spacing w:before="0" w:after="80"/>
        <w:ind w:left="0"/>
        <w:jc w:val="left"/>
        <w:rPr>
          <w:rFonts w:ascii="Calibri" w:eastAsia="Calibri" w:hAnsi="Calibri" w:cs="Calibri"/>
          <w:b/>
          <w:bCs/>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face validity survey asked 12 subject matter experts about the appropriateness of the measure components (denominator and numerator), given the intent of this measure. For each measure component, respondents indicated the extent to which they agreed with the stated specifications of the measure component on a 5-point Likert scale (5 = Strongly agree; 4 = Agree; 3 = Neutral; 2 = Disagree; 1 = Strongly disagree).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Agreement on the validity of the measure was high. Ninety-two (92) percent of subject matter experts 'strongly agreed' or 'agreed' that the measure specifications are appropriate and align with current evidence. One hundred (100) percent of subject matter experts 'strongly agreed' or 'agreed' that the performance score for the measure is meaningful, understandable, and useful for public reporting. Finally, the face validity survey results revealed that 92% of respondents believe that the scores obtained from the measure as specified can be used to distinguish good from poor quality. The agreement with the measure was calculated by averaging the answers to these three questions for a general agreement of 95%.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results of the bivariate correlation indicate a strong positive relationship between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455 - Proportion Admitted to the Intensive Care Unit (ICU) in the Last 30 Days of Life (NQF 213)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and Measure 456 - Proportion Not Admitted to Hospice (NQF 215) Scores. Additionally, correlating Measure 455 - Proportion Admitted to the Intensive Care Unit (ICU) in the Last 30 Days of Life (NQF 213) with Measure 453 - Proportion Receiving Chemotherapy in the Last 14 Days of Life (NQF 210) also yields a strong positive relationship. These strong correlations demonstrate criterion validity of the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Face validity survey results revealed that 95% of respondents ‘strongly agree’ or ‘agree’ that this measure provides an accurate reflection of quality and can be used to distinguish good and poor quality.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analysis of meaningful differences in performance was analyzed using calculations of several descriptive statistics, including the minimum, maximum, 25th and 75th percentile, median, IQR, and range. Additionally, we calculated the standard deviation, standard error of the mean performance, and a 95% confidence interval for the mean performance. Finally, we calculated the percent of facilities whose performance was statistically significantly different from the overall performance mean.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Benchmarks were established to identify the outlying 10th decile of practice: The proportion of patients experiencing each process of care in each Health Care Service Area (HCSA) was computed and ranked from best (least aggressive) to worst. A new cohort was created by sequentially adding HCSAs in order starting with the least aggressive until they contained at least 10% of the original cohort and the proportion experiencing each process of care was then recalculated to arrive at the ‘Achievable Benchmark of Care). More detail on this, as well as a reference for the Achievable Benchmark of Care method can be found in our publication: Earle CC, Neville BA, Landrum ME, Souza JE, Weeks JC, Block SD, Grunfeld E, Ayanian JZ. Evaluating claims-based indicators of the intensity of end-of-life cancer care. Int J Qual Health Care. 2005;17(6):505-9.</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Performance Scores Quartiles</w:t>
      </w:r>
    </w:p>
    <w:tbl>
      <w:tblPr>
        <w:tblStyle w:val="TableGrid"/>
        <w:tblCaption w:val="NQF 213 (QPP 455) Performance Score Quartiles"/>
        <w:tblDescription w:val="NQF 213 (QPP 455) Performance Score Quartil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
        <w:gridCol w:w="843"/>
        <w:gridCol w:w="1257"/>
        <w:gridCol w:w="668"/>
        <w:gridCol w:w="1253"/>
        <w:gridCol w:w="877"/>
        <w:gridCol w:w="1673"/>
        <w:gridCol w:w="187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Minimum</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25th Percentile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Median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75th Percentile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Maximum</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Absolute Value IQR*</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Absolute Value Range*</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62.5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11.11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62.5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NQF 213 (QPP 455) Performance Score Quartiles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Performance Scores Mean and Standard Deviation</w:t>
      </w:r>
    </w:p>
    <w:tbl>
      <w:tblPr>
        <w:tblStyle w:val="TableGrid"/>
        <w:tblCaption w:val="NQF 213 (QPP 455) Performance Score Mean and Variation"/>
        <w:tblDescription w:val="NQF 213 (QPP 455) Performance Score Mean and Varia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
        <w:gridCol w:w="513"/>
        <w:gridCol w:w="1635"/>
        <w:gridCol w:w="1360"/>
        <w:gridCol w:w="1005"/>
        <w:gridCol w:w="157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Standard Deviation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Variance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CI for Mean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Outside CI</w:t>
            </w:r>
          </w:p>
        </w:tc>
      </w:tr>
      <w:tr>
        <w:trPr>
          <w:cantSplit/>
          <w:trHeight w:val="32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32.19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43.09</w:t>
            </w:r>
          </w:p>
        </w:tc>
        <w:tc>
          <w:tcPr>
            <w:tcW w:w="13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1856.75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(0, 65)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NQF 213 (QPP 455) Performance Score Mean and Variation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Performance among Providers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632200"/>
            <wp:docPr id="100019" name="" descr="Histogram showing counts of providers according to their measure scores. The scale is divided into intervals of 10 from 0 to 100. Most providers have performance in the range of 0 to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34"/>
                    <a:stretch>
                      <a:fillRect/>
                    </a:stretch>
                  </pic:blipFill>
                  <pic:spPr>
                    <a:xfrm>
                      <a:off x="0" y="0"/>
                      <a:ext cx="5943600" cy="36322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Measure Performance for All Providers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distribution of performance scores from 9 providers is moderately skewed and platykurtic with a third of providers reporting a perfect score of 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Two Year Performance Statistics at a Large Academic Cancer Center</w:t>
      </w:r>
    </w:p>
    <w:tbl>
      <w:tblPr>
        <w:tblStyle w:val="TableGrid"/>
        <w:tblCaption w:val="NQF 213 (QPP 455) Performance Rates at a Large Academic Cancer Center (2-Year Period)"/>
        <w:tblDescription w:val="NQF 213 (QPP 455) Performance Rates at a Large Academic Cancer Center (2-Year Perio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12"/>
        <w:gridCol w:w="1720"/>
        <w:gridCol w:w="512"/>
        <w:gridCol w:w="1634"/>
        <w:gridCol w:w="844"/>
        <w:gridCol w:w="8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Type of Institution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Date Range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Standard Deviation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Minimum</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Maximum</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Large Academic Cancer Center</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6/1/2013-5/31/2015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6.86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11.27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NQF 213 (QPP 455) Performance Rates at a Large Academic Cancer Center (2-Year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benchmark target of &lt; 4% of patients being admitted to the ICU in the last 30 days of life corresponds to that achieved by the highest performing regions in the country.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Despite a relatively small sample of the providers reporting on the measure, there is great variability in performance. While a third of the providers perform perfectly on the measure, the other two-thirds of providers show a span of performance rates from 5% to 100%. Such wide range of scores on the measure suggests there’s clinically meaningful variation across physicians’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Previous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range of performance suggests there’s clinically meaningful variation across physicians’ performance.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PQRS dataset provided to us from the 2017 program year did not contain missing data, so missing data testing was not performed. Due to data completeness requirements, we suspect that missing data would have been rejected when submitted to CMS, in which case those values would not be counted towards measure performance. While data that may have been missing prior to submission to CMS is unknown and therefore precluded any analysis, there is no indication that this missing data was systematic, thus their omission would lead to unbiased performance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 data testing was not performed for this measure as there was no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 data testing was not performed for this measure as there was no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measures are used for comparison among similar providers and there is no expectation that performance will be 0%, and comorbidity risks will if anything decrease the likelihood of experiencing this process of care. Moreover, ASCO prefers that measures are not risk adjusted for patient factors that could possibly obscure disparities (namely age, sex, and socioeconomic status).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will continue to explore whether risk adjustment is appropriate, and if so, how it could be accomplished for our outcome measures. ASCO’s palliative care measures would be included in that assessment. However, patient data availability remains a challenge for registry measures, and collecting this data is placing an additional burden on practices reporting on these measures.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Abstracted from a record by someone other than person obtaining original information (e.g., chart abstraction for quality measure or registry)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clinical data (e.g., clinical registry, nursing home MDS, home health OASIS)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data elements needed for this measure are collected through electronic data or using keyword searches.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is in the process of assessing the feasibility of developing an electronic clinical quality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Apart from the lack of availability of disparities data for analysis, we have not identified any areas of concern or made any modifications as a result of testing and operational use of this measure in relation to data collection, availability of data, missing data, timing and frequency of data collection, sampling, patient confidentiality, time and cost of data collection, or other feasibility issues unless otherwise noted.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NCCN Quality and Outcomes Committee, which includes provider experts and health information technology representatives, stated in a 2020 policy report that this end-of-life measure ranks high in ease of measurement because documentation can occur without major modifications to existing physician workflows or data collection tools, and many practices may be structured to collect this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D’Amico, T. A., Bandini, L. A. M., Balch, A., Benson, A. B., Edge, S. B., Fitzgerald, C. L., Green, R. J., Koh, W.-J., Kolodziej, M., Kumar, S., Meropol, N. J., Mohler, J. L., Pfister, D., Walters, R. S., &amp; Carlson, R. W.. (2020). Quality Measurement in Cancer Care: A Review and Endorsement of High-Impact Measures and Concepts. </w:t>
      </w:r>
      <w:r>
        <w:rPr>
          <w:rFonts w:ascii="Calibri" w:eastAsia="Calibri" w:hAnsi="Calibri" w:cs="Calibri"/>
          <w:b w:val="0"/>
          <w:i/>
          <w:iCs/>
          <w:color w:val="000000"/>
          <w:sz w:val="20"/>
        </w:rPr>
        <w:t>Journal of the National Comprehensive Cancer Network</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18</w:t>
      </w:r>
      <w:r>
        <w:rPr>
          <w:rFonts w:ascii="Calibri" w:eastAsia="Calibri" w:hAnsi="Calibri" w:cs="Calibri"/>
          <w:b w:val="0"/>
          <w:i w:val="0"/>
          <w:color w:val="000000"/>
          <w:sz w:val="20"/>
        </w:rPr>
        <w:t>(3), 250–259.</w:t>
      </w:r>
      <w:r>
        <w:rPr>
          <w:rFonts w:ascii="Calibri" w:eastAsia="Calibri" w:hAnsi="Calibri" w:cs="Calibri"/>
          <w:b w:val="0"/>
          <w:i w:val="0"/>
          <w:color w:val="FF0000"/>
          <w:sz w:val="20"/>
        </w:rPr>
        <w:t xml:space="preserve"> </w:t>
      </w:r>
      <w:hyperlink r:id="rId35" w:tgtFrame="_blank" w:history="1">
        <w:r>
          <w:rPr>
            <w:rFonts w:ascii="Calibri" w:eastAsia="Calibri" w:hAnsi="Calibri" w:cs="Calibri"/>
            <w:b w:val="0"/>
            <w:i w:val="0"/>
            <w:color w:val="0000FF"/>
            <w:sz w:val="20"/>
            <w:u w:val="single" w:color="0000FF"/>
          </w:rPr>
          <w:t>https://doi.org/10.6004/jnccn.2020.7536</w:t>
        </w:r>
      </w:hyperlink>
      <w:r>
        <w:rPr>
          <w:rFonts w:ascii="Calibri" w:eastAsia="Calibri" w:hAnsi="Calibri" w:cs="Calibri"/>
          <w:b w:val="0"/>
          <w:i w:val="0"/>
          <w:color w:val="FF0000"/>
          <w:sz w:val="20"/>
        </w:rPr>
        <w:t xml:space="preserv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requests interested parties seek a licensing agreement prior to commercial use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21"/>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21"/>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21"/>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21"/>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21"/>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[Public Reporting Please Explain] </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 </w:t>
      </w:r>
      <w:r>
        <w:rPr>
          <w:rFonts w:ascii="Calibri" w:eastAsia="Calibri" w:hAnsi="Calibri" w:cs="Calibri"/>
          <w:b w:val="0"/>
          <w:i w:val="0"/>
          <w:color w:val="000000"/>
          <w:sz w:val="20"/>
        </w:rPr>
        <w:t>PPS -Exempt Cancer Hospital Quality Reporting (PCHQR) Program Measures, CMS (*Note-NQF 0213 is implemented in this program for FY 2022, 2023, and 2024 as PCH-33)</w:t>
      </w:r>
    </w:p>
    <w:p w:rsidR="00A77B3E">
      <w:pPr>
        <w:numPr>
          <w:ilvl w:val="1"/>
          <w:numId w:val="22"/>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 </w:t>
      </w:r>
      <w:hyperlink r:id="rId36" w:tgtFrame="_blank" w:history="1">
        <w:r>
          <w:rPr>
            <w:rFonts w:ascii="Calibri" w:eastAsia="Calibri" w:hAnsi="Calibri" w:cs="Calibri"/>
            <w:b w:val="0"/>
            <w:i w:val="0"/>
            <w:color w:val="0000FF"/>
            <w:sz w:val="20"/>
            <w:u w:val="single" w:color="0000FF"/>
          </w:rPr>
          <w:t>https://qualitynet.cms.gov/pch/pchqr/measures</w:t>
        </w:r>
      </w:hyperlink>
    </w:p>
    <w:p w:rsidR="00A77B3E">
      <w:pPr>
        <w:numPr>
          <w:ilvl w:val="1"/>
          <w:numId w:val="22"/>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 </w:t>
      </w:r>
      <w:r>
        <w:rPr>
          <w:rFonts w:ascii="Calibri" w:eastAsia="Calibri" w:hAnsi="Calibri" w:cs="Calibri"/>
          <w:b w:val="0"/>
          <w:i w:val="0"/>
          <w:color w:val="000000"/>
          <w:sz w:val="20"/>
        </w:rPr>
        <w:t>PCHQR is intended to encourage hospitals and clinicians to improve the quality of inpatient care that is provided to Medicare beneficiaries. A major part of the program supports improvement by ensuring that providers are aware of and reporting on best practices for their respective facilities and type of care.</w:t>
      </w:r>
    </w:p>
    <w:p w:rsidR="00A77B3E">
      <w:pPr>
        <w:numPr>
          <w:ilvl w:val="1"/>
          <w:numId w:val="22"/>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w:t>
      </w:r>
      <w:r>
        <w:rPr>
          <w:rFonts w:ascii="Calibri" w:eastAsia="Calibri" w:hAnsi="Calibri" w:cs="Calibri"/>
          <w:b w:val="0"/>
          <w:i w:val="0"/>
          <w:color w:val="000000"/>
          <w:sz w:val="20"/>
        </w:rPr>
        <w:t xml:space="preserve"> Eligible hospitals are referred to as PPS-Exempt Cancer Hospitals (PCHs). These hospitals are excluded from payment under the inpatient prospective payment system (IPPS). Eleven hospitals (hospital list </w:t>
      </w:r>
      <w:hyperlink r:id="rId37" w:tgtFrame="_blank" w:history="1">
        <w:r>
          <w:rPr>
            <w:rFonts w:ascii="Calibri" w:eastAsia="Calibri" w:hAnsi="Calibri" w:cs="Calibri"/>
            <w:b w:val="0"/>
            <w:i w:val="0"/>
            <w:color w:val="0000FF"/>
            <w:sz w:val="20"/>
            <w:u w:val="single" w:color="0000FF"/>
          </w:rPr>
          <w:t>link</w:t>
        </w:r>
      </w:hyperlink>
      <w:r>
        <w:rPr>
          <w:rFonts w:ascii="Calibri" w:eastAsia="Calibri" w:hAnsi="Calibri" w:cs="Calibri"/>
          <w:b w:val="0"/>
          <w:i w:val="0"/>
          <w:color w:val="000000"/>
          <w:sz w:val="20"/>
        </w:rPr>
        <w:t>) have been granted the PCH designation by CMS.  </w:t>
      </w:r>
    </w:p>
    <w:p w:rsidR="00A77B3E">
      <w:pPr>
        <w:numPr>
          <w:ilvl w:val="1"/>
          <w:numId w:val="22"/>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 </w:t>
      </w:r>
      <w:r>
        <w:rPr>
          <w:rFonts w:ascii="Calibri" w:eastAsia="Calibri" w:hAnsi="Calibri" w:cs="Calibri"/>
          <w:b w:val="0"/>
          <w:i w:val="0"/>
          <w:color w:val="000000"/>
          <w:sz w:val="20"/>
        </w:rPr>
        <w:t>Facility Level; Claims Data Source; Inpatient/Hospital Care Setting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Payment Program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[Payment Program Please Explain] </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 </w:t>
      </w:r>
      <w:r>
        <w:rPr>
          <w:rFonts w:ascii="Calibri" w:eastAsia="Calibri" w:hAnsi="Calibri" w:cs="Calibri"/>
          <w:b w:val="0"/>
          <w:i w:val="0"/>
          <w:color w:val="000000"/>
          <w:sz w:val="20"/>
        </w:rPr>
        <w:t>Merit -based Incentive Payment System (MIPS) reporting program, Center for Medicare and Medicaid Services (CMS) (*Note-NQF 0213 is implemented in this program as of PY 2017 as QPP# 455)</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 </w:t>
      </w:r>
      <w:hyperlink r:id="rId38" w:tgtFrame="_blank" w:history="1">
        <w:r>
          <w:rPr>
            <w:rFonts w:ascii="Calibri" w:eastAsia="Calibri" w:hAnsi="Calibri" w:cs="Calibri"/>
            <w:b w:val="0"/>
            <w:i w:val="0"/>
            <w:color w:val="0000FF"/>
            <w:sz w:val="20"/>
            <w:u w:val="single" w:color="0000FF"/>
          </w:rPr>
          <w:t>https://qpp.cms.gov/mips/explore-measures</w:t>
        </w:r>
      </w:hyperlink>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 </w:t>
      </w:r>
      <w:r>
        <w:rPr>
          <w:rFonts w:ascii="Calibri" w:eastAsia="Calibri" w:hAnsi="Calibri" w:cs="Calibri"/>
          <w:b w:val="0"/>
          <w:i w:val="0"/>
          <w:color w:val="000000"/>
          <w:sz w:val="20"/>
        </w:rPr>
        <w:t>MIPS takes a comprehensive approach to payment by basing consideration of quality on a set of evidence-based measures that were primarily developed by clinicians, thus encouraging improvement in clinical practice and supporting advances in technology that allow for easy exchange of information. </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 </w:t>
      </w:r>
      <w:r>
        <w:rPr>
          <w:rFonts w:ascii="Calibri" w:eastAsia="Calibri" w:hAnsi="Calibri" w:cs="Calibri"/>
          <w:b w:val="0"/>
          <w:i w:val="0"/>
          <w:color w:val="000000"/>
          <w:sz w:val="20"/>
        </w:rPr>
        <w:t>MIPS, eligible providers may earn performance-based payment adjustments for the services provided to Medicare patients in the USA. </w:t>
      </w:r>
    </w:p>
    <w:p w:rsidR="00A77B3E">
      <w:pPr>
        <w:numPr>
          <w:ilvl w:val="2"/>
          <w:numId w:val="23"/>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val="0"/>
          <w:color w:val="000000"/>
          <w:sz w:val="20"/>
        </w:rPr>
        <w:t>Eligible providers include: Physicians (including doctors of medicine, osteopathy, dental surgery, dental medicine, podiatric medicine, and optometry), Osteopathic practitioners, Chiropractors, Physician assistants, Nurse practitioners, Clinical nurse specialists, Certified registered nurse anesthetists, Physical therapists, Occupational therapists, Clinical psychologists, Qualified speech-language pathologists, Qualified audiologists, Registered dietitians or nutrition professionals.</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 </w:t>
      </w:r>
      <w:r>
        <w:rPr>
          <w:rFonts w:ascii="Calibri" w:eastAsia="Calibri" w:hAnsi="Calibri" w:cs="Calibri"/>
          <w:b w:val="0"/>
          <w:i w:val="0"/>
          <w:color w:val="000000"/>
          <w:sz w:val="20"/>
        </w:rPr>
        <w:t>Clinician/Group Level; Registry Data Source; Outpatient Services/Ambulatory Care Setting</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w:t>
      </w:r>
      <w:r>
        <w:rPr>
          <w:rFonts w:ascii="Calibri" w:eastAsia="Calibri" w:hAnsi="Calibri" w:cs="Calibri"/>
          <w:b w:val="0"/>
          <w:i w:val="0"/>
          <w:color w:val="000000"/>
          <w:sz w:val="20"/>
        </w:rPr>
        <w:t> </w:t>
      </w:r>
      <w:r>
        <w:rPr>
          <w:rFonts w:ascii="Calibri" w:eastAsia="Calibri" w:hAnsi="Calibri" w:cs="Calibri"/>
          <w:b/>
          <w:bCs/>
          <w:i w:val="0"/>
          <w:color w:val="000000"/>
          <w:sz w:val="20"/>
        </w:rPr>
        <w:t>: </w:t>
      </w:r>
      <w:r>
        <w:rPr>
          <w:rFonts w:ascii="Calibri" w:eastAsia="Calibri" w:hAnsi="Calibri" w:cs="Calibri"/>
          <w:b w:val="0"/>
          <w:i w:val="0"/>
          <w:color w:val="000000"/>
          <w:sz w:val="20"/>
        </w:rPr>
        <w:t>Polaris, </w:t>
      </w:r>
      <w:r>
        <w:rPr>
          <w:rFonts w:ascii="Calibri" w:eastAsia="Calibri" w:hAnsi="Calibri" w:cs="Calibri"/>
          <w:b w:val="0"/>
          <w:i w:val="0"/>
          <w:color w:val="000000"/>
          <w:sz w:val="20"/>
        </w:rPr>
        <w:t>FIGmd (NQF 0213 is implemented in this registry for 2022 reporting as QPP# 455)</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 </w:t>
      </w:r>
      <w:hyperlink r:id="rId39" w:tgtFrame="_blank" w:history="1">
        <w:r>
          <w:rPr>
            <w:rFonts w:ascii="Calibri" w:eastAsia="Calibri" w:hAnsi="Calibri" w:cs="Calibri"/>
            <w:b w:val="0"/>
            <w:i w:val="0"/>
            <w:color w:val="0000FF"/>
            <w:sz w:val="20"/>
            <w:u w:val="single" w:color="0000FF"/>
          </w:rPr>
          <w:t>https://polaris.figmd.com/measures1/</w:t>
        </w:r>
      </w:hyperlink>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 </w:t>
      </w:r>
      <w:r>
        <w:rPr>
          <w:rFonts w:ascii="Calibri" w:eastAsia="Calibri" w:hAnsi="Calibri" w:cs="Calibri"/>
          <w:b w:val="0"/>
          <w:i w:val="0"/>
          <w:color w:val="000000"/>
          <w:sz w:val="20"/>
        </w:rPr>
        <w:t>Polaris, a FIGmd hosted registry, offers a simplified and innovative approach for MIPS reporting. Polaris is a CMS-approved Qualified Clinical Data Registry (QCDR) in collaboration with the American Society of Clinical Oncology (ASCO) and a Qualified Registry (QR).</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 </w:t>
      </w:r>
      <w:r>
        <w:rPr>
          <w:rFonts w:ascii="Calibri" w:eastAsia="Calibri" w:hAnsi="Calibri" w:cs="Calibri"/>
          <w:b w:val="0"/>
          <w:i w:val="0"/>
          <w:color w:val="000000"/>
          <w:sz w:val="20"/>
        </w:rPr>
        <w:t>FIGmd is a leading Registry operator in the United States and handles submission and reporting requirements for over 77,000 providers.</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 </w:t>
      </w:r>
      <w:r>
        <w:rPr>
          <w:rFonts w:ascii="Calibri" w:eastAsia="Calibri" w:hAnsi="Calibri" w:cs="Calibri"/>
          <w:b w:val="0"/>
          <w:i w:val="0"/>
          <w:color w:val="000000"/>
          <w:sz w:val="20"/>
        </w:rPr>
        <w:t>Clinician/Group Level; Registry Data Source; Outpatient Services/Ambulatory Care Setting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 </w:t>
      </w:r>
      <w:r>
        <w:rPr>
          <w:rFonts w:ascii="Calibri" w:eastAsia="Calibri" w:hAnsi="Calibri" w:cs="Calibri"/>
          <w:b w:val="0"/>
          <w:i w:val="0"/>
          <w:color w:val="000000"/>
          <w:sz w:val="20"/>
        </w:rPr>
        <w:t>Quality Oncology Practice Initiative (QOPI®), American Society of Clinical Oncology (*Note, Retired from QOPI in PY 2021)</w:t>
      </w:r>
    </w:p>
    <w:p w:rsidR="00A77B3E">
      <w:pPr>
        <w:numPr>
          <w:ilvl w:val="1"/>
          <w:numId w:val="24"/>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 </w:t>
      </w:r>
      <w:hyperlink r:id="rId40" w:tgtFrame="_blank" w:history="1">
        <w:r>
          <w:rPr>
            <w:rFonts w:ascii="Calibri" w:eastAsia="Calibri" w:hAnsi="Calibri" w:cs="Calibri"/>
            <w:b w:val="0"/>
            <w:i w:val="0"/>
            <w:color w:val="0000FF"/>
            <w:sz w:val="20"/>
            <w:u w:val="single" w:color="0000FF"/>
          </w:rPr>
          <w:t>https://practice.asco.org/quality-improvement/quality-programs/quality-oncology-practice-initiative</w:t>
        </w:r>
      </w:hyperlink>
    </w:p>
    <w:p w:rsidR="00A77B3E">
      <w:pPr>
        <w:numPr>
          <w:ilvl w:val="1"/>
          <w:numId w:val="24"/>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 </w:t>
      </w:r>
      <w:r>
        <w:rPr>
          <w:rFonts w:ascii="Calibri" w:eastAsia="Calibri" w:hAnsi="Calibri" w:cs="Calibri"/>
          <w:b w:val="0"/>
          <w:i w:val="0"/>
          <w:color w:val="000000"/>
          <w:sz w:val="20"/>
        </w:rPr>
        <w:t>QOPI® is an oncologist-led, practice-based quality assessment and improvement program. QOPI provides a standard methodology, robust library of quality metrics for oncology, and a collection tool to reliably and routinely assess care, inform quality improvement activities, and demonstrate quality to patients and external stakeholders. Collection rounds are offered twice per year, in spring and fall, for an eight-week period.</w:t>
      </w:r>
    </w:p>
    <w:p w:rsidR="00A77B3E">
      <w:pPr>
        <w:numPr>
          <w:ilvl w:val="1"/>
          <w:numId w:val="24"/>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 </w:t>
      </w:r>
      <w:r>
        <w:rPr>
          <w:rFonts w:ascii="Calibri" w:eastAsia="Calibri" w:hAnsi="Calibri" w:cs="Calibri"/>
          <w:b w:val="0"/>
          <w:i w:val="0"/>
          <w:color w:val="000000"/>
          <w:sz w:val="20"/>
        </w:rPr>
        <w:t>QOPI® is available to all oncology practices with a least one active ASCO member located in the US, US territories, and several countries outside of the US, including Argentina, Australia, Brazil, all countries in the European Union, India, Malaysia, Mexico, New Zealand, Pakistan, Philippines, and Saudi Arabia.</w:t>
      </w:r>
    </w:p>
    <w:p w:rsidR="00A77B3E">
      <w:pPr>
        <w:numPr>
          <w:ilvl w:val="1"/>
          <w:numId w:val="24"/>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 </w:t>
      </w:r>
      <w:r>
        <w:rPr>
          <w:rFonts w:ascii="Calibri" w:eastAsia="Calibri" w:hAnsi="Calibri" w:cs="Calibri"/>
          <w:b w:val="0"/>
          <w:i w:val="0"/>
          <w:color w:val="000000"/>
          <w:sz w:val="20"/>
        </w:rPr>
        <w:t>Clinician/Group Level; Registry Data Source; Outpatient Services/Ambulatory Care Setting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 </w:t>
      </w:r>
      <w:r>
        <w:rPr>
          <w:rFonts w:ascii="Calibri" w:eastAsia="Calibri" w:hAnsi="Calibri" w:cs="Calibri"/>
          <w:b w:val="0"/>
          <w:i w:val="0"/>
          <w:color w:val="000000"/>
          <w:sz w:val="20"/>
        </w:rPr>
        <w:t>Core Quality Measures Collaborative (CQMC) 2020 Medical Oncology Core Set, AHIP, CMS, and NQF (*Note, this is not a public reporting or payment program, just recommended core measure set by specialty. NQF# 0213 is included in the Medical Oncology Core Set.)</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 </w:t>
      </w:r>
      <w:hyperlink r:id="rId41" w:tgtFrame="_blank" w:history="1">
        <w:r>
          <w:rPr>
            <w:rFonts w:ascii="Calibri" w:eastAsia="Calibri" w:hAnsi="Calibri" w:cs="Calibri"/>
            <w:b w:val="0"/>
            <w:i w:val="0"/>
            <w:color w:val="0000FF"/>
            <w:sz w:val="20"/>
            <w:u w:val="single" w:color="0000FF"/>
          </w:rPr>
          <w:t>https://www.qualityforum.org/CQMC_Core_Sets.aspx</w:t>
        </w:r>
      </w:hyperlink>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 </w:t>
      </w:r>
      <w:r>
        <w:rPr>
          <w:rFonts w:ascii="Calibri" w:eastAsia="Calibri" w:hAnsi="Calibri" w:cs="Calibri"/>
          <w:b w:val="0"/>
          <w:i w:val="0"/>
          <w:color w:val="000000"/>
          <w:sz w:val="20"/>
        </w:rPr>
        <w:t>The CQMC defines a core measure set as a parsimonious group of scientifically sound measures that efficiently promote a patient-centered assessment of quality and should be prioritized for adoption in value-based purchasing and APMs. </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 </w:t>
      </w:r>
      <w:r>
        <w:rPr>
          <w:rFonts w:ascii="Calibri" w:eastAsia="Calibri" w:hAnsi="Calibri" w:cs="Calibri"/>
          <w:b w:val="0"/>
          <w:i w:val="0"/>
          <w:color w:val="000000"/>
          <w:sz w:val="20"/>
        </w:rPr>
        <w:t>N/A-this is not a public reporting or payment program</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 </w:t>
      </w:r>
      <w:r>
        <w:rPr>
          <w:rFonts w:ascii="Calibri" w:eastAsia="Calibri" w:hAnsi="Calibri" w:cs="Calibri"/>
          <w:b w:val="0"/>
          <w:i w:val="0"/>
          <w:color w:val="000000"/>
          <w:sz w:val="20"/>
        </w:rPr>
        <w:t>N/A-this is not a public reporting or payment program</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 </w:t>
      </w:r>
      <w:r>
        <w:rPr>
          <w:rFonts w:ascii="Calibri" w:eastAsia="Calibri" w:hAnsi="Calibri" w:cs="Calibri"/>
          <w:b w:val="0"/>
          <w:i w:val="0"/>
          <w:color w:val="000000"/>
          <w:sz w:val="20"/>
        </w:rPr>
        <w:t>The NCCN Quality and Outcomes Committee endorsements of impactful and feasible quality and outcomes measures, National Comprehensive Cancer Network (NCCN) (*Note, this is not a public reporting or payment program, just recommended measures. NQF# 0213 is included in the NCCN’s list of measures they endorse.) </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 </w:t>
      </w:r>
      <w:hyperlink r:id="rId42" w:tgtFrame="_blank" w:history="1">
        <w:r>
          <w:rPr>
            <w:rFonts w:ascii="Calibri" w:eastAsia="Calibri" w:hAnsi="Calibri" w:cs="Calibri"/>
            <w:b w:val="0"/>
            <w:i w:val="0"/>
            <w:color w:val="0000FF"/>
            <w:sz w:val="20"/>
            <w:u w:val="single" w:color="0000FF"/>
          </w:rPr>
          <w:t>https://jnccn.org/view/journals/jnccn/18/3/article-p250.xml</w:t>
        </w:r>
      </w:hyperlink>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w:t>
      </w:r>
      <w:r>
        <w:rPr>
          <w:rFonts w:ascii="Calibri" w:eastAsia="Calibri" w:hAnsi="Calibri" w:cs="Calibri"/>
          <w:b w:val="0"/>
          <w:i w:val="0"/>
          <w:color w:val="000000"/>
          <w:sz w:val="20"/>
        </w:rPr>
        <w:t>: NCCN has published a curated list of high-impact measures for assessing quality improvements in cancer care. The recommendations reflect a landscape analysis from leading oncology experts (the NCCN Quality and Outcomes Committee); they evaluate measures that, if implemented, will move the needle on cancer care standards in America, with potential implications for policy and coverage. The committee reviewed 528 existing oncology quality measures and new measure concepts that could be appropriate for development. This list was narrowed down and includes endorsement of 15 existing measures and seven new concepts proposed for development.</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 </w:t>
      </w:r>
      <w:r>
        <w:rPr>
          <w:rFonts w:ascii="Calibri" w:eastAsia="Calibri" w:hAnsi="Calibri" w:cs="Calibri"/>
          <w:b w:val="0"/>
          <w:i w:val="0"/>
          <w:color w:val="000000"/>
          <w:sz w:val="20"/>
        </w:rPr>
        <w:t>N/A-this is not a public reporting or payment program</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 </w:t>
      </w:r>
      <w:r>
        <w:rPr>
          <w:rFonts w:ascii="Calibri" w:eastAsia="Calibri" w:hAnsi="Calibri" w:cs="Calibri"/>
          <w:b w:val="0"/>
          <w:i w:val="0"/>
          <w:color w:val="000000"/>
          <w:sz w:val="20"/>
        </w:rPr>
        <w:t>N/A-this is not a public reporting or payment program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Measure Currently in Use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are continuously seeking opportunities to advocate for expanded use of this measure in government or other programs, including those intended for accountability or public reporting. For example, this measure was recently selected for inclusion in a Medical Oncology Core Measure Set supported by America’s Health Insurance Plans and CMS. See section 4a.3. below for additional details.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has also been included in America´s Health Insurance Plans Medical Oncology Core Measure Set. The purpose of this program is to reduce variability in measure selection, specifications and implementation. The measures will be implemented nationally by private health plans using a phased-in approach. Contracts between physicians and private payers are individually negotiated and therefore come up for renewal at different points in time depending on the duration of the contract. It is anticipated that private payers will implement these core sets of measures as and when contracts come up for renewal or if existing contracts allow modification of the performance measure set. CMS is also working to align measures across public programs. They intend to include, for broad input, the agreed upon draft measure sets in the Physician Fee Schedule and other proposed rules. For measures that are not currently in CMS programs, CMS would go through the annual pre-rulemaking and rulemaking processes to solicit stakeholder and public input. Depending on public response, these measures will be included in a timeframe determined by the Agency.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publicly reports performance rates and benchmarks annually for the MIPS program to help eligible providers understand how they perform relative to others. CMS offers a range of support to help eligible providers actively participate in MIPS, including webinars and the QPP Service Center.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has quality of care data publicly displayed on a rolling quarter basis for the PCHQR program. The PCHQR program also offers the QualityNet Service Center for assistance, including interpretation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ASCO’s measure development team are available to receive comments and questions from measure implementers and clinicians reporting ASCO measures. If comments or questions require expert input, these are shared with ASCO’s Technical Expert Panel to determine if measure modifications may be warranted in the annual maintenance of the measure. Additionally, for ASCO measures included in CMS’ federal reporting programs, there is a system that has been established to elicit timely feedback and responses from ASCO measure development team, as needed.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publicly reports performance rates and benchmarks annually for the MIPS program to help eligible providers understand how they perform relative to others. CMS offers a range of support to help eligible providers actively participate in MIPS, including webinars and the QPP Service Center.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has quality of care data publicly displayed on a rolling quarter basis for the PCHQR program. The PCHQR program also offers the QualityNet Service Center for assistance, including interpretation of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ASCO’s measure development team allows for feedback and measure inquiries from implementers and reporters via email. In addition, CMS’ MIPS and PCHQR programs both offer helpdesks for questions on measures. At this time, no specific feedback has been received by ASCO on this measure through those avenues.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additional feedback has been received by ASCO on this measure. However, we will continue to solicit feedback as we perform maintenance on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2020, NQF# 0213 has been deemed a priority measure by the Core Quality Measures Collaborative (CQMC) (sponsored by NQF, CMS, and AHIP). CQMC included this measure in their </w:t>
      </w:r>
      <w:hyperlink r:id="rId41" w:tgtFrame="_blank" w:history="1">
        <w:r>
          <w:rPr>
            <w:rFonts w:ascii="Calibri" w:eastAsia="Calibri" w:hAnsi="Calibri" w:cs="Calibri"/>
            <w:b w:val="0"/>
            <w:i w:val="0"/>
            <w:color w:val="0000FF"/>
            <w:sz w:val="20"/>
            <w:u w:val="single" w:color="0000FF"/>
          </w:rPr>
          <w:t>Medical Oncology Core Set</w:t>
        </w:r>
      </w:hyperlink>
      <w:r>
        <w:rPr>
          <w:rFonts w:ascii="Calibri" w:eastAsia="Calibri" w:hAnsi="Calibri" w:cs="Calibri"/>
          <w:b w:val="0"/>
          <w:i w:val="0"/>
          <w:color w:val="000000"/>
          <w:sz w:val="20"/>
        </w:rPr>
        <w:t>. The CQMC defines a core measure set as a parsimonious group of scientifically sound measures that efficiently promote a patient-centered assessment of quality and should be prioritized for adoption in value-based purchasing and APMs.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2020, NQF# 0213 was included in National Comprehensive Cancer Network (NCCN) Quality and Outcomes Committee endorsements of impactful and feasible quality and outcomes measures in cancer care. The </w:t>
      </w:r>
      <w:hyperlink r:id="rId42" w:tgtFrame="_blank" w:history="1">
        <w:r>
          <w:rPr>
            <w:rFonts w:ascii="Calibri" w:eastAsia="Calibri" w:hAnsi="Calibri" w:cs="Calibri"/>
            <w:b w:val="0"/>
            <w:i w:val="0"/>
            <w:color w:val="0000FF"/>
            <w:sz w:val="20"/>
            <w:u w:val="single" w:color="0000FF"/>
          </w:rPr>
          <w:t>recommendations</w:t>
        </w:r>
      </w:hyperlink>
      <w:r>
        <w:rPr>
          <w:rFonts w:ascii="Calibri" w:eastAsia="Calibri" w:hAnsi="Calibri" w:cs="Calibri"/>
          <w:b w:val="0"/>
          <w:i w:val="0"/>
          <w:color w:val="000000"/>
          <w:sz w:val="20"/>
        </w:rPr>
        <w:t xml:space="preserve"> reflect a landscape analysis from leading oncology experts (the NCCN Quality and Outcomes Committee); they evaluate measures that, if implemented, will move the needle on cancer care standards in America, with potential implications for policy and coverage. The committee reviewed 528 existing oncology quality measures and new measure concepts. The committee endorsed 15 existing measures and seven new measure concepts. NQF#0213 was one of 15 existing measures endorsed by the NCCN Quality and Outcomes Committee.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Thus far, ASCO has not receive specific feedback on the measure specification; therefore, ASCO’s TEP did not consider external feedback from those being measured during revision of measure specifications or implementation.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evaluating the performance data (from QOPI), the mean performance rate on this measure varies between 7.03% to 12.86% between 2017-2020 (Note-this is an inverse measure). There continues to be some fluctuations in performance, with some slight indications of improvement since 2017. However, more data in upcoming years would be needed to confirm an improvement. Available performance data also indicates continued performance at lower levels, with the lowest performance score between 50-100%. Note that the overall performance of this measure should not be 0, to account for individual cases where there could be patients early in their treatment course that unexpectedly died and also to account for patient and family treatment preferences. However, high overall rates should be examined for clinical appropriateness. In addition, given recent studies in the literature (refer to question 1b.05) indicating disparities for the Medicaid population and African American population, it would be helpful in the future to have data to follow the trends for these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 this time, we are not aware of any unintended consequences related to this measure. We take unintended consequences very seriously and therefore continuously monitor to identify actions that can be taken to mitigate them.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not observed any unexpected benefits associated with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0210: Percentage of patients who died from cancer receiving chemotherapy in the last 14 days of life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0216: Percentage of patients who died from cancer admitted to hospice for less than 3 days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1626: Patients Admitted to ICU who Have Care Preferences Documented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PCH-34 </w:t>
      </w:r>
      <w:hyperlink r:id="rId43" w:tgtFrame="_blank" w:history="1">
        <w:r>
          <w:rPr>
            <w:rFonts w:ascii="Calibri" w:eastAsia="Calibri" w:hAnsi="Calibri" w:cs="Calibri"/>
            <w:b w:val="0"/>
            <w:i w:val="0"/>
            <w:color w:val="0000FF"/>
            <w:sz w:val="20"/>
            <w:u w:val="single" w:color="0000FF"/>
          </w:rPr>
          <w:t>Proportion of Patients Who Died from Cancer Not Admitted to Hospice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Steward: American Society of Clinical Oncology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competing measures. NQF 0210, NQF 0216, NQF 1626, PCH-34 are related measures and their differences with NQF 0213 are summarized below:</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NQF 0210, NQF 0216, PCH-34 are also stewarded by ASCO and are harmonized to the extent possible in the measure specifications with NQF 0213. All 4 measures address the same target population, patients who died of cancer. However each measure addresses 4 different measure focuses, per the numerator, specifically undesirable events prior to death (i.e. ICU admissions within 30 days before death, hospice enrollment less than 3 days before death, not enrolled in hospice prior to death, and chemotherapy within 14 days before death).</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NQF 1626 Patients Admitted to ICU who Have Care Preferences Documented is stewarded by RAND. NQF 1626 is a process measure in the inpatient/hospital setting using paper medical records data source. However, NQF 0213 is an outpatient setting measure using a registry data source. NQF 1626 addresses a target population of vulnerable adults admitted to ICU who survive at least 48 hours after ICU admission. NQF 0213 addresses a target population of patients who died of cancer. Although NQF 1626 and NQF 0213 both address patients admitted to the ICU, the measure focuses differ significantly. NQF 1626 is focusing on if vulnerable adults admitted to ICU, who survive at least 48 hours, have their care preferences documented within 48 hours. Whereas NQF 0213 is focusing on if there are aggressive treatment at end of life for cancer patients, in this case an ICU admission within 30 days before their death.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competing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American Society of Clinical Oncology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Drumheller, Caitlin, caitlin.drumheller@asco.org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Durakovic, Lela, lela.durakovic@asco.org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American Society of Clinical Oncology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Drumheller, Caitlin, caitlin.drumheller@asco.org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Durakovic, Lela, lela.durakovic@asco.org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ASCO Palliative Measures Development Panel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panel is responsible for reviewing evidence and maintaining measures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Tracey Evans, MD (Chair)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University of Pennsylvania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Craig Earle, MD, FASCO (Co-Chair)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Institute for Clinical Evaluative Science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Katherine Ast, MSW, LCSW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American Academy of Hospice and Palliative Medicine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Amy Berman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John A. Hartford Foundation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Kathleen Bickel, MD, MPhil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White River Junction VA Medical Center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Eduardo Bruera, MD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University of Texas MD Anderson Cancer Center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Sydney Dy, MD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Johns Hopkins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Esme Finlay, MD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University of New Mexico Cancer Research and Treatment Center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Arif Kamal, MD, MHS, FAAHPM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Duke University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Kristen McNiff, MPH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Dana-Farber Cancer Institute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Michael Neuss, MD, FASCO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Vanderbilt Ingram Cancer Center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John Sprandio, MD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Consultant in Med Onc and Hem Inc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Holley Stallings, RN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Norton Cancer Institute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Jamie Von Roenn, MD, FASCO </w:t>
      </w:r>
      <w:r>
        <w:rPr>
          <w:rFonts w:ascii="Calibri" w:eastAsia="Calibri" w:hAnsi="Calibri" w:cs="Calibri"/>
          <w:b w:val="0"/>
          <w:i w:val="0"/>
          <w:color w:val="000000"/>
          <w:sz w:val="20"/>
        </w:rPr>
        <w:br/>
      </w:r>
      <w:r>
        <w:rPr>
          <w:rFonts w:ascii="Calibri" w:eastAsia="Calibri" w:hAnsi="Calibri" w:cs="Calibri"/>
          <w:b w:val="0"/>
          <w:i w:val="0"/>
          <w:color w:val="000000"/>
          <w:sz w:val="20"/>
        </w:rPr>
        <w:t>American Society of Clinical Oncology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2009</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January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Annually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Spring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THE MEASURES AND SPECIFICATIONS ARE PROVIDED “AS IS” WITHOUT WARRANTY OF ANY KIND.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2022 American Society of Clinical Oncology. All Rights Reserved.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Limited proprietary coding is contained in the Measure specification for convenience. A license agreement must be entered prior to a third party’s use of Current Procedural Terminology (CPT®) or other proprietary code sets contained in the Measures. Any other use of CPT or other coding by the third party is strictly prohibited. ASCO and its members disclaim all liability for use or accuracy of any Current Procedural Terminology (CPT®) or other coding contained in the specification.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CPT® contained in the Measures specifications is copyright 2004-2022 American Medical Association. LOINC® copyright 2004-2022 Regenstreif Institute, Inc. SNOMED CLINICAL TERMS (SNOMED CT®) copyright 2004-2022 The International Health Terminology Standards Development Organisation (IHTSDO). ICD-10 is copyright 2022 World Health Organization. All Rights Reserved.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is not clinical guidelines, does not establish a standard of medical care, and has not been tested for all potential applications.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while copyrighted, can be reproduced and distributed, without modification, for noncommercial purposes, e.g., use by health care providers in connection with their practices. Commercial use is defined as the sale, license, or distribution of the Measures for commercial gain, or incorporation of the Measure into a product or service that is sold, licensed or distributed for commercial gain.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Commercial uses of the Measure require a license agreement between the user and the American Society of Clinical Oncology (ASCO) and prior written approval of ASCO. Contact measurement@asco.org for licensing this measure. Neither ASCO nor its members shall be responsible for any use of the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ASCO encourages use of the Measures by other health care professionals, where appropriate.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44"/>
      <w:footerReference w:type="default" r:id="rId45"/>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#0213 Percentage of patients who died from cancer admitted to the Intensive Care Unit (ICU) in the last 30 days of life,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lowerRoman"/>
      <w:lvlText w:val="%1."/>
      <w:lvlJc w:val="righ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0"/>
    <w:multiLevelType w:val="hybridMultilevel"/>
    <w:tmpl w:val="0000001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multilevel"/>
    <w:tmpl w:val="0000001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hybridMultilevel"/>
    <w:tmpl w:val="00000015"/>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nsid w:val="00000016"/>
    <w:multiLevelType w:val="multilevel"/>
    <w:tmpl w:val="00000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hybridMultilevel"/>
    <w:tmpl w:val="0000001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nccn.org/guidelines/guidelines-detail?category=3&amp;id=1454" TargetMode="External" /><Relationship Id="rId11" Type="http://schemas.openxmlformats.org/officeDocument/2006/relationships/hyperlink" Target="https://www.nccn.org/guidelines/category_3" TargetMode="External" /><Relationship Id="rId12" Type="http://schemas.openxmlformats.org/officeDocument/2006/relationships/hyperlink" Target="https://ascopubs.org/doi/10.1200/JCO.2016.70.1474" TargetMode="External" /><Relationship Id="rId13" Type="http://schemas.openxmlformats.org/officeDocument/2006/relationships/hyperlink" Target="https://www.icsi.org/wp-content/uploads/2021/11/PalliativeCare_6th-Ed_2020_v2.pdf" TargetMode="External" /><Relationship Id="rId14" Type="http://schemas.openxmlformats.org/officeDocument/2006/relationships/hyperlink" Target="https://doi.org/10.1177/1049909119848148" TargetMode="External" /><Relationship Id="rId15" Type="http://schemas.openxmlformats.org/officeDocument/2006/relationships/hyperlink" Target="https://www.cebm.ox.ac.uk/resources/levels-of-evidence/oxford-centre-for-evidence-based-medicine-levels-of-evidence-march-2009" TargetMode="External" /><Relationship Id="rId16" Type="http://schemas.openxmlformats.org/officeDocument/2006/relationships/hyperlink" Target="http://www.instituteforquality.org/asco-provisional-clinical-opinion-integration-palliative-care-standard-oncology-care." TargetMode="External" /><Relationship Id="rId17" Type="http://schemas.openxmlformats.org/officeDocument/2006/relationships/hyperlink" Target="http://onlinelibrary.wiley.com/doi/10.1002/14651858.CD007760.pub2/pdf" TargetMode="External" /><Relationship Id="rId18" Type="http://schemas.openxmlformats.org/officeDocument/2006/relationships/hyperlink" Target="https://pubmed.ncbi.nlm.nih.gov/28220023/" TargetMode="External" /><Relationship Id="rId19" Type="http://schemas.openxmlformats.org/officeDocument/2006/relationships/hyperlink" Target="https://pubmed.ncbi.nlm.nih.gov/26784776/" TargetMode="External" /><Relationship Id="rId2" Type="http://schemas.openxmlformats.org/officeDocument/2006/relationships/webSettings" Target="webSettings.xml" /><Relationship Id="rId20" Type="http://schemas.openxmlformats.org/officeDocument/2006/relationships/hyperlink" Target="https://qpp-cm-prod-content.s3.amazonaws.com/uploads/492/2017%20QPP%20Experience%20Report%20Appendix.zip" TargetMode="External" /><Relationship Id="rId21" Type="http://schemas.openxmlformats.org/officeDocument/2006/relationships/hyperlink" Target="https://ascopubs.org/doi/abs/10.1200/JCO.2020.38.29_suppl.214" TargetMode="External" /><Relationship Id="rId22" Type="http://schemas.openxmlformats.org/officeDocument/2006/relationships/hyperlink" Target="https://doi.org/10.1200/jop.19.00767" TargetMode="External" /><Relationship Id="rId23" Type="http://schemas.openxmlformats.org/officeDocument/2006/relationships/hyperlink" Target="http://www.qualityforum.org/WorkArea/linkit.aspx?LinkIdentifier=id&amp;ItemID=73367" TargetMode="External" /><Relationship Id="rId24" Type="http://schemas.openxmlformats.org/officeDocument/2006/relationships/hyperlink" Target="https://qpp-cm-prod-content.s3.amazonaws.com/uploads/1690/2022+Clinical+Quality+Measure+Specifications+and+Supporting+Documents.zip" TargetMode="External" /><Relationship Id="rId25" Type="http://schemas.openxmlformats.org/officeDocument/2006/relationships/hyperlink" Target="mailto:measuremaintenance@qualityforum.org" TargetMode="External" /><Relationship Id="rId26" Type="http://schemas.openxmlformats.org/officeDocument/2006/relationships/hyperlink" Target="https://www.qualityforum.org/Measuring_Performance/Submitting_Standards.aspx" TargetMode="External" /><Relationship Id="rId27" Type="http://schemas.openxmlformats.org/officeDocument/2006/relationships/hyperlink" Target="https://www.qualityforum.org/WorkArea/linkit.aspx?LinkIdentifier=id&amp;ItemID=88439" TargetMode="External" /><Relationship Id="rId28" Type="http://schemas.openxmlformats.org/officeDocument/2006/relationships/hyperlink" Target="http://www.rand.org/pubs/technical_reports/TR863" TargetMode="External" /><Relationship Id="rId29" Type="http://schemas.openxmlformats.org/officeDocument/2006/relationships/image" Target="media/image3.png" /><Relationship Id="rId3" Type="http://schemas.openxmlformats.org/officeDocument/2006/relationships/fontTable" Target="fontTable.xml" /><Relationship Id="rId30" Type="http://schemas.openxmlformats.org/officeDocument/2006/relationships/hyperlink" Target="https://doi.org/10.1016/j.tjem.2018.08.001" TargetMode="External" /><Relationship Id="rId31" Type="http://schemas.openxmlformats.org/officeDocument/2006/relationships/image" Target="media/image4.png" /><Relationship Id="rId32" Type="http://schemas.openxmlformats.org/officeDocument/2006/relationships/image" Target="media/image5.png" /><Relationship Id="rId33" Type="http://schemas.openxmlformats.org/officeDocument/2006/relationships/image" Target="media/image6.png" /><Relationship Id="rId34" Type="http://schemas.openxmlformats.org/officeDocument/2006/relationships/image" Target="media/image7.png" /><Relationship Id="rId35" Type="http://schemas.openxmlformats.org/officeDocument/2006/relationships/hyperlink" Target="https://doi.org/10.6004/jnccn.2020.7536" TargetMode="External" /><Relationship Id="rId36" Type="http://schemas.openxmlformats.org/officeDocument/2006/relationships/hyperlink" Target="https://qualitynet.cms.gov/pch/pchqr/measures" TargetMode="External" /><Relationship Id="rId37" Type="http://schemas.openxmlformats.org/officeDocument/2006/relationships/hyperlink" Target="https://www.cms.gov/Medicare/Medicare-Fee-for-Service-Payment/AcuteInpatientPPS/PPS_Exc_Cancer_Hospasp" TargetMode="External" /><Relationship Id="rId38" Type="http://schemas.openxmlformats.org/officeDocument/2006/relationships/hyperlink" Target="https://qpp.cms.gov/mips/explore-measures" TargetMode="External" /><Relationship Id="rId39" Type="http://schemas.openxmlformats.org/officeDocument/2006/relationships/hyperlink" Target="https://polaris.figmd.com/measures1/" TargetMode="External" /><Relationship Id="rId4" Type="http://schemas.openxmlformats.org/officeDocument/2006/relationships/image" Target="media/image1.emf" /><Relationship Id="rId40" Type="http://schemas.openxmlformats.org/officeDocument/2006/relationships/hyperlink" Target="https://practice.asco.org/quality-improvement/quality-programs/quality-oncology-practice-initiative" TargetMode="External" /><Relationship Id="rId41" Type="http://schemas.openxmlformats.org/officeDocument/2006/relationships/hyperlink" Target="https://www.qualityforum.org/CQMC_Core_Sets.aspx" TargetMode="External" /><Relationship Id="rId42" Type="http://schemas.openxmlformats.org/officeDocument/2006/relationships/hyperlink" Target="https://jnccn.org/view/journals/jnccn/18/3/article-p250.xml" TargetMode="External" /><Relationship Id="rId43" Type="http://schemas.openxmlformats.org/officeDocument/2006/relationships/hyperlink" Target="https://cmit.cms.gov/CMIT_public/ViewMeasure?MeasureId=5735" TargetMode="External" /><Relationship Id="rId44" Type="http://schemas.openxmlformats.org/officeDocument/2006/relationships/header" Target="header1.xml" /><Relationship Id="rId45" Type="http://schemas.openxmlformats.org/officeDocument/2006/relationships/footer" Target="footer1.xml" /><Relationship Id="rId46" Type="http://schemas.openxmlformats.org/officeDocument/2006/relationships/theme" Target="theme/theme1.xml" /><Relationship Id="rId47" Type="http://schemas.openxmlformats.org/officeDocument/2006/relationships/numbering" Target="numbering.xml" /><Relationship Id="rId48" Type="http://schemas.openxmlformats.org/officeDocument/2006/relationships/styles" Target="styles.xml" /><Relationship Id="rId5" Type="http://schemas.openxmlformats.org/officeDocument/2006/relationships/hyperlink" Target="https://pubmed.ncbi.nlm.nih.gov/27601514/" TargetMode="External" /><Relationship Id="rId6" Type="http://schemas.openxmlformats.org/officeDocument/2006/relationships/hyperlink" Target="http://www.ncbi.nlm.nih.gov/pmc/articles/PMC4608400/" TargetMode="External" /><Relationship Id="rId7" Type="http://schemas.openxmlformats.org/officeDocument/2006/relationships/hyperlink" Target="https://www.ncbi.nlm.nih.gov/pmc/articles/PMC4499326/" TargetMode="External" /><Relationship Id="rId8" Type="http://schemas.openxmlformats.org/officeDocument/2006/relationships/hyperlink" Target="https://doi.org/10.1200/jco.2016.70.1474" TargetMode="External"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#0213 Percentage of patients who died from cancer admitted to the Intensive Care Unit (ICU) in the last 30 days of life</dc:title>
  <dc:creator>CMS</dc:creator>
  <cp:keywords>NQF Measure #0213 MIF</cp:keywords>
  <cp:revision>1</cp:revision>
</cp:coreProperties>
</file>