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04AE35F0"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8618D1">
            <w:rPr>
              <w:rStyle w:val="Style1"/>
            </w:rPr>
            <w:t>0483</w:t>
          </w:r>
        </w:sdtContent>
      </w:sdt>
    </w:p>
    <w:p w14:paraId="0CABCF56" w14:textId="5AFEBE6D"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8618D1">
            <w:rPr>
              <w:rStyle w:val="Style1"/>
              <w:rFonts w:cstheme="minorHAnsi"/>
            </w:rPr>
            <w:t>Proportion of infants 22 to 29 weeks’ gestation screened for retinopathy of prematurity</w:t>
          </w:r>
          <w:r w:rsidR="008618D1">
            <w:rPr>
              <w:rStyle w:val="Style1"/>
              <w:rFonts w:cstheme="minorHAnsi"/>
            </w:rPr>
            <w:tab/>
            <w:t xml:space="preserve"> </w:t>
          </w:r>
        </w:sdtContent>
      </w:sdt>
    </w:p>
    <w:p w14:paraId="0CABCF57" w14:textId="484A5CD6"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9-09T00:00:00Z">
            <w:dateFormat w:val="M/d/yyyy"/>
            <w:lid w:val="en-US"/>
            <w:storeMappedDataAs w:val="dateTime"/>
            <w:calendar w:val="gregorian"/>
          </w:date>
        </w:sdtPr>
        <w:sdtEndPr>
          <w:rPr>
            <w:rStyle w:val="DefaultParagraphFont"/>
            <w:noProof/>
            <w:color w:val="auto"/>
            <w:u w:val="none"/>
          </w:rPr>
        </w:sdtEndPr>
        <w:sdtContent>
          <w:r w:rsidR="001467E4">
            <w:rPr>
              <w:rStyle w:val="Style2"/>
              <w:rFonts w:cstheme="minorHAnsi"/>
            </w:rPr>
            <w:t>9/9/2020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1467E4"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1467E4"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1467E4"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1467E4"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4F33253" w:rsidR="000B7D57" w:rsidRPr="00C775CE" w:rsidRDefault="001467E4"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8618D1">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1467E4"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1467E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1467E4"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1467E4"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1467E4"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1467E4"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4478C1E4" w:rsidR="00A01494" w:rsidRPr="000F1B7A" w:rsidRDefault="001467E4"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8618D1">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B848CCC" w:rsidR="00A01494" w:rsidRPr="000F1B7A" w:rsidRDefault="001467E4"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8618D1">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1467E4"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1467E4"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1467E4"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1467E4"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1467E4"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1467E4"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1B791206"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EB51E44" w14:textId="79939F47" w:rsidR="008618D1" w:rsidRDefault="008618D1" w:rsidP="00DB3627">
      <w:pPr>
        <w:autoSpaceDE w:val="0"/>
        <w:autoSpaceDN w:val="0"/>
        <w:adjustRightInd w:val="0"/>
        <w:spacing w:after="0" w:line="240" w:lineRule="auto"/>
        <w:rPr>
          <w:rFonts w:cstheme="minorHAnsi"/>
          <w:bCs/>
        </w:rPr>
      </w:pPr>
    </w:p>
    <w:p w14:paraId="7A0EABD4" w14:textId="77777777" w:rsidR="008618D1" w:rsidRPr="008618D1" w:rsidRDefault="008618D1" w:rsidP="008618D1">
      <w:pPr>
        <w:autoSpaceDE w:val="0"/>
        <w:autoSpaceDN w:val="0"/>
        <w:adjustRightInd w:val="0"/>
        <w:spacing w:after="0" w:line="240" w:lineRule="auto"/>
        <w:rPr>
          <w:rFonts w:cstheme="minorHAnsi"/>
          <w:bCs/>
          <w:color w:val="0070C0"/>
        </w:rPr>
      </w:pPr>
      <w:r w:rsidRPr="008618D1">
        <w:rPr>
          <w:rFonts w:cstheme="minorHAnsi"/>
          <w:bCs/>
          <w:color w:val="0070C0"/>
        </w:rPr>
        <w:t>2020: Vermont Oxford Network Database</w:t>
      </w:r>
    </w:p>
    <w:p w14:paraId="5B6B132C" w14:textId="77777777" w:rsidR="008618D1" w:rsidRPr="008618D1" w:rsidRDefault="008618D1" w:rsidP="008618D1">
      <w:pPr>
        <w:autoSpaceDE w:val="0"/>
        <w:autoSpaceDN w:val="0"/>
        <w:adjustRightInd w:val="0"/>
        <w:spacing w:after="0" w:line="240" w:lineRule="auto"/>
        <w:rPr>
          <w:rFonts w:cstheme="minorHAnsi"/>
          <w:bCs/>
          <w:color w:val="C00000"/>
        </w:rPr>
      </w:pPr>
      <w:r w:rsidRPr="008618D1">
        <w:rPr>
          <w:rFonts w:cstheme="minorHAnsi"/>
          <w:bCs/>
          <w:color w:val="C00000"/>
        </w:rPr>
        <w:t>2016: Vermont Oxford Network Database</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4105BEAE"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color w:val="0070C0"/>
          </w:rPr>
          <w:id w:val="950514773"/>
          <w:text/>
        </w:sdtPr>
        <w:sdtEndPr/>
        <w:sdtContent>
          <w:r w:rsidR="008618D1" w:rsidRPr="008618D1">
            <w:rPr>
              <w:rFonts w:cstheme="minorHAnsi"/>
              <w:color w:val="0070C0"/>
            </w:rPr>
            <w:t>2020: 2006 to 2018</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1467E4"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1467E4"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1467E4"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1467E4"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29E7E056" w:rsidR="000414E8" w:rsidRPr="00A01494" w:rsidRDefault="001467E4"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8618D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823B722" w:rsidR="000414E8" w:rsidRPr="00A01494" w:rsidRDefault="001467E4"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8618D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1467E4"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1467E4"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1467E4"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1467E4"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27EB121A"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022374E" w14:textId="77777777" w:rsidR="008618D1" w:rsidRDefault="008618D1" w:rsidP="00DB3627">
      <w:pPr>
        <w:autoSpaceDE w:val="0"/>
        <w:autoSpaceDN w:val="0"/>
        <w:adjustRightInd w:val="0"/>
        <w:spacing w:after="0" w:line="240" w:lineRule="auto"/>
        <w:rPr>
          <w:rFonts w:cstheme="minorHAnsi"/>
          <w:bCs/>
        </w:rPr>
      </w:pPr>
    </w:p>
    <w:p w14:paraId="58BE5F1C" w14:textId="1A676868" w:rsidR="008618D1" w:rsidRDefault="008618D1" w:rsidP="00DB3627">
      <w:pPr>
        <w:autoSpaceDE w:val="0"/>
        <w:autoSpaceDN w:val="0"/>
        <w:adjustRightInd w:val="0"/>
        <w:spacing w:after="0" w:line="240" w:lineRule="auto"/>
        <w:rPr>
          <w:rFonts w:cs="Calibri"/>
          <w:color w:val="0070C0"/>
        </w:rPr>
      </w:pPr>
      <w:r w:rsidRPr="00806B7A">
        <w:rPr>
          <w:rFonts w:cstheme="minorHAnsi"/>
          <w:bCs/>
          <w:color w:val="0070C0"/>
        </w:rPr>
        <w:t xml:space="preserve">2020: </w:t>
      </w:r>
      <w:sdt>
        <w:sdtPr>
          <w:rPr>
            <w:rFonts w:cs="Calibri"/>
            <w:color w:val="0070C0"/>
          </w:rPr>
          <w:id w:val="1887914988"/>
          <w:text/>
        </w:sdtPr>
        <w:sdtEndPr/>
        <w:sdtContent>
          <w:r w:rsidRPr="00806B7A">
            <w:rPr>
              <w:rFonts w:cs="Calibri"/>
              <w:color w:val="0070C0"/>
            </w:rPr>
            <w:t>1,227 hospitals contributed at least one year of data</w:t>
          </w:r>
        </w:sdtContent>
      </w:sdt>
    </w:p>
    <w:p w14:paraId="0C1D0F8A" w14:textId="0E2A59CD" w:rsidR="00806B7A" w:rsidRPr="00806B7A" w:rsidRDefault="00806B7A" w:rsidP="00DB3627">
      <w:pPr>
        <w:autoSpaceDE w:val="0"/>
        <w:autoSpaceDN w:val="0"/>
        <w:adjustRightInd w:val="0"/>
        <w:spacing w:after="0" w:line="240" w:lineRule="auto"/>
        <w:rPr>
          <w:rFonts w:cstheme="minorHAnsi"/>
          <w:bCs/>
          <w:color w:val="C00000"/>
        </w:rPr>
      </w:pPr>
      <w:r w:rsidRPr="00806B7A">
        <w:rPr>
          <w:rFonts w:cs="Calibri"/>
          <w:color w:val="C00000"/>
        </w:rPr>
        <w:t xml:space="preserve">2016: </w:t>
      </w:r>
      <w:sdt>
        <w:sdtPr>
          <w:rPr>
            <w:rStyle w:val="Style1"/>
            <w:color w:val="C00000"/>
          </w:rPr>
          <w:id w:val="105939860"/>
          <w:text/>
        </w:sdtPr>
        <w:sdtEndPr>
          <w:rPr>
            <w:rStyle w:val="DefaultParagraphFont"/>
            <w:rFonts w:cstheme="minorHAnsi"/>
          </w:rPr>
        </w:sdtEndPr>
        <w:sdtContent>
          <w:r w:rsidRPr="00806B7A">
            <w:rPr>
              <w:rStyle w:val="Style1"/>
              <w:color w:val="C00000"/>
            </w:rPr>
            <w:t>1,044 hospitals contributed at least one year of data.</w:t>
          </w:r>
        </w:sdtContent>
      </w:sdt>
    </w:p>
    <w:p w14:paraId="0CABCFC8" w14:textId="77777777" w:rsidR="002B5016" w:rsidRPr="00A25024" w:rsidRDefault="002B5016" w:rsidP="00DB3627">
      <w:pPr>
        <w:autoSpaceDE w:val="0"/>
        <w:autoSpaceDN w:val="0"/>
        <w:adjustRightInd w:val="0"/>
        <w:spacing w:after="0" w:line="240" w:lineRule="auto"/>
        <w:rPr>
          <w:rFonts w:cstheme="minorHAnsi"/>
          <w:bCs/>
        </w:rPr>
      </w:pPr>
    </w:p>
    <w:p w14:paraId="305B8149" w14:textId="77777777" w:rsidR="008618D1"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CCDE8C1" w14:textId="77777777" w:rsidR="008618D1" w:rsidRDefault="008618D1" w:rsidP="00DB3627">
      <w:pPr>
        <w:autoSpaceDE w:val="0"/>
        <w:autoSpaceDN w:val="0"/>
        <w:adjustRightInd w:val="0"/>
        <w:spacing w:after="0" w:line="240" w:lineRule="auto"/>
        <w:rPr>
          <w:rFonts w:cstheme="minorHAnsi"/>
          <w:bCs/>
        </w:rPr>
      </w:pPr>
    </w:p>
    <w:p w14:paraId="4687B3E5" w14:textId="1B673DF2" w:rsidR="00806B7A" w:rsidRDefault="008618D1" w:rsidP="00DB3627">
      <w:pPr>
        <w:autoSpaceDE w:val="0"/>
        <w:autoSpaceDN w:val="0"/>
        <w:adjustRightInd w:val="0"/>
        <w:spacing w:after="0" w:line="240" w:lineRule="auto"/>
        <w:rPr>
          <w:rFonts w:cstheme="minorHAnsi"/>
          <w:bCs/>
          <w:color w:val="0070C0"/>
        </w:rPr>
      </w:pPr>
      <w:r w:rsidRPr="00806B7A">
        <w:rPr>
          <w:rFonts w:cstheme="minorHAnsi"/>
          <w:bCs/>
          <w:color w:val="0070C0"/>
        </w:rPr>
        <w:t xml:space="preserve">2020: </w:t>
      </w:r>
      <w:r w:rsidRPr="00806B7A">
        <w:rPr>
          <w:rFonts w:cstheme="minorHAnsi"/>
          <w:color w:val="0070C0"/>
        </w:rPr>
        <w:t xml:space="preserve">Over the </w:t>
      </w:r>
      <w:r w:rsidR="00806B7A">
        <w:rPr>
          <w:rFonts w:cstheme="minorHAnsi"/>
          <w:color w:val="0070C0"/>
        </w:rPr>
        <w:t>12</w:t>
      </w:r>
      <w:r w:rsidRPr="00806B7A">
        <w:rPr>
          <w:rFonts w:cstheme="minorHAnsi"/>
          <w:color w:val="0070C0"/>
        </w:rPr>
        <w:t xml:space="preserve"> year period, 510,298 infants who were 22 to 29 weeks gestational age at birth and did not die in the delivery room or within 12 hours of birth were registered with Vermont Oxford Network of which 402,190 were alive, in the reporting hospital, and eligible to have an eye exam based on postmenstrual age</w:t>
      </w:r>
      <w:r w:rsidRPr="00806B7A">
        <w:rPr>
          <w:rFonts w:cstheme="minorHAnsi"/>
          <w:bCs/>
          <w:color w:val="0070C0"/>
        </w:rPr>
        <w:t>.</w:t>
      </w:r>
    </w:p>
    <w:p w14:paraId="1787771E" w14:textId="77777777" w:rsidR="00806B7A" w:rsidRDefault="00806B7A" w:rsidP="00DB3627">
      <w:pPr>
        <w:autoSpaceDE w:val="0"/>
        <w:autoSpaceDN w:val="0"/>
        <w:adjustRightInd w:val="0"/>
        <w:spacing w:after="0" w:line="240" w:lineRule="auto"/>
        <w:rPr>
          <w:rFonts w:cstheme="minorHAnsi"/>
          <w:bCs/>
          <w:color w:val="0070C0"/>
        </w:rPr>
      </w:pPr>
    </w:p>
    <w:p w14:paraId="0CABCFC9" w14:textId="41727F36" w:rsidR="007422FD" w:rsidRPr="00806B7A" w:rsidRDefault="00806B7A" w:rsidP="00DB3627">
      <w:pPr>
        <w:autoSpaceDE w:val="0"/>
        <w:autoSpaceDN w:val="0"/>
        <w:adjustRightInd w:val="0"/>
        <w:spacing w:after="0" w:line="240" w:lineRule="auto"/>
        <w:rPr>
          <w:rFonts w:cstheme="minorHAnsi"/>
          <w:bCs/>
          <w:color w:val="0070C0"/>
        </w:rPr>
      </w:pPr>
      <w:r w:rsidRPr="00806B7A">
        <w:rPr>
          <w:rFonts w:cstheme="minorHAnsi"/>
          <w:bCs/>
          <w:color w:val="C00000"/>
        </w:rPr>
        <w:t xml:space="preserve">2016: Over the </w:t>
      </w:r>
      <w:r w:rsidR="001E2C72">
        <w:rPr>
          <w:rFonts w:cstheme="minorHAnsi"/>
          <w:bCs/>
          <w:color w:val="C00000"/>
        </w:rPr>
        <w:t>eight</w:t>
      </w:r>
      <w:r w:rsidRPr="00806B7A">
        <w:rPr>
          <w:rFonts w:cstheme="minorHAnsi"/>
          <w:bCs/>
          <w:color w:val="C00000"/>
        </w:rPr>
        <w:t xml:space="preserve"> year period, 320,474 infants who were 22 to 29 weeks gestational age at birth who did not die in the delivery room or within 12 hours of birth were registered with Vermont Oxford Network of which 271,098 were eligible to have an eye exam based on postmenstrual age.</w:t>
      </w:r>
      <w:r w:rsidRPr="00806B7A">
        <w:rPr>
          <w:rFonts w:cstheme="minorHAnsi"/>
          <w:bCs/>
          <w:color w:val="C00000"/>
        </w:rPr>
        <w:br/>
      </w:r>
    </w:p>
    <w:p w14:paraId="0CABCFCA" w14:textId="3753F69F"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B28FD37" w14:textId="5E86FD72" w:rsidR="008618D1" w:rsidRDefault="008618D1" w:rsidP="00E37E1B">
      <w:pPr>
        <w:autoSpaceDE w:val="0"/>
        <w:autoSpaceDN w:val="0"/>
        <w:adjustRightInd w:val="0"/>
        <w:spacing w:after="0" w:line="240" w:lineRule="auto"/>
        <w:rPr>
          <w:rFonts w:cstheme="minorHAnsi"/>
          <w:bCs/>
        </w:rPr>
      </w:pPr>
    </w:p>
    <w:p w14:paraId="7BB5EFC7" w14:textId="181DB401" w:rsidR="008618D1" w:rsidRPr="00806B7A" w:rsidRDefault="008618D1" w:rsidP="00E37E1B">
      <w:pPr>
        <w:autoSpaceDE w:val="0"/>
        <w:autoSpaceDN w:val="0"/>
        <w:adjustRightInd w:val="0"/>
        <w:spacing w:after="0" w:line="240" w:lineRule="auto"/>
        <w:rPr>
          <w:rFonts w:cstheme="minorHAnsi"/>
          <w:bCs/>
          <w:color w:val="0070C0"/>
        </w:rPr>
      </w:pPr>
      <w:r w:rsidRPr="00806B7A">
        <w:rPr>
          <w:rFonts w:cstheme="minorHAnsi"/>
          <w:bCs/>
          <w:color w:val="0070C0"/>
        </w:rPr>
        <w:t>2020</w:t>
      </w:r>
      <w:r w:rsidR="00806B7A" w:rsidRPr="00806B7A">
        <w:rPr>
          <w:rFonts w:cstheme="minorHAnsi"/>
          <w:bCs/>
          <w:color w:val="0070C0"/>
        </w:rPr>
        <w:t>:</w:t>
      </w:r>
      <w:r w:rsidRPr="00806B7A">
        <w:rPr>
          <w:rFonts w:cstheme="minorHAnsi"/>
          <w:bCs/>
          <w:color w:val="0070C0"/>
        </w:rPr>
        <w:t xml:space="preserve"> None</w:t>
      </w:r>
    </w:p>
    <w:p w14:paraId="468F4A21" w14:textId="5F9AF199" w:rsidR="00806B7A" w:rsidRPr="00806B7A" w:rsidRDefault="00806B7A" w:rsidP="00E37E1B">
      <w:pPr>
        <w:autoSpaceDE w:val="0"/>
        <w:autoSpaceDN w:val="0"/>
        <w:adjustRightInd w:val="0"/>
        <w:spacing w:after="0" w:line="240" w:lineRule="auto"/>
        <w:rPr>
          <w:rFonts w:cstheme="minorHAnsi"/>
          <w:bCs/>
          <w:color w:val="C00000"/>
        </w:rPr>
      </w:pPr>
      <w:r w:rsidRPr="00806B7A">
        <w:rPr>
          <w:rFonts w:cstheme="minorHAnsi"/>
          <w:bCs/>
          <w:color w:val="C00000"/>
        </w:rPr>
        <w:t>2016: None</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4013779E"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45E0B32D" w14:textId="5846A9D3" w:rsidR="008618D1" w:rsidRDefault="008618D1" w:rsidP="00E37E1B">
      <w:pPr>
        <w:autoSpaceDE w:val="0"/>
        <w:autoSpaceDN w:val="0"/>
        <w:adjustRightInd w:val="0"/>
        <w:spacing w:after="0" w:line="240" w:lineRule="auto"/>
        <w:rPr>
          <w:rFonts w:cstheme="minorHAnsi"/>
          <w:bCs/>
        </w:rPr>
      </w:pPr>
    </w:p>
    <w:p w14:paraId="29EDF3BF" w14:textId="18A9C6AC" w:rsidR="008618D1" w:rsidRPr="00806B7A" w:rsidRDefault="008618D1" w:rsidP="00E37E1B">
      <w:pPr>
        <w:autoSpaceDE w:val="0"/>
        <w:autoSpaceDN w:val="0"/>
        <w:adjustRightInd w:val="0"/>
        <w:spacing w:after="0" w:line="240" w:lineRule="auto"/>
        <w:rPr>
          <w:rFonts w:cstheme="minorHAnsi"/>
          <w:bCs/>
          <w:color w:val="0070C0"/>
        </w:rPr>
      </w:pPr>
      <w:r w:rsidRPr="00806B7A">
        <w:rPr>
          <w:rFonts w:cstheme="minorHAnsi"/>
          <w:bCs/>
          <w:color w:val="0070C0"/>
        </w:rPr>
        <w:t>2020: None</w:t>
      </w:r>
      <w:r w:rsidR="00806B7A">
        <w:rPr>
          <w:rFonts w:cstheme="minorHAnsi"/>
          <w:bCs/>
          <w:color w:val="0070C0"/>
        </w:rPr>
        <w:t>; Vermont Oxford Network does not collect social risk factor data.</w:t>
      </w:r>
    </w:p>
    <w:p w14:paraId="0DE0BAE1" w14:textId="0226A1C5" w:rsidR="00806B7A" w:rsidRPr="00806B7A" w:rsidRDefault="00806B7A" w:rsidP="00E37E1B">
      <w:pPr>
        <w:autoSpaceDE w:val="0"/>
        <w:autoSpaceDN w:val="0"/>
        <w:adjustRightInd w:val="0"/>
        <w:spacing w:after="0" w:line="240" w:lineRule="auto"/>
        <w:rPr>
          <w:rFonts w:cstheme="minorHAnsi"/>
          <w:bCs/>
          <w:color w:val="C00000"/>
        </w:rPr>
      </w:pPr>
      <w:r w:rsidRPr="00806B7A">
        <w:rPr>
          <w:rFonts w:cstheme="minorHAnsi"/>
          <w:bCs/>
          <w:color w:val="C00000"/>
        </w:rPr>
        <w:t>2016: None</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5DCC7D5F"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8252D5">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02B6DDE" w14:textId="4EEF7152" w:rsidR="008618D1" w:rsidRDefault="008618D1" w:rsidP="008C54A9">
      <w:pPr>
        <w:autoSpaceDE w:val="0"/>
        <w:autoSpaceDN w:val="0"/>
        <w:adjustRightInd w:val="0"/>
        <w:spacing w:after="0" w:line="240" w:lineRule="auto"/>
        <w:rPr>
          <w:rFonts w:cstheme="minorHAnsi"/>
          <w:bCs/>
        </w:rPr>
      </w:pPr>
    </w:p>
    <w:p w14:paraId="52DB25C3" w14:textId="3C18BBB2" w:rsidR="008618D1" w:rsidRPr="00806B7A" w:rsidRDefault="008618D1" w:rsidP="008C54A9">
      <w:pPr>
        <w:autoSpaceDE w:val="0"/>
        <w:autoSpaceDN w:val="0"/>
        <w:adjustRightInd w:val="0"/>
        <w:spacing w:after="0" w:line="240" w:lineRule="auto"/>
        <w:rPr>
          <w:rFonts w:cstheme="minorHAnsi"/>
          <w:bCs/>
          <w:color w:val="0070C0"/>
        </w:rPr>
      </w:pPr>
      <w:r w:rsidRPr="00806B7A">
        <w:rPr>
          <w:rFonts w:cstheme="minorHAnsi"/>
          <w:bCs/>
          <w:color w:val="0070C0"/>
        </w:rPr>
        <w:t>2020: We did a split-half analysis and calculated Spearman-Brown correlation coefficients to measure internal consistency among hospitals with at least 50 infants.</w:t>
      </w:r>
    </w:p>
    <w:p w14:paraId="0CABCFD2" w14:textId="443778F8" w:rsidR="008C54A9" w:rsidRDefault="008C54A9" w:rsidP="008C54A9">
      <w:pPr>
        <w:autoSpaceDE w:val="0"/>
        <w:autoSpaceDN w:val="0"/>
        <w:adjustRightInd w:val="0"/>
        <w:spacing w:after="0" w:line="240" w:lineRule="auto"/>
        <w:rPr>
          <w:rFonts w:cstheme="minorHAnsi"/>
          <w:bCs/>
        </w:rPr>
      </w:pPr>
    </w:p>
    <w:p w14:paraId="1F289CAF" w14:textId="4AB4F481" w:rsidR="00806B7A" w:rsidRPr="00806B7A" w:rsidRDefault="00806B7A" w:rsidP="008C54A9">
      <w:pPr>
        <w:autoSpaceDE w:val="0"/>
        <w:autoSpaceDN w:val="0"/>
        <w:adjustRightInd w:val="0"/>
        <w:spacing w:after="0" w:line="240" w:lineRule="auto"/>
        <w:rPr>
          <w:rFonts w:cstheme="minorHAnsi"/>
          <w:bCs/>
          <w:color w:val="C00000"/>
        </w:rPr>
      </w:pPr>
      <w:r w:rsidRPr="00806B7A">
        <w:rPr>
          <w:rFonts w:cstheme="minorHAnsi"/>
          <w:bCs/>
          <w:color w:val="C00000"/>
        </w:rPr>
        <w:lastRenderedPageBreak/>
        <w:t>2016: We did a split-half analysis and calculated Spearman-Brown correlation coefficients to measure internal consistency among hospitals with at least 10 infants.</w:t>
      </w:r>
    </w:p>
    <w:p w14:paraId="63AC29F4" w14:textId="77777777" w:rsidR="00806B7A" w:rsidRPr="00A25024" w:rsidRDefault="00806B7A" w:rsidP="008C54A9">
      <w:pPr>
        <w:autoSpaceDE w:val="0"/>
        <w:autoSpaceDN w:val="0"/>
        <w:adjustRightInd w:val="0"/>
        <w:spacing w:after="0" w:line="240" w:lineRule="auto"/>
        <w:rPr>
          <w:rFonts w:cstheme="minorHAnsi"/>
          <w:bCs/>
        </w:rPr>
      </w:pPr>
    </w:p>
    <w:p w14:paraId="28980267" w14:textId="77777777" w:rsidR="008618D1"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3891CB80" w14:textId="77777777" w:rsidR="008618D1" w:rsidRDefault="008618D1" w:rsidP="008C54A9">
      <w:pPr>
        <w:autoSpaceDE w:val="0"/>
        <w:autoSpaceDN w:val="0"/>
        <w:adjustRightInd w:val="0"/>
        <w:spacing w:after="0" w:line="240" w:lineRule="auto"/>
        <w:rPr>
          <w:rFonts w:cstheme="minorHAnsi"/>
          <w:bCs/>
        </w:rPr>
      </w:pPr>
    </w:p>
    <w:p w14:paraId="0CBBECEE" w14:textId="77777777" w:rsidR="008618D1" w:rsidRPr="00806B7A" w:rsidRDefault="008618D1" w:rsidP="008C54A9">
      <w:pPr>
        <w:autoSpaceDE w:val="0"/>
        <w:autoSpaceDN w:val="0"/>
        <w:adjustRightInd w:val="0"/>
        <w:spacing w:after="0" w:line="240" w:lineRule="auto"/>
        <w:rPr>
          <w:rFonts w:cstheme="minorHAnsi"/>
          <w:bCs/>
          <w:color w:val="0070C0"/>
        </w:rPr>
      </w:pPr>
      <w:r w:rsidRPr="00806B7A">
        <w:rPr>
          <w:rFonts w:cstheme="minorHAnsi"/>
          <w:bCs/>
          <w:color w:val="0070C0"/>
        </w:rPr>
        <w:t xml:space="preserve">2020: </w:t>
      </w:r>
    </w:p>
    <w:tbl>
      <w:tblPr>
        <w:tblW w:w="1920" w:type="dxa"/>
        <w:tblLook w:val="04A0" w:firstRow="1" w:lastRow="0" w:firstColumn="1" w:lastColumn="0" w:noHBand="0" w:noVBand="1"/>
      </w:tblPr>
      <w:tblGrid>
        <w:gridCol w:w="960"/>
        <w:gridCol w:w="960"/>
      </w:tblGrid>
      <w:tr w:rsidR="00806B7A" w:rsidRPr="00806B7A" w14:paraId="6527B756" w14:textId="77777777" w:rsidTr="001A15C2">
        <w:trPr>
          <w:trHeight w:val="300"/>
        </w:trPr>
        <w:tc>
          <w:tcPr>
            <w:tcW w:w="960" w:type="dxa"/>
            <w:tcBorders>
              <w:top w:val="nil"/>
              <w:left w:val="nil"/>
              <w:bottom w:val="nil"/>
              <w:right w:val="nil"/>
            </w:tcBorders>
            <w:shd w:val="clear" w:color="auto" w:fill="auto"/>
            <w:noWrap/>
            <w:vAlign w:val="bottom"/>
            <w:hideMark/>
          </w:tcPr>
          <w:p w14:paraId="207D2DCC"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2006</w:t>
            </w:r>
          </w:p>
        </w:tc>
        <w:tc>
          <w:tcPr>
            <w:tcW w:w="960" w:type="dxa"/>
            <w:tcBorders>
              <w:top w:val="nil"/>
              <w:left w:val="nil"/>
              <w:bottom w:val="nil"/>
              <w:right w:val="nil"/>
            </w:tcBorders>
            <w:shd w:val="clear" w:color="auto" w:fill="auto"/>
            <w:noWrap/>
            <w:vAlign w:val="bottom"/>
            <w:hideMark/>
          </w:tcPr>
          <w:p w14:paraId="7D529B96"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0.76</w:t>
            </w:r>
          </w:p>
        </w:tc>
      </w:tr>
      <w:tr w:rsidR="00806B7A" w:rsidRPr="00806B7A" w14:paraId="2FC14E2E" w14:textId="77777777" w:rsidTr="001A15C2">
        <w:trPr>
          <w:trHeight w:val="300"/>
        </w:trPr>
        <w:tc>
          <w:tcPr>
            <w:tcW w:w="960" w:type="dxa"/>
            <w:tcBorders>
              <w:top w:val="nil"/>
              <w:left w:val="nil"/>
              <w:bottom w:val="nil"/>
              <w:right w:val="nil"/>
            </w:tcBorders>
            <w:shd w:val="clear" w:color="auto" w:fill="auto"/>
            <w:noWrap/>
            <w:vAlign w:val="bottom"/>
            <w:hideMark/>
          </w:tcPr>
          <w:p w14:paraId="3FB1432C"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2007</w:t>
            </w:r>
          </w:p>
        </w:tc>
        <w:tc>
          <w:tcPr>
            <w:tcW w:w="960" w:type="dxa"/>
            <w:tcBorders>
              <w:top w:val="nil"/>
              <w:left w:val="nil"/>
              <w:bottom w:val="nil"/>
              <w:right w:val="nil"/>
            </w:tcBorders>
            <w:shd w:val="clear" w:color="auto" w:fill="auto"/>
            <w:noWrap/>
            <w:vAlign w:val="bottom"/>
            <w:hideMark/>
          </w:tcPr>
          <w:p w14:paraId="0E6ABC2A"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0.82</w:t>
            </w:r>
          </w:p>
        </w:tc>
      </w:tr>
      <w:tr w:rsidR="00806B7A" w:rsidRPr="00806B7A" w14:paraId="4800FA99" w14:textId="77777777" w:rsidTr="001A15C2">
        <w:trPr>
          <w:trHeight w:val="300"/>
        </w:trPr>
        <w:tc>
          <w:tcPr>
            <w:tcW w:w="960" w:type="dxa"/>
            <w:tcBorders>
              <w:top w:val="nil"/>
              <w:left w:val="nil"/>
              <w:bottom w:val="nil"/>
              <w:right w:val="nil"/>
            </w:tcBorders>
            <w:shd w:val="clear" w:color="auto" w:fill="auto"/>
            <w:noWrap/>
            <w:vAlign w:val="bottom"/>
            <w:hideMark/>
          </w:tcPr>
          <w:p w14:paraId="25E11A06"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2008</w:t>
            </w:r>
          </w:p>
        </w:tc>
        <w:tc>
          <w:tcPr>
            <w:tcW w:w="960" w:type="dxa"/>
            <w:tcBorders>
              <w:top w:val="nil"/>
              <w:left w:val="nil"/>
              <w:bottom w:val="nil"/>
              <w:right w:val="nil"/>
            </w:tcBorders>
            <w:shd w:val="clear" w:color="auto" w:fill="auto"/>
            <w:noWrap/>
            <w:vAlign w:val="bottom"/>
            <w:hideMark/>
          </w:tcPr>
          <w:p w14:paraId="47B00D74"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0.90</w:t>
            </w:r>
          </w:p>
        </w:tc>
      </w:tr>
      <w:tr w:rsidR="00806B7A" w:rsidRPr="00806B7A" w14:paraId="23D29BB6" w14:textId="77777777" w:rsidTr="001A15C2">
        <w:trPr>
          <w:trHeight w:val="300"/>
        </w:trPr>
        <w:tc>
          <w:tcPr>
            <w:tcW w:w="960" w:type="dxa"/>
            <w:tcBorders>
              <w:top w:val="nil"/>
              <w:left w:val="nil"/>
              <w:bottom w:val="nil"/>
              <w:right w:val="nil"/>
            </w:tcBorders>
            <w:shd w:val="clear" w:color="auto" w:fill="auto"/>
            <w:noWrap/>
            <w:vAlign w:val="bottom"/>
            <w:hideMark/>
          </w:tcPr>
          <w:p w14:paraId="689AA927"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2009</w:t>
            </w:r>
          </w:p>
        </w:tc>
        <w:tc>
          <w:tcPr>
            <w:tcW w:w="960" w:type="dxa"/>
            <w:tcBorders>
              <w:top w:val="nil"/>
              <w:left w:val="nil"/>
              <w:bottom w:val="nil"/>
              <w:right w:val="nil"/>
            </w:tcBorders>
            <w:shd w:val="clear" w:color="auto" w:fill="auto"/>
            <w:noWrap/>
            <w:vAlign w:val="bottom"/>
            <w:hideMark/>
          </w:tcPr>
          <w:p w14:paraId="10583AC0"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0.90</w:t>
            </w:r>
          </w:p>
        </w:tc>
      </w:tr>
      <w:tr w:rsidR="00806B7A" w:rsidRPr="00806B7A" w14:paraId="54723057" w14:textId="77777777" w:rsidTr="001A15C2">
        <w:trPr>
          <w:trHeight w:val="300"/>
        </w:trPr>
        <w:tc>
          <w:tcPr>
            <w:tcW w:w="960" w:type="dxa"/>
            <w:tcBorders>
              <w:top w:val="nil"/>
              <w:left w:val="nil"/>
              <w:bottom w:val="nil"/>
              <w:right w:val="nil"/>
            </w:tcBorders>
            <w:shd w:val="clear" w:color="auto" w:fill="auto"/>
            <w:noWrap/>
            <w:vAlign w:val="bottom"/>
            <w:hideMark/>
          </w:tcPr>
          <w:p w14:paraId="61AC654A"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2010</w:t>
            </w:r>
          </w:p>
        </w:tc>
        <w:tc>
          <w:tcPr>
            <w:tcW w:w="960" w:type="dxa"/>
            <w:tcBorders>
              <w:top w:val="nil"/>
              <w:left w:val="nil"/>
              <w:bottom w:val="nil"/>
              <w:right w:val="nil"/>
            </w:tcBorders>
            <w:shd w:val="clear" w:color="auto" w:fill="auto"/>
            <w:noWrap/>
            <w:vAlign w:val="bottom"/>
            <w:hideMark/>
          </w:tcPr>
          <w:p w14:paraId="2DB6AF5C"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0.71</w:t>
            </w:r>
          </w:p>
        </w:tc>
      </w:tr>
      <w:tr w:rsidR="00806B7A" w:rsidRPr="00806B7A" w14:paraId="0F78E2E5" w14:textId="77777777" w:rsidTr="001A15C2">
        <w:trPr>
          <w:trHeight w:val="300"/>
        </w:trPr>
        <w:tc>
          <w:tcPr>
            <w:tcW w:w="960" w:type="dxa"/>
            <w:tcBorders>
              <w:top w:val="nil"/>
              <w:left w:val="nil"/>
              <w:bottom w:val="nil"/>
              <w:right w:val="nil"/>
            </w:tcBorders>
            <w:shd w:val="clear" w:color="auto" w:fill="auto"/>
            <w:noWrap/>
            <w:vAlign w:val="bottom"/>
            <w:hideMark/>
          </w:tcPr>
          <w:p w14:paraId="3BB5643B"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2011</w:t>
            </w:r>
          </w:p>
        </w:tc>
        <w:tc>
          <w:tcPr>
            <w:tcW w:w="960" w:type="dxa"/>
            <w:tcBorders>
              <w:top w:val="nil"/>
              <w:left w:val="nil"/>
              <w:bottom w:val="nil"/>
              <w:right w:val="nil"/>
            </w:tcBorders>
            <w:shd w:val="clear" w:color="auto" w:fill="auto"/>
            <w:noWrap/>
            <w:vAlign w:val="bottom"/>
            <w:hideMark/>
          </w:tcPr>
          <w:p w14:paraId="38D2F11E"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0.81</w:t>
            </w:r>
          </w:p>
        </w:tc>
      </w:tr>
      <w:tr w:rsidR="00806B7A" w:rsidRPr="00806B7A" w14:paraId="50787896" w14:textId="77777777" w:rsidTr="001A15C2">
        <w:trPr>
          <w:trHeight w:val="300"/>
        </w:trPr>
        <w:tc>
          <w:tcPr>
            <w:tcW w:w="960" w:type="dxa"/>
            <w:tcBorders>
              <w:top w:val="nil"/>
              <w:left w:val="nil"/>
              <w:bottom w:val="nil"/>
              <w:right w:val="nil"/>
            </w:tcBorders>
            <w:shd w:val="clear" w:color="auto" w:fill="auto"/>
            <w:noWrap/>
            <w:vAlign w:val="bottom"/>
            <w:hideMark/>
          </w:tcPr>
          <w:p w14:paraId="2BA51A3F"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2012</w:t>
            </w:r>
          </w:p>
        </w:tc>
        <w:tc>
          <w:tcPr>
            <w:tcW w:w="960" w:type="dxa"/>
            <w:tcBorders>
              <w:top w:val="nil"/>
              <w:left w:val="nil"/>
              <w:bottom w:val="nil"/>
              <w:right w:val="nil"/>
            </w:tcBorders>
            <w:shd w:val="clear" w:color="auto" w:fill="auto"/>
            <w:noWrap/>
            <w:vAlign w:val="bottom"/>
            <w:hideMark/>
          </w:tcPr>
          <w:p w14:paraId="77ECBF6C"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0.90</w:t>
            </w:r>
          </w:p>
        </w:tc>
      </w:tr>
      <w:tr w:rsidR="00806B7A" w:rsidRPr="00806B7A" w14:paraId="77F4559D" w14:textId="77777777" w:rsidTr="001A15C2">
        <w:trPr>
          <w:trHeight w:val="300"/>
        </w:trPr>
        <w:tc>
          <w:tcPr>
            <w:tcW w:w="960" w:type="dxa"/>
            <w:tcBorders>
              <w:top w:val="nil"/>
              <w:left w:val="nil"/>
              <w:bottom w:val="nil"/>
              <w:right w:val="nil"/>
            </w:tcBorders>
            <w:shd w:val="clear" w:color="auto" w:fill="auto"/>
            <w:noWrap/>
            <w:vAlign w:val="bottom"/>
            <w:hideMark/>
          </w:tcPr>
          <w:p w14:paraId="38B6F121"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2013</w:t>
            </w:r>
          </w:p>
        </w:tc>
        <w:tc>
          <w:tcPr>
            <w:tcW w:w="960" w:type="dxa"/>
            <w:tcBorders>
              <w:top w:val="nil"/>
              <w:left w:val="nil"/>
              <w:bottom w:val="nil"/>
              <w:right w:val="nil"/>
            </w:tcBorders>
            <w:shd w:val="clear" w:color="auto" w:fill="auto"/>
            <w:noWrap/>
            <w:vAlign w:val="bottom"/>
            <w:hideMark/>
          </w:tcPr>
          <w:p w14:paraId="5D4D4246"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0.91</w:t>
            </w:r>
          </w:p>
        </w:tc>
      </w:tr>
      <w:tr w:rsidR="00806B7A" w:rsidRPr="00806B7A" w14:paraId="0499E5CA" w14:textId="77777777" w:rsidTr="001A15C2">
        <w:trPr>
          <w:trHeight w:val="300"/>
        </w:trPr>
        <w:tc>
          <w:tcPr>
            <w:tcW w:w="960" w:type="dxa"/>
            <w:tcBorders>
              <w:top w:val="nil"/>
              <w:left w:val="nil"/>
              <w:bottom w:val="nil"/>
              <w:right w:val="nil"/>
            </w:tcBorders>
            <w:shd w:val="clear" w:color="auto" w:fill="auto"/>
            <w:noWrap/>
            <w:vAlign w:val="bottom"/>
            <w:hideMark/>
          </w:tcPr>
          <w:p w14:paraId="73854E3C"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2014</w:t>
            </w:r>
          </w:p>
        </w:tc>
        <w:tc>
          <w:tcPr>
            <w:tcW w:w="960" w:type="dxa"/>
            <w:tcBorders>
              <w:top w:val="nil"/>
              <w:left w:val="nil"/>
              <w:bottom w:val="nil"/>
              <w:right w:val="nil"/>
            </w:tcBorders>
            <w:shd w:val="clear" w:color="auto" w:fill="auto"/>
            <w:noWrap/>
            <w:vAlign w:val="bottom"/>
            <w:hideMark/>
          </w:tcPr>
          <w:p w14:paraId="5C174AB5"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0.96</w:t>
            </w:r>
          </w:p>
        </w:tc>
      </w:tr>
      <w:tr w:rsidR="00806B7A" w:rsidRPr="00806B7A" w14:paraId="7F8FE124" w14:textId="77777777" w:rsidTr="001A15C2">
        <w:trPr>
          <w:trHeight w:val="300"/>
        </w:trPr>
        <w:tc>
          <w:tcPr>
            <w:tcW w:w="960" w:type="dxa"/>
            <w:tcBorders>
              <w:top w:val="nil"/>
              <w:left w:val="nil"/>
              <w:bottom w:val="nil"/>
              <w:right w:val="nil"/>
            </w:tcBorders>
            <w:shd w:val="clear" w:color="auto" w:fill="auto"/>
            <w:noWrap/>
            <w:vAlign w:val="bottom"/>
            <w:hideMark/>
          </w:tcPr>
          <w:p w14:paraId="1F11164E"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2015</w:t>
            </w:r>
          </w:p>
        </w:tc>
        <w:tc>
          <w:tcPr>
            <w:tcW w:w="960" w:type="dxa"/>
            <w:tcBorders>
              <w:top w:val="nil"/>
              <w:left w:val="nil"/>
              <w:bottom w:val="nil"/>
              <w:right w:val="nil"/>
            </w:tcBorders>
            <w:shd w:val="clear" w:color="auto" w:fill="auto"/>
            <w:noWrap/>
            <w:vAlign w:val="bottom"/>
            <w:hideMark/>
          </w:tcPr>
          <w:p w14:paraId="6D917058"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0.92</w:t>
            </w:r>
          </w:p>
        </w:tc>
      </w:tr>
      <w:tr w:rsidR="00806B7A" w:rsidRPr="00806B7A" w14:paraId="3A45EEF8" w14:textId="77777777" w:rsidTr="001A15C2">
        <w:trPr>
          <w:trHeight w:val="300"/>
        </w:trPr>
        <w:tc>
          <w:tcPr>
            <w:tcW w:w="960" w:type="dxa"/>
            <w:tcBorders>
              <w:top w:val="nil"/>
              <w:left w:val="nil"/>
              <w:bottom w:val="nil"/>
              <w:right w:val="nil"/>
            </w:tcBorders>
            <w:shd w:val="clear" w:color="auto" w:fill="auto"/>
            <w:noWrap/>
            <w:vAlign w:val="bottom"/>
            <w:hideMark/>
          </w:tcPr>
          <w:p w14:paraId="4DBD27F9"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2016</w:t>
            </w:r>
          </w:p>
        </w:tc>
        <w:tc>
          <w:tcPr>
            <w:tcW w:w="960" w:type="dxa"/>
            <w:tcBorders>
              <w:top w:val="nil"/>
              <w:left w:val="nil"/>
              <w:bottom w:val="nil"/>
              <w:right w:val="nil"/>
            </w:tcBorders>
            <w:shd w:val="clear" w:color="auto" w:fill="auto"/>
            <w:noWrap/>
            <w:vAlign w:val="bottom"/>
            <w:hideMark/>
          </w:tcPr>
          <w:p w14:paraId="6CB36C12"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0.95</w:t>
            </w:r>
          </w:p>
        </w:tc>
      </w:tr>
      <w:tr w:rsidR="00806B7A" w:rsidRPr="00806B7A" w14:paraId="311B19B4" w14:textId="77777777" w:rsidTr="001A15C2">
        <w:trPr>
          <w:trHeight w:val="300"/>
        </w:trPr>
        <w:tc>
          <w:tcPr>
            <w:tcW w:w="960" w:type="dxa"/>
            <w:tcBorders>
              <w:top w:val="nil"/>
              <w:left w:val="nil"/>
              <w:bottom w:val="nil"/>
              <w:right w:val="nil"/>
            </w:tcBorders>
            <w:shd w:val="clear" w:color="auto" w:fill="auto"/>
            <w:noWrap/>
            <w:vAlign w:val="bottom"/>
            <w:hideMark/>
          </w:tcPr>
          <w:p w14:paraId="27ED6075"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2017</w:t>
            </w:r>
          </w:p>
        </w:tc>
        <w:tc>
          <w:tcPr>
            <w:tcW w:w="960" w:type="dxa"/>
            <w:tcBorders>
              <w:top w:val="nil"/>
              <w:left w:val="nil"/>
              <w:bottom w:val="nil"/>
              <w:right w:val="nil"/>
            </w:tcBorders>
            <w:shd w:val="clear" w:color="auto" w:fill="auto"/>
            <w:noWrap/>
            <w:vAlign w:val="bottom"/>
            <w:hideMark/>
          </w:tcPr>
          <w:p w14:paraId="589A4377"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0.89</w:t>
            </w:r>
          </w:p>
        </w:tc>
      </w:tr>
      <w:tr w:rsidR="00806B7A" w:rsidRPr="00806B7A" w14:paraId="21627F27" w14:textId="77777777" w:rsidTr="001A15C2">
        <w:trPr>
          <w:trHeight w:val="300"/>
        </w:trPr>
        <w:tc>
          <w:tcPr>
            <w:tcW w:w="960" w:type="dxa"/>
            <w:tcBorders>
              <w:top w:val="nil"/>
              <w:left w:val="nil"/>
              <w:bottom w:val="nil"/>
              <w:right w:val="nil"/>
            </w:tcBorders>
            <w:shd w:val="clear" w:color="auto" w:fill="auto"/>
            <w:noWrap/>
            <w:vAlign w:val="bottom"/>
            <w:hideMark/>
          </w:tcPr>
          <w:p w14:paraId="77B5D053"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2018</w:t>
            </w:r>
          </w:p>
        </w:tc>
        <w:tc>
          <w:tcPr>
            <w:tcW w:w="960" w:type="dxa"/>
            <w:tcBorders>
              <w:top w:val="nil"/>
              <w:left w:val="nil"/>
              <w:bottom w:val="nil"/>
              <w:right w:val="nil"/>
            </w:tcBorders>
            <w:shd w:val="clear" w:color="auto" w:fill="auto"/>
            <w:noWrap/>
            <w:vAlign w:val="bottom"/>
            <w:hideMark/>
          </w:tcPr>
          <w:p w14:paraId="1505FA5D" w14:textId="77777777" w:rsidR="008618D1" w:rsidRPr="00806B7A" w:rsidRDefault="008618D1" w:rsidP="001A15C2">
            <w:pPr>
              <w:spacing w:after="0" w:line="240" w:lineRule="auto"/>
              <w:jc w:val="right"/>
              <w:rPr>
                <w:rFonts w:ascii="Calibri" w:eastAsia="Times New Roman" w:hAnsi="Calibri" w:cs="Calibri"/>
                <w:color w:val="0070C0"/>
              </w:rPr>
            </w:pPr>
            <w:r w:rsidRPr="00806B7A">
              <w:rPr>
                <w:rFonts w:ascii="Calibri" w:eastAsia="Times New Roman" w:hAnsi="Calibri" w:cs="Calibri"/>
                <w:color w:val="0070C0"/>
              </w:rPr>
              <w:t>0.90</w:t>
            </w:r>
          </w:p>
        </w:tc>
      </w:tr>
    </w:tbl>
    <w:p w14:paraId="0CABCFD3" w14:textId="1B14CA50" w:rsidR="007422FD" w:rsidRDefault="0048008A" w:rsidP="008C54A9">
      <w:pPr>
        <w:autoSpaceDE w:val="0"/>
        <w:autoSpaceDN w:val="0"/>
        <w:adjustRightInd w:val="0"/>
        <w:spacing w:after="0" w:line="240" w:lineRule="auto"/>
        <w:rPr>
          <w:rFonts w:cstheme="minorHAnsi"/>
          <w:bCs/>
        </w:rPr>
      </w:pPr>
      <w:r w:rsidRPr="00A25024">
        <w:rPr>
          <w:rFonts w:cstheme="minorHAnsi"/>
          <w:bCs/>
        </w:rPr>
        <w:br/>
      </w:r>
    </w:p>
    <w:p w14:paraId="07A2238D" w14:textId="2B3D0B36" w:rsidR="00806B7A" w:rsidRPr="001E2C72" w:rsidRDefault="00806B7A" w:rsidP="008C54A9">
      <w:pPr>
        <w:autoSpaceDE w:val="0"/>
        <w:autoSpaceDN w:val="0"/>
        <w:adjustRightInd w:val="0"/>
        <w:spacing w:after="0" w:line="240" w:lineRule="auto"/>
        <w:rPr>
          <w:rFonts w:cstheme="minorHAnsi"/>
          <w:bCs/>
          <w:color w:val="C00000"/>
        </w:rPr>
      </w:pPr>
      <w:r w:rsidRPr="001E2C72">
        <w:rPr>
          <w:rFonts w:cstheme="minorHAnsi"/>
          <w:bCs/>
          <w:color w:val="C00000"/>
        </w:rPr>
        <w:t>2016:</w:t>
      </w:r>
    </w:p>
    <w:tbl>
      <w:tblPr>
        <w:tblW w:w="1920" w:type="dxa"/>
        <w:tblLook w:val="04A0" w:firstRow="1" w:lastRow="0" w:firstColumn="1" w:lastColumn="0" w:noHBand="0" w:noVBand="1"/>
      </w:tblPr>
      <w:tblGrid>
        <w:gridCol w:w="960"/>
        <w:gridCol w:w="960"/>
      </w:tblGrid>
      <w:tr w:rsidR="001E2C72" w:rsidRPr="001E2C72" w14:paraId="3AE5D92C" w14:textId="77777777" w:rsidTr="001E2C72">
        <w:trPr>
          <w:trHeight w:val="300"/>
        </w:trPr>
        <w:tc>
          <w:tcPr>
            <w:tcW w:w="960" w:type="dxa"/>
            <w:tcBorders>
              <w:top w:val="nil"/>
              <w:left w:val="nil"/>
              <w:bottom w:val="nil"/>
              <w:right w:val="nil"/>
            </w:tcBorders>
            <w:shd w:val="clear" w:color="auto" w:fill="auto"/>
            <w:noWrap/>
            <w:vAlign w:val="bottom"/>
            <w:hideMark/>
          </w:tcPr>
          <w:p w14:paraId="01FE99A6" w14:textId="77777777" w:rsidR="00806B7A" w:rsidRPr="001E2C72" w:rsidRDefault="00806B7A"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2006</w:t>
            </w:r>
          </w:p>
        </w:tc>
        <w:tc>
          <w:tcPr>
            <w:tcW w:w="960" w:type="dxa"/>
            <w:tcBorders>
              <w:top w:val="nil"/>
              <w:left w:val="nil"/>
              <w:bottom w:val="nil"/>
              <w:right w:val="nil"/>
            </w:tcBorders>
            <w:shd w:val="clear" w:color="auto" w:fill="auto"/>
            <w:noWrap/>
            <w:vAlign w:val="bottom"/>
          </w:tcPr>
          <w:p w14:paraId="1F592B7B" w14:textId="200E9E72" w:rsidR="00806B7A" w:rsidRPr="001E2C72" w:rsidRDefault="001E2C72"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0.74</w:t>
            </w:r>
          </w:p>
        </w:tc>
      </w:tr>
      <w:tr w:rsidR="001E2C72" w:rsidRPr="001E2C72" w14:paraId="3EF50605" w14:textId="77777777" w:rsidTr="001E2C72">
        <w:trPr>
          <w:trHeight w:val="300"/>
        </w:trPr>
        <w:tc>
          <w:tcPr>
            <w:tcW w:w="960" w:type="dxa"/>
            <w:tcBorders>
              <w:top w:val="nil"/>
              <w:left w:val="nil"/>
              <w:bottom w:val="nil"/>
              <w:right w:val="nil"/>
            </w:tcBorders>
            <w:shd w:val="clear" w:color="auto" w:fill="auto"/>
            <w:noWrap/>
            <w:vAlign w:val="bottom"/>
            <w:hideMark/>
          </w:tcPr>
          <w:p w14:paraId="1EC9431E" w14:textId="77777777" w:rsidR="00806B7A" w:rsidRPr="001E2C72" w:rsidRDefault="00806B7A"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2007</w:t>
            </w:r>
          </w:p>
        </w:tc>
        <w:tc>
          <w:tcPr>
            <w:tcW w:w="960" w:type="dxa"/>
            <w:tcBorders>
              <w:top w:val="nil"/>
              <w:left w:val="nil"/>
              <w:bottom w:val="nil"/>
              <w:right w:val="nil"/>
            </w:tcBorders>
            <w:shd w:val="clear" w:color="auto" w:fill="auto"/>
            <w:noWrap/>
            <w:vAlign w:val="bottom"/>
          </w:tcPr>
          <w:p w14:paraId="2A2094B1" w14:textId="0D77821D" w:rsidR="00806B7A" w:rsidRPr="001E2C72" w:rsidRDefault="001E2C72"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0.78</w:t>
            </w:r>
          </w:p>
        </w:tc>
      </w:tr>
      <w:tr w:rsidR="001E2C72" w:rsidRPr="001E2C72" w14:paraId="61091ECA" w14:textId="77777777" w:rsidTr="001E2C72">
        <w:trPr>
          <w:trHeight w:val="300"/>
        </w:trPr>
        <w:tc>
          <w:tcPr>
            <w:tcW w:w="960" w:type="dxa"/>
            <w:tcBorders>
              <w:top w:val="nil"/>
              <w:left w:val="nil"/>
              <w:bottom w:val="nil"/>
              <w:right w:val="nil"/>
            </w:tcBorders>
            <w:shd w:val="clear" w:color="auto" w:fill="auto"/>
            <w:noWrap/>
            <w:vAlign w:val="bottom"/>
            <w:hideMark/>
          </w:tcPr>
          <w:p w14:paraId="58F4BEBD" w14:textId="77777777" w:rsidR="00806B7A" w:rsidRPr="001E2C72" w:rsidRDefault="00806B7A"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2008</w:t>
            </w:r>
          </w:p>
        </w:tc>
        <w:tc>
          <w:tcPr>
            <w:tcW w:w="960" w:type="dxa"/>
            <w:tcBorders>
              <w:top w:val="nil"/>
              <w:left w:val="nil"/>
              <w:bottom w:val="nil"/>
              <w:right w:val="nil"/>
            </w:tcBorders>
            <w:shd w:val="clear" w:color="auto" w:fill="auto"/>
            <w:noWrap/>
            <w:vAlign w:val="bottom"/>
          </w:tcPr>
          <w:p w14:paraId="40463918" w14:textId="44AE0D33" w:rsidR="00806B7A" w:rsidRPr="001E2C72" w:rsidRDefault="001E2C72"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0.79</w:t>
            </w:r>
          </w:p>
        </w:tc>
      </w:tr>
      <w:tr w:rsidR="001E2C72" w:rsidRPr="001E2C72" w14:paraId="2F3F11AC" w14:textId="77777777" w:rsidTr="001E2C72">
        <w:trPr>
          <w:trHeight w:val="300"/>
        </w:trPr>
        <w:tc>
          <w:tcPr>
            <w:tcW w:w="960" w:type="dxa"/>
            <w:tcBorders>
              <w:top w:val="nil"/>
              <w:left w:val="nil"/>
              <w:bottom w:val="nil"/>
              <w:right w:val="nil"/>
            </w:tcBorders>
            <w:shd w:val="clear" w:color="auto" w:fill="auto"/>
            <w:noWrap/>
            <w:vAlign w:val="bottom"/>
            <w:hideMark/>
          </w:tcPr>
          <w:p w14:paraId="35EF19C1" w14:textId="77777777" w:rsidR="00806B7A" w:rsidRPr="001E2C72" w:rsidRDefault="00806B7A"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2009</w:t>
            </w:r>
          </w:p>
        </w:tc>
        <w:tc>
          <w:tcPr>
            <w:tcW w:w="960" w:type="dxa"/>
            <w:tcBorders>
              <w:top w:val="nil"/>
              <w:left w:val="nil"/>
              <w:bottom w:val="nil"/>
              <w:right w:val="nil"/>
            </w:tcBorders>
            <w:shd w:val="clear" w:color="auto" w:fill="auto"/>
            <w:noWrap/>
            <w:vAlign w:val="bottom"/>
          </w:tcPr>
          <w:p w14:paraId="30BBC9F2" w14:textId="64A39CBF" w:rsidR="00806B7A" w:rsidRPr="001E2C72" w:rsidRDefault="001E2C72"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0.78</w:t>
            </w:r>
          </w:p>
        </w:tc>
      </w:tr>
      <w:tr w:rsidR="001E2C72" w:rsidRPr="001E2C72" w14:paraId="56AB4323" w14:textId="77777777" w:rsidTr="001E2C72">
        <w:trPr>
          <w:trHeight w:val="300"/>
        </w:trPr>
        <w:tc>
          <w:tcPr>
            <w:tcW w:w="960" w:type="dxa"/>
            <w:tcBorders>
              <w:top w:val="nil"/>
              <w:left w:val="nil"/>
              <w:bottom w:val="nil"/>
              <w:right w:val="nil"/>
            </w:tcBorders>
            <w:shd w:val="clear" w:color="auto" w:fill="auto"/>
            <w:noWrap/>
            <w:vAlign w:val="bottom"/>
            <w:hideMark/>
          </w:tcPr>
          <w:p w14:paraId="2195B546" w14:textId="77777777" w:rsidR="00806B7A" w:rsidRPr="001E2C72" w:rsidRDefault="00806B7A"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2010</w:t>
            </w:r>
          </w:p>
        </w:tc>
        <w:tc>
          <w:tcPr>
            <w:tcW w:w="960" w:type="dxa"/>
            <w:tcBorders>
              <w:top w:val="nil"/>
              <w:left w:val="nil"/>
              <w:bottom w:val="nil"/>
              <w:right w:val="nil"/>
            </w:tcBorders>
            <w:shd w:val="clear" w:color="auto" w:fill="auto"/>
            <w:noWrap/>
            <w:vAlign w:val="bottom"/>
          </w:tcPr>
          <w:p w14:paraId="07580457" w14:textId="194A9765" w:rsidR="00806B7A" w:rsidRPr="001E2C72" w:rsidRDefault="001E2C72"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0.75</w:t>
            </w:r>
          </w:p>
        </w:tc>
      </w:tr>
      <w:tr w:rsidR="001E2C72" w:rsidRPr="001E2C72" w14:paraId="510419E1" w14:textId="77777777" w:rsidTr="001E2C72">
        <w:trPr>
          <w:trHeight w:val="300"/>
        </w:trPr>
        <w:tc>
          <w:tcPr>
            <w:tcW w:w="960" w:type="dxa"/>
            <w:tcBorders>
              <w:top w:val="nil"/>
              <w:left w:val="nil"/>
              <w:bottom w:val="nil"/>
              <w:right w:val="nil"/>
            </w:tcBorders>
            <w:shd w:val="clear" w:color="auto" w:fill="auto"/>
            <w:noWrap/>
            <w:vAlign w:val="bottom"/>
            <w:hideMark/>
          </w:tcPr>
          <w:p w14:paraId="033B8523" w14:textId="77777777" w:rsidR="00806B7A" w:rsidRPr="001E2C72" w:rsidRDefault="00806B7A"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2011</w:t>
            </w:r>
          </w:p>
        </w:tc>
        <w:tc>
          <w:tcPr>
            <w:tcW w:w="960" w:type="dxa"/>
            <w:tcBorders>
              <w:top w:val="nil"/>
              <w:left w:val="nil"/>
              <w:bottom w:val="nil"/>
              <w:right w:val="nil"/>
            </w:tcBorders>
            <w:shd w:val="clear" w:color="auto" w:fill="auto"/>
            <w:noWrap/>
            <w:vAlign w:val="bottom"/>
          </w:tcPr>
          <w:p w14:paraId="1D6F4704" w14:textId="5FCE8BE9" w:rsidR="00806B7A" w:rsidRPr="001E2C72" w:rsidRDefault="001E2C72"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0.69</w:t>
            </w:r>
          </w:p>
        </w:tc>
      </w:tr>
      <w:tr w:rsidR="001E2C72" w:rsidRPr="001E2C72" w14:paraId="134EC4F5" w14:textId="77777777" w:rsidTr="001E2C72">
        <w:trPr>
          <w:trHeight w:val="300"/>
        </w:trPr>
        <w:tc>
          <w:tcPr>
            <w:tcW w:w="960" w:type="dxa"/>
            <w:tcBorders>
              <w:top w:val="nil"/>
              <w:left w:val="nil"/>
              <w:bottom w:val="nil"/>
              <w:right w:val="nil"/>
            </w:tcBorders>
            <w:shd w:val="clear" w:color="auto" w:fill="auto"/>
            <w:noWrap/>
            <w:vAlign w:val="bottom"/>
            <w:hideMark/>
          </w:tcPr>
          <w:p w14:paraId="2561AAC6" w14:textId="77777777" w:rsidR="00806B7A" w:rsidRPr="001E2C72" w:rsidRDefault="00806B7A"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2012</w:t>
            </w:r>
          </w:p>
        </w:tc>
        <w:tc>
          <w:tcPr>
            <w:tcW w:w="960" w:type="dxa"/>
            <w:tcBorders>
              <w:top w:val="nil"/>
              <w:left w:val="nil"/>
              <w:bottom w:val="nil"/>
              <w:right w:val="nil"/>
            </w:tcBorders>
            <w:shd w:val="clear" w:color="auto" w:fill="auto"/>
            <w:noWrap/>
            <w:vAlign w:val="bottom"/>
          </w:tcPr>
          <w:p w14:paraId="2EE14632" w14:textId="5189CFEF" w:rsidR="00806B7A" w:rsidRPr="001E2C72" w:rsidRDefault="001E2C72"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0.69</w:t>
            </w:r>
          </w:p>
        </w:tc>
      </w:tr>
      <w:tr w:rsidR="001E2C72" w:rsidRPr="001E2C72" w14:paraId="520E7EC8" w14:textId="77777777" w:rsidTr="001E2C72">
        <w:trPr>
          <w:trHeight w:val="300"/>
        </w:trPr>
        <w:tc>
          <w:tcPr>
            <w:tcW w:w="960" w:type="dxa"/>
            <w:tcBorders>
              <w:top w:val="nil"/>
              <w:left w:val="nil"/>
              <w:bottom w:val="nil"/>
              <w:right w:val="nil"/>
            </w:tcBorders>
            <w:shd w:val="clear" w:color="auto" w:fill="auto"/>
            <w:noWrap/>
            <w:vAlign w:val="bottom"/>
            <w:hideMark/>
          </w:tcPr>
          <w:p w14:paraId="4FE6A7D8" w14:textId="77777777" w:rsidR="00806B7A" w:rsidRPr="001E2C72" w:rsidRDefault="00806B7A"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2013</w:t>
            </w:r>
          </w:p>
        </w:tc>
        <w:tc>
          <w:tcPr>
            <w:tcW w:w="960" w:type="dxa"/>
            <w:tcBorders>
              <w:top w:val="nil"/>
              <w:left w:val="nil"/>
              <w:bottom w:val="nil"/>
              <w:right w:val="nil"/>
            </w:tcBorders>
            <w:shd w:val="clear" w:color="auto" w:fill="auto"/>
            <w:noWrap/>
            <w:vAlign w:val="bottom"/>
          </w:tcPr>
          <w:p w14:paraId="5EC1F630" w14:textId="672746DE" w:rsidR="00806B7A" w:rsidRPr="001E2C72" w:rsidRDefault="001E2C72"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0.74</w:t>
            </w:r>
          </w:p>
        </w:tc>
      </w:tr>
      <w:tr w:rsidR="001E2C72" w:rsidRPr="001E2C72" w14:paraId="7EC7AC2D" w14:textId="77777777" w:rsidTr="001E2C72">
        <w:trPr>
          <w:trHeight w:val="300"/>
        </w:trPr>
        <w:tc>
          <w:tcPr>
            <w:tcW w:w="960" w:type="dxa"/>
            <w:tcBorders>
              <w:top w:val="nil"/>
              <w:left w:val="nil"/>
              <w:bottom w:val="nil"/>
              <w:right w:val="nil"/>
            </w:tcBorders>
            <w:shd w:val="clear" w:color="auto" w:fill="auto"/>
            <w:noWrap/>
            <w:vAlign w:val="bottom"/>
            <w:hideMark/>
          </w:tcPr>
          <w:p w14:paraId="1122955A" w14:textId="77777777" w:rsidR="00806B7A" w:rsidRPr="001E2C72" w:rsidRDefault="00806B7A"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2014</w:t>
            </w:r>
          </w:p>
        </w:tc>
        <w:tc>
          <w:tcPr>
            <w:tcW w:w="960" w:type="dxa"/>
            <w:tcBorders>
              <w:top w:val="nil"/>
              <w:left w:val="nil"/>
              <w:bottom w:val="nil"/>
              <w:right w:val="nil"/>
            </w:tcBorders>
            <w:shd w:val="clear" w:color="auto" w:fill="auto"/>
            <w:noWrap/>
            <w:vAlign w:val="bottom"/>
          </w:tcPr>
          <w:p w14:paraId="76C8573D" w14:textId="2383E084" w:rsidR="00806B7A" w:rsidRPr="001E2C72" w:rsidRDefault="001E2C72" w:rsidP="001A15C2">
            <w:pPr>
              <w:spacing w:after="0" w:line="240" w:lineRule="auto"/>
              <w:jc w:val="right"/>
              <w:rPr>
                <w:rFonts w:ascii="Calibri" w:eastAsia="Times New Roman" w:hAnsi="Calibri" w:cs="Calibri"/>
                <w:color w:val="C00000"/>
              </w:rPr>
            </w:pPr>
            <w:r w:rsidRPr="001E2C72">
              <w:rPr>
                <w:rFonts w:ascii="Calibri" w:eastAsia="Times New Roman" w:hAnsi="Calibri" w:cs="Calibri"/>
                <w:color w:val="C00000"/>
              </w:rPr>
              <w:t>0.74</w:t>
            </w:r>
          </w:p>
        </w:tc>
      </w:tr>
    </w:tbl>
    <w:p w14:paraId="5FE3F241" w14:textId="77777777" w:rsidR="00806B7A" w:rsidRDefault="00806B7A" w:rsidP="008C54A9">
      <w:pPr>
        <w:autoSpaceDE w:val="0"/>
        <w:autoSpaceDN w:val="0"/>
        <w:adjustRightInd w:val="0"/>
        <w:spacing w:after="0" w:line="240" w:lineRule="auto"/>
        <w:rPr>
          <w:rFonts w:cstheme="minorHAnsi"/>
          <w:bCs/>
        </w:rPr>
      </w:pPr>
    </w:p>
    <w:p w14:paraId="4B2AE268" w14:textId="77777777" w:rsidR="00806B7A" w:rsidRPr="00A25024" w:rsidRDefault="00806B7A" w:rsidP="008C54A9">
      <w:pPr>
        <w:autoSpaceDE w:val="0"/>
        <w:autoSpaceDN w:val="0"/>
        <w:adjustRightInd w:val="0"/>
        <w:spacing w:after="0" w:line="240" w:lineRule="auto"/>
        <w:rPr>
          <w:rFonts w:cstheme="minorHAnsi"/>
          <w:bCs/>
        </w:rPr>
      </w:pPr>
    </w:p>
    <w:p w14:paraId="0CABCFD4" w14:textId="7BB30C1A"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27B702BA" w14:textId="412D250F" w:rsidR="008618D1" w:rsidRPr="00806B7A" w:rsidRDefault="008618D1" w:rsidP="008618D1">
      <w:pPr>
        <w:autoSpaceDE w:val="0"/>
        <w:autoSpaceDN w:val="0"/>
        <w:adjustRightInd w:val="0"/>
        <w:spacing w:after="0" w:line="240" w:lineRule="auto"/>
        <w:rPr>
          <w:rFonts w:cstheme="minorHAnsi"/>
          <w:bCs/>
          <w:color w:val="0070C0"/>
        </w:rPr>
      </w:pPr>
      <w:r w:rsidRPr="00806B7A">
        <w:rPr>
          <w:rFonts w:cstheme="minorHAnsi"/>
          <w:bCs/>
          <w:color w:val="0070C0"/>
        </w:rPr>
        <w:t>2020: The coefficients suggest strong correlation indicating high reliability.</w:t>
      </w:r>
    </w:p>
    <w:p w14:paraId="1EE437AF" w14:textId="67AE4486" w:rsidR="008618D1" w:rsidRDefault="008618D1" w:rsidP="00DB3627">
      <w:pPr>
        <w:autoSpaceDE w:val="0"/>
        <w:autoSpaceDN w:val="0"/>
        <w:adjustRightInd w:val="0"/>
        <w:spacing w:after="0" w:line="240" w:lineRule="auto"/>
        <w:rPr>
          <w:rFonts w:cstheme="minorHAnsi"/>
          <w:bCs/>
        </w:rPr>
      </w:pPr>
    </w:p>
    <w:p w14:paraId="2387AC56" w14:textId="4E87D87D" w:rsidR="001E2C72" w:rsidRPr="001E2C72" w:rsidRDefault="001E2C72" w:rsidP="00DB3627">
      <w:pPr>
        <w:autoSpaceDE w:val="0"/>
        <w:autoSpaceDN w:val="0"/>
        <w:adjustRightInd w:val="0"/>
        <w:spacing w:after="0" w:line="240" w:lineRule="auto"/>
        <w:rPr>
          <w:rFonts w:cstheme="minorHAnsi"/>
          <w:bCs/>
          <w:color w:val="C00000"/>
        </w:rPr>
      </w:pPr>
      <w:r w:rsidRPr="001E2C72">
        <w:rPr>
          <w:rFonts w:cstheme="minorHAnsi"/>
          <w:bCs/>
          <w:color w:val="C00000"/>
        </w:rPr>
        <w:t>2016: The correlation coefficients were lower than we expected. It suggests that the definition may not be applied in the same manner across all infants at all hospitals. The coefficients increased as the number of infants at the hospitals increased.</w:t>
      </w:r>
    </w:p>
    <w:p w14:paraId="27B50C86" w14:textId="77777777" w:rsidR="001E2C72" w:rsidRPr="00A25024" w:rsidRDefault="001E2C72"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lastRenderedPageBreak/>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EA3B914" w:rsidR="00696262" w:rsidRPr="00A25024" w:rsidRDefault="001467E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8252D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45E26F06" w:rsidR="000574AB" w:rsidRPr="00A25024" w:rsidRDefault="001467E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8618D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6E665DD"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65F570B" w14:textId="327C5C0D" w:rsidR="00A3165B" w:rsidRDefault="008618D1" w:rsidP="00DB3627">
      <w:pPr>
        <w:autoSpaceDE w:val="0"/>
        <w:autoSpaceDN w:val="0"/>
        <w:adjustRightInd w:val="0"/>
        <w:spacing w:after="0" w:line="240" w:lineRule="auto"/>
        <w:rPr>
          <w:rFonts w:cstheme="minorHAnsi"/>
          <w:bCs/>
          <w:color w:val="0070C0"/>
        </w:rPr>
      </w:pPr>
      <w:r w:rsidRPr="008618D1">
        <w:rPr>
          <w:rFonts w:cstheme="minorHAnsi"/>
          <w:bCs/>
          <w:color w:val="0070C0"/>
        </w:rPr>
        <w:t xml:space="preserve">2020: The Vermont Oxford Network measure was developed by board certified neonatologists and reviewed by clinical experts in pediatric ophthalmology. The measure is reviewed annually by the Vermont Oxford Network Database Advisory Committee consisting of national and international experts in the neonatal community. Comprehensive business rules test reach record for consistency, completeness, and accuracy. Submitted records with errors must be corrected before data are finalized and reports of the measure are provided to hospitals. </w:t>
      </w:r>
    </w:p>
    <w:p w14:paraId="255B3EA8" w14:textId="77777777" w:rsidR="00A3165B" w:rsidRDefault="00A3165B" w:rsidP="00DB3627">
      <w:pPr>
        <w:autoSpaceDE w:val="0"/>
        <w:autoSpaceDN w:val="0"/>
        <w:adjustRightInd w:val="0"/>
        <w:spacing w:after="0" w:line="240" w:lineRule="auto"/>
        <w:rPr>
          <w:rFonts w:cstheme="minorHAnsi"/>
          <w:bCs/>
          <w:color w:val="0070C0"/>
        </w:rPr>
      </w:pPr>
    </w:p>
    <w:p w14:paraId="71979387" w14:textId="09DF11D6" w:rsidR="008618D1" w:rsidRDefault="008618D1" w:rsidP="00DB3627">
      <w:pPr>
        <w:autoSpaceDE w:val="0"/>
        <w:autoSpaceDN w:val="0"/>
        <w:adjustRightInd w:val="0"/>
        <w:spacing w:after="0" w:line="240" w:lineRule="auto"/>
        <w:rPr>
          <w:color w:val="0070C0"/>
        </w:rPr>
      </w:pPr>
      <w:r w:rsidRPr="008618D1">
        <w:rPr>
          <w:rFonts w:cstheme="minorHAnsi"/>
          <w:bCs/>
          <w:color w:val="0070C0"/>
        </w:rPr>
        <w:t>As a small non-profit organization, Vermont Oxford Network does not have the resources to ask</w:t>
      </w:r>
      <w:r w:rsidRPr="008618D1">
        <w:rPr>
          <w:color w:val="0070C0"/>
        </w:rPr>
        <w:t xml:space="preserve"> centers to test the measure</w:t>
      </w:r>
      <w:r w:rsidR="00A3165B">
        <w:rPr>
          <w:color w:val="0070C0"/>
        </w:rPr>
        <w:t xml:space="preserve">, </w:t>
      </w:r>
      <w:r w:rsidRPr="008618D1">
        <w:rPr>
          <w:color w:val="0070C0"/>
        </w:rPr>
        <w:t xml:space="preserve">and we do not have an appropriate measure </w:t>
      </w:r>
      <w:r w:rsidR="00A3165B">
        <w:rPr>
          <w:color w:val="0070C0"/>
        </w:rPr>
        <w:t>to use</w:t>
      </w:r>
      <w:r w:rsidRPr="008618D1">
        <w:rPr>
          <w:color w:val="0070C0"/>
        </w:rPr>
        <w:t xml:space="preserve"> for score validity.</w:t>
      </w:r>
      <w:r w:rsidR="00806B7A">
        <w:rPr>
          <w:color w:val="0070C0"/>
        </w:rPr>
        <w:t xml:space="preserve"> We feel that the measure has strong face validity and is bolstered by support from </w:t>
      </w:r>
      <w:r w:rsidR="00A3165B">
        <w:rPr>
          <w:rFonts w:cstheme="minorHAnsi"/>
          <w:bCs/>
          <w:color w:val="0070C0"/>
        </w:rPr>
        <w:t>t</w:t>
      </w:r>
      <w:r w:rsidR="00A3165B" w:rsidRPr="008618D1">
        <w:rPr>
          <w:rFonts w:cstheme="minorHAnsi"/>
          <w:bCs/>
          <w:color w:val="0070C0"/>
        </w:rPr>
        <w:t>he American Academy of Pediatrics</w:t>
      </w:r>
      <w:r w:rsidR="00A3165B">
        <w:rPr>
          <w:rFonts w:cstheme="minorHAnsi"/>
          <w:bCs/>
          <w:color w:val="0070C0"/>
        </w:rPr>
        <w:t xml:space="preserve">’ </w:t>
      </w:r>
      <w:r w:rsidR="00A3165B" w:rsidRPr="008618D1">
        <w:rPr>
          <w:rFonts w:cstheme="minorHAnsi"/>
          <w:bCs/>
          <w:color w:val="0070C0"/>
        </w:rPr>
        <w:t>clinical guideline</w:t>
      </w:r>
      <w:r w:rsidR="00806B7A">
        <w:rPr>
          <w:color w:val="0070C0"/>
        </w:rPr>
        <w:t>.</w:t>
      </w:r>
    </w:p>
    <w:p w14:paraId="674ED237" w14:textId="55E36CAF" w:rsidR="001E2C72" w:rsidRDefault="001E2C72" w:rsidP="00DB3627">
      <w:pPr>
        <w:autoSpaceDE w:val="0"/>
        <w:autoSpaceDN w:val="0"/>
        <w:adjustRightInd w:val="0"/>
        <w:spacing w:after="0" w:line="240" w:lineRule="auto"/>
        <w:rPr>
          <w:color w:val="0070C0"/>
        </w:rPr>
      </w:pPr>
    </w:p>
    <w:p w14:paraId="10CD5436" w14:textId="0934A22F" w:rsidR="001E2C72" w:rsidRPr="001E2C72" w:rsidRDefault="001E2C72" w:rsidP="00DB3627">
      <w:pPr>
        <w:autoSpaceDE w:val="0"/>
        <w:autoSpaceDN w:val="0"/>
        <w:adjustRightInd w:val="0"/>
        <w:spacing w:after="0" w:line="240" w:lineRule="auto"/>
        <w:rPr>
          <w:rFonts w:cstheme="minorHAnsi"/>
          <w:bCs/>
          <w:color w:val="C00000"/>
        </w:rPr>
      </w:pPr>
      <w:r w:rsidRPr="001E2C72">
        <w:rPr>
          <w:color w:val="C00000"/>
        </w:rPr>
        <w:t xml:space="preserve">2016: </w:t>
      </w:r>
      <w:r w:rsidRPr="001E2C72">
        <w:rPr>
          <w:rFonts w:cstheme="minorHAnsi"/>
          <w:bCs/>
          <w:color w:val="C00000"/>
        </w:rPr>
        <w:t>The measure was developed by board certified neonatologists and reviewed by clinical experts in pediatric ophthalmology. The measure is reviewed annually by the Vermont Oxford Network Database Advisory Committee, consisting of national and international experts in the neonatal community. Comprehensive business rules test reach record for consistency, completeness and accuracy. Submitted records with errors must be corrected before data are finalized and reports of the measure are provided to hospitals.</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284DE454" w14:textId="77777777" w:rsidR="00806B7A"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618D1">
        <w:rPr>
          <w:rFonts w:cstheme="minorHAnsi"/>
          <w:bCs/>
        </w:rPr>
        <w:t xml:space="preserve"> </w:t>
      </w:r>
    </w:p>
    <w:p w14:paraId="109A13F6" w14:textId="7A1905E0" w:rsidR="00806B7A" w:rsidRPr="00806B7A" w:rsidRDefault="00806B7A" w:rsidP="00092566">
      <w:pPr>
        <w:autoSpaceDE w:val="0"/>
        <w:autoSpaceDN w:val="0"/>
        <w:adjustRightInd w:val="0"/>
        <w:spacing w:after="0" w:line="240" w:lineRule="auto"/>
        <w:rPr>
          <w:rFonts w:cstheme="minorHAnsi"/>
          <w:bCs/>
          <w:color w:val="0070C0"/>
        </w:rPr>
      </w:pPr>
      <w:r w:rsidRPr="00806B7A">
        <w:rPr>
          <w:rFonts w:cstheme="minorHAnsi"/>
          <w:bCs/>
          <w:color w:val="0070C0"/>
        </w:rPr>
        <w:t xml:space="preserve">2020: </w:t>
      </w:r>
      <w:r w:rsidR="001E2C72">
        <w:rPr>
          <w:rFonts w:cstheme="minorHAnsi"/>
          <w:bCs/>
          <w:color w:val="0070C0"/>
        </w:rPr>
        <w:t>No statistical tests done</w:t>
      </w:r>
    </w:p>
    <w:p w14:paraId="0CABCFDE" w14:textId="63A5CF5C" w:rsidR="007422FD" w:rsidRPr="00092566" w:rsidRDefault="00806B7A" w:rsidP="00092566">
      <w:pPr>
        <w:autoSpaceDE w:val="0"/>
        <w:autoSpaceDN w:val="0"/>
        <w:adjustRightInd w:val="0"/>
        <w:spacing w:after="0" w:line="240" w:lineRule="auto"/>
        <w:rPr>
          <w:rFonts w:cstheme="minorHAnsi"/>
          <w:bCs/>
        </w:rPr>
      </w:pPr>
      <w:r w:rsidRPr="001E2C72">
        <w:rPr>
          <w:rFonts w:cstheme="minorHAnsi"/>
          <w:bCs/>
          <w:color w:val="C00000"/>
        </w:rPr>
        <w:t xml:space="preserve">2016: </w:t>
      </w:r>
      <w:r w:rsidR="001E2C72">
        <w:rPr>
          <w:rFonts w:cstheme="minorHAnsi"/>
          <w:bCs/>
          <w:color w:val="C00000"/>
        </w:rPr>
        <w:t>No statistical tests done</w:t>
      </w:r>
      <w:r w:rsidR="00833325" w:rsidRPr="001E2C72">
        <w:rPr>
          <w:rFonts w:cstheme="minorHAnsi"/>
          <w:bCs/>
          <w:color w:val="C00000"/>
        </w:rPr>
        <w:br/>
      </w:r>
    </w:p>
    <w:p w14:paraId="40B72B1A" w14:textId="77777777" w:rsidR="00806B7A"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0A78FAD1" w14:textId="77777777" w:rsidR="00806B7A" w:rsidRDefault="00806B7A" w:rsidP="00DB3627">
      <w:pPr>
        <w:autoSpaceDE w:val="0"/>
        <w:autoSpaceDN w:val="0"/>
        <w:adjustRightInd w:val="0"/>
        <w:spacing w:after="0" w:line="240" w:lineRule="auto"/>
        <w:rPr>
          <w:rFonts w:cstheme="minorHAnsi"/>
          <w:bCs/>
        </w:rPr>
      </w:pPr>
    </w:p>
    <w:p w14:paraId="3853C485" w14:textId="77777777" w:rsidR="00806B7A" w:rsidRPr="00806B7A" w:rsidRDefault="00806B7A" w:rsidP="00DB3627">
      <w:pPr>
        <w:autoSpaceDE w:val="0"/>
        <w:autoSpaceDN w:val="0"/>
        <w:adjustRightInd w:val="0"/>
        <w:spacing w:after="0" w:line="240" w:lineRule="auto"/>
        <w:rPr>
          <w:rFonts w:cstheme="minorHAnsi"/>
          <w:bCs/>
          <w:color w:val="0070C0"/>
        </w:rPr>
      </w:pPr>
      <w:r w:rsidRPr="00806B7A">
        <w:rPr>
          <w:rFonts w:cstheme="minorHAnsi"/>
          <w:bCs/>
          <w:color w:val="0070C0"/>
        </w:rPr>
        <w:t>2020: N/A</w:t>
      </w:r>
    </w:p>
    <w:p w14:paraId="0CABCFDF" w14:textId="1FC20255" w:rsidR="007422FD" w:rsidRPr="00A25024" w:rsidRDefault="00806B7A" w:rsidP="00DB3627">
      <w:pPr>
        <w:autoSpaceDE w:val="0"/>
        <w:autoSpaceDN w:val="0"/>
        <w:adjustRightInd w:val="0"/>
        <w:spacing w:after="0" w:line="240" w:lineRule="auto"/>
        <w:rPr>
          <w:rFonts w:cstheme="minorHAnsi"/>
          <w:bCs/>
        </w:rPr>
      </w:pPr>
      <w:r w:rsidRPr="001E2C72">
        <w:rPr>
          <w:rFonts w:cstheme="minorHAnsi"/>
          <w:bCs/>
          <w:color w:val="C00000"/>
        </w:rPr>
        <w:t>2016: N/A</w:t>
      </w:r>
      <w:r w:rsidR="007422FD" w:rsidRPr="001E2C72">
        <w:rPr>
          <w:rFonts w:cstheme="minorHAnsi"/>
          <w:bCs/>
          <w:color w:val="C00000"/>
        </w:rPr>
        <w:br/>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B50916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1E2C72">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65A3D946" w14:textId="5F6FF4AD" w:rsidR="001E2C72"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650A8BA7" w14:textId="609C7AB4" w:rsidR="001E2C72" w:rsidRDefault="001E2C72" w:rsidP="00DB3627">
      <w:pPr>
        <w:autoSpaceDE w:val="0"/>
        <w:autoSpaceDN w:val="0"/>
        <w:adjustRightInd w:val="0"/>
        <w:spacing w:after="0" w:line="240" w:lineRule="auto"/>
        <w:rPr>
          <w:rFonts w:cstheme="minorHAnsi"/>
          <w:bCs/>
        </w:rPr>
      </w:pPr>
    </w:p>
    <w:p w14:paraId="4CF4AA41" w14:textId="39EF17BA" w:rsidR="001E2C72" w:rsidRPr="001E2C72" w:rsidRDefault="001E2C72" w:rsidP="001E2C72">
      <w:pPr>
        <w:autoSpaceDE w:val="0"/>
        <w:autoSpaceDN w:val="0"/>
        <w:adjustRightInd w:val="0"/>
        <w:spacing w:after="0" w:line="240" w:lineRule="auto"/>
        <w:rPr>
          <w:rFonts w:cstheme="minorHAnsi"/>
          <w:bCs/>
          <w:color w:val="0070C0"/>
        </w:rPr>
      </w:pPr>
      <w:r>
        <w:rPr>
          <w:rFonts w:cstheme="minorHAnsi"/>
          <w:bCs/>
          <w:color w:val="0070C0"/>
        </w:rPr>
        <w:t>2020</w:t>
      </w:r>
      <w:r w:rsidRPr="001E2C72">
        <w:rPr>
          <w:rFonts w:cstheme="minorHAnsi"/>
          <w:bCs/>
          <w:color w:val="0070C0"/>
        </w:rPr>
        <w:t>: Infants can be excluded in two ways. First, we do not require hospitals to determine if a transferred infant received a retinal examination unless the infant was readmitted. We would expect the percentage of infants who received a retinal examination to be low if infants are transferred early.  We examined the correlation coefficient at the hospital level between the proportion of infants who were transferred by day 3 after birth and the proportion who had an eye examination at the recommended post menstrual age. The null hypothesis was that is a negative correlation between these two variables.</w:t>
      </w:r>
    </w:p>
    <w:p w14:paraId="31BCF8C7" w14:textId="77777777" w:rsidR="001E2C72" w:rsidRPr="001E2C72" w:rsidRDefault="001E2C72" w:rsidP="001E2C72">
      <w:pPr>
        <w:autoSpaceDE w:val="0"/>
        <w:autoSpaceDN w:val="0"/>
        <w:adjustRightInd w:val="0"/>
        <w:spacing w:after="0" w:line="240" w:lineRule="auto"/>
        <w:rPr>
          <w:rFonts w:cstheme="minorHAnsi"/>
          <w:bCs/>
          <w:color w:val="0070C0"/>
        </w:rPr>
      </w:pPr>
      <w:r w:rsidRPr="001E2C72">
        <w:rPr>
          <w:rFonts w:cstheme="minorHAnsi"/>
          <w:bCs/>
          <w:color w:val="0070C0"/>
        </w:rPr>
        <w:t>Second, infants may have had retinal examinations but not at the correct postmenstrual age. We examined the correlation coefficient at the hospital level between the proportion of infants who had a retinal examination and the proportion of infants who had an examination at the recommended post menstrual age. The null hypothesis was that there is a strong, positive correlation between these two variables.</w:t>
      </w:r>
    </w:p>
    <w:p w14:paraId="17027179" w14:textId="77777777" w:rsidR="001E2C72" w:rsidRDefault="001E2C72" w:rsidP="00DB3627">
      <w:pPr>
        <w:autoSpaceDE w:val="0"/>
        <w:autoSpaceDN w:val="0"/>
        <w:adjustRightInd w:val="0"/>
        <w:spacing w:after="0" w:line="240" w:lineRule="auto"/>
        <w:rPr>
          <w:rFonts w:cstheme="minorHAnsi"/>
          <w:bCs/>
        </w:rPr>
      </w:pPr>
    </w:p>
    <w:p w14:paraId="46753D68" w14:textId="2A0B3E44" w:rsidR="001E2C72" w:rsidRPr="001E2C72" w:rsidRDefault="001E2C72" w:rsidP="001E2C72">
      <w:pPr>
        <w:autoSpaceDE w:val="0"/>
        <w:autoSpaceDN w:val="0"/>
        <w:adjustRightInd w:val="0"/>
        <w:spacing w:after="0" w:line="240" w:lineRule="auto"/>
        <w:rPr>
          <w:rFonts w:cstheme="minorHAnsi"/>
          <w:bCs/>
          <w:color w:val="C00000"/>
        </w:rPr>
      </w:pPr>
      <w:r w:rsidRPr="001E2C72">
        <w:rPr>
          <w:rFonts w:cstheme="minorHAnsi"/>
          <w:bCs/>
          <w:color w:val="C00000"/>
        </w:rPr>
        <w:t>2016: Infants can be excluded in two ways. First, we do not require hospitals to determine if a transferred infant received a retinal examination unless the infant was readmitted. We would expect the percentage of infants who received a retinal examination to be low if infants are transferred early.  We examined the correlation coefficient at the hospital level between the proportion of infants who were transferred by day 3 after birth and the proportion who had an eye examination at the recommended post menstrual age. The null hypothesis was that is a negative correlation between these two variables.</w:t>
      </w:r>
    </w:p>
    <w:p w14:paraId="1AC1976D" w14:textId="77777777" w:rsidR="001E2C72" w:rsidRPr="001E2C72" w:rsidRDefault="001E2C72" w:rsidP="001E2C72">
      <w:pPr>
        <w:autoSpaceDE w:val="0"/>
        <w:autoSpaceDN w:val="0"/>
        <w:adjustRightInd w:val="0"/>
        <w:spacing w:after="0" w:line="240" w:lineRule="auto"/>
        <w:rPr>
          <w:rFonts w:cstheme="minorHAnsi"/>
          <w:bCs/>
          <w:color w:val="C00000"/>
        </w:rPr>
      </w:pPr>
      <w:r w:rsidRPr="001E2C72">
        <w:rPr>
          <w:rFonts w:cstheme="minorHAnsi"/>
          <w:bCs/>
          <w:color w:val="C00000"/>
        </w:rPr>
        <w:t>Second, infants may have had retinal examinations but not at the correct postmenstrual age. We examined the correlation coefficient at the hospital level between the proportion of infants who had a retinal examination and the proportion of infants who had an examination at the recommended post menstrual age. The null hypothesis was that there is a strong, positive correlation between these two variables.</w:t>
      </w:r>
    </w:p>
    <w:p w14:paraId="0CABCFE5" w14:textId="3295708A" w:rsidR="00833325" w:rsidRPr="00977F81" w:rsidRDefault="00833325" w:rsidP="00DB3627">
      <w:pPr>
        <w:autoSpaceDE w:val="0"/>
        <w:autoSpaceDN w:val="0"/>
        <w:adjustRightInd w:val="0"/>
        <w:spacing w:after="0" w:line="240" w:lineRule="auto"/>
        <w:rPr>
          <w:rFonts w:cstheme="minorHAnsi"/>
          <w:bCs/>
          <w:sz w:val="12"/>
        </w:rPr>
      </w:pPr>
      <w:r w:rsidRPr="00A25024">
        <w:rPr>
          <w:rFonts w:cstheme="minorHAnsi"/>
          <w:bCs/>
        </w:rPr>
        <w:t xml:space="preserve"> </w:t>
      </w:r>
    </w:p>
    <w:p w14:paraId="0F128076" w14:textId="4242E3B6" w:rsidR="001E2C72"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1B268AAC" w14:textId="30A29BE3" w:rsidR="001E2C72" w:rsidRDefault="001E2C72" w:rsidP="00092566">
      <w:pPr>
        <w:autoSpaceDE w:val="0"/>
        <w:autoSpaceDN w:val="0"/>
        <w:adjustRightInd w:val="0"/>
        <w:spacing w:after="0" w:line="240" w:lineRule="auto"/>
        <w:rPr>
          <w:rFonts w:cstheme="minorHAnsi"/>
          <w:bCs/>
        </w:rPr>
      </w:pPr>
    </w:p>
    <w:p w14:paraId="2D00B0A8" w14:textId="2D81FF49" w:rsidR="00BE2451" w:rsidRPr="00BE2451" w:rsidRDefault="001E2C72" w:rsidP="00BE2451">
      <w:pPr>
        <w:autoSpaceDE w:val="0"/>
        <w:autoSpaceDN w:val="0"/>
        <w:adjustRightInd w:val="0"/>
        <w:spacing w:after="0" w:line="240" w:lineRule="auto"/>
        <w:rPr>
          <w:rFonts w:cstheme="minorHAnsi"/>
          <w:bCs/>
          <w:color w:val="0070C0"/>
        </w:rPr>
      </w:pPr>
      <w:r w:rsidRPr="00BE2451">
        <w:rPr>
          <w:rFonts w:cstheme="minorHAnsi"/>
          <w:bCs/>
          <w:color w:val="0070C0"/>
        </w:rPr>
        <w:t xml:space="preserve">2020: </w:t>
      </w:r>
      <w:r w:rsidR="00BE2451" w:rsidRPr="00BE2451">
        <w:rPr>
          <w:rFonts w:cstheme="minorHAnsi"/>
          <w:bCs/>
          <w:color w:val="0070C0"/>
        </w:rPr>
        <w:t xml:space="preserve">The correlation coefficient between the proportion of early transfers and the proportion who received a retinal exam at the recommended post menstrual age was -0.124 (P&lt;0.0001). </w:t>
      </w:r>
      <w:r w:rsidR="00977F81">
        <w:rPr>
          <w:rFonts w:cstheme="minorHAnsi"/>
          <w:bCs/>
          <w:color w:val="0070C0"/>
        </w:rPr>
        <w:t>T</w:t>
      </w:r>
      <w:r w:rsidR="00BE2451" w:rsidRPr="00BE2451">
        <w:rPr>
          <w:rFonts w:cstheme="minorHAnsi"/>
          <w:bCs/>
          <w:color w:val="0070C0"/>
        </w:rPr>
        <w:t>he average proportion of early transfers was 0.</w:t>
      </w:r>
      <w:r w:rsidR="00BE2451">
        <w:rPr>
          <w:rFonts w:cstheme="minorHAnsi"/>
          <w:bCs/>
          <w:color w:val="0070C0"/>
        </w:rPr>
        <w:t>8</w:t>
      </w:r>
      <w:r w:rsidR="00BE2451" w:rsidRPr="00BE2451">
        <w:rPr>
          <w:rFonts w:cstheme="minorHAnsi"/>
          <w:bCs/>
          <w:color w:val="0070C0"/>
        </w:rPr>
        <w:t>%; over half of the hospitals had an early transfer rate of 0%. Therefore</w:t>
      </w:r>
      <w:r w:rsidR="00A3165B">
        <w:rPr>
          <w:rFonts w:cstheme="minorHAnsi"/>
          <w:bCs/>
          <w:color w:val="0070C0"/>
        </w:rPr>
        <w:t>,</w:t>
      </w:r>
      <w:r w:rsidR="00BE2451" w:rsidRPr="00BE2451">
        <w:rPr>
          <w:rFonts w:cstheme="minorHAnsi"/>
          <w:bCs/>
          <w:color w:val="0070C0"/>
        </w:rPr>
        <w:t xml:space="preserve"> it is difficult to judge the effect of early transfer on eye exams by the size of the correlation coefficient. Among hospitals that had any early transfers, the correlation coefficient was -0.</w:t>
      </w:r>
      <w:r w:rsidR="00137C5E">
        <w:rPr>
          <w:rFonts w:cstheme="minorHAnsi"/>
          <w:bCs/>
          <w:color w:val="0070C0"/>
        </w:rPr>
        <w:t>298</w:t>
      </w:r>
      <w:r w:rsidR="00BE2451" w:rsidRPr="00BE2451">
        <w:rPr>
          <w:rFonts w:cstheme="minorHAnsi"/>
          <w:bCs/>
          <w:color w:val="0070C0"/>
        </w:rPr>
        <w:t xml:space="preserve"> (P&lt;0.0001).</w:t>
      </w:r>
    </w:p>
    <w:p w14:paraId="0E85D65B" w14:textId="77777777" w:rsidR="00BE2451" w:rsidRPr="00BE2451" w:rsidRDefault="00BE2451" w:rsidP="00BE2451">
      <w:pPr>
        <w:autoSpaceDE w:val="0"/>
        <w:autoSpaceDN w:val="0"/>
        <w:adjustRightInd w:val="0"/>
        <w:spacing w:after="0" w:line="240" w:lineRule="auto"/>
        <w:rPr>
          <w:rFonts w:cstheme="minorHAnsi"/>
          <w:bCs/>
          <w:color w:val="0070C0"/>
        </w:rPr>
      </w:pPr>
    </w:p>
    <w:p w14:paraId="76851253" w14:textId="64A04ABC" w:rsidR="001E2C72" w:rsidRDefault="00BE2451" w:rsidP="00092566">
      <w:pPr>
        <w:autoSpaceDE w:val="0"/>
        <w:autoSpaceDN w:val="0"/>
        <w:adjustRightInd w:val="0"/>
        <w:spacing w:after="0" w:line="240" w:lineRule="auto"/>
        <w:rPr>
          <w:rFonts w:cstheme="minorHAnsi"/>
          <w:bCs/>
        </w:rPr>
      </w:pPr>
      <w:r w:rsidRPr="00BE2451">
        <w:rPr>
          <w:rFonts w:cstheme="minorHAnsi"/>
          <w:bCs/>
          <w:color w:val="0070C0"/>
        </w:rPr>
        <w:t>The correlation coefficient between the proportion of infants who had a retinal examination and the proportion who had one at the recommended post menstrual age was 0.8</w:t>
      </w:r>
      <w:r w:rsidR="00137C5E">
        <w:rPr>
          <w:rFonts w:cstheme="minorHAnsi"/>
          <w:bCs/>
          <w:color w:val="0070C0"/>
        </w:rPr>
        <w:t>41</w:t>
      </w:r>
      <w:r w:rsidRPr="00BE2451">
        <w:rPr>
          <w:rFonts w:cstheme="minorHAnsi"/>
          <w:bCs/>
          <w:color w:val="0070C0"/>
        </w:rPr>
        <w:t xml:space="preserve"> (P&lt;0.0001). The difference between the proportion of infants who had a retinal examination and those who had one at the recommended post menstrual age was 1</w:t>
      </w:r>
      <w:r w:rsidR="00137C5E">
        <w:rPr>
          <w:rFonts w:cstheme="minorHAnsi"/>
          <w:bCs/>
          <w:color w:val="0070C0"/>
        </w:rPr>
        <w:t>8</w:t>
      </w:r>
      <w:r w:rsidRPr="00BE2451">
        <w:rPr>
          <w:rFonts w:cstheme="minorHAnsi"/>
          <w:bCs/>
          <w:color w:val="0070C0"/>
        </w:rPr>
        <w:t xml:space="preserve">% on average, ranging from 0% (all infants had eye exams at the recommended PMA) to </w:t>
      </w:r>
      <w:r w:rsidR="00137C5E">
        <w:rPr>
          <w:rFonts w:cstheme="minorHAnsi"/>
          <w:bCs/>
          <w:color w:val="0070C0"/>
        </w:rPr>
        <w:t>57</w:t>
      </w:r>
      <w:r w:rsidRPr="00BE2451">
        <w:rPr>
          <w:rFonts w:cstheme="minorHAnsi"/>
          <w:bCs/>
          <w:color w:val="0070C0"/>
        </w:rPr>
        <w:t>% who did not have the eye exam at the recommended PMA. However, that is the improvement opportunity.</w:t>
      </w:r>
      <w:r w:rsidRPr="00BE2451">
        <w:rPr>
          <w:rFonts w:cstheme="minorHAnsi"/>
          <w:bCs/>
          <w:color w:val="0070C0"/>
        </w:rPr>
        <w:br/>
      </w:r>
    </w:p>
    <w:p w14:paraId="1167C454" w14:textId="08726A20" w:rsidR="001E2C72" w:rsidRPr="001E2C72" w:rsidRDefault="001E2C72" w:rsidP="001E2C72">
      <w:pPr>
        <w:autoSpaceDE w:val="0"/>
        <w:autoSpaceDN w:val="0"/>
        <w:adjustRightInd w:val="0"/>
        <w:spacing w:after="0" w:line="240" w:lineRule="auto"/>
        <w:rPr>
          <w:rFonts w:cstheme="minorHAnsi"/>
          <w:bCs/>
          <w:color w:val="C00000"/>
        </w:rPr>
      </w:pPr>
      <w:r w:rsidRPr="001E2C72">
        <w:rPr>
          <w:rFonts w:cstheme="minorHAnsi"/>
          <w:bCs/>
          <w:color w:val="C00000"/>
        </w:rPr>
        <w:lastRenderedPageBreak/>
        <w:t>2016: The correlation coefficient between the proportion of early transfers and the proportion who received a retinal exam at the recommended post menstrual age was -0.124 (P&lt;0.0001). However, the average proportion of early transfers was 0.72%; over half of the hospitals had an early transfer rate of 0%. Therefore</w:t>
      </w:r>
      <w:r w:rsidR="00400596">
        <w:rPr>
          <w:rFonts w:cstheme="minorHAnsi"/>
          <w:bCs/>
          <w:color w:val="C00000"/>
        </w:rPr>
        <w:t>,</w:t>
      </w:r>
      <w:r w:rsidRPr="001E2C72">
        <w:rPr>
          <w:rFonts w:cstheme="minorHAnsi"/>
          <w:bCs/>
          <w:color w:val="C00000"/>
        </w:rPr>
        <w:t xml:space="preserve"> it is difficult to judge the effect of early transfer on eye exams by the size of the correlation coefficient. Among hospitals that had any early transfers, the correlation coefficient was -0.186 (P&lt;0.0001).</w:t>
      </w:r>
    </w:p>
    <w:p w14:paraId="54E387F5" w14:textId="77777777" w:rsidR="001E2C72" w:rsidRPr="001E2C72" w:rsidRDefault="001E2C72" w:rsidP="001E2C72">
      <w:pPr>
        <w:autoSpaceDE w:val="0"/>
        <w:autoSpaceDN w:val="0"/>
        <w:adjustRightInd w:val="0"/>
        <w:spacing w:after="0" w:line="240" w:lineRule="auto"/>
        <w:rPr>
          <w:rFonts w:cstheme="minorHAnsi"/>
          <w:bCs/>
          <w:color w:val="C00000"/>
        </w:rPr>
      </w:pPr>
    </w:p>
    <w:p w14:paraId="0CABCFE7" w14:textId="4F652C7F" w:rsidR="00092566" w:rsidRPr="00977F81" w:rsidRDefault="001E2C72" w:rsidP="00092566">
      <w:pPr>
        <w:autoSpaceDE w:val="0"/>
        <w:autoSpaceDN w:val="0"/>
        <w:adjustRightInd w:val="0"/>
        <w:spacing w:after="0" w:line="240" w:lineRule="auto"/>
        <w:rPr>
          <w:rFonts w:cstheme="minorHAnsi"/>
          <w:bCs/>
        </w:rPr>
      </w:pPr>
      <w:r w:rsidRPr="001E2C72">
        <w:rPr>
          <w:rFonts w:cstheme="minorHAnsi"/>
          <w:bCs/>
          <w:color w:val="C00000"/>
        </w:rPr>
        <w:t>The correlation coefficient between the proportion of infants who had a retinal examination and the proportion who had one at the recommended post menstrual age was 0.833 (P&lt;0.0001). The difference between the proportion of infants who had a retinal examination and those who had one at the recommended post menstrual age was 12% on average, ranging from 0% (all infants had eye exams at the recommended PMA) to 89% who did not have the eye exam at the recommended PMA. However, that is the improvement opportunity.</w:t>
      </w:r>
      <w:r w:rsidRPr="001E2C72">
        <w:rPr>
          <w:rFonts w:cstheme="minorHAnsi"/>
          <w:bCs/>
          <w:color w:val="C00000"/>
        </w:rPr>
        <w:br/>
      </w:r>
    </w:p>
    <w:p w14:paraId="0CABCFE8" w14:textId="4854BF51"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763C6BBA" w14:textId="75346A76" w:rsidR="001E2C72" w:rsidRPr="001E2C72" w:rsidRDefault="001E2C72" w:rsidP="00DB3627">
      <w:pPr>
        <w:autoSpaceDE w:val="0"/>
        <w:autoSpaceDN w:val="0"/>
        <w:adjustRightInd w:val="0"/>
        <w:spacing w:after="0" w:line="240" w:lineRule="auto"/>
        <w:rPr>
          <w:rFonts w:cstheme="minorHAnsi"/>
          <w:bCs/>
          <w:color w:val="0070C0"/>
        </w:rPr>
      </w:pPr>
      <w:r w:rsidRPr="001E2C72">
        <w:rPr>
          <w:rFonts w:cstheme="minorHAnsi"/>
          <w:bCs/>
          <w:color w:val="0070C0"/>
        </w:rPr>
        <w:t>2020: Vermont Oxford Network reporting has both the percent of infants who received any retinal examination and the percent who received an examination at the recommended post menstrual age. We encourage centers to use both measures to identify improvement opportunities. If hospitals transfer infants early to higher levels of care, a different quality measure may be more appropriate.</w:t>
      </w:r>
      <w:r w:rsidRPr="001E2C72">
        <w:rPr>
          <w:rFonts w:cstheme="minorHAnsi"/>
          <w:bCs/>
          <w:color w:val="0070C0"/>
        </w:rPr>
        <w:br/>
      </w:r>
    </w:p>
    <w:p w14:paraId="76E52F45" w14:textId="79E48EDC" w:rsidR="001E2C72" w:rsidRPr="001E2C72" w:rsidRDefault="001E2C72" w:rsidP="00DB3627">
      <w:pPr>
        <w:autoSpaceDE w:val="0"/>
        <w:autoSpaceDN w:val="0"/>
        <w:adjustRightInd w:val="0"/>
        <w:spacing w:after="0" w:line="240" w:lineRule="auto"/>
        <w:rPr>
          <w:rFonts w:cstheme="minorHAnsi"/>
          <w:bCs/>
          <w:color w:val="C00000"/>
        </w:rPr>
      </w:pPr>
      <w:r w:rsidRPr="001E2C72">
        <w:rPr>
          <w:rFonts w:cstheme="minorHAnsi"/>
          <w:bCs/>
          <w:color w:val="C00000"/>
        </w:rPr>
        <w:t>2016: Vermont Oxford Network reporting has both the percent of infants who received any retinal examination and the percent who received an examination at the recommended post menstrual age. We encourage centers to use both measures to identify improvement opportunities. If hospitals transfer infants early to higher levels of care, a different quality measure may be more appropriate.</w:t>
      </w:r>
      <w:r w:rsidRPr="001E2C72">
        <w:rPr>
          <w:rFonts w:cstheme="minorHAnsi"/>
          <w:bCs/>
          <w:color w:val="C00000"/>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49BD7333" w:rsidR="00033038" w:rsidRPr="005232D6" w:rsidRDefault="001467E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FC3C63">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1467E4"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1467E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1467E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0CABCFF4" w14:textId="72F05C9F" w:rsidR="009D3882" w:rsidRPr="009D3882" w:rsidRDefault="009C7513" w:rsidP="009D3882">
      <w:pPr>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6" w14:textId="6B194552" w:rsidR="00001D73" w:rsidRPr="00AF2D68" w:rsidRDefault="009C7513" w:rsidP="00AF2D68">
      <w:pPr>
        <w:rPr>
          <w:rFonts w:cstheme="minorHAnsi"/>
          <w:bCs/>
          <w:sz w:val="4"/>
        </w:rPr>
      </w:pPr>
      <w:r>
        <w:rPr>
          <w:rFonts w:cstheme="minorHAnsi"/>
          <w:b/>
          <w:bCs/>
        </w:rPr>
        <w:lastRenderedPageBreak/>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1467E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1467E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1467E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2" w:name="question2b49"/>
      <w:bookmarkEnd w:id="12"/>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lastRenderedPageBreak/>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3" w:name="section2b5"/>
      <w:bookmarkEnd w:id="13"/>
      <w:r>
        <w:rPr>
          <w:rFonts w:cstheme="minorHAnsi"/>
          <w:b/>
          <w:bCs/>
        </w:rPr>
        <w:t>2b4</w:t>
      </w:r>
      <w:r w:rsidR="00D61410" w:rsidRPr="00A25024">
        <w:rPr>
          <w:rFonts w:cstheme="minorHAnsi"/>
          <w:b/>
          <w:bCs/>
        </w:rPr>
        <w:t>. IDENTIFICATION OF STATISTICALLY SIGNIFICANT &amp; MEANINGFUL DIFFERENCES IN PERFORMANCE</w:t>
      </w:r>
    </w:p>
    <w:p w14:paraId="0CABD008" w14:textId="36EBA0BF"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0882A1EC" w14:textId="5D00BBB4" w:rsidR="00806B7A" w:rsidRDefault="00806B7A" w:rsidP="00D61410">
      <w:pPr>
        <w:autoSpaceDE w:val="0"/>
        <w:autoSpaceDN w:val="0"/>
        <w:adjustRightInd w:val="0"/>
        <w:spacing w:after="0" w:line="240" w:lineRule="auto"/>
        <w:rPr>
          <w:rFonts w:cstheme="minorHAnsi"/>
          <w:bCs/>
          <w:color w:val="0070C0"/>
        </w:rPr>
      </w:pPr>
      <w:r w:rsidRPr="00806B7A">
        <w:rPr>
          <w:rFonts w:cstheme="minorHAnsi"/>
          <w:bCs/>
          <w:color w:val="0070C0"/>
        </w:rPr>
        <w:t>2020: Members of Vermont Oxford Network can compare an individual hospital’s unadjusted rate of retinopathy of prematurity screening to the unadjusted rates of the hospitals at the 25</w:t>
      </w:r>
      <w:r w:rsidRPr="00806B7A">
        <w:rPr>
          <w:rFonts w:cstheme="minorHAnsi"/>
          <w:bCs/>
          <w:color w:val="0070C0"/>
          <w:vertAlign w:val="superscript"/>
        </w:rPr>
        <w:t>th</w:t>
      </w:r>
      <w:r w:rsidRPr="00806B7A">
        <w:rPr>
          <w:rFonts w:cstheme="minorHAnsi"/>
          <w:bCs/>
          <w:color w:val="0070C0"/>
        </w:rPr>
        <w:t>, 50</w:t>
      </w:r>
      <w:r w:rsidRPr="00806B7A">
        <w:rPr>
          <w:rFonts w:cstheme="minorHAnsi"/>
          <w:bCs/>
          <w:color w:val="0070C0"/>
          <w:vertAlign w:val="superscript"/>
        </w:rPr>
        <w:t>th</w:t>
      </w:r>
      <w:r w:rsidRPr="00806B7A">
        <w:rPr>
          <w:rFonts w:cstheme="minorHAnsi"/>
          <w:bCs/>
          <w:color w:val="0070C0"/>
        </w:rPr>
        <w:t>, and 75</w:t>
      </w:r>
      <w:r w:rsidRPr="00806B7A">
        <w:rPr>
          <w:rFonts w:cstheme="minorHAnsi"/>
          <w:bCs/>
          <w:color w:val="0070C0"/>
          <w:vertAlign w:val="superscript"/>
        </w:rPr>
        <w:t>th</w:t>
      </w:r>
      <w:r w:rsidRPr="00806B7A">
        <w:rPr>
          <w:rFonts w:cstheme="minorHAnsi"/>
          <w:bCs/>
          <w:color w:val="0070C0"/>
        </w:rPr>
        <w:t xml:space="preserve"> percentiles for the Network and by subgroup such as NICU type or geographic region.</w:t>
      </w:r>
    </w:p>
    <w:p w14:paraId="002DDFFB" w14:textId="7AF64FC3" w:rsidR="001E2C72" w:rsidRDefault="001E2C72" w:rsidP="00D61410">
      <w:pPr>
        <w:autoSpaceDE w:val="0"/>
        <w:autoSpaceDN w:val="0"/>
        <w:adjustRightInd w:val="0"/>
        <w:spacing w:after="0" w:line="240" w:lineRule="auto"/>
        <w:rPr>
          <w:rFonts w:cstheme="minorHAnsi"/>
          <w:bCs/>
          <w:color w:val="0070C0"/>
        </w:rPr>
      </w:pPr>
    </w:p>
    <w:p w14:paraId="565ED2CB" w14:textId="67AB4B04" w:rsidR="001E2C72" w:rsidRPr="001E2C72" w:rsidRDefault="001E2C72" w:rsidP="00D61410">
      <w:pPr>
        <w:autoSpaceDE w:val="0"/>
        <w:autoSpaceDN w:val="0"/>
        <w:adjustRightInd w:val="0"/>
        <w:spacing w:after="0" w:line="240" w:lineRule="auto"/>
        <w:rPr>
          <w:rFonts w:cstheme="minorHAnsi"/>
          <w:bCs/>
          <w:color w:val="C00000"/>
        </w:rPr>
      </w:pPr>
      <w:r w:rsidRPr="001E2C72">
        <w:rPr>
          <w:rFonts w:cstheme="minorHAnsi"/>
          <w:bCs/>
          <w:color w:val="C00000"/>
        </w:rPr>
        <w:t>2016: Members of Vermont Oxford Network can compare an individual hospital’s unadjusted rate of retinopathy of prematurity screening to unadjusted mean for the Network as well as the unadjusted rates of the hospitals at the 25</w:t>
      </w:r>
      <w:r w:rsidRPr="001E2C72">
        <w:rPr>
          <w:rFonts w:cstheme="minorHAnsi"/>
          <w:bCs/>
          <w:color w:val="C00000"/>
          <w:vertAlign w:val="superscript"/>
        </w:rPr>
        <w:t>th</w:t>
      </w:r>
      <w:r w:rsidRPr="001E2C72">
        <w:rPr>
          <w:rFonts w:cstheme="minorHAnsi"/>
          <w:bCs/>
          <w:color w:val="C00000"/>
        </w:rPr>
        <w:t xml:space="preserve"> and 75</w:t>
      </w:r>
      <w:r w:rsidRPr="001E2C72">
        <w:rPr>
          <w:rFonts w:cstheme="minorHAnsi"/>
          <w:bCs/>
          <w:color w:val="C00000"/>
          <w:vertAlign w:val="superscript"/>
        </w:rPr>
        <w:t>th</w:t>
      </w:r>
      <w:r w:rsidRPr="001E2C72">
        <w:rPr>
          <w:rFonts w:cstheme="minorHAnsi"/>
          <w:bCs/>
          <w:color w:val="C00000"/>
        </w:rPr>
        <w:t xml:space="preserve"> percentile for the Network and by subgroup.</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77D90D96" w14:textId="77777777" w:rsidR="00806B7A"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438D439E" w14:textId="77777777" w:rsidR="00806B7A" w:rsidRDefault="00806B7A" w:rsidP="00D61410">
      <w:pPr>
        <w:autoSpaceDE w:val="0"/>
        <w:autoSpaceDN w:val="0"/>
        <w:adjustRightInd w:val="0"/>
        <w:spacing w:after="0" w:line="240" w:lineRule="auto"/>
        <w:rPr>
          <w:rFonts w:cstheme="minorHAnsi"/>
          <w:bCs/>
        </w:rPr>
      </w:pPr>
    </w:p>
    <w:p w14:paraId="10B46919" w14:textId="41A2EB4A" w:rsidR="001E2C72" w:rsidRPr="001E2C72" w:rsidRDefault="00806B7A" w:rsidP="00D61410">
      <w:pPr>
        <w:autoSpaceDE w:val="0"/>
        <w:autoSpaceDN w:val="0"/>
        <w:adjustRightInd w:val="0"/>
        <w:spacing w:after="0" w:line="240" w:lineRule="auto"/>
        <w:rPr>
          <w:rFonts w:cstheme="minorHAnsi"/>
          <w:bCs/>
          <w:color w:val="C00000"/>
        </w:rPr>
      </w:pPr>
      <w:r w:rsidRPr="001E2C72">
        <w:rPr>
          <w:rFonts w:cstheme="minorHAnsi"/>
          <w:bCs/>
          <w:color w:val="0070C0"/>
        </w:rPr>
        <w:t>2020: No statistical tests done</w:t>
      </w:r>
      <w:r w:rsidR="00D61410" w:rsidRPr="001E2C72">
        <w:rPr>
          <w:rFonts w:cstheme="minorHAnsi"/>
          <w:bCs/>
          <w:color w:val="0070C0"/>
        </w:rPr>
        <w:br/>
      </w:r>
      <w:r w:rsidR="001E2C72" w:rsidRPr="001E2C72">
        <w:rPr>
          <w:rFonts w:cstheme="minorHAnsi"/>
          <w:bCs/>
          <w:color w:val="C00000"/>
        </w:rPr>
        <w:t>2016: No statistical tests done</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6F456C8" w14:textId="77777777" w:rsidR="00806B7A"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54E56FB3" w14:textId="77777777" w:rsidR="00806B7A" w:rsidRDefault="00806B7A" w:rsidP="00D61410">
      <w:pPr>
        <w:autoSpaceDE w:val="0"/>
        <w:autoSpaceDN w:val="0"/>
        <w:adjustRightInd w:val="0"/>
        <w:spacing w:after="0" w:line="240" w:lineRule="auto"/>
        <w:rPr>
          <w:rFonts w:cstheme="minorHAnsi"/>
          <w:bCs/>
        </w:rPr>
      </w:pPr>
    </w:p>
    <w:p w14:paraId="263A7A00" w14:textId="77777777" w:rsidR="001E2C72" w:rsidRPr="001E2C72" w:rsidRDefault="00806B7A" w:rsidP="00D61410">
      <w:pPr>
        <w:autoSpaceDE w:val="0"/>
        <w:autoSpaceDN w:val="0"/>
        <w:adjustRightInd w:val="0"/>
        <w:spacing w:after="0" w:line="240" w:lineRule="auto"/>
        <w:rPr>
          <w:rFonts w:cstheme="minorHAnsi"/>
          <w:bCs/>
          <w:color w:val="0070C0"/>
        </w:rPr>
      </w:pPr>
      <w:r w:rsidRPr="001E2C72">
        <w:rPr>
          <w:rFonts w:cstheme="minorHAnsi"/>
          <w:bCs/>
          <w:color w:val="0070C0"/>
        </w:rPr>
        <w:t>2020: N/A</w:t>
      </w:r>
    </w:p>
    <w:p w14:paraId="0CABD00C" w14:textId="466A571A" w:rsidR="00D61410" w:rsidRPr="001E2C72" w:rsidRDefault="001E2C72" w:rsidP="00D61410">
      <w:pPr>
        <w:autoSpaceDE w:val="0"/>
        <w:autoSpaceDN w:val="0"/>
        <w:adjustRightInd w:val="0"/>
        <w:spacing w:after="0" w:line="240" w:lineRule="auto"/>
        <w:rPr>
          <w:rFonts w:cstheme="minorHAnsi"/>
          <w:bCs/>
          <w:color w:val="C00000"/>
        </w:rPr>
      </w:pPr>
      <w:r w:rsidRPr="001E2C72">
        <w:rPr>
          <w:rFonts w:cstheme="minorHAnsi"/>
          <w:bCs/>
          <w:color w:val="C00000"/>
        </w:rPr>
        <w:t>2016: N/A</w:t>
      </w:r>
      <w:r w:rsidR="00D61410" w:rsidRPr="001E2C72">
        <w:rPr>
          <w:rFonts w:cstheme="minorHAnsi"/>
          <w:bCs/>
          <w:color w:val="C00000"/>
        </w:rPr>
        <w:br/>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 xml:space="preserve">describe the steps―do not just name a </w:t>
      </w:r>
      <w:r w:rsidR="008871A9" w:rsidRPr="00A25024">
        <w:rPr>
          <w:rFonts w:cstheme="minorHAnsi"/>
          <w:bCs/>
          <w:i/>
        </w:rPr>
        <w:lastRenderedPageBreak/>
        <w:t>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727D94E" w14:textId="77777777" w:rsidR="00806B7A"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p>
    <w:p w14:paraId="1EC83704" w14:textId="77777777" w:rsidR="00806B7A" w:rsidRPr="00806B7A" w:rsidRDefault="00806B7A" w:rsidP="00806B7A">
      <w:pPr>
        <w:autoSpaceDE w:val="0"/>
        <w:autoSpaceDN w:val="0"/>
        <w:adjustRightInd w:val="0"/>
        <w:spacing w:after="0" w:line="240" w:lineRule="auto"/>
        <w:rPr>
          <w:rFonts w:cstheme="minorHAnsi"/>
          <w:bCs/>
          <w:color w:val="0070C0"/>
        </w:rPr>
      </w:pPr>
      <w:r w:rsidRPr="00806B7A">
        <w:rPr>
          <w:rFonts w:cstheme="minorHAnsi"/>
          <w:bCs/>
          <w:color w:val="0070C0"/>
        </w:rPr>
        <w:t>2020: We evaluated the proportion of data missing by center and year.</w:t>
      </w:r>
    </w:p>
    <w:p w14:paraId="01F35858" w14:textId="77777777" w:rsidR="00806B7A" w:rsidRDefault="00806B7A" w:rsidP="00806B7A">
      <w:pPr>
        <w:autoSpaceDE w:val="0"/>
        <w:autoSpaceDN w:val="0"/>
        <w:adjustRightInd w:val="0"/>
        <w:spacing w:after="0" w:line="240" w:lineRule="auto"/>
        <w:rPr>
          <w:rFonts w:cstheme="minorHAnsi"/>
          <w:bCs/>
          <w:color w:val="0070C0"/>
        </w:rPr>
      </w:pPr>
    </w:p>
    <w:p w14:paraId="0CABD01C" w14:textId="7811C7AC" w:rsidR="008F7E67" w:rsidRPr="009D3882" w:rsidRDefault="00806B7A" w:rsidP="001E2C72">
      <w:pPr>
        <w:autoSpaceDE w:val="0"/>
        <w:autoSpaceDN w:val="0"/>
        <w:adjustRightInd w:val="0"/>
        <w:spacing w:after="0" w:line="240" w:lineRule="auto"/>
        <w:rPr>
          <w:rFonts w:cstheme="minorHAnsi"/>
          <w:bCs/>
          <w:sz w:val="18"/>
        </w:rPr>
      </w:pPr>
      <w:r w:rsidRPr="009E4AB7">
        <w:rPr>
          <w:rFonts w:cstheme="minorHAnsi"/>
          <w:bCs/>
          <w:color w:val="C00000"/>
        </w:rPr>
        <w:t>2016: Not done</w:t>
      </w:r>
      <w:r w:rsidRPr="009E4AB7">
        <w:rPr>
          <w:rFonts w:cstheme="minorHAnsi"/>
          <w:bCs/>
          <w:color w:val="C00000"/>
        </w:rPr>
        <w:br/>
      </w:r>
    </w:p>
    <w:p w14:paraId="0CABD01D" w14:textId="5B0391BD"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63ED3BC5" w14:textId="05147F2C" w:rsidR="00806B7A" w:rsidRPr="00806B7A" w:rsidRDefault="00806B7A" w:rsidP="00806B7A">
      <w:pPr>
        <w:autoSpaceDE w:val="0"/>
        <w:autoSpaceDN w:val="0"/>
        <w:adjustRightInd w:val="0"/>
        <w:spacing w:after="0" w:line="240" w:lineRule="auto"/>
        <w:rPr>
          <w:rFonts w:cstheme="minorHAnsi"/>
          <w:bCs/>
          <w:color w:val="0070C0"/>
        </w:rPr>
      </w:pPr>
      <w:r w:rsidRPr="00806B7A">
        <w:rPr>
          <w:rFonts w:cstheme="minorHAnsi"/>
          <w:bCs/>
          <w:color w:val="0070C0"/>
        </w:rPr>
        <w:t>2020: Over the 1</w:t>
      </w:r>
      <w:r w:rsidR="001E2C72">
        <w:rPr>
          <w:rFonts w:cstheme="minorHAnsi"/>
          <w:bCs/>
          <w:color w:val="0070C0"/>
        </w:rPr>
        <w:t>2</w:t>
      </w:r>
      <w:r w:rsidRPr="00806B7A">
        <w:rPr>
          <w:rFonts w:cstheme="minorHAnsi"/>
          <w:bCs/>
          <w:color w:val="0070C0"/>
        </w:rPr>
        <w:t xml:space="preserve"> years, 1566 infants (0.2%) were missing a value for retinal examination. </w:t>
      </w:r>
    </w:p>
    <w:p w14:paraId="32FAE603" w14:textId="374D632E" w:rsidR="00806B7A" w:rsidRDefault="00806B7A" w:rsidP="008F7E67">
      <w:pPr>
        <w:autoSpaceDE w:val="0"/>
        <w:autoSpaceDN w:val="0"/>
        <w:adjustRightInd w:val="0"/>
        <w:spacing w:after="0" w:line="240" w:lineRule="auto"/>
        <w:rPr>
          <w:rFonts w:cstheme="minorHAnsi"/>
          <w:bCs/>
        </w:rPr>
      </w:pPr>
    </w:p>
    <w:p w14:paraId="2EE2BFAB" w14:textId="5C6E1ED9" w:rsidR="001E2C72" w:rsidRPr="001E2C72" w:rsidRDefault="001E2C72" w:rsidP="008F7E67">
      <w:pPr>
        <w:autoSpaceDE w:val="0"/>
        <w:autoSpaceDN w:val="0"/>
        <w:adjustRightInd w:val="0"/>
        <w:spacing w:after="0" w:line="240" w:lineRule="auto"/>
        <w:rPr>
          <w:rFonts w:cstheme="minorHAnsi"/>
          <w:bCs/>
          <w:color w:val="C00000"/>
        </w:rPr>
      </w:pPr>
      <w:r w:rsidRPr="001E2C72">
        <w:rPr>
          <w:rFonts w:cstheme="minorHAnsi"/>
          <w:bCs/>
          <w:color w:val="C00000"/>
        </w:rPr>
        <w:t>2016: Over the eight years, 947 infants (0.2%) were missing a value for retinal examination. Missing data does not appear to be an issue.</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5F9FBDB1" w:rsidR="00BA053B" w:rsidRDefault="00BA053B">
      <w:pPr>
        <w:autoSpaceDE w:val="0"/>
        <w:autoSpaceDN w:val="0"/>
        <w:adjustRightInd w:val="0"/>
        <w:spacing w:after="0" w:line="240" w:lineRule="auto"/>
        <w:rPr>
          <w:rFonts w:cstheme="minorHAnsi"/>
          <w:bCs/>
        </w:rPr>
      </w:pPr>
    </w:p>
    <w:p w14:paraId="4A5220C0" w14:textId="77777777" w:rsidR="00806B7A" w:rsidRPr="00806B7A" w:rsidRDefault="00806B7A" w:rsidP="00806B7A">
      <w:pPr>
        <w:autoSpaceDE w:val="0"/>
        <w:autoSpaceDN w:val="0"/>
        <w:adjustRightInd w:val="0"/>
        <w:spacing w:after="0" w:line="240" w:lineRule="auto"/>
        <w:rPr>
          <w:rFonts w:cstheme="minorHAnsi"/>
          <w:bCs/>
          <w:color w:val="0070C0"/>
        </w:rPr>
      </w:pPr>
      <w:r w:rsidRPr="00806B7A">
        <w:rPr>
          <w:rFonts w:cstheme="minorHAnsi"/>
          <w:bCs/>
          <w:color w:val="0070C0"/>
        </w:rPr>
        <w:t xml:space="preserve">2020: </w:t>
      </w:r>
      <w:bookmarkStart w:id="14" w:name="_Hlk45874383"/>
      <w:r w:rsidRPr="00806B7A">
        <w:rPr>
          <w:rFonts w:cstheme="minorHAnsi"/>
          <w:bCs/>
          <w:color w:val="0070C0"/>
        </w:rPr>
        <w:t>Given the very low percentage of missing data, we do not consider it to be an issue.</w:t>
      </w:r>
      <w:bookmarkEnd w:id="14"/>
    </w:p>
    <w:p w14:paraId="0E3D1E59" w14:textId="4BBF38EC" w:rsidR="00806B7A" w:rsidRPr="005560E7" w:rsidRDefault="00806B7A">
      <w:pPr>
        <w:autoSpaceDE w:val="0"/>
        <w:autoSpaceDN w:val="0"/>
        <w:adjustRightInd w:val="0"/>
        <w:spacing w:after="0" w:line="240" w:lineRule="auto"/>
        <w:rPr>
          <w:rFonts w:cstheme="minorHAnsi"/>
          <w:bCs/>
        </w:rPr>
      </w:pPr>
    </w:p>
    <w:sectPr w:rsidR="00806B7A" w:rsidRPr="005560E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BD023" w14:textId="77777777" w:rsidR="004206A8" w:rsidRDefault="004206A8" w:rsidP="005C73CA">
      <w:pPr>
        <w:spacing w:after="0" w:line="240" w:lineRule="auto"/>
      </w:pPr>
      <w:r>
        <w:separator/>
      </w:r>
    </w:p>
  </w:endnote>
  <w:endnote w:type="continuationSeparator" w:id="0">
    <w:p w14:paraId="0CABD024" w14:textId="77777777" w:rsidR="004206A8" w:rsidRDefault="004206A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7C0BE216"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F7389E">
      <w:rPr>
        <w:noProof/>
      </w:rPr>
      <w:t>2</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BD021" w14:textId="77777777" w:rsidR="004206A8" w:rsidRDefault="004206A8" w:rsidP="005C73CA">
      <w:pPr>
        <w:spacing w:after="0" w:line="240" w:lineRule="auto"/>
      </w:pPr>
      <w:r>
        <w:separator/>
      </w:r>
    </w:p>
  </w:footnote>
  <w:footnote w:type="continuationSeparator" w:id="0">
    <w:p w14:paraId="0CABD022" w14:textId="77777777" w:rsidR="004206A8" w:rsidRDefault="004206A8"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37C5E"/>
    <w:rsid w:val="00145149"/>
    <w:rsid w:val="00145D4F"/>
    <w:rsid w:val="001467E4"/>
    <w:rsid w:val="0014773C"/>
    <w:rsid w:val="0017696D"/>
    <w:rsid w:val="001848FC"/>
    <w:rsid w:val="00193F21"/>
    <w:rsid w:val="001969C5"/>
    <w:rsid w:val="001A6CDD"/>
    <w:rsid w:val="001C12EE"/>
    <w:rsid w:val="001C7B02"/>
    <w:rsid w:val="001E2C7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67F57"/>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1EB"/>
    <w:rsid w:val="003D6401"/>
    <w:rsid w:val="003E1863"/>
    <w:rsid w:val="00400596"/>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6B7A"/>
    <w:rsid w:val="0080711D"/>
    <w:rsid w:val="008155CD"/>
    <w:rsid w:val="008252D5"/>
    <w:rsid w:val="00833325"/>
    <w:rsid w:val="00840A41"/>
    <w:rsid w:val="00842F3C"/>
    <w:rsid w:val="008505D1"/>
    <w:rsid w:val="00855158"/>
    <w:rsid w:val="00857EE8"/>
    <w:rsid w:val="008618D1"/>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77F81"/>
    <w:rsid w:val="00980E75"/>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A01494"/>
    <w:rsid w:val="00A22FA9"/>
    <w:rsid w:val="00A25024"/>
    <w:rsid w:val="00A3165B"/>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B35AE"/>
    <w:rsid w:val="00BC03A1"/>
    <w:rsid w:val="00BC0D25"/>
    <w:rsid w:val="00BD2505"/>
    <w:rsid w:val="00BE2451"/>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389E"/>
    <w:rsid w:val="00F77F1D"/>
    <w:rsid w:val="00F87CCB"/>
    <w:rsid w:val="00FA48C7"/>
    <w:rsid w:val="00FB51FB"/>
    <w:rsid w:val="00FB73C1"/>
    <w:rsid w:val="00FC3C63"/>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00C901-3C40-4C03-AF30-8401D54B3554}">
  <ds:schemaRefs>
    <ds:schemaRef ds:uri="http://schemas.microsoft.com/office/2006/documentManagement/types"/>
    <ds:schemaRef ds:uri="http://schemas.microsoft.com/office/2006/metadata/properties"/>
    <ds:schemaRef ds:uri="http://purl.org/dc/elements/1.1/"/>
    <ds:schemaRef ds:uri="836b82f1-340d-495e-85b5-201c5296619a"/>
    <ds:schemaRef ds:uri="http://schemas.openxmlformats.org/package/2006/metadata/core-properties"/>
    <ds:schemaRef ds:uri="http://purl.org/dc/term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A9FF4BF-A4E6-40AA-A426-0B2E6027FED9}">
  <ds:schemaRefs>
    <ds:schemaRef ds:uri="http://schemas.openxmlformats.org/officeDocument/2006/bibliography"/>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11</Pages>
  <Words>4719</Words>
  <Characters>26902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Erika Edwards</cp:lastModifiedBy>
  <cp:revision>6</cp:revision>
  <dcterms:created xsi:type="dcterms:W3CDTF">2020-08-28T19:50:00Z</dcterms:created>
  <dcterms:modified xsi:type="dcterms:W3CDTF">2020-09-09T15:41:00Z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