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45AEBFF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6561B7">
            <w:rPr>
              <w:rStyle w:val="Style1"/>
            </w:rPr>
            <w:t>0483</w:t>
          </w:r>
        </w:sdtContent>
      </w:sdt>
    </w:p>
    <w:p w14:paraId="55B8DA2F" w14:textId="03AA599E"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rFonts w:cstheme="minorHAnsi"/>
              </w:rPr>
              <w:id w:val="-1793671496"/>
              <w:placeholder>
                <w:docPart w:val="38FE92AC300341A6B3CC3D6AE5C119C0"/>
              </w:placeholder>
            </w:sdtPr>
            <w:sdtEndPr>
              <w:rPr>
                <w:rStyle w:val="DefaultParagraphFont"/>
                <w:noProof/>
                <w:color w:val="auto"/>
              </w:rPr>
            </w:sdtEndPr>
            <w:sdtContent>
              <w:r w:rsidR="006561B7" w:rsidRPr="005E4988">
                <w:rPr>
                  <w:rStyle w:val="Style1"/>
                  <w:rFonts w:cstheme="minorHAnsi"/>
                </w:rPr>
                <w:t>Proportion of infants 22 to 29 weeks gestation screened for retinopathy of prematurity</w:t>
              </w:r>
            </w:sdtContent>
          </w:sdt>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68165054"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20-07-17T00:00:00Z">
            <w:dateFormat w:val="M/d/yyyy"/>
            <w:lid w:val="en-US"/>
            <w:storeMappedDataAs w:val="dateTime"/>
            <w:calendar w:val="gregorian"/>
          </w:date>
        </w:sdtPr>
        <w:sdtEndPr>
          <w:rPr>
            <w:rStyle w:val="DefaultParagraphFont"/>
            <w:noProof/>
            <w:color w:val="auto"/>
            <w:u w:val="none"/>
          </w:rPr>
        </w:sdtEndPr>
        <w:sdtContent>
          <w:r w:rsidR="006561B7">
            <w:rPr>
              <w:rStyle w:val="Style2"/>
            </w:rPr>
            <w:t>7/17/2020</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490C35"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490C35"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490C35"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5BCB58C3" w:rsidR="00D73685" w:rsidRDefault="00490C35"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6561B7">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dtPr>
        <w:sdtEndPr>
          <w:rPr>
            <w:rStyle w:val="DefaultParagraphFont"/>
            <w:rFonts w:cstheme="minorBidi"/>
            <w:bCs/>
            <w:color w:val="auto"/>
            <w:u w:val="none"/>
          </w:rPr>
        </w:sdtEndPr>
        <w:sdtContent>
          <w:sdt>
            <w:sdtPr>
              <w:rPr>
                <w:rStyle w:val="Style1"/>
                <w:rFonts w:cstheme="minorHAnsi"/>
              </w:rPr>
              <w:id w:val="-1519618270"/>
              <w:placeholder>
                <w:docPart w:val="6A8AD5BCD8184288BCD199F88F877D6E"/>
              </w:placeholder>
            </w:sdtPr>
            <w:sdtEndPr>
              <w:rPr>
                <w:rStyle w:val="DefaultParagraphFont"/>
                <w:noProof/>
                <w:color w:val="auto"/>
              </w:rPr>
            </w:sdtEndPr>
            <w:sdtContent>
              <w:r w:rsidR="006561B7" w:rsidRPr="005E4988">
                <w:rPr>
                  <w:rStyle w:val="Style1"/>
                  <w:rFonts w:cstheme="minorHAnsi"/>
                </w:rPr>
                <w:t>Proportion of infants 22 to 29 weeks gestation screened for retinopathy of prematurity</w:t>
              </w:r>
            </w:sdtContent>
          </w:sdt>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490C35"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490C35"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4EA9F850" w:rsidR="002B06BD" w:rsidRDefault="002B06BD" w:rsidP="002E2177">
      <w:pPr>
        <w:ind w:left="432" w:hanging="432"/>
        <w:rPr>
          <w:color w:val="0000FF"/>
        </w:rPr>
      </w:pPr>
    </w:p>
    <w:p w14:paraId="074B5F91" w14:textId="77777777" w:rsidR="006561B7" w:rsidRPr="006561B7" w:rsidRDefault="006561B7" w:rsidP="006561B7">
      <w:pPr>
        <w:ind w:left="432" w:hanging="432"/>
        <w:rPr>
          <w:color w:val="0000FF"/>
        </w:rPr>
      </w:pPr>
      <w:r w:rsidRPr="006561B7">
        <w:rPr>
          <w:color w:val="0000FF"/>
        </w:rPr>
        <w:t>Health outcome: visual acuity, blindness</w:t>
      </w:r>
    </w:p>
    <w:p w14:paraId="719E006F" w14:textId="77777777" w:rsidR="006561B7" w:rsidRPr="006561B7" w:rsidRDefault="006561B7" w:rsidP="006561B7">
      <w:pPr>
        <w:ind w:left="432" w:hanging="432"/>
        <w:rPr>
          <w:color w:val="0000FF"/>
        </w:rPr>
      </w:pPr>
      <w:r w:rsidRPr="006561B7">
        <w:rPr>
          <w:color w:val="0000FF"/>
        </w:rPr>
        <w:t>Intermediate clinical outcome: timely retinal ablation surgery</w:t>
      </w:r>
    </w:p>
    <w:p w14:paraId="55839C75" w14:textId="77777777" w:rsidR="006561B7" w:rsidRPr="006561B7" w:rsidRDefault="006561B7" w:rsidP="006561B7">
      <w:pPr>
        <w:ind w:left="432" w:hanging="432"/>
        <w:rPr>
          <w:color w:val="0000FF"/>
        </w:rPr>
      </w:pPr>
      <w:r w:rsidRPr="006561B7">
        <w:rPr>
          <w:color w:val="0000FF"/>
        </w:rPr>
        <w:t>Process: processes for identifying eligible infants and scheduling and performing retinal exams</w:t>
      </w:r>
    </w:p>
    <w:p w14:paraId="69A7EC34" w14:textId="35161157" w:rsidR="006561B7" w:rsidRPr="003B1CC5" w:rsidRDefault="006561B7" w:rsidP="006561B7">
      <w:pPr>
        <w:ind w:left="432" w:hanging="432"/>
        <w:rPr>
          <w:color w:val="0000FF"/>
        </w:rPr>
      </w:pPr>
      <w:r w:rsidRPr="006561B7">
        <w:rPr>
          <w:color w:val="0000FF"/>
        </w:rPr>
        <w:t>Structure: staffing with pediatric retinal specialists or other ophthalmology personnel</w:t>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5" w:name="Section1a3"/>
      <w:bookmarkEnd w:id="5"/>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w:t>
      </w:r>
      <w:r>
        <w:rPr>
          <w:rFonts w:ascii="Calibri" w:eastAsia="Calibri" w:hAnsi="Calibri" w:cs="Times New Roman"/>
          <w:b/>
        </w:rPr>
        <w:lastRenderedPageBreak/>
        <w:t>similar but separate studies. It may include a quantitative synthesis (meta-analysis), depending on the available data. (IOM)</w:t>
      </w:r>
    </w:p>
    <w:p w14:paraId="55B8DA69" w14:textId="088BBB98" w:rsidR="00A9011D" w:rsidRPr="00A9011D" w:rsidRDefault="006561B7" w:rsidP="00A9011D">
      <w:pPr>
        <w:ind w:left="0" w:firstLine="0"/>
        <w:rPr>
          <w:rFonts w:ascii="Calibri" w:eastAsia="Calibri" w:hAnsi="Calibri" w:cs="Times New Roman"/>
        </w:rPr>
      </w:pPr>
      <w:r w:rsidRPr="001A3A33">
        <w:rPr>
          <w:rFonts w:ascii="Segoe UI Symbol" w:eastAsia="Arial Unicode MS" w:hAnsi="Segoe UI Symbol" w:cs="Segoe UI Symbol"/>
          <w:color w:val="0000FF"/>
          <w:kern w:val="1"/>
          <w:sz w:val="24"/>
          <w:szCs w:val="24"/>
          <w:highlight w:val="yellow"/>
          <w:lang w:eastAsia="hi-IN" w:bidi="hi-IN"/>
        </w:rPr>
        <w:t>☐</w:t>
      </w:r>
      <w:r w:rsidR="00EC1225" w:rsidRPr="001A3A33">
        <w:rPr>
          <w:rFonts w:ascii="Times New Roman" w:eastAsia="Arial Unicode MS" w:hAnsi="Times New Roman" w:cs="Mangal"/>
          <w:color w:val="0000FF"/>
          <w:kern w:val="1"/>
          <w:sz w:val="24"/>
          <w:szCs w:val="24"/>
          <w:highlight w:val="yellow"/>
          <w:lang w:eastAsia="hi-IN" w:bidi="hi-IN"/>
        </w:rPr>
        <w:t xml:space="preserve"> </w:t>
      </w:r>
      <w:r w:rsidR="00A9011D" w:rsidRPr="001A3A33">
        <w:rPr>
          <w:rFonts w:ascii="Calibri" w:eastAsia="Calibri" w:hAnsi="Calibri" w:cs="Times New Roman"/>
          <w:highlight w:val="yellow"/>
        </w:rPr>
        <w:t xml:space="preserve">Clinical Practice Guideline </w:t>
      </w:r>
      <w:proofErr w:type="gramStart"/>
      <w:r w:rsidR="00A9011D" w:rsidRPr="001A3A33">
        <w:rPr>
          <w:rFonts w:ascii="Calibri" w:eastAsia="Calibri" w:hAnsi="Calibri" w:cs="Times New Roman"/>
          <w:highlight w:val="yellow"/>
        </w:rPr>
        <w:t xml:space="preserve">recommendation </w:t>
      </w:r>
      <w:r w:rsidR="00EC1225" w:rsidRPr="001A3A33">
        <w:rPr>
          <w:rFonts w:ascii="Calibri" w:eastAsia="Calibri" w:hAnsi="Calibri" w:cs="Times New Roman"/>
          <w:highlight w:val="yellow"/>
        </w:rPr>
        <w:t xml:space="preserve"> (</w:t>
      </w:r>
      <w:proofErr w:type="gramEnd"/>
      <w:r w:rsidR="00EC1225" w:rsidRPr="001A3A33">
        <w:rPr>
          <w:rFonts w:ascii="Calibri" w:eastAsia="Calibri" w:hAnsi="Calibri" w:cs="Times New Roman"/>
          <w:highlight w:val="yellow"/>
        </w:rPr>
        <w:t>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07FBD0EF" w:rsidR="00AB4ECE" w:rsidRPr="006561B7" w:rsidRDefault="006561B7" w:rsidP="002E2177">
            <w:pPr>
              <w:ind w:left="0" w:firstLine="0"/>
              <w:rPr>
                <w:rFonts w:cstheme="minorHAnsi"/>
                <w:b/>
                <w:color w:val="0000FF"/>
              </w:rPr>
            </w:pPr>
            <w:proofErr w:type="spellStart"/>
            <w:r>
              <w:rPr>
                <w:rFonts w:cstheme="minorHAnsi"/>
                <w:bCs/>
                <w:color w:val="0000FF"/>
              </w:rPr>
              <w:t>Fierson</w:t>
            </w:r>
            <w:proofErr w:type="spellEnd"/>
            <w:r>
              <w:rPr>
                <w:rFonts w:cstheme="minorHAnsi"/>
                <w:bCs/>
                <w:color w:val="0000FF"/>
              </w:rPr>
              <w:t xml:space="preserve"> WM; </w:t>
            </w:r>
            <w:r w:rsidRPr="006561B7">
              <w:rPr>
                <w:rFonts w:cstheme="minorHAnsi"/>
                <w:bCs/>
                <w:color w:val="0000FF"/>
              </w:rPr>
              <w:t>American Academy of Pediatrics, Section on Ophthalmology, American Academy of Ophthalmology, American Association for Pediatric Ophthalmology and Strabismus. Screening examination of premature infants for retinopathy of prematurity. Pediatrics. 2018;</w:t>
            </w:r>
            <w:r>
              <w:rPr>
                <w:rFonts w:cstheme="minorHAnsi"/>
                <w:bCs/>
                <w:color w:val="0000FF"/>
              </w:rPr>
              <w:t xml:space="preserve"> 142(6</w:t>
            </w:r>
            <w:proofErr w:type="gramStart"/>
            <w:r>
              <w:rPr>
                <w:rFonts w:cstheme="minorHAnsi"/>
                <w:bCs/>
                <w:color w:val="0000FF"/>
              </w:rPr>
              <w:t>):e</w:t>
            </w:r>
            <w:proofErr w:type="gramEnd"/>
            <w:r>
              <w:rPr>
                <w:rFonts w:cstheme="minorHAnsi"/>
                <w:bCs/>
                <w:color w:val="0000FF"/>
              </w:rPr>
              <w:t>20183061</w:t>
            </w:r>
            <w:r w:rsidRPr="006561B7">
              <w:rPr>
                <w:rFonts w:cstheme="minorHAnsi"/>
                <w:bCs/>
                <w:color w:val="0000FF"/>
              </w:rPr>
              <w:t>.</w:t>
            </w: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61AEAB30" w14:textId="77777777" w:rsidR="006561B7" w:rsidRPr="006561B7" w:rsidRDefault="006561B7" w:rsidP="006561B7">
            <w:pPr>
              <w:ind w:left="0" w:firstLine="0"/>
              <w:rPr>
                <w:color w:val="0000FF"/>
              </w:rPr>
            </w:pPr>
            <w:r w:rsidRPr="006561B7">
              <w:rPr>
                <w:color w:val="0000FF"/>
              </w:rPr>
              <w:t xml:space="preserve">1. All infants with a birth weight of ≤1500 g or a gestational age of 30 weeks or less (as defined by the attending neonatologist) and selected infants with a birth weight between 1500 and 2000 g or a gestational age of &gt;30 weeks who are believed by their attending pediatrician or neonatologist to be at risk for ROP (such as infants with hypotension requiring inotropic support, infants who received oxygen supplementation for more than a few days, or infants who received oxygen without saturation monitoring) should be screened for ROP. Retinal screening examinations should be performed after pupillary dilation by using binocular indirect ophthalmoscopy with a lid speculum and scleral depression (as needed) to detect ROP. Dilating drops should be sufficient to allow adequate examination of the fundi, but care should be taken in using multiple drops if the pupil fails to dilate because poor pupillary dilation can occur in advanced ROP, and administering multiple doses of dilating drops can adversely affect the cardiorespiratory and gastrointestinal status of the infant. Separate sterile instruments or instruments cleaned in accord with the anti-infective protocol for metal instruments for each NICU should be used to examine each infant to avoid possible cross-contamination by infectious agents. One examination is sufficient only if it unequivocally reveals the retina to be fully vascularized in both eyes. Effort should be made to minimize the discomfort and systemic effect of this examination. In recent literature, authors </w:t>
            </w:r>
            <w:r w:rsidRPr="006561B7">
              <w:rPr>
                <w:color w:val="0000FF"/>
              </w:rPr>
              <w:lastRenderedPageBreak/>
              <w:t>suggest that a carefully organized program of remotely interpreted wide-angle fundus camera ROP screening may initially be used in place of binocular indirect ophthalmoscope examinations up to the point at which treatment of ROP is believed to be indicated; at this point, indirect ophthalmoscopy is required. This possibility is further discussed in recommendation 6.</w:t>
            </w:r>
          </w:p>
          <w:p w14:paraId="04EA37C4" w14:textId="77777777" w:rsidR="006561B7" w:rsidRPr="006561B7" w:rsidRDefault="006561B7" w:rsidP="006561B7">
            <w:pPr>
              <w:ind w:left="0" w:firstLine="0"/>
              <w:rPr>
                <w:color w:val="0000FF"/>
              </w:rPr>
            </w:pPr>
          </w:p>
          <w:p w14:paraId="709B7A48" w14:textId="13D64490" w:rsidR="00AB4ECE" w:rsidRDefault="006561B7" w:rsidP="006561B7">
            <w:pPr>
              <w:ind w:left="0" w:firstLine="0"/>
              <w:rPr>
                <w:color w:val="0000FF"/>
              </w:rPr>
            </w:pPr>
            <w:r w:rsidRPr="006561B7">
              <w:rPr>
                <w:color w:val="0000FF"/>
              </w:rPr>
              <w:t>2. Retinal examinations in preterm infants should be performed by an ophthalmologist who has sufficient knowledge and experience to accurately identify the location and sequential retinal changes of ROP. The International Classification of Retinopathy of Prematurity Revisited (ICROP) should be used to classify, diagram, and record these retinal findings at the time of examination.</w:t>
            </w:r>
          </w:p>
          <w:p w14:paraId="1E111784" w14:textId="77777777" w:rsidR="001A3A33" w:rsidRDefault="001A3A33" w:rsidP="006561B7">
            <w:pPr>
              <w:ind w:left="0" w:firstLine="0"/>
              <w:rPr>
                <w:color w:val="0000FF"/>
              </w:rPr>
            </w:pPr>
          </w:p>
          <w:p w14:paraId="6709FAF7" w14:textId="140257FF" w:rsidR="001A3A33" w:rsidRPr="001A3A33" w:rsidRDefault="001A3A33" w:rsidP="001A3A33">
            <w:pPr>
              <w:ind w:left="0" w:firstLine="0"/>
              <w:rPr>
                <w:color w:val="0000FF"/>
              </w:rPr>
            </w:pPr>
            <w:r w:rsidRPr="001A3A33">
              <w:rPr>
                <w:color w:val="0000FF"/>
              </w:rPr>
              <w:t>3. Authors of recent reports of neonatal algorithms, such as WIN-ROP, Co-ROP, and CHOP-ROP, take factors into account other than birth weight, postmenstrual age, or gestational age. These factors include rapid postnatal weight gain and may be helpful in selecting infants at risk for ROP who should be screened and in eliminating some infants from the need for screening despite their meeting the previously mentioned screening criteria. Substitution of these algorithms for the screening measures described in this article is not justified by current literature, and it is not clear that these criteria apply to international populations.</w:t>
            </w:r>
          </w:p>
          <w:p w14:paraId="04EDD0D7" w14:textId="77777777" w:rsidR="001A3A33" w:rsidRPr="001A3A33" w:rsidRDefault="001A3A33" w:rsidP="001A3A33">
            <w:pPr>
              <w:ind w:left="0" w:firstLine="0"/>
              <w:rPr>
                <w:color w:val="0000FF"/>
              </w:rPr>
            </w:pPr>
          </w:p>
          <w:p w14:paraId="6F659594" w14:textId="21A28BE4" w:rsidR="001A3A33" w:rsidRDefault="001A3A33" w:rsidP="001A3A33">
            <w:pPr>
              <w:ind w:left="0" w:firstLine="0"/>
              <w:rPr>
                <w:color w:val="0000FF"/>
              </w:rPr>
            </w:pPr>
            <w:r w:rsidRPr="001A3A33">
              <w:rPr>
                <w:color w:val="0000FF"/>
              </w:rPr>
              <w:t xml:space="preserve">4. Follow-up examinations should be recommended by the examining ophthalmologist </w:t>
            </w:r>
            <w:proofErr w:type="gramStart"/>
            <w:r w:rsidRPr="001A3A33">
              <w:rPr>
                <w:color w:val="0000FF"/>
              </w:rPr>
              <w:t>on the basis of</w:t>
            </w:r>
            <w:proofErr w:type="gramEnd"/>
            <w:r w:rsidRPr="001A3A33">
              <w:rPr>
                <w:color w:val="0000FF"/>
              </w:rPr>
              <w:t xml:space="preserve"> retinal findings classified according to the “International classification of retinopathy of prematurity revisited” (see Fig 1). The following schedule is suggested as an acceptable one for most infants, but certain infants may require an altered frequency of examinations, remembering that the goal of examinations is to offer treatment at the time when it is most likely to succeed.</w:t>
            </w:r>
          </w:p>
          <w:p w14:paraId="73DD6F22" w14:textId="10FD6C3B" w:rsidR="001A3A33" w:rsidRDefault="001A3A33" w:rsidP="001A3A33">
            <w:pPr>
              <w:ind w:left="0" w:firstLine="0"/>
              <w:rPr>
                <w:color w:val="0000FF"/>
              </w:rPr>
            </w:pPr>
          </w:p>
          <w:p w14:paraId="063843C6" w14:textId="77777777" w:rsidR="001A3A33" w:rsidRPr="001A3A33" w:rsidRDefault="001A3A33" w:rsidP="001A3A33">
            <w:pPr>
              <w:ind w:left="0" w:firstLine="0"/>
              <w:rPr>
                <w:b/>
                <w:bCs/>
                <w:color w:val="0000FF"/>
              </w:rPr>
            </w:pPr>
            <w:r w:rsidRPr="001A3A33">
              <w:rPr>
                <w:b/>
                <w:bCs/>
                <w:color w:val="0000FF"/>
              </w:rPr>
              <w:t>One-Week-or-Less Follow-up</w:t>
            </w:r>
          </w:p>
          <w:p w14:paraId="378CC624" w14:textId="77777777" w:rsidR="001A3A33" w:rsidRPr="001A3A33" w:rsidRDefault="001A3A33" w:rsidP="001A3A33">
            <w:pPr>
              <w:ind w:left="0" w:firstLine="0"/>
              <w:rPr>
                <w:color w:val="0000FF"/>
              </w:rPr>
            </w:pPr>
            <w:r w:rsidRPr="001A3A33">
              <w:rPr>
                <w:color w:val="0000FF"/>
              </w:rPr>
              <w:t xml:space="preserve">Zone I: immature vascularization, no </w:t>
            </w:r>
            <w:proofErr w:type="gramStart"/>
            <w:r w:rsidRPr="001A3A33">
              <w:rPr>
                <w:color w:val="0000FF"/>
              </w:rPr>
              <w:t>ROP;</w:t>
            </w:r>
            <w:proofErr w:type="gramEnd"/>
          </w:p>
          <w:p w14:paraId="2E9A2A4C" w14:textId="77777777" w:rsidR="001A3A33" w:rsidRPr="001A3A33" w:rsidRDefault="001A3A33" w:rsidP="001A3A33">
            <w:pPr>
              <w:ind w:left="0" w:firstLine="0"/>
              <w:rPr>
                <w:color w:val="0000FF"/>
              </w:rPr>
            </w:pPr>
          </w:p>
          <w:p w14:paraId="6B556991" w14:textId="77777777" w:rsidR="001A3A33" w:rsidRPr="001A3A33" w:rsidRDefault="001A3A33" w:rsidP="001A3A33">
            <w:pPr>
              <w:ind w:left="0" w:firstLine="0"/>
              <w:rPr>
                <w:color w:val="0000FF"/>
              </w:rPr>
            </w:pPr>
            <w:r w:rsidRPr="001A3A33">
              <w:rPr>
                <w:color w:val="0000FF"/>
              </w:rPr>
              <w:t xml:space="preserve">Zone I: stage 1 or stage 2 </w:t>
            </w:r>
            <w:proofErr w:type="gramStart"/>
            <w:r w:rsidRPr="001A3A33">
              <w:rPr>
                <w:color w:val="0000FF"/>
              </w:rPr>
              <w:t>ROP;</w:t>
            </w:r>
            <w:proofErr w:type="gramEnd"/>
          </w:p>
          <w:p w14:paraId="46BFD636" w14:textId="77777777" w:rsidR="001A3A33" w:rsidRPr="001A3A33" w:rsidRDefault="001A3A33" w:rsidP="001A3A33">
            <w:pPr>
              <w:ind w:left="0" w:firstLine="0"/>
              <w:rPr>
                <w:color w:val="0000FF"/>
              </w:rPr>
            </w:pPr>
          </w:p>
          <w:p w14:paraId="4889BD3E" w14:textId="77777777" w:rsidR="001A3A33" w:rsidRPr="001A3A33" w:rsidRDefault="001A3A33" w:rsidP="001A3A33">
            <w:pPr>
              <w:ind w:left="0" w:firstLine="0"/>
              <w:rPr>
                <w:color w:val="0000FF"/>
              </w:rPr>
            </w:pPr>
            <w:r w:rsidRPr="001A3A33">
              <w:rPr>
                <w:color w:val="0000FF"/>
              </w:rPr>
              <w:lastRenderedPageBreak/>
              <w:t xml:space="preserve">Immature retina extending into posterior zone II, near the boundary of zone I–zone </w:t>
            </w:r>
            <w:proofErr w:type="gramStart"/>
            <w:r w:rsidRPr="001A3A33">
              <w:rPr>
                <w:color w:val="0000FF"/>
              </w:rPr>
              <w:t>II;</w:t>
            </w:r>
            <w:proofErr w:type="gramEnd"/>
          </w:p>
          <w:p w14:paraId="672DD561" w14:textId="77777777" w:rsidR="001A3A33" w:rsidRPr="001A3A33" w:rsidRDefault="001A3A33" w:rsidP="001A3A33">
            <w:pPr>
              <w:ind w:left="0" w:firstLine="0"/>
              <w:rPr>
                <w:color w:val="0000FF"/>
              </w:rPr>
            </w:pPr>
          </w:p>
          <w:p w14:paraId="645FCC9E" w14:textId="77777777" w:rsidR="001A3A33" w:rsidRPr="001A3A33" w:rsidRDefault="001A3A33" w:rsidP="001A3A33">
            <w:pPr>
              <w:ind w:left="0" w:firstLine="0"/>
              <w:rPr>
                <w:color w:val="0000FF"/>
              </w:rPr>
            </w:pPr>
            <w:r w:rsidRPr="001A3A33">
              <w:rPr>
                <w:color w:val="0000FF"/>
              </w:rPr>
              <w:t>Suspected presence of AP-ROP; and</w:t>
            </w:r>
          </w:p>
          <w:p w14:paraId="4A39B632" w14:textId="77777777" w:rsidR="001A3A33" w:rsidRPr="001A3A33" w:rsidRDefault="001A3A33" w:rsidP="001A3A33">
            <w:pPr>
              <w:ind w:left="0" w:firstLine="0"/>
              <w:rPr>
                <w:color w:val="0000FF"/>
              </w:rPr>
            </w:pPr>
          </w:p>
          <w:p w14:paraId="230F6C1D" w14:textId="77777777" w:rsidR="001A3A33" w:rsidRPr="001A3A33" w:rsidRDefault="001A3A33" w:rsidP="001A3A33">
            <w:pPr>
              <w:ind w:left="0" w:firstLine="0"/>
              <w:rPr>
                <w:color w:val="0000FF"/>
              </w:rPr>
            </w:pPr>
            <w:r w:rsidRPr="001A3A33">
              <w:rPr>
                <w:color w:val="0000FF"/>
              </w:rPr>
              <w:t>Stage 3 ROP, zone I requires treatment, not observation.</w:t>
            </w:r>
          </w:p>
          <w:p w14:paraId="21B3671C" w14:textId="77777777" w:rsidR="001A3A33" w:rsidRPr="001A3A33" w:rsidRDefault="001A3A33" w:rsidP="001A3A33">
            <w:pPr>
              <w:ind w:left="0" w:firstLine="0"/>
              <w:rPr>
                <w:color w:val="0000FF"/>
              </w:rPr>
            </w:pPr>
          </w:p>
          <w:p w14:paraId="7A875717" w14:textId="77777777" w:rsidR="001A3A33" w:rsidRPr="001A3A33" w:rsidRDefault="001A3A33" w:rsidP="001A3A33">
            <w:pPr>
              <w:ind w:left="0" w:firstLine="0"/>
              <w:rPr>
                <w:b/>
                <w:bCs/>
                <w:color w:val="0000FF"/>
              </w:rPr>
            </w:pPr>
            <w:r w:rsidRPr="001A3A33">
              <w:rPr>
                <w:b/>
                <w:bCs/>
                <w:color w:val="0000FF"/>
              </w:rPr>
              <w:t>One- to 2-Week Follow-up</w:t>
            </w:r>
          </w:p>
          <w:p w14:paraId="3524F6DB" w14:textId="77777777" w:rsidR="001A3A33" w:rsidRPr="001A3A33" w:rsidRDefault="001A3A33" w:rsidP="001A3A33">
            <w:pPr>
              <w:ind w:left="0" w:firstLine="0"/>
              <w:rPr>
                <w:color w:val="0000FF"/>
              </w:rPr>
            </w:pPr>
            <w:r w:rsidRPr="001A3A33">
              <w:rPr>
                <w:color w:val="0000FF"/>
              </w:rPr>
              <w:t xml:space="preserve">Posterior zone II: immature </w:t>
            </w:r>
            <w:proofErr w:type="gramStart"/>
            <w:r w:rsidRPr="001A3A33">
              <w:rPr>
                <w:color w:val="0000FF"/>
              </w:rPr>
              <w:t>vascularization;</w:t>
            </w:r>
            <w:proofErr w:type="gramEnd"/>
          </w:p>
          <w:p w14:paraId="661EFFCE" w14:textId="77777777" w:rsidR="001A3A33" w:rsidRPr="001A3A33" w:rsidRDefault="001A3A33" w:rsidP="001A3A33">
            <w:pPr>
              <w:ind w:left="0" w:firstLine="0"/>
              <w:rPr>
                <w:color w:val="0000FF"/>
              </w:rPr>
            </w:pPr>
          </w:p>
          <w:p w14:paraId="4E487048" w14:textId="77777777" w:rsidR="001A3A33" w:rsidRPr="001A3A33" w:rsidRDefault="001A3A33" w:rsidP="001A3A33">
            <w:pPr>
              <w:ind w:left="0" w:firstLine="0"/>
              <w:rPr>
                <w:color w:val="0000FF"/>
              </w:rPr>
            </w:pPr>
            <w:r w:rsidRPr="001A3A33">
              <w:rPr>
                <w:color w:val="0000FF"/>
              </w:rPr>
              <w:t>Zone II: stage 2 ROP; and</w:t>
            </w:r>
          </w:p>
          <w:p w14:paraId="4C0849F4" w14:textId="77777777" w:rsidR="001A3A33" w:rsidRPr="001A3A33" w:rsidRDefault="001A3A33" w:rsidP="001A3A33">
            <w:pPr>
              <w:ind w:left="0" w:firstLine="0"/>
              <w:rPr>
                <w:color w:val="0000FF"/>
              </w:rPr>
            </w:pPr>
          </w:p>
          <w:p w14:paraId="750A00A3" w14:textId="77777777" w:rsidR="001A3A33" w:rsidRPr="001A3A33" w:rsidRDefault="001A3A33" w:rsidP="001A3A33">
            <w:pPr>
              <w:ind w:left="0" w:firstLine="0"/>
              <w:rPr>
                <w:color w:val="0000FF"/>
              </w:rPr>
            </w:pPr>
            <w:r w:rsidRPr="001A3A33">
              <w:rPr>
                <w:color w:val="0000FF"/>
              </w:rPr>
              <w:t>Zone I: unequivocally regressing ROP.</w:t>
            </w:r>
          </w:p>
          <w:p w14:paraId="1BC755BE" w14:textId="77777777" w:rsidR="001A3A33" w:rsidRPr="001A3A33" w:rsidRDefault="001A3A33" w:rsidP="001A3A33">
            <w:pPr>
              <w:ind w:left="0" w:firstLine="0"/>
              <w:rPr>
                <w:color w:val="0000FF"/>
              </w:rPr>
            </w:pPr>
          </w:p>
          <w:p w14:paraId="49311C7C" w14:textId="77777777" w:rsidR="001A3A33" w:rsidRPr="001A3A33" w:rsidRDefault="001A3A33" w:rsidP="001A3A33">
            <w:pPr>
              <w:ind w:left="0" w:firstLine="0"/>
              <w:rPr>
                <w:b/>
                <w:bCs/>
                <w:color w:val="0000FF"/>
              </w:rPr>
            </w:pPr>
            <w:r w:rsidRPr="001A3A33">
              <w:rPr>
                <w:b/>
                <w:bCs/>
                <w:color w:val="0000FF"/>
              </w:rPr>
              <w:t>Two-Week Follow-up</w:t>
            </w:r>
          </w:p>
          <w:p w14:paraId="7C1E9F4E" w14:textId="77777777" w:rsidR="001A3A33" w:rsidRPr="001A3A33" w:rsidRDefault="001A3A33" w:rsidP="001A3A33">
            <w:pPr>
              <w:ind w:left="0" w:firstLine="0"/>
              <w:rPr>
                <w:color w:val="0000FF"/>
              </w:rPr>
            </w:pPr>
            <w:r w:rsidRPr="001A3A33">
              <w:rPr>
                <w:color w:val="0000FF"/>
              </w:rPr>
              <w:t xml:space="preserve">Zone II: stage 1 </w:t>
            </w:r>
            <w:proofErr w:type="gramStart"/>
            <w:r w:rsidRPr="001A3A33">
              <w:rPr>
                <w:color w:val="0000FF"/>
              </w:rPr>
              <w:t>ROP;</w:t>
            </w:r>
            <w:proofErr w:type="gramEnd"/>
          </w:p>
          <w:p w14:paraId="3DD26082" w14:textId="77777777" w:rsidR="001A3A33" w:rsidRPr="001A3A33" w:rsidRDefault="001A3A33" w:rsidP="001A3A33">
            <w:pPr>
              <w:ind w:left="0" w:firstLine="0"/>
              <w:rPr>
                <w:color w:val="0000FF"/>
              </w:rPr>
            </w:pPr>
          </w:p>
          <w:p w14:paraId="4ACD27BA" w14:textId="77777777" w:rsidR="001A3A33" w:rsidRPr="001A3A33" w:rsidRDefault="001A3A33" w:rsidP="001A3A33">
            <w:pPr>
              <w:ind w:left="0" w:firstLine="0"/>
              <w:rPr>
                <w:color w:val="0000FF"/>
              </w:rPr>
            </w:pPr>
            <w:r w:rsidRPr="001A3A33">
              <w:rPr>
                <w:color w:val="0000FF"/>
              </w:rPr>
              <w:t>Zone II: no ROP, immature vascularization; and</w:t>
            </w:r>
          </w:p>
          <w:p w14:paraId="3B79F5DE" w14:textId="77777777" w:rsidR="001A3A33" w:rsidRPr="001A3A33" w:rsidRDefault="001A3A33" w:rsidP="001A3A33">
            <w:pPr>
              <w:ind w:left="0" w:firstLine="0"/>
              <w:rPr>
                <w:color w:val="0000FF"/>
              </w:rPr>
            </w:pPr>
          </w:p>
          <w:p w14:paraId="50DA23AF" w14:textId="77777777" w:rsidR="001A3A33" w:rsidRPr="001A3A33" w:rsidRDefault="001A3A33" w:rsidP="001A3A33">
            <w:pPr>
              <w:ind w:left="0" w:firstLine="0"/>
              <w:rPr>
                <w:color w:val="0000FF"/>
              </w:rPr>
            </w:pPr>
            <w:r w:rsidRPr="001A3A33">
              <w:rPr>
                <w:color w:val="0000FF"/>
              </w:rPr>
              <w:t>Zone II: unequivocally regressing ROP.</w:t>
            </w:r>
          </w:p>
          <w:p w14:paraId="5B97C8D7" w14:textId="77777777" w:rsidR="001A3A33" w:rsidRPr="001A3A33" w:rsidRDefault="001A3A33" w:rsidP="001A3A33">
            <w:pPr>
              <w:ind w:left="0" w:firstLine="0"/>
              <w:rPr>
                <w:color w:val="0000FF"/>
              </w:rPr>
            </w:pPr>
          </w:p>
          <w:p w14:paraId="6900B8E5" w14:textId="77777777" w:rsidR="001A3A33" w:rsidRPr="001A3A33" w:rsidRDefault="001A3A33" w:rsidP="001A3A33">
            <w:pPr>
              <w:ind w:left="0" w:firstLine="0"/>
              <w:rPr>
                <w:b/>
                <w:bCs/>
                <w:color w:val="0000FF"/>
              </w:rPr>
            </w:pPr>
            <w:r w:rsidRPr="001A3A33">
              <w:rPr>
                <w:b/>
                <w:bCs/>
                <w:color w:val="0000FF"/>
              </w:rPr>
              <w:t>Two- to 3-Week Follow-up</w:t>
            </w:r>
          </w:p>
          <w:p w14:paraId="5BC20C65" w14:textId="77777777" w:rsidR="001A3A33" w:rsidRPr="001A3A33" w:rsidRDefault="001A3A33" w:rsidP="001A3A33">
            <w:pPr>
              <w:ind w:left="0" w:firstLine="0"/>
              <w:rPr>
                <w:color w:val="0000FF"/>
              </w:rPr>
            </w:pPr>
            <w:r w:rsidRPr="001A3A33">
              <w:rPr>
                <w:color w:val="0000FF"/>
              </w:rPr>
              <w:t>Zone III: stage 1 or 2 ROP; and</w:t>
            </w:r>
          </w:p>
          <w:p w14:paraId="3E626B6A" w14:textId="77777777" w:rsidR="001A3A33" w:rsidRPr="001A3A33" w:rsidRDefault="001A3A33" w:rsidP="001A3A33">
            <w:pPr>
              <w:ind w:left="0" w:firstLine="0"/>
              <w:rPr>
                <w:color w:val="0000FF"/>
              </w:rPr>
            </w:pPr>
          </w:p>
          <w:p w14:paraId="652DD718" w14:textId="60BF8A7C" w:rsidR="001A3A33" w:rsidRDefault="001A3A33" w:rsidP="001A3A33">
            <w:pPr>
              <w:ind w:left="0" w:firstLine="0"/>
              <w:rPr>
                <w:color w:val="0000FF"/>
              </w:rPr>
            </w:pPr>
            <w:r w:rsidRPr="001A3A33">
              <w:rPr>
                <w:color w:val="0000FF"/>
              </w:rPr>
              <w:t>Zone III: regressing ROP.</w:t>
            </w:r>
          </w:p>
          <w:p w14:paraId="4CA75D17" w14:textId="77777777" w:rsidR="001A3A33" w:rsidRDefault="001A3A33" w:rsidP="001A3A33">
            <w:pPr>
              <w:ind w:left="0" w:firstLine="0"/>
              <w:rPr>
                <w:color w:val="0000FF"/>
              </w:rPr>
            </w:pPr>
          </w:p>
          <w:p w14:paraId="1403CD80" w14:textId="1ADE9958" w:rsidR="001A3A33" w:rsidRPr="001A3A33" w:rsidRDefault="001A3A33" w:rsidP="001A3A33">
            <w:pPr>
              <w:ind w:left="0" w:firstLine="0"/>
              <w:rPr>
                <w:color w:val="0000FF"/>
              </w:rPr>
            </w:pPr>
            <w:r w:rsidRPr="001A3A33">
              <w:rPr>
                <w:color w:val="0000FF"/>
              </w:rPr>
              <w:t>5. The termination of acute retinal screening examinations should be based on age and retinal ophthalmoscopic findings. Findings in which is it suggested that examinations can be terminated include the following:</w:t>
            </w:r>
          </w:p>
          <w:p w14:paraId="70EF6B28" w14:textId="77777777" w:rsidR="001A3A33" w:rsidRPr="001A3A33" w:rsidRDefault="001A3A33" w:rsidP="001A3A33">
            <w:pPr>
              <w:ind w:left="0" w:firstLine="0"/>
              <w:rPr>
                <w:color w:val="0000FF"/>
              </w:rPr>
            </w:pPr>
          </w:p>
          <w:p w14:paraId="2BEEDE8F" w14:textId="77777777" w:rsidR="001A3A33" w:rsidRPr="001A3A33" w:rsidRDefault="001A3A33" w:rsidP="001A3A33">
            <w:pPr>
              <w:ind w:left="0" w:firstLine="0"/>
              <w:rPr>
                <w:color w:val="0000FF"/>
              </w:rPr>
            </w:pPr>
            <w:r w:rsidRPr="001A3A33">
              <w:rPr>
                <w:color w:val="0000FF"/>
              </w:rPr>
              <w:t xml:space="preserve">Full retinal vascularization </w:t>
            </w:r>
            <w:proofErr w:type="gramStart"/>
            <w:r w:rsidRPr="001A3A33">
              <w:rPr>
                <w:color w:val="0000FF"/>
              </w:rPr>
              <w:t>in close proximity to</w:t>
            </w:r>
            <w:proofErr w:type="gramEnd"/>
            <w:r w:rsidRPr="001A3A33">
              <w:rPr>
                <w:color w:val="0000FF"/>
              </w:rPr>
              <w:t xml:space="preserve"> the </w:t>
            </w:r>
            <w:proofErr w:type="spellStart"/>
            <w:r w:rsidRPr="001A3A33">
              <w:rPr>
                <w:color w:val="0000FF"/>
              </w:rPr>
              <w:t>ora</w:t>
            </w:r>
            <w:proofErr w:type="spellEnd"/>
            <w:r w:rsidRPr="001A3A33">
              <w:rPr>
                <w:color w:val="0000FF"/>
              </w:rPr>
              <w:t xml:space="preserve"> serrata for 360°, that is, the normal distance found in mature retina between the end of vascularization and the </w:t>
            </w:r>
            <w:proofErr w:type="spellStart"/>
            <w:r w:rsidRPr="001A3A33">
              <w:rPr>
                <w:color w:val="0000FF"/>
              </w:rPr>
              <w:t>ora</w:t>
            </w:r>
            <w:proofErr w:type="spellEnd"/>
            <w:r w:rsidRPr="001A3A33">
              <w:rPr>
                <w:color w:val="0000FF"/>
              </w:rPr>
              <w:t xml:space="preserve"> serrata. This criterion should also be used for all cases treated for ROP solely with anti–vascular endothelial growth factor (VEGF) injectable medications.</w:t>
            </w:r>
          </w:p>
          <w:p w14:paraId="05DCE5B3" w14:textId="77777777" w:rsidR="001A3A33" w:rsidRPr="001A3A33" w:rsidRDefault="001A3A33" w:rsidP="001A3A33">
            <w:pPr>
              <w:ind w:left="0" w:firstLine="0"/>
              <w:rPr>
                <w:color w:val="0000FF"/>
              </w:rPr>
            </w:pPr>
          </w:p>
          <w:p w14:paraId="0664BE07" w14:textId="77777777" w:rsidR="001A3A33" w:rsidRPr="001A3A33" w:rsidRDefault="001A3A33" w:rsidP="001A3A33">
            <w:pPr>
              <w:ind w:left="0" w:firstLine="0"/>
              <w:rPr>
                <w:color w:val="0000FF"/>
              </w:rPr>
            </w:pPr>
            <w:r w:rsidRPr="001A3A33">
              <w:rPr>
                <w:color w:val="0000FF"/>
              </w:rPr>
              <w:t>Zone III retinal vascularization attained without previous zone I or II ROP (if there is examiner doubt about the zone or if the postmenstrual age is less than 35 weeks, confirmatory examinations may be warranted).</w:t>
            </w:r>
          </w:p>
          <w:p w14:paraId="61DAB648" w14:textId="77777777" w:rsidR="001A3A33" w:rsidRPr="001A3A33" w:rsidRDefault="001A3A33" w:rsidP="001A3A33">
            <w:pPr>
              <w:ind w:left="0" w:firstLine="0"/>
              <w:rPr>
                <w:color w:val="0000FF"/>
              </w:rPr>
            </w:pPr>
          </w:p>
          <w:p w14:paraId="1E8FDAA6" w14:textId="77777777" w:rsidR="001A3A33" w:rsidRPr="001A3A33" w:rsidRDefault="001A3A33" w:rsidP="001A3A33">
            <w:pPr>
              <w:ind w:left="0" w:firstLine="0"/>
              <w:rPr>
                <w:color w:val="0000FF"/>
              </w:rPr>
            </w:pPr>
            <w:r w:rsidRPr="001A3A33">
              <w:rPr>
                <w:color w:val="0000FF"/>
              </w:rPr>
              <w:lastRenderedPageBreak/>
              <w:t>Postmenstrual age of 45 weeks and no type 1 ROP (previously called “</w:t>
            </w:r>
            <w:proofErr w:type="spellStart"/>
            <w:r w:rsidRPr="001A3A33">
              <w:rPr>
                <w:color w:val="0000FF"/>
              </w:rPr>
              <w:t>prethreshold</w:t>
            </w:r>
            <w:proofErr w:type="spellEnd"/>
            <w:r w:rsidRPr="001A3A33">
              <w:rPr>
                <w:color w:val="0000FF"/>
              </w:rPr>
              <w:t>”) disease (defined as stage 3 ROP in zone II, any ROP in zone I) or worse ROP is present.</w:t>
            </w:r>
          </w:p>
          <w:p w14:paraId="0FC3DAC3" w14:textId="77777777" w:rsidR="001A3A33" w:rsidRPr="001A3A33" w:rsidRDefault="001A3A33" w:rsidP="001A3A33">
            <w:pPr>
              <w:ind w:left="0" w:firstLine="0"/>
              <w:rPr>
                <w:color w:val="0000FF"/>
              </w:rPr>
            </w:pPr>
          </w:p>
          <w:p w14:paraId="67AC371D" w14:textId="0B536281" w:rsidR="001A3A33" w:rsidRPr="001A3A33" w:rsidRDefault="001A3A33" w:rsidP="001A3A33">
            <w:pPr>
              <w:ind w:left="0" w:firstLine="0"/>
              <w:rPr>
                <w:color w:val="0000FF"/>
              </w:rPr>
            </w:pPr>
            <w:r w:rsidRPr="001A3A33">
              <w:rPr>
                <w:color w:val="0000FF"/>
              </w:rPr>
              <w:t>If anti-VEGF injectable medications were used to cause regression of the ROP, postmenstrual age of at least 65 weeks, because this treatment alters the natural history of this disease. Very late recurrences of proliferative ROP have been reported, so caution and clinical judgment are required to determine when surveillance can be safely terminated in individual cases. Infants treated with anti-VEGF medications need particularly close follow-up during the time of highest risk for disease reactivation, between postmenstrual age 45 to 55 weeks.</w:t>
            </w:r>
          </w:p>
          <w:p w14:paraId="54CB504A" w14:textId="77777777" w:rsidR="001A3A33" w:rsidRPr="001A3A33" w:rsidRDefault="001A3A33" w:rsidP="001A3A33">
            <w:pPr>
              <w:ind w:left="0" w:firstLine="0"/>
              <w:rPr>
                <w:color w:val="0000FF"/>
              </w:rPr>
            </w:pPr>
          </w:p>
          <w:p w14:paraId="16D41149" w14:textId="7CF4A5C8" w:rsidR="001A3A33" w:rsidRPr="001A3A33" w:rsidRDefault="001A3A33" w:rsidP="001A3A33">
            <w:pPr>
              <w:ind w:left="0" w:firstLine="0"/>
              <w:rPr>
                <w:color w:val="0000FF"/>
              </w:rPr>
            </w:pPr>
            <w:r w:rsidRPr="001A3A33">
              <w:rPr>
                <w:color w:val="0000FF"/>
              </w:rPr>
              <w:t>Regression of ROP (care must be taken to be sure that there is no abnormal vascular tissue present that is capable of reactivation and progression in zone II or III).</w:t>
            </w:r>
          </w:p>
          <w:p w14:paraId="60A7CE4C" w14:textId="77777777" w:rsidR="001A3A33" w:rsidRPr="001A3A33" w:rsidRDefault="001A3A33" w:rsidP="001A3A33">
            <w:pPr>
              <w:ind w:left="0" w:firstLine="0"/>
              <w:rPr>
                <w:color w:val="0000FF"/>
              </w:rPr>
            </w:pPr>
          </w:p>
          <w:p w14:paraId="55B8DA78" w14:textId="125D556A" w:rsidR="001A3A33" w:rsidRPr="006561B7" w:rsidRDefault="001A3A33" w:rsidP="001A3A33">
            <w:pPr>
              <w:ind w:left="0" w:firstLine="0"/>
              <w:rPr>
                <w:color w:val="0000FF"/>
              </w:rPr>
            </w:pPr>
            <w:r w:rsidRPr="001A3A33">
              <w:rPr>
                <w:color w:val="0000FF"/>
              </w:rPr>
              <w:t xml:space="preserve">6. The use of digital photographic retinal images that are captured and sent for remote interpretation is a developing alternative approach to ophthalmoscopic ROP screening; however, few outcome comparisons between large-scale operational digital-imaging systems with remote interpretation versus binocular indirect ophthalmoscopy have been published. Nevertheless, some neonatal centers are conducting remote ROP screening for infants still in the hospital.23,24 At a minimum, programs that use this method should comply with the timing and other recommendations outlined in the preceding guidelines as well as have capacity for timely bedside examinations if images are ambiguous or be able to promptly transfer to a hospital that can provide this examination. Protocol modifications may be required to allow for additional time for communication, processing, transportation, or other logistical issues, with no time added to the timing noted below for treatment. Captured images and their interpretations should be incorporated into the permanent medical record. It is also recommended that indirect ophthalmoscopy be performed at least once by a qualified ophthalmologist before treatment or termination of acute-phase screening of ROP for infants at risk for ROP. A technical report in which </w:t>
            </w:r>
            <w:r w:rsidRPr="001A3A33">
              <w:rPr>
                <w:color w:val="0000FF"/>
              </w:rPr>
              <w:lastRenderedPageBreak/>
              <w:t xml:space="preserve">authors have outlined the requirements for a safe program of </w:t>
            </w:r>
            <w:r w:rsidRPr="00490C35">
              <w:rPr>
                <w:color w:val="0000FF"/>
              </w:rPr>
              <w:t>remote</w:t>
            </w:r>
            <w:r w:rsidRPr="001A3A33">
              <w:rPr>
                <w:color w:val="0000FF"/>
              </w:rPr>
              <w:t xml:space="preserve"> photo screening for ROP has been published by the sponsoring organizations of this policy statement.</w:t>
            </w:r>
          </w:p>
        </w:tc>
      </w:tr>
      <w:tr w:rsidR="00AB4ECE" w14:paraId="55B8DA7C" w14:textId="77777777" w:rsidTr="00F90F82">
        <w:tc>
          <w:tcPr>
            <w:tcW w:w="4068" w:type="dxa"/>
          </w:tcPr>
          <w:p w14:paraId="55B8DA7A" w14:textId="77777777" w:rsidR="00AB4ECE" w:rsidRDefault="00AB4ECE" w:rsidP="00E42FAA">
            <w:pPr>
              <w:ind w:left="0" w:firstLine="0"/>
            </w:pPr>
            <w:r>
              <w:lastRenderedPageBreak/>
              <w:t xml:space="preserve">Grade assigned to the </w:t>
            </w:r>
            <w:r w:rsidRPr="004E7215">
              <w:rPr>
                <w:b/>
              </w:rPr>
              <w:t>evidence</w:t>
            </w:r>
            <w:r>
              <w:t xml:space="preserve"> associated with the recommendation with the definition of the grade</w:t>
            </w:r>
          </w:p>
        </w:tc>
        <w:tc>
          <w:tcPr>
            <w:tcW w:w="5130" w:type="dxa"/>
          </w:tcPr>
          <w:p w14:paraId="55B8DA7B" w14:textId="114571E3" w:rsidR="00AB4ECE" w:rsidRPr="00490C35" w:rsidRDefault="00490C35" w:rsidP="002E2177">
            <w:pPr>
              <w:ind w:left="0" w:firstLine="0"/>
              <w:rPr>
                <w:color w:val="0000FF"/>
              </w:rPr>
            </w:pPr>
            <w:r w:rsidRPr="00490C35">
              <w:rPr>
                <w:color w:val="0000FF"/>
              </w:rPr>
              <w:t>No grades provided</w:t>
            </w:r>
          </w:p>
        </w:tc>
      </w:tr>
      <w:tr w:rsidR="00490C35" w14:paraId="55B8DA7F" w14:textId="77777777" w:rsidTr="00F90F82">
        <w:tc>
          <w:tcPr>
            <w:tcW w:w="4068" w:type="dxa"/>
          </w:tcPr>
          <w:p w14:paraId="55B8DA7D" w14:textId="77777777" w:rsidR="00490C35" w:rsidRDefault="00490C35" w:rsidP="00490C35">
            <w:pPr>
              <w:ind w:left="0" w:firstLine="0"/>
            </w:pPr>
            <w:r>
              <w:t>Provide all other grades and definitions from the evidence grading system</w:t>
            </w:r>
          </w:p>
        </w:tc>
        <w:tc>
          <w:tcPr>
            <w:tcW w:w="5130" w:type="dxa"/>
          </w:tcPr>
          <w:p w14:paraId="55B8DA7E" w14:textId="3E8F6473" w:rsidR="00490C35" w:rsidRDefault="00490C35" w:rsidP="00490C35">
            <w:pPr>
              <w:ind w:left="0" w:firstLine="0"/>
            </w:pPr>
            <w:r w:rsidRPr="00490C35">
              <w:rPr>
                <w:color w:val="0000FF"/>
              </w:rPr>
              <w:t>No grades provided</w:t>
            </w:r>
          </w:p>
        </w:tc>
      </w:tr>
      <w:tr w:rsidR="00490C35" w14:paraId="55B8DA82" w14:textId="77777777" w:rsidTr="00F90F82">
        <w:tc>
          <w:tcPr>
            <w:tcW w:w="4068" w:type="dxa"/>
          </w:tcPr>
          <w:p w14:paraId="55B8DA80" w14:textId="77777777" w:rsidR="00490C35" w:rsidRDefault="00490C35" w:rsidP="00490C35">
            <w:pPr>
              <w:ind w:left="0" w:firstLine="0"/>
            </w:pPr>
            <w:r>
              <w:t xml:space="preserve">Grade assigned to the </w:t>
            </w:r>
            <w:r w:rsidRPr="004E7215">
              <w:rPr>
                <w:b/>
              </w:rPr>
              <w:t>recommendation</w:t>
            </w:r>
            <w:r>
              <w:t xml:space="preserve"> with definition of the grade</w:t>
            </w:r>
          </w:p>
        </w:tc>
        <w:tc>
          <w:tcPr>
            <w:tcW w:w="5130" w:type="dxa"/>
          </w:tcPr>
          <w:p w14:paraId="55B8DA81" w14:textId="0C16C33E" w:rsidR="00490C35" w:rsidRDefault="00490C35" w:rsidP="00490C35">
            <w:pPr>
              <w:ind w:left="0" w:firstLine="0"/>
            </w:pPr>
            <w:r w:rsidRPr="00490C35">
              <w:rPr>
                <w:color w:val="0000FF"/>
              </w:rPr>
              <w:t>No grades provided</w:t>
            </w:r>
          </w:p>
        </w:tc>
      </w:tr>
      <w:tr w:rsidR="00490C35" w14:paraId="55B8DA85" w14:textId="77777777" w:rsidTr="00F90F82">
        <w:tc>
          <w:tcPr>
            <w:tcW w:w="4068" w:type="dxa"/>
          </w:tcPr>
          <w:p w14:paraId="55B8DA83" w14:textId="77777777" w:rsidR="00490C35" w:rsidRDefault="00490C35" w:rsidP="00490C35">
            <w:pPr>
              <w:ind w:left="0" w:firstLine="0"/>
            </w:pPr>
            <w:r>
              <w:t>Provide all other grades and definitions from the recommendation grading system</w:t>
            </w:r>
          </w:p>
        </w:tc>
        <w:tc>
          <w:tcPr>
            <w:tcW w:w="5130" w:type="dxa"/>
          </w:tcPr>
          <w:p w14:paraId="55B8DA84" w14:textId="3A229593" w:rsidR="00490C35" w:rsidRDefault="00490C35" w:rsidP="00490C35">
            <w:pPr>
              <w:ind w:left="0" w:firstLine="0"/>
            </w:pPr>
            <w:r w:rsidRPr="00490C35">
              <w:rPr>
                <w:color w:val="0000FF"/>
              </w:rPr>
              <w:t>No grades provided</w:t>
            </w:r>
          </w:p>
        </w:tc>
      </w:tr>
      <w:tr w:rsidR="00490C35" w14:paraId="55B8DA8A" w14:textId="77777777" w:rsidTr="00F90F82">
        <w:tc>
          <w:tcPr>
            <w:tcW w:w="4068" w:type="dxa"/>
          </w:tcPr>
          <w:p w14:paraId="55B8DA86" w14:textId="77777777" w:rsidR="00490C35" w:rsidRDefault="00490C35" w:rsidP="00490C35">
            <w:pPr>
              <w:ind w:left="0" w:firstLine="0"/>
            </w:pPr>
            <w:r>
              <w:t>Body of evidence:</w:t>
            </w:r>
          </w:p>
          <w:p w14:paraId="55B8DA87" w14:textId="77777777" w:rsidR="00490C35" w:rsidRDefault="00490C35" w:rsidP="00490C35">
            <w:pPr>
              <w:pStyle w:val="ListParagraph"/>
              <w:numPr>
                <w:ilvl w:val="0"/>
                <w:numId w:val="10"/>
              </w:numPr>
            </w:pPr>
            <w:r>
              <w:t>Quantity – how many studies?</w:t>
            </w:r>
          </w:p>
          <w:p w14:paraId="55B8DA88" w14:textId="77777777" w:rsidR="00490C35" w:rsidRDefault="00490C35" w:rsidP="00490C35">
            <w:pPr>
              <w:pStyle w:val="ListParagraph"/>
              <w:numPr>
                <w:ilvl w:val="0"/>
                <w:numId w:val="10"/>
              </w:numPr>
            </w:pPr>
            <w:r>
              <w:t>Quality – what type of studies?</w:t>
            </w:r>
          </w:p>
        </w:tc>
        <w:tc>
          <w:tcPr>
            <w:tcW w:w="5130" w:type="dxa"/>
          </w:tcPr>
          <w:p w14:paraId="55B8DA89" w14:textId="6E1DA3BB" w:rsidR="00490C35" w:rsidRDefault="00490C35" w:rsidP="00490C35">
            <w:pPr>
              <w:ind w:left="0" w:firstLine="0"/>
            </w:pPr>
            <w:r>
              <w:rPr>
                <w:color w:val="0000FF"/>
              </w:rPr>
              <w:t>27</w:t>
            </w:r>
            <w:r w:rsidRPr="001A3A33">
              <w:rPr>
                <w:color w:val="0000FF"/>
              </w:rPr>
              <w:t xml:space="preserve"> studies</w:t>
            </w:r>
            <w:r>
              <w:rPr>
                <w:color w:val="0000FF"/>
              </w:rPr>
              <w:t xml:space="preserve"> are cited in the Clinical Practice Guideline as part of the 6 recommendations. </w:t>
            </w:r>
          </w:p>
        </w:tc>
      </w:tr>
      <w:tr w:rsidR="00490C35" w14:paraId="55B8DA8D" w14:textId="77777777" w:rsidTr="00F90F82">
        <w:tc>
          <w:tcPr>
            <w:tcW w:w="4068" w:type="dxa"/>
          </w:tcPr>
          <w:p w14:paraId="55B8DA8B" w14:textId="77777777" w:rsidR="00490C35" w:rsidRDefault="00490C35" w:rsidP="00490C35">
            <w:pPr>
              <w:ind w:left="0" w:firstLine="0"/>
            </w:pPr>
            <w:r>
              <w:t xml:space="preserve">Estimates of benefit and consistency across studies </w:t>
            </w:r>
          </w:p>
        </w:tc>
        <w:tc>
          <w:tcPr>
            <w:tcW w:w="5130" w:type="dxa"/>
          </w:tcPr>
          <w:p w14:paraId="55B8DA8C" w14:textId="37D6BFA9" w:rsidR="00490C35" w:rsidRDefault="00490C35" w:rsidP="00490C35">
            <w:pPr>
              <w:ind w:left="0" w:firstLine="0"/>
            </w:pPr>
            <w:r w:rsidRPr="00490C35">
              <w:rPr>
                <w:color w:val="0000FF"/>
              </w:rPr>
              <w:t xml:space="preserve">No </w:t>
            </w:r>
            <w:r>
              <w:rPr>
                <w:color w:val="0000FF"/>
              </w:rPr>
              <w:t>estimates</w:t>
            </w:r>
            <w:r w:rsidRPr="00490C35">
              <w:rPr>
                <w:color w:val="0000FF"/>
              </w:rPr>
              <w:t xml:space="preserve"> provided</w:t>
            </w:r>
          </w:p>
        </w:tc>
      </w:tr>
      <w:tr w:rsidR="00490C35" w14:paraId="55B8DA90" w14:textId="77777777" w:rsidTr="00F90F82">
        <w:tc>
          <w:tcPr>
            <w:tcW w:w="4068" w:type="dxa"/>
          </w:tcPr>
          <w:p w14:paraId="55B8DA8E" w14:textId="77777777" w:rsidR="00490C35" w:rsidRDefault="00490C35" w:rsidP="00490C35">
            <w:pPr>
              <w:ind w:left="0" w:firstLine="0"/>
            </w:pPr>
            <w:r>
              <w:t>What harms were identified?</w:t>
            </w:r>
          </w:p>
        </w:tc>
        <w:tc>
          <w:tcPr>
            <w:tcW w:w="5130" w:type="dxa"/>
          </w:tcPr>
          <w:p w14:paraId="55B8DA8F" w14:textId="7493C573" w:rsidR="00490C35" w:rsidRPr="00490C35" w:rsidRDefault="00490C35" w:rsidP="00490C35">
            <w:pPr>
              <w:ind w:left="0" w:firstLine="0"/>
              <w:rPr>
                <w:color w:val="0000FF"/>
              </w:rPr>
            </w:pPr>
            <w:r w:rsidRPr="00490C35">
              <w:rPr>
                <w:color w:val="0000FF"/>
              </w:rPr>
              <w:t>No harms identified</w:t>
            </w:r>
          </w:p>
        </w:tc>
      </w:tr>
      <w:tr w:rsidR="00490C35" w14:paraId="55B8DA93" w14:textId="77777777" w:rsidTr="00F90F82">
        <w:tc>
          <w:tcPr>
            <w:tcW w:w="4068" w:type="dxa"/>
          </w:tcPr>
          <w:p w14:paraId="55B8DA91" w14:textId="77777777" w:rsidR="00490C35" w:rsidRDefault="00490C35" w:rsidP="00490C35">
            <w:pPr>
              <w:ind w:left="0" w:firstLine="0"/>
            </w:pPr>
            <w:r>
              <w:t>Identify any new studies conducted since the SR. Do the new studies change the conclusions from the SR?</w:t>
            </w:r>
          </w:p>
        </w:tc>
        <w:tc>
          <w:tcPr>
            <w:tcW w:w="5130" w:type="dxa"/>
          </w:tcPr>
          <w:p w14:paraId="55B8DA92" w14:textId="640ABEAB" w:rsidR="00490C35" w:rsidRPr="001A3A33" w:rsidRDefault="00490C35" w:rsidP="00490C35">
            <w:pPr>
              <w:ind w:left="0" w:firstLine="0"/>
              <w:rPr>
                <w:color w:val="0000FF"/>
              </w:rPr>
            </w:pPr>
            <w:r>
              <w:rPr>
                <w:color w:val="0000FF"/>
              </w:rPr>
              <w:t>No new studies</w:t>
            </w: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6" w:name="Section1a8"/>
      <w:bookmarkEnd w:id="6"/>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8DAA3" w14:textId="278EF352"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194913">
      <w:rPr>
        <w:noProof/>
      </w:rPr>
      <w:t>2</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4913"/>
    <w:rsid w:val="00194D9A"/>
    <w:rsid w:val="001A196B"/>
    <w:rsid w:val="001A3A33"/>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57E46"/>
    <w:rsid w:val="00490C35"/>
    <w:rsid w:val="004922E4"/>
    <w:rsid w:val="00496AF8"/>
    <w:rsid w:val="004A575D"/>
    <w:rsid w:val="004B65C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561B7"/>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0FA4"/>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E2295"/>
    <w:rsid w:val="00BE6373"/>
    <w:rsid w:val="00BF533A"/>
    <w:rsid w:val="00C41794"/>
    <w:rsid w:val="00C46677"/>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275779">
      <w:bodyDiv w:val="1"/>
      <w:marLeft w:val="0"/>
      <w:marRight w:val="0"/>
      <w:marTop w:val="0"/>
      <w:marBottom w:val="0"/>
      <w:divBdr>
        <w:top w:val="none" w:sz="0" w:space="0" w:color="auto"/>
        <w:left w:val="none" w:sz="0" w:space="0" w:color="auto"/>
        <w:bottom w:val="none" w:sz="0" w:space="0" w:color="auto"/>
        <w:right w:val="none" w:sz="0" w:space="0" w:color="auto"/>
      </w:divBdr>
    </w:div>
    <w:div w:id="553738744">
      <w:bodyDiv w:val="1"/>
      <w:marLeft w:val="0"/>
      <w:marRight w:val="0"/>
      <w:marTop w:val="0"/>
      <w:marBottom w:val="0"/>
      <w:divBdr>
        <w:top w:val="none" w:sz="0" w:space="0" w:color="auto"/>
        <w:left w:val="none" w:sz="0" w:space="0" w:color="auto"/>
        <w:bottom w:val="none" w:sz="0" w:space="0" w:color="auto"/>
        <w:right w:val="none" w:sz="0" w:space="0" w:color="auto"/>
      </w:divBdr>
    </w:div>
    <w:div w:id="1602374887">
      <w:bodyDiv w:val="1"/>
      <w:marLeft w:val="0"/>
      <w:marRight w:val="0"/>
      <w:marTop w:val="0"/>
      <w:marBottom w:val="0"/>
      <w:divBdr>
        <w:top w:val="none" w:sz="0" w:space="0" w:color="auto"/>
        <w:left w:val="none" w:sz="0" w:space="0" w:color="auto"/>
        <w:bottom w:val="none" w:sz="0" w:space="0" w:color="auto"/>
        <w:right w:val="none" w:sz="0" w:space="0" w:color="auto"/>
      </w:divBdr>
    </w:div>
    <w:div w:id="2071690734">
      <w:bodyDiv w:val="1"/>
      <w:marLeft w:val="0"/>
      <w:marRight w:val="0"/>
      <w:marTop w:val="0"/>
      <w:marBottom w:val="0"/>
      <w:divBdr>
        <w:top w:val="none" w:sz="0" w:space="0" w:color="auto"/>
        <w:left w:val="none" w:sz="0" w:space="0" w:color="auto"/>
        <w:bottom w:val="none" w:sz="0" w:space="0" w:color="auto"/>
        <w:right w:val="none" w:sz="0" w:space="0" w:color="auto"/>
      </w:divBdr>
      <w:divsChild>
        <w:div w:id="1640766477">
          <w:marLeft w:val="0"/>
          <w:marRight w:val="0"/>
          <w:marTop w:val="0"/>
          <w:marBottom w:val="0"/>
          <w:divBdr>
            <w:top w:val="none" w:sz="0" w:space="0" w:color="auto"/>
            <w:left w:val="none" w:sz="0" w:space="0" w:color="auto"/>
            <w:bottom w:val="none" w:sz="0" w:space="0" w:color="auto"/>
            <w:right w:val="none" w:sz="0" w:space="0" w:color="auto"/>
          </w:divBdr>
        </w:div>
        <w:div w:id="1436172305">
          <w:marLeft w:val="0"/>
          <w:marRight w:val="0"/>
          <w:marTop w:val="0"/>
          <w:marBottom w:val="0"/>
          <w:divBdr>
            <w:top w:val="none" w:sz="0" w:space="0" w:color="auto"/>
            <w:left w:val="none" w:sz="0" w:space="0" w:color="auto"/>
            <w:bottom w:val="none" w:sz="0" w:space="0" w:color="auto"/>
            <w:right w:val="none" w:sz="0" w:space="0" w:color="auto"/>
          </w:divBdr>
        </w:div>
        <w:div w:id="1553544333">
          <w:marLeft w:val="0"/>
          <w:marRight w:val="0"/>
          <w:marTop w:val="0"/>
          <w:marBottom w:val="0"/>
          <w:divBdr>
            <w:top w:val="none" w:sz="0" w:space="0" w:color="auto"/>
            <w:left w:val="none" w:sz="0" w:space="0" w:color="auto"/>
            <w:bottom w:val="none" w:sz="0" w:space="0" w:color="auto"/>
            <w:right w:val="none" w:sz="0" w:space="0" w:color="auto"/>
          </w:divBdr>
        </w:div>
        <w:div w:id="16340195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38FE92AC300341A6B3CC3D6AE5C119C0"/>
        <w:category>
          <w:name w:val="General"/>
          <w:gallery w:val="placeholder"/>
        </w:category>
        <w:types>
          <w:type w:val="bbPlcHdr"/>
        </w:types>
        <w:behaviors>
          <w:behavior w:val="content"/>
        </w:behaviors>
        <w:guid w:val="{F2296BF9-7010-4652-BE27-9B82637304CB}"/>
      </w:docPartPr>
      <w:docPartBody>
        <w:p w:rsidR="00806444" w:rsidRDefault="001A7200" w:rsidP="001A7200">
          <w:pPr>
            <w:pStyle w:val="38FE92AC300341A6B3CC3D6AE5C119C0"/>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6A8AD5BCD8184288BCD199F88F877D6E"/>
        <w:category>
          <w:name w:val="General"/>
          <w:gallery w:val="placeholder"/>
        </w:category>
        <w:types>
          <w:type w:val="bbPlcHdr"/>
        </w:types>
        <w:behaviors>
          <w:behavior w:val="content"/>
        </w:behaviors>
        <w:guid w:val="{40C1D0A5-86B6-4C8C-A8C1-BB4F995FA7AE}"/>
      </w:docPartPr>
      <w:docPartBody>
        <w:p w:rsidR="00806444" w:rsidRDefault="001A7200" w:rsidP="001A7200">
          <w:pPr>
            <w:pStyle w:val="6A8AD5BCD8184288BCD199F88F877D6E"/>
          </w:pPr>
          <w:bookmarkStart w:id="1" w:name="_GoBack"/>
          <w:r w:rsidRPr="00A25024">
            <w:rPr>
              <w:rStyle w:val="PlaceholderText"/>
              <w:rFonts w:cstheme="minorHAnsi"/>
              <w:color w:val="A6A6A6" w:themeColor="background1" w:themeShade="A6"/>
            </w:rPr>
            <w:t>Click here to enter measure title</w:t>
          </w:r>
          <w:bookmarkEnd w:id="1"/>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160241"/>
    <w:rsid w:val="001A7200"/>
    <w:rsid w:val="001F47A0"/>
    <w:rsid w:val="002B5F47"/>
    <w:rsid w:val="003A1E4B"/>
    <w:rsid w:val="00455EB5"/>
    <w:rsid w:val="00461C1C"/>
    <w:rsid w:val="004E2027"/>
    <w:rsid w:val="005F21F3"/>
    <w:rsid w:val="00806444"/>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A7200"/>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38FE92AC300341A6B3CC3D6AE5C119C0">
    <w:name w:val="38FE92AC300341A6B3CC3D6AE5C119C0"/>
    <w:rsid w:val="001A7200"/>
    <w:pPr>
      <w:spacing w:after="160" w:line="259" w:lineRule="auto"/>
    </w:pPr>
  </w:style>
  <w:style w:type="paragraph" w:customStyle="1" w:styleId="6A8AD5BCD8184288BCD199F88F877D6E">
    <w:name w:val="6A8AD5BCD8184288BCD199F88F877D6E"/>
    <w:rsid w:val="001A720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2.xml><?xml version="1.0" encoding="utf-8"?>
<ds:datastoreItem xmlns:ds="http://schemas.openxmlformats.org/officeDocument/2006/customXml" ds:itemID="{49BB1C5C-D26B-4E4C-8B58-D2958114846C}">
  <ds:schemaRefs>
    <ds:schemaRef ds:uri="http://schemas.openxmlformats.org/officeDocument/2006/bibliography"/>
  </ds:schemaRefs>
</ds:datastoreItem>
</file>

<file path=customXml/itemProps3.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2CDBE7-7F08-4F52-B308-EE351D989842}">
  <ds:schemaRefs>
    <ds:schemaRef ds:uri="http://purl.org/dc/dcmitype/"/>
    <ds:schemaRef ds:uri="http://schemas.microsoft.com/office/infopath/2007/PartnerControls"/>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836b82f1-340d-495e-85b5-201c5296619a"/>
    <ds:schemaRef ds:uri="http://www.w3.org/XML/1998/namespace"/>
    <ds:schemaRef ds:uri="http://purl.org/dc/terms/"/>
  </ds:schemaRefs>
</ds:datastoreItem>
</file>

<file path=customXml/itemProps5.xml><?xml version="1.0" encoding="utf-8"?>
<ds:datastoreItem xmlns:ds="http://schemas.openxmlformats.org/officeDocument/2006/customXml" ds:itemID="{910DB350-FC8B-4433-8EFB-33E9A67FD2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2474</Words>
  <Characters>14106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Erika Edwards</cp:lastModifiedBy>
  <cp:revision>4</cp:revision>
  <dcterms:created xsi:type="dcterms:W3CDTF">2020-07-17T14:40:00Z</dcterms:created>
  <dcterms:modified xsi:type="dcterms:W3CDTF">2020-07-17T18:07:00Z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