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rsidR="00797624" w:rsidRDefault="00797624" w:rsidP="00105D8B">
      <w:pPr>
        <w:contextualSpacing/>
        <w:rPr>
          <w:rFonts w:cstheme="minorHAnsi"/>
          <w:b/>
          <w:noProof/>
        </w:rPr>
      </w:pPr>
    </w:p>
    <w:p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2851AF">
            <w:rPr>
              <w:rStyle w:val="Style1"/>
            </w:rPr>
            <w:t>0533</w:t>
          </w:r>
        </w:sdtContent>
      </w:sdt>
    </w:p>
    <w:p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4E656C">
            <w:rPr>
              <w:rStyle w:val="Style1"/>
              <w:rFonts w:cstheme="minorHAnsi"/>
            </w:rPr>
            <w:t>Postoperative Respiratory Failure Rate</w:t>
          </w:r>
        </w:sdtContent>
      </w:sdt>
    </w:p>
    <w:p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5-01-14T00:00:00Z">
            <w:dateFormat w:val="M/d/yyyy"/>
            <w:lid w:val="en-US"/>
            <w:storeMappedDataAs w:val="dateTime"/>
            <w:calendar w:val="gregorian"/>
          </w:date>
        </w:sdtPr>
        <w:sdtEndPr>
          <w:rPr>
            <w:rStyle w:val="DefaultParagraphFont"/>
            <w:noProof/>
            <w:color w:val="auto"/>
            <w:u w:val="none"/>
          </w:rPr>
        </w:sdtEndPr>
        <w:sdtContent>
          <w:r w:rsidR="004E656C">
            <w:rPr>
              <w:rStyle w:val="Style2"/>
              <w:rFonts w:cstheme="minorHAnsi"/>
            </w:rPr>
            <w:t>1/14/2015</w:t>
          </w:r>
        </w:sdtContent>
      </w:sdt>
    </w:p>
    <w:p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rsidTr="000B3880">
        <w:trPr>
          <w:jc w:val="center"/>
        </w:trPr>
        <w:tc>
          <w:tcPr>
            <w:tcW w:w="2547" w:type="pct"/>
          </w:tcPr>
          <w:p w:rsidR="00CD364B" w:rsidRPr="00B82A57" w:rsidRDefault="00164633"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rsidR="00CD364B" w:rsidRPr="00B82A57" w:rsidRDefault="00164633"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4E656C">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4E656C">
              <w:rPr>
                <w:rFonts w:cstheme="minorHAnsi"/>
                <w:bCs/>
                <w:highlight w:val="yellow"/>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rsidTr="000B3880">
        <w:trPr>
          <w:jc w:val="center"/>
        </w:trPr>
        <w:tc>
          <w:tcPr>
            <w:tcW w:w="2547" w:type="pct"/>
          </w:tcPr>
          <w:p w:rsidR="00CD364B" w:rsidRPr="00B82A57" w:rsidRDefault="00164633"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rsidR="00CD364B" w:rsidRPr="00B82A57" w:rsidRDefault="00164633"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rsidTr="000B3880">
        <w:trPr>
          <w:jc w:val="center"/>
        </w:trPr>
        <w:tc>
          <w:tcPr>
            <w:tcW w:w="2547" w:type="pct"/>
          </w:tcPr>
          <w:p w:rsidR="00CD364B" w:rsidRPr="00B82A57" w:rsidRDefault="00164633"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rsidR="00CD364B" w:rsidRPr="00B82A57" w:rsidRDefault="00164633"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rsidTr="00145149">
        <w:trPr>
          <w:jc w:val="center"/>
        </w:trPr>
        <w:tc>
          <w:tcPr>
            <w:tcW w:w="9576" w:type="dxa"/>
          </w:tcPr>
          <w:p w:rsidR="00B53E8B" w:rsidRPr="00B53E8B" w:rsidRDefault="00B53E8B" w:rsidP="00B53E8B">
            <w:pPr>
              <w:rPr>
                <w:rFonts w:cstheme="minorHAnsi"/>
                <w:b/>
                <w:noProof/>
              </w:rPr>
            </w:pPr>
            <w:r w:rsidRPr="00B53E8B">
              <w:rPr>
                <w:rFonts w:cstheme="minorHAnsi"/>
                <w:b/>
                <w:noProof/>
              </w:rPr>
              <w:t>Instructions</w:t>
            </w:r>
          </w:p>
          <w:p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rsidR="00904E91"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tc>
      </w:tr>
    </w:tbl>
    <w:p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rsidTr="00145149">
        <w:trPr>
          <w:jc w:val="center"/>
        </w:trPr>
        <w:tc>
          <w:tcPr>
            <w:tcW w:w="9576" w:type="dxa"/>
          </w:tcPr>
          <w:p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rsidR="00B53E8B" w:rsidRPr="00A831B4" w:rsidRDefault="00B53E8B" w:rsidP="00702C73">
            <w:pPr>
              <w:rPr>
                <w:rFonts w:cstheme="minorHAnsi"/>
                <w:b/>
                <w:bCs/>
                <w:sz w:val="20"/>
                <w:szCs w:val="20"/>
              </w:rPr>
            </w:pPr>
          </w:p>
          <w:p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rsidR="00145149" w:rsidRPr="000F034A" w:rsidRDefault="00145149" w:rsidP="00145149">
            <w:pPr>
              <w:autoSpaceDE w:val="0"/>
              <w:autoSpaceDN w:val="0"/>
              <w:adjustRightInd w:val="0"/>
              <w:rPr>
                <w:rFonts w:cstheme="minorHAnsi"/>
                <w:b/>
                <w:iCs/>
              </w:rPr>
            </w:pPr>
          </w:p>
          <w:p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rsidR="00145149" w:rsidRPr="000F034A" w:rsidRDefault="00145149" w:rsidP="00145149">
            <w:pPr>
              <w:rPr>
                <w:rFonts w:cstheme="minorHAnsi"/>
              </w:rPr>
            </w:pPr>
            <w:bookmarkStart w:id="0" w:name="_Toc256067249"/>
          </w:p>
          <w:p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rsidR="00145149" w:rsidRPr="000F034A" w:rsidRDefault="00145149" w:rsidP="00145149">
            <w:pPr>
              <w:rPr>
                <w:rFonts w:cstheme="minorHAnsi"/>
                <w:b/>
              </w:rPr>
            </w:pPr>
            <w:r w:rsidRPr="000F034A">
              <w:rPr>
                <w:rFonts w:cstheme="minorHAnsi"/>
                <w:b/>
              </w:rPr>
              <w:t xml:space="preserve">AND </w:t>
            </w:r>
          </w:p>
          <w:p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rsidR="00145149" w:rsidRPr="000F034A" w:rsidRDefault="00145149" w:rsidP="00145149">
            <w:pPr>
              <w:rPr>
                <w:rFonts w:cstheme="minorHAnsi"/>
                <w:b/>
                <w:bCs/>
              </w:rPr>
            </w:pPr>
          </w:p>
          <w:p w:rsidR="00145149" w:rsidRPr="000F034A" w:rsidRDefault="00145149" w:rsidP="00145149">
            <w:pPr>
              <w:rPr>
                <w:rFonts w:cstheme="minorHAnsi"/>
              </w:rPr>
            </w:pPr>
            <w:bookmarkStart w:id="1" w:name="_Toc256067250"/>
            <w:r w:rsidRPr="000F034A">
              <w:rPr>
                <w:rFonts w:cstheme="minorHAnsi"/>
                <w:b/>
                <w:bCs/>
              </w:rPr>
              <w:lastRenderedPageBreak/>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rsidR="00145149" w:rsidRPr="000F034A" w:rsidRDefault="00145149" w:rsidP="00145149">
            <w:pPr>
              <w:rPr>
                <w:rFonts w:cstheme="minorHAnsi"/>
                <w:b/>
              </w:rPr>
            </w:pPr>
            <w:r w:rsidRPr="000F034A">
              <w:rPr>
                <w:rFonts w:cstheme="minorHAnsi"/>
                <w:b/>
              </w:rPr>
              <w:t>OR</w:t>
            </w:r>
          </w:p>
          <w:p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rsidR="00145149" w:rsidRPr="000F034A" w:rsidRDefault="00145149" w:rsidP="00145149">
            <w:pPr>
              <w:rPr>
                <w:rFonts w:cstheme="minorHAnsi"/>
                <w:b/>
                <w:bCs/>
              </w:rPr>
            </w:pPr>
          </w:p>
          <w:bookmarkEnd w:id="1"/>
          <w:p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rsidR="00145149" w:rsidRPr="000F034A" w:rsidRDefault="00145149" w:rsidP="00145149">
            <w:pPr>
              <w:rPr>
                <w:rFonts w:cstheme="minorHAnsi"/>
              </w:rPr>
            </w:pPr>
            <w:r w:rsidRPr="000F034A">
              <w:rPr>
                <w:rFonts w:cstheme="minorHAnsi"/>
                <w:b/>
              </w:rPr>
              <w:t>OR</w:t>
            </w:r>
          </w:p>
          <w:p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rsidR="00145149" w:rsidRPr="000F034A" w:rsidRDefault="00145149" w:rsidP="00145149">
            <w:pPr>
              <w:rPr>
                <w:rFonts w:cstheme="minorHAnsi"/>
                <w:b/>
                <w:bCs/>
              </w:rPr>
            </w:pPr>
          </w:p>
          <w:p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rsidR="00E30584" w:rsidRPr="000F034A" w:rsidRDefault="00E30584" w:rsidP="00145149">
            <w:pPr>
              <w:rPr>
                <w:rFonts w:cstheme="minorHAnsi"/>
              </w:rPr>
            </w:pPr>
          </w:p>
          <w:p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proofErr w:type="spellStart"/>
            <w:r w:rsidRPr="000F034A">
              <w:rPr>
                <w:rFonts w:ascii="Calibri" w:eastAsia="Calibri" w:hAnsi="Calibri" w:cs="Calibri"/>
                <w:b/>
              </w:rPr>
              <w:t>eMeasures</w:t>
            </w:r>
            <w:proofErr w:type="spellEnd"/>
            <w:r w:rsidRPr="000F034A">
              <w:rPr>
                <w:rFonts w:ascii="Calibri" w:eastAsia="Calibri" w:hAnsi="Calibri" w:cs="Calibri"/>
                <w:b/>
              </w:rPr>
              <w:t>,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 xml:space="preserve">analyses identify the extent and distribution of missing data (or nonresponse) and demonstrate that performance results are not biased due to systematic missing data (or differences between responders and </w:t>
            </w:r>
            <w:proofErr w:type="spellStart"/>
            <w:r w:rsidRPr="000F034A">
              <w:rPr>
                <w:rFonts w:ascii="Calibri" w:eastAsia="Calibri" w:hAnsi="Calibri" w:cs="Calibri"/>
              </w:rPr>
              <w:t>nonresponders</w:t>
            </w:r>
            <w:proofErr w:type="spellEnd"/>
            <w:r w:rsidRPr="000F034A">
              <w:rPr>
                <w:rFonts w:ascii="Calibri" w:eastAsia="Calibri" w:hAnsi="Calibri" w:cs="Calibri"/>
              </w:rPr>
              <w:t>) and how the specified handling of missing data minimizes bias.</w:t>
            </w:r>
          </w:p>
          <w:bookmarkEnd w:id="0"/>
          <w:p w:rsidR="00145149" w:rsidRPr="00A831B4" w:rsidRDefault="00145149" w:rsidP="00145149">
            <w:pPr>
              <w:rPr>
                <w:rFonts w:cstheme="minorHAnsi"/>
                <w:b/>
                <w:bCs/>
                <w:sz w:val="20"/>
                <w:szCs w:val="20"/>
              </w:rPr>
            </w:pPr>
          </w:p>
          <w:p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w:t>
            </w:r>
            <w:proofErr w:type="gramStart"/>
            <w:r w:rsidRPr="00A831B4">
              <w:rPr>
                <w:rFonts w:asciiTheme="minorHAnsi" w:hAnsiTheme="minorHAnsi" w:cstheme="minorHAnsi"/>
              </w:rPr>
              <w:t>an exclusion</w:t>
            </w:r>
            <w:proofErr w:type="gramEnd"/>
            <w:r w:rsidRPr="00A831B4">
              <w:rPr>
                <w:rFonts w:asciiTheme="minorHAnsi" w:hAnsiTheme="minorHAnsi" w:cstheme="minorHAnsi"/>
              </w:rPr>
              <w:t xml:space="preserve"> distorts measure results include, but are not limited to: frequency of occurrence, variability of exclusions across providers, and sensitivity analyses with and without the exclusion.  </w:t>
            </w:r>
          </w:p>
          <w:p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rsidR="00145149" w:rsidRPr="00A831B4" w:rsidRDefault="00145149" w:rsidP="00145149">
            <w:pPr>
              <w:pStyle w:val="FootnoteText"/>
              <w:rPr>
                <w:rFonts w:asciiTheme="minorHAnsi" w:hAnsiTheme="minorHAnsi" w:cstheme="minorHAnsi"/>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p>
          <w:p w:rsidR="00145149" w:rsidRPr="00A831B4" w:rsidRDefault="00145149" w:rsidP="00145149">
            <w:pPr>
              <w:rPr>
                <w:rFonts w:cstheme="minorHAnsi"/>
                <w:b/>
                <w:bCs/>
                <w:sz w:val="20"/>
                <w:szCs w:val="20"/>
              </w:rPr>
            </w:pPr>
            <w:bookmarkStart w:id="9" w:name="Note15"/>
            <w:bookmarkEnd w:id="9"/>
            <w:r w:rsidRPr="00A831B4">
              <w:rPr>
                <w:rFonts w:cstheme="minorHAnsi"/>
                <w:b/>
                <w:sz w:val="20"/>
                <w:szCs w:val="20"/>
              </w:rPr>
              <w:t>15.</w:t>
            </w:r>
            <w:r w:rsidRPr="00A831B4">
              <w:rPr>
                <w:rFonts w:cstheme="minorHAnsi"/>
                <w:sz w:val="20"/>
                <w:szCs w:val="20"/>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rsidR="00145149" w:rsidRPr="00A831B4" w:rsidRDefault="00145149" w:rsidP="00145149">
            <w:pPr>
              <w:rPr>
                <w:rFonts w:cstheme="minorHAnsi"/>
                <w:noProof/>
                <w:sz w:val="20"/>
                <w:szCs w:val="20"/>
              </w:rPr>
            </w:pPr>
            <w:bookmarkStart w:id="10" w:name="Note16"/>
            <w:bookmarkEnd w:id="10"/>
            <w:r w:rsidRPr="00A831B4">
              <w:rPr>
                <w:rFonts w:cstheme="minorHAnsi"/>
                <w:b/>
                <w:sz w:val="20"/>
                <w:szCs w:val="20"/>
              </w:rPr>
              <w:t>16.</w:t>
            </w:r>
            <w:r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rsidR="00BC0D25" w:rsidRDefault="00BC0D25" w:rsidP="00702C73">
      <w:pPr>
        <w:spacing w:after="0" w:line="240" w:lineRule="auto"/>
        <w:rPr>
          <w:rFonts w:cstheme="minorHAnsi"/>
          <w:noProof/>
        </w:rPr>
      </w:pPr>
    </w:p>
    <w:p w:rsidR="00702C73" w:rsidRPr="00702C73" w:rsidRDefault="00702C73" w:rsidP="00702C73">
      <w:pPr>
        <w:spacing w:after="0" w:line="240" w:lineRule="auto"/>
        <w:rPr>
          <w:rFonts w:cstheme="minorHAnsi"/>
          <w:noProof/>
        </w:rPr>
      </w:pPr>
    </w:p>
    <w:p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rsidR="000574AB" w:rsidRPr="00A25024" w:rsidRDefault="000574AB" w:rsidP="008A403A">
      <w:pPr>
        <w:spacing w:after="0" w:line="240" w:lineRule="auto"/>
        <w:rPr>
          <w:rFonts w:cstheme="minorHAnsi"/>
          <w:noProof/>
        </w:rPr>
      </w:pPr>
    </w:p>
    <w:p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rsidTr="0014773C">
        <w:trPr>
          <w:jc w:val="center"/>
        </w:trPr>
        <w:tc>
          <w:tcPr>
            <w:tcW w:w="5208" w:type="dxa"/>
            <w:shd w:val="clear" w:color="auto" w:fill="D9D9D9" w:themeFill="background1" w:themeFillShade="D9"/>
          </w:tcPr>
          <w:p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rsidTr="0014773C">
        <w:trPr>
          <w:jc w:val="center"/>
        </w:trPr>
        <w:tc>
          <w:tcPr>
            <w:tcW w:w="5208" w:type="dxa"/>
          </w:tcPr>
          <w:p w:rsidR="00A01494" w:rsidRPr="00A01494" w:rsidRDefault="00164633"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rsidR="00A01494" w:rsidRPr="00A01494" w:rsidRDefault="00164633"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rsidTr="0014773C">
        <w:trPr>
          <w:jc w:val="center"/>
        </w:trPr>
        <w:tc>
          <w:tcPr>
            <w:tcW w:w="5208" w:type="dxa"/>
          </w:tcPr>
          <w:p w:rsidR="00A01494" w:rsidRPr="00A01494" w:rsidRDefault="00164633" w:rsidP="00DB3627">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4E656C">
                  <w:rPr>
                    <w:rFonts w:ascii="MS Gothic" w:eastAsia="MS Gothic" w:hAnsi="MS Gothic" w:cstheme="minorHAnsi" w:hint="eastAsia"/>
                    <w:bCs/>
                    <w:color w:val="0000FF"/>
                  </w:rPr>
                  <w:t>☒</w:t>
                </w:r>
              </w:sdtContent>
            </w:sdt>
            <w:r w:rsidR="00B82A57">
              <w:rPr>
                <w:rFonts w:cstheme="minorHAnsi"/>
                <w:bCs/>
              </w:rPr>
              <w:t xml:space="preserve"> </w:t>
            </w:r>
            <w:r w:rsidR="00A01494" w:rsidRPr="004E656C">
              <w:rPr>
                <w:rFonts w:eastAsia="MS Gothic" w:cstheme="minorHAnsi"/>
                <w:bCs/>
                <w:highlight w:val="yellow"/>
              </w:rPr>
              <w:t xml:space="preserve">administrative </w:t>
            </w:r>
            <w:r w:rsidR="00A01494" w:rsidRPr="004E656C">
              <w:rPr>
                <w:rFonts w:cstheme="minorHAnsi"/>
                <w:bCs/>
                <w:highlight w:val="yellow"/>
              </w:rPr>
              <w:t>claims</w:t>
            </w:r>
          </w:p>
        </w:tc>
        <w:tc>
          <w:tcPr>
            <w:tcW w:w="4847" w:type="dxa"/>
          </w:tcPr>
          <w:p w:rsidR="00A01494" w:rsidRPr="00A01494" w:rsidRDefault="00164633" w:rsidP="00DB3627">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4E656C">
                  <w:rPr>
                    <w:rFonts w:ascii="MS Gothic" w:eastAsia="MS Gothic" w:hAnsi="MS Gothic" w:cstheme="minorHAnsi" w:hint="eastAsia"/>
                    <w:bCs/>
                    <w:color w:val="0000FF"/>
                  </w:rPr>
                  <w:t>☒</w:t>
                </w:r>
              </w:sdtContent>
            </w:sdt>
            <w:r w:rsidR="00B82A57">
              <w:rPr>
                <w:rFonts w:cstheme="minorHAnsi"/>
                <w:bCs/>
              </w:rPr>
              <w:t xml:space="preserve"> </w:t>
            </w:r>
            <w:r w:rsidR="00A01494" w:rsidRPr="004E656C">
              <w:rPr>
                <w:rFonts w:eastAsia="MS Gothic" w:cstheme="minorHAnsi"/>
                <w:bCs/>
                <w:highlight w:val="yellow"/>
              </w:rPr>
              <w:t xml:space="preserve">administrative </w:t>
            </w:r>
            <w:r w:rsidR="00A01494" w:rsidRPr="004E656C">
              <w:rPr>
                <w:rFonts w:cstheme="minorHAnsi"/>
                <w:bCs/>
                <w:highlight w:val="yellow"/>
              </w:rPr>
              <w:t>claims</w:t>
            </w:r>
          </w:p>
        </w:tc>
      </w:tr>
      <w:tr w:rsidR="00A01494" w:rsidRPr="00A01494" w:rsidTr="0014773C">
        <w:trPr>
          <w:jc w:val="center"/>
        </w:trPr>
        <w:tc>
          <w:tcPr>
            <w:tcW w:w="5208" w:type="dxa"/>
          </w:tcPr>
          <w:p w:rsidR="00A01494" w:rsidRPr="00A01494" w:rsidRDefault="00164633"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rsidR="00A01494" w:rsidRPr="00A01494" w:rsidRDefault="00164633"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rsidTr="0014773C">
        <w:trPr>
          <w:jc w:val="center"/>
        </w:trPr>
        <w:tc>
          <w:tcPr>
            <w:tcW w:w="5208" w:type="dxa"/>
          </w:tcPr>
          <w:p w:rsidR="00A01494" w:rsidRPr="00A01494" w:rsidRDefault="00164633"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rsidR="00A01494" w:rsidRPr="00A01494" w:rsidRDefault="00164633"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rsidTr="0014773C">
        <w:trPr>
          <w:jc w:val="center"/>
        </w:trPr>
        <w:tc>
          <w:tcPr>
            <w:tcW w:w="5208" w:type="dxa"/>
          </w:tcPr>
          <w:p w:rsidR="00A01494" w:rsidRPr="00A01494" w:rsidRDefault="00164633"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rsidR="00A01494" w:rsidRPr="00A01494" w:rsidRDefault="00164633"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rsidTr="0014773C">
        <w:trPr>
          <w:jc w:val="center"/>
        </w:trPr>
        <w:tc>
          <w:tcPr>
            <w:tcW w:w="5208" w:type="dxa"/>
          </w:tcPr>
          <w:p w:rsidR="00A01494" w:rsidRPr="00A01494" w:rsidRDefault="00164633"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rsidR="00A01494" w:rsidRPr="00A01494" w:rsidRDefault="00164633"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rsidR="00021170" w:rsidRPr="00A01494" w:rsidRDefault="002B5016" w:rsidP="00DB3627">
      <w:pPr>
        <w:autoSpaceDE w:val="0"/>
        <w:autoSpaceDN w:val="0"/>
        <w:adjustRightInd w:val="0"/>
        <w:spacing w:after="0" w:line="240" w:lineRule="auto"/>
        <w:rPr>
          <w:rFonts w:cstheme="minorHAnsi"/>
          <w:b/>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sdt>
      <w:sdtPr>
        <w:rPr>
          <w:rFonts w:asciiTheme="minorHAnsi" w:hAnsiTheme="minorHAnsi" w:cstheme="minorHAnsi"/>
          <w:color w:val="0000FF"/>
          <w:sz w:val="22"/>
          <w:szCs w:val="22"/>
        </w:rPr>
        <w:id w:val="1384294083"/>
      </w:sdtPr>
      <w:sdtEndPr/>
      <w:sdtContent>
        <w:sdt>
          <w:sdtPr>
            <w:rPr>
              <w:rFonts w:asciiTheme="minorHAnsi" w:hAnsiTheme="minorHAnsi" w:cstheme="minorHAnsi"/>
              <w:color w:val="0000FF"/>
              <w:sz w:val="20"/>
              <w:szCs w:val="20"/>
            </w:rPr>
            <w:id w:val="-1610427572"/>
          </w:sdtPr>
          <w:sdtEndPr>
            <w:rPr>
              <w:sz w:val="22"/>
              <w:szCs w:val="22"/>
            </w:rPr>
          </w:sdtEndPr>
          <w:sdtContent>
            <w:p w:rsidR="00ED36D2" w:rsidRPr="00DB31EF" w:rsidRDefault="00ED36D2" w:rsidP="00ED36D2">
              <w:pPr>
                <w:pStyle w:val="Default"/>
                <w:rPr>
                  <w:rFonts w:ascii="Calibri" w:hAnsi="Calibri"/>
                  <w:color w:val="0000FF"/>
                  <w:sz w:val="22"/>
                  <w:szCs w:val="22"/>
                </w:rPr>
              </w:pPr>
              <w:r w:rsidRPr="00AF279A">
                <w:rPr>
                  <w:rFonts w:ascii="Calibri" w:hAnsi="Calibri"/>
                  <w:color w:val="0000FF"/>
                  <w:sz w:val="22"/>
                  <w:szCs w:val="22"/>
                </w:rPr>
                <w:t>All analyses were completed using data from the Healthcare Cost and Utilization Project (HCUP) State Inpatient Databases (SID), 2008-2012. HCUP is a family of health care databases and related software tools and products developed through a Federal-State-Industry partnership and sponsored by the Agency for Healthcare Research and Quality (AHRQ).</w:t>
              </w:r>
              <w:r w:rsidRPr="00AF279A">
                <w:rPr>
                  <w:rFonts w:ascii="Calibri" w:hAnsi="Calibri"/>
                  <w:color w:val="0000FF"/>
                  <w:sz w:val="22"/>
                  <w:szCs w:val="22"/>
                  <w:vertAlign w:val="superscript"/>
                </w:rPr>
                <w:t>1</w:t>
              </w:r>
              <w:r w:rsidRPr="00AF279A">
                <w:rPr>
                  <w:rFonts w:ascii="Calibri" w:hAnsi="Calibri"/>
                  <w:color w:val="0000FF"/>
                  <w:sz w:val="22"/>
                  <w:szCs w:val="22"/>
                </w:rPr>
                <w:t xml:space="preserve"> HCUP databases bring together the data collection efforts of State data organizations, hospital associations, private data organizations, and the Federal government to create a national information resource of encounter-level health care data. The HCUP SID contain the universe of the inpatient discharge abstracts in participating States, translated into a uniform format to facilitate multi-State comparisons and analyses. All states provide data for community hospitals and together, the SID </w:t>
              </w:r>
              <w:proofErr w:type="gramStart"/>
              <w:r w:rsidRPr="00AF279A">
                <w:rPr>
                  <w:rFonts w:ascii="Calibri" w:hAnsi="Calibri"/>
                  <w:color w:val="0000FF"/>
                  <w:sz w:val="22"/>
                  <w:szCs w:val="22"/>
                </w:rPr>
                <w:t>encompass</w:t>
              </w:r>
              <w:proofErr w:type="gramEnd"/>
              <w:r w:rsidRPr="00AF279A">
                <w:rPr>
                  <w:rFonts w:ascii="Calibri" w:hAnsi="Calibri"/>
                  <w:color w:val="0000FF"/>
                  <w:sz w:val="22"/>
                  <w:szCs w:val="22"/>
                </w:rPr>
                <w:t xml:space="preserve"> about 97 percent of all U.S. community hospital discharges. For the analyses presented here, we use 36 of the 45 states that participated in 2012</w:t>
              </w:r>
              <w:r w:rsidR="0028189D">
                <w:rPr>
                  <w:rFonts w:ascii="Calibri" w:hAnsi="Calibri"/>
                  <w:color w:val="0000FF"/>
                  <w:sz w:val="22"/>
                  <w:szCs w:val="22"/>
                </w:rPr>
                <w:t>, and 82 percent of the U.S. community hospital discharges</w:t>
              </w:r>
              <w:r w:rsidRPr="00AF279A">
                <w:rPr>
                  <w:rFonts w:ascii="Calibri" w:hAnsi="Calibri"/>
                  <w:color w:val="0000FF"/>
                  <w:sz w:val="22"/>
                  <w:szCs w:val="22"/>
                </w:rPr>
                <w:t xml:space="preserve">, for a total of about 30 million hospital discharges from community hospitals). As defined by the American Hospital Association, community hospitals are all non-Federal, short-term, general or other specialty hospitals, excluding hospital units of institutions. Included among community hospitals are public and academic medical centers, specialty hospitals such as obstetrics–gynecology, ear–nose–throat, orthopedic and pediatric institutions. Short-stay rehabilitation, long-term acute care hospitals are excluded from the </w:t>
              </w:r>
              <w:r w:rsidRPr="00DB31EF">
                <w:rPr>
                  <w:rFonts w:ascii="Calibri" w:hAnsi="Calibri"/>
                  <w:color w:val="0000FF"/>
                  <w:sz w:val="22"/>
                  <w:szCs w:val="22"/>
                </w:rPr>
                <w:t xml:space="preserve">data used for the reported analyses. </w:t>
              </w:r>
            </w:p>
            <w:p w:rsidR="00ED36D2" w:rsidRPr="00DB31EF" w:rsidRDefault="00ED36D2" w:rsidP="00ED36D2">
              <w:pPr>
                <w:pStyle w:val="Default"/>
                <w:rPr>
                  <w:rFonts w:ascii="Calibri" w:hAnsi="Calibri"/>
                  <w:color w:val="0000FF"/>
                  <w:sz w:val="22"/>
                  <w:szCs w:val="22"/>
                </w:rPr>
              </w:pPr>
            </w:p>
            <w:p w:rsidR="00ED36D2" w:rsidRPr="00DB31EF" w:rsidRDefault="0028189D" w:rsidP="00ED36D2">
              <w:pPr>
                <w:rPr>
                  <w:rFonts w:ascii="Calibri" w:hAnsi="Calibri"/>
                  <w:color w:val="0000FF"/>
                </w:rPr>
              </w:pPr>
              <w:r>
                <w:rPr>
                  <w:rFonts w:ascii="Calibri" w:hAnsi="Calibri"/>
                  <w:color w:val="0000FF"/>
                </w:rPr>
                <w:t>Each of the 36 states included in the dataset</w:t>
              </w:r>
              <w:r w:rsidR="00ED36D2" w:rsidRPr="00DB31EF">
                <w:rPr>
                  <w:rFonts w:ascii="Calibri" w:hAnsi="Calibri"/>
                  <w:color w:val="0000FF"/>
                </w:rPr>
                <w:t xml:space="preserve"> report information about whether a diagnosis was present on admission (POA) and information on the timing of procedures during the hospitalization. POA data</w:t>
              </w:r>
              <w:r w:rsidR="00ED36D2" w:rsidRPr="00DB31EF">
                <w:rPr>
                  <w:rStyle w:val="FootnoteReference"/>
                  <w:rFonts w:ascii="Calibri" w:hAnsi="Calibri"/>
                  <w:color w:val="0000FF"/>
                </w:rPr>
                <w:footnoteReference w:id="1"/>
              </w:r>
              <w:r w:rsidR="00ED36D2" w:rsidRPr="00DB31EF">
                <w:rPr>
                  <w:rFonts w:ascii="Calibri" w:hAnsi="Calibri"/>
                  <w:color w:val="0000FF"/>
                </w:rPr>
                <w:t xml:space="preserve"> is important to </w:t>
              </w:r>
              <w:r w:rsidR="00ED36D2" w:rsidRPr="00DB31EF">
                <w:rPr>
                  <w:color w:val="0000FF"/>
                </w:rPr>
                <w:t xml:space="preserve">distinguish complications that </w:t>
              </w:r>
              <w:proofErr w:type="gramStart"/>
              <w:r w:rsidR="00ED36D2" w:rsidRPr="00DB31EF">
                <w:rPr>
                  <w:color w:val="0000FF"/>
                </w:rPr>
                <w:t>occur</w:t>
              </w:r>
              <w:proofErr w:type="gramEnd"/>
              <w:r w:rsidR="00ED36D2" w:rsidRPr="00DB31EF">
                <w:rPr>
                  <w:color w:val="0000FF"/>
                </w:rPr>
                <w:t xml:space="preserve"> in-hospital from diagnoses that existed prior to </w:t>
              </w:r>
              <w:r w:rsidR="00ED36D2" w:rsidRPr="00DB31EF">
                <w:rPr>
                  <w:color w:val="0000FF"/>
                </w:rPr>
                <w:lastRenderedPageBreak/>
                <w:t xml:space="preserve">hospitalization. For all PSIs, the POA flag is used to exclude cases from the numerator when the condition of interest is present on admission and to exclude complications that </w:t>
              </w:r>
              <w:proofErr w:type="gramStart"/>
              <w:r w:rsidR="00ED36D2" w:rsidRPr="00DB31EF">
                <w:rPr>
                  <w:color w:val="0000FF"/>
                </w:rPr>
                <w:t>occur</w:t>
              </w:r>
              <w:proofErr w:type="gramEnd"/>
              <w:r w:rsidR="00ED36D2" w:rsidRPr="00DB31EF">
                <w:rPr>
                  <w:color w:val="0000FF"/>
                </w:rPr>
                <w:t xml:space="preserve"> in-hospital from risk adjustment. </w:t>
              </w:r>
              <w:r w:rsidR="00ED36D2" w:rsidRPr="00DB31EF">
                <w:rPr>
                  <w:rFonts w:ascii="Calibri" w:hAnsi="Calibri"/>
                  <w:color w:val="0000FF"/>
                </w:rPr>
                <w:t xml:space="preserve">Edit checks on POA were developed </w:t>
              </w:r>
              <w:r w:rsidR="00EF336A">
                <w:rPr>
                  <w:rFonts w:ascii="Calibri" w:hAnsi="Calibri"/>
                  <w:color w:val="0000FF"/>
                </w:rPr>
                <w:t>using a separate analysis of HCUP databases</w:t>
              </w:r>
              <w:r w:rsidR="00ED36D2" w:rsidRPr="00DB31EF">
                <w:rPr>
                  <w:rFonts w:ascii="Calibri" w:hAnsi="Calibri"/>
                  <w:color w:val="0000FF"/>
                </w:rPr>
                <w:t xml:space="preserve"> that examined POA coding in the 2011 SID at hospitals that were required to report POA to CMS.  The edits identify general patterns of suspect reporting of POA.  The edits do not evaluate whether a valid POA value (e.g., Y or N) is appropriate for the specific diagnosis.  There are three hospital-level edit checks:</w:t>
              </w:r>
            </w:p>
            <w:p w:rsidR="00ED36D2" w:rsidRPr="00DB31EF" w:rsidRDefault="00ED36D2" w:rsidP="00ED36D2">
              <w:pPr>
                <w:pStyle w:val="ListParagraph"/>
                <w:numPr>
                  <w:ilvl w:val="0"/>
                  <w:numId w:val="30"/>
                </w:numPr>
                <w:spacing w:before="120" w:after="120"/>
                <w:contextualSpacing w:val="0"/>
                <w:rPr>
                  <w:rFonts w:ascii="Calibri" w:hAnsi="Calibri"/>
                  <w:color w:val="0000FF"/>
                </w:rPr>
              </w:pPr>
              <w:r w:rsidRPr="00DB31EF">
                <w:rPr>
                  <w:rFonts w:ascii="Calibri" w:hAnsi="Calibri"/>
                  <w:color w:val="0000FF"/>
                </w:rPr>
                <w:t xml:space="preserve">Indication that a hospital has POA reported as Y on all diagnoses on all discharges </w:t>
              </w:r>
            </w:p>
            <w:p w:rsidR="00ED36D2" w:rsidRPr="00DB31EF" w:rsidRDefault="00ED36D2" w:rsidP="00ED36D2">
              <w:pPr>
                <w:pStyle w:val="ListParagraph"/>
                <w:numPr>
                  <w:ilvl w:val="0"/>
                  <w:numId w:val="30"/>
                </w:numPr>
                <w:spacing w:before="120" w:after="120"/>
                <w:contextualSpacing w:val="0"/>
                <w:rPr>
                  <w:rFonts w:ascii="Calibri" w:hAnsi="Calibri"/>
                  <w:color w:val="0000FF"/>
                </w:rPr>
              </w:pPr>
              <w:r w:rsidRPr="00DB31EF">
                <w:rPr>
                  <w:rFonts w:ascii="Calibri" w:hAnsi="Calibri"/>
                  <w:color w:val="0000FF"/>
                </w:rPr>
                <w:t xml:space="preserve">Indication that a hospital has POA reported as missing on all non-Medicare discharges </w:t>
              </w:r>
            </w:p>
            <w:p w:rsidR="00ED36D2" w:rsidRPr="00DB31EF" w:rsidRDefault="00ED36D2" w:rsidP="00ED36D2">
              <w:pPr>
                <w:pStyle w:val="ListParagraph"/>
                <w:numPr>
                  <w:ilvl w:val="0"/>
                  <w:numId w:val="30"/>
                </w:numPr>
                <w:spacing w:before="120" w:after="120"/>
                <w:contextualSpacing w:val="0"/>
                <w:rPr>
                  <w:rFonts w:ascii="Calibri" w:hAnsi="Calibri"/>
                  <w:color w:val="0000FF"/>
                </w:rPr>
              </w:pPr>
              <w:r w:rsidRPr="00DB31EF">
                <w:rPr>
                  <w:rFonts w:ascii="Calibri" w:hAnsi="Calibri"/>
                  <w:color w:val="0000FF"/>
                </w:rPr>
                <w:t xml:space="preserve">Indication that a hospital reported POA as missing on all nonexempt diagnoses for 15 percent or more of discharges.  The cut-point of 15 percent was determined by 2 times the standard deviation plus the mean of the percentage for hospitals required </w:t>
              </w:r>
              <w:proofErr w:type="gramStart"/>
              <w:r w:rsidRPr="00DB31EF">
                <w:rPr>
                  <w:rFonts w:ascii="Calibri" w:hAnsi="Calibri"/>
                  <w:color w:val="0000FF"/>
                </w:rPr>
                <w:t>to report</w:t>
              </w:r>
              <w:proofErr w:type="gramEnd"/>
              <w:r w:rsidRPr="00DB31EF">
                <w:rPr>
                  <w:rFonts w:ascii="Calibri" w:hAnsi="Calibri"/>
                  <w:color w:val="0000FF"/>
                </w:rPr>
                <w:t xml:space="preserve"> POA to CMS. </w:t>
              </w:r>
            </w:p>
            <w:p w:rsidR="00ED36D2" w:rsidRDefault="00EF336A" w:rsidP="00ED36D2">
              <w:pPr>
                <w:pStyle w:val="Default"/>
                <w:rPr>
                  <w:rFonts w:ascii="Calibri" w:hAnsi="Calibri"/>
                  <w:color w:val="0000FF"/>
                  <w:sz w:val="22"/>
                  <w:szCs w:val="22"/>
                </w:rPr>
              </w:pPr>
              <w:r>
                <w:rPr>
                  <w:rFonts w:ascii="Calibri" w:hAnsi="Calibri"/>
                  <w:color w:val="0000FF"/>
                  <w:sz w:val="22"/>
                  <w:szCs w:val="22"/>
                </w:rPr>
                <w:t xml:space="preserve">Hospitals that failed any of the edit checks were excluded from the dataset. </w:t>
              </w:r>
            </w:p>
            <w:p w:rsidR="00EF336A" w:rsidRPr="00DB31EF" w:rsidRDefault="00EF336A" w:rsidP="00ED36D2">
              <w:pPr>
                <w:pStyle w:val="Default"/>
                <w:rPr>
                  <w:rFonts w:ascii="Calibri" w:hAnsi="Calibri"/>
                  <w:color w:val="0000FF"/>
                  <w:sz w:val="22"/>
                  <w:szCs w:val="22"/>
                </w:rPr>
              </w:pPr>
            </w:p>
            <w:p w:rsidR="00ED36D2" w:rsidRPr="00DB31EF" w:rsidRDefault="00ED36D2" w:rsidP="00ED36D2">
              <w:pPr>
                <w:pStyle w:val="Default"/>
                <w:rPr>
                  <w:rFonts w:ascii="Calibri" w:hAnsi="Calibri"/>
                  <w:color w:val="0000FF"/>
                  <w:sz w:val="22"/>
                  <w:szCs w:val="22"/>
                </w:rPr>
              </w:pPr>
              <w:r w:rsidRPr="00DB31EF">
                <w:rPr>
                  <w:rFonts w:ascii="Calibri" w:hAnsi="Calibri"/>
                  <w:color w:val="0000FF"/>
                  <w:sz w:val="22"/>
                  <w:szCs w:val="22"/>
                </w:rPr>
                <w:t>The SID data elements include ICD-9-CM coded principal and secondary diagnoses and procedures, additional detailed clinical and service information based on revenue codes, admission and discharge status, patient demographics, expected payment source (Medicare, Medicaid, private insurance as well as the uninsured), total charges and length of stay (</w:t>
              </w:r>
              <w:hyperlink r:id="rId13" w:history="1">
                <w:r w:rsidRPr="00DB31EF">
                  <w:rPr>
                    <w:rStyle w:val="Hyperlink"/>
                    <w:rFonts w:ascii="Calibri" w:hAnsi="Calibri"/>
                    <w:color w:val="0000FF"/>
                    <w:sz w:val="22"/>
                    <w:szCs w:val="22"/>
                  </w:rPr>
                  <w:t>www.hcup-us.ahrq.gov</w:t>
                </w:r>
              </w:hyperlink>
              <w:r w:rsidRPr="00DB31EF">
                <w:rPr>
                  <w:rFonts w:ascii="Calibri" w:hAnsi="Calibri"/>
                  <w:color w:val="0000FF"/>
                  <w:sz w:val="22"/>
                  <w:szCs w:val="22"/>
                </w:rPr>
                <w:t xml:space="preserve">). </w:t>
              </w:r>
            </w:p>
            <w:p w:rsidR="00ED36D2" w:rsidRPr="00F60989" w:rsidRDefault="00ED36D2" w:rsidP="00ED36D2">
              <w:pPr>
                <w:pStyle w:val="Default"/>
                <w:rPr>
                  <w:rFonts w:asciiTheme="minorHAnsi" w:hAnsiTheme="minorHAnsi" w:cstheme="minorHAnsi"/>
                  <w:color w:val="0000FF"/>
                  <w:sz w:val="22"/>
                  <w:szCs w:val="22"/>
                </w:rPr>
              </w:pPr>
            </w:p>
            <w:p w:rsidR="004E656C" w:rsidRPr="00ED36D2" w:rsidRDefault="00ED36D2" w:rsidP="00BA31DA">
              <w:pPr>
                <w:pStyle w:val="Default"/>
                <w:rPr>
                  <w:rFonts w:asciiTheme="minorHAnsi" w:hAnsiTheme="minorHAnsi" w:cstheme="minorHAnsi"/>
                  <w:color w:val="auto"/>
                  <w:sz w:val="20"/>
                  <w:szCs w:val="20"/>
                  <w:highlight w:val="green"/>
                </w:rPr>
              </w:pPr>
              <w:r w:rsidRPr="00F60989">
                <w:rPr>
                  <w:rFonts w:asciiTheme="minorHAnsi" w:hAnsiTheme="minorHAnsi" w:cstheme="minorHAnsi"/>
                  <w:color w:val="0000FF"/>
                  <w:sz w:val="22"/>
                  <w:szCs w:val="22"/>
                  <w:vertAlign w:val="superscript"/>
                </w:rPr>
                <w:t>1</w:t>
              </w:r>
              <w:r w:rsidRPr="00F60989">
                <w:rPr>
                  <w:rFonts w:asciiTheme="minorHAnsi" w:hAnsiTheme="minorHAnsi" w:cstheme="minorHAnsi"/>
                  <w:color w:val="0000FF"/>
                  <w:sz w:val="22"/>
                  <w:szCs w:val="22"/>
                </w:rPr>
                <w:t xml:space="preserve">HCUP State Inpatient Databases (SID). Healthcare Cost and Utilization Project (HCUP). </w:t>
              </w:r>
              <w:proofErr w:type="gramStart"/>
              <w:r w:rsidRPr="00F60989">
                <w:rPr>
                  <w:rFonts w:asciiTheme="minorHAnsi" w:hAnsiTheme="minorHAnsi" w:cstheme="minorHAnsi"/>
                  <w:color w:val="0000FF"/>
                  <w:sz w:val="22"/>
                  <w:szCs w:val="22"/>
                </w:rPr>
                <w:t>2008-2012. Agency for Healthcare Research and Quality, Rockville, MD.</w:t>
              </w:r>
              <w:proofErr w:type="gramEnd"/>
              <w:r w:rsidRPr="00F60989">
                <w:rPr>
                  <w:rFonts w:asciiTheme="minorHAnsi" w:hAnsiTheme="minorHAnsi" w:cstheme="minorHAnsi"/>
                  <w:color w:val="0000FF"/>
                  <w:sz w:val="22"/>
                  <w:szCs w:val="22"/>
                </w:rPr>
                <w:t xml:space="preserve"> </w:t>
              </w:r>
              <w:hyperlink r:id="rId14" w:history="1">
                <w:r w:rsidRPr="00F60989">
                  <w:rPr>
                    <w:rStyle w:val="Hyperlink"/>
                    <w:rFonts w:asciiTheme="minorHAnsi" w:hAnsiTheme="minorHAnsi" w:cstheme="minorHAnsi"/>
                    <w:color w:val="0000FF"/>
                    <w:sz w:val="22"/>
                    <w:szCs w:val="22"/>
                  </w:rPr>
                  <w:t>www.hcup-us.ahrq.gov/sidoverview.jsp</w:t>
                </w:r>
              </w:hyperlink>
              <w:r w:rsidRPr="00F60989">
                <w:rPr>
                  <w:rFonts w:asciiTheme="minorHAnsi" w:hAnsiTheme="minorHAnsi" w:cstheme="minorHAnsi"/>
                  <w:color w:val="0000FF"/>
                  <w:sz w:val="22"/>
                  <w:szCs w:val="22"/>
                </w:rPr>
                <w:t xml:space="preserve">. (AHRQ QI Software Version 5.0) </w:t>
              </w:r>
            </w:p>
          </w:sdtContent>
        </w:sdt>
      </w:sdtContent>
    </w:sdt>
    <w:p w:rsidR="00C355B9" w:rsidRDefault="00C355B9" w:rsidP="00DB3627">
      <w:pPr>
        <w:autoSpaceDE w:val="0"/>
        <w:autoSpaceDN w:val="0"/>
        <w:adjustRightInd w:val="0"/>
        <w:spacing w:after="0" w:line="240" w:lineRule="auto"/>
        <w:rPr>
          <w:rFonts w:cstheme="minorHAnsi"/>
          <w:bCs/>
        </w:rPr>
      </w:pPr>
    </w:p>
    <w:p w:rsidR="009E1846" w:rsidRDefault="009E1846" w:rsidP="00DB3627">
      <w:pPr>
        <w:autoSpaceDE w:val="0"/>
        <w:autoSpaceDN w:val="0"/>
        <w:adjustRightInd w:val="0"/>
        <w:spacing w:after="0" w:line="240" w:lineRule="auto"/>
        <w:rPr>
          <w:rFonts w:cstheme="minorHAnsi"/>
          <w:b/>
        </w:rPr>
      </w:pPr>
    </w:p>
    <w:p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Fonts w:cstheme="minorHAnsi"/>
          </w:rPr>
          <w:id w:val="950514773"/>
          <w:text/>
        </w:sdtPr>
        <w:sdtEndPr>
          <w:rPr>
            <w:rStyle w:val="DefaultParagraphFont"/>
            <w:color w:val="auto"/>
          </w:rPr>
        </w:sdtEndPr>
        <w:sdtContent>
          <w:r w:rsidR="004E656C" w:rsidRPr="00AF279A">
            <w:rPr>
              <w:rStyle w:val="Style1"/>
              <w:rFonts w:cstheme="minorHAnsi"/>
            </w:rPr>
            <w:t>2008-2012</w:t>
          </w:r>
        </w:sdtContent>
      </w:sdt>
    </w:p>
    <w:p w:rsidR="000574AB" w:rsidRDefault="000574AB" w:rsidP="00DB3627">
      <w:pPr>
        <w:autoSpaceDE w:val="0"/>
        <w:autoSpaceDN w:val="0"/>
        <w:adjustRightInd w:val="0"/>
        <w:spacing w:after="0" w:line="240" w:lineRule="auto"/>
        <w:rPr>
          <w:rFonts w:cstheme="minorHAnsi"/>
          <w:bCs/>
        </w:rPr>
      </w:pPr>
    </w:p>
    <w:p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rsidTr="000414E8">
        <w:trPr>
          <w:jc w:val="center"/>
        </w:trPr>
        <w:tc>
          <w:tcPr>
            <w:tcW w:w="5027" w:type="dxa"/>
            <w:shd w:val="clear" w:color="auto" w:fill="D9D9D9" w:themeFill="background1" w:themeFillShade="D9"/>
          </w:tcPr>
          <w:p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rsidTr="000414E8">
        <w:trPr>
          <w:jc w:val="center"/>
        </w:trPr>
        <w:tc>
          <w:tcPr>
            <w:tcW w:w="5027" w:type="dxa"/>
          </w:tcPr>
          <w:p w:rsidR="000414E8" w:rsidRPr="00A01494" w:rsidRDefault="00164633"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rsidR="000414E8" w:rsidRPr="00A01494" w:rsidRDefault="00164633"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rsidTr="000414E8">
        <w:trPr>
          <w:jc w:val="center"/>
        </w:trPr>
        <w:tc>
          <w:tcPr>
            <w:tcW w:w="5027" w:type="dxa"/>
          </w:tcPr>
          <w:p w:rsidR="000414E8" w:rsidRPr="00A01494" w:rsidRDefault="00164633"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rsidR="000414E8" w:rsidRPr="00A01494" w:rsidRDefault="00164633"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rsidTr="000414E8">
        <w:trPr>
          <w:jc w:val="center"/>
        </w:trPr>
        <w:tc>
          <w:tcPr>
            <w:tcW w:w="5027" w:type="dxa"/>
          </w:tcPr>
          <w:p w:rsidR="000414E8" w:rsidRPr="00A01494" w:rsidRDefault="00164633"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4E656C">
                  <w:rPr>
                    <w:rFonts w:ascii="MS Gothic" w:eastAsia="MS Gothic" w:hAnsi="MS Gothic" w:cstheme="minorHAnsi" w:hint="eastAsia"/>
                    <w:bCs/>
                    <w:color w:val="0000FF"/>
                  </w:rPr>
                  <w:t>☒</w:t>
                </w:r>
              </w:sdtContent>
            </w:sdt>
            <w:r w:rsidR="000414E8">
              <w:rPr>
                <w:rFonts w:cstheme="minorHAnsi"/>
                <w:bCs/>
              </w:rPr>
              <w:t xml:space="preserve"> </w:t>
            </w:r>
            <w:r w:rsidR="000414E8" w:rsidRPr="004E656C">
              <w:rPr>
                <w:rFonts w:eastAsia="MS Gothic" w:cstheme="minorHAnsi"/>
                <w:bCs/>
                <w:highlight w:val="yellow"/>
              </w:rPr>
              <w:t>hospital/facility/agency</w:t>
            </w:r>
          </w:p>
        </w:tc>
        <w:tc>
          <w:tcPr>
            <w:tcW w:w="5028" w:type="dxa"/>
          </w:tcPr>
          <w:p w:rsidR="000414E8" w:rsidRPr="00A01494" w:rsidRDefault="00164633"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4E656C">
                  <w:rPr>
                    <w:rFonts w:ascii="MS Gothic" w:eastAsia="MS Gothic" w:hAnsi="MS Gothic" w:cstheme="minorHAnsi" w:hint="eastAsia"/>
                    <w:bCs/>
                    <w:color w:val="0000FF"/>
                  </w:rPr>
                  <w:t>☒</w:t>
                </w:r>
              </w:sdtContent>
            </w:sdt>
            <w:r w:rsidR="000414E8">
              <w:rPr>
                <w:rFonts w:cstheme="minorHAnsi"/>
                <w:bCs/>
              </w:rPr>
              <w:t xml:space="preserve"> </w:t>
            </w:r>
            <w:r w:rsidR="000414E8" w:rsidRPr="004E656C">
              <w:rPr>
                <w:rFonts w:eastAsia="MS Gothic" w:cstheme="minorHAnsi"/>
                <w:bCs/>
                <w:highlight w:val="yellow"/>
              </w:rPr>
              <w:t>hospital/facility/agency</w:t>
            </w:r>
          </w:p>
        </w:tc>
      </w:tr>
      <w:tr w:rsidR="000414E8" w:rsidRPr="00A01494" w:rsidTr="000414E8">
        <w:trPr>
          <w:jc w:val="center"/>
        </w:trPr>
        <w:tc>
          <w:tcPr>
            <w:tcW w:w="5027" w:type="dxa"/>
          </w:tcPr>
          <w:p w:rsidR="000414E8" w:rsidRPr="00A01494" w:rsidRDefault="00164633"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rsidR="000414E8" w:rsidRPr="00A01494" w:rsidRDefault="00164633"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rsidTr="000414E8">
        <w:trPr>
          <w:jc w:val="center"/>
        </w:trPr>
        <w:tc>
          <w:tcPr>
            <w:tcW w:w="5027" w:type="dxa"/>
          </w:tcPr>
          <w:p w:rsidR="000414E8" w:rsidRPr="00A01494" w:rsidRDefault="00164633"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rsidR="000414E8" w:rsidRPr="00A01494" w:rsidRDefault="00164633"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rsidR="000414E8" w:rsidRPr="00A25024" w:rsidRDefault="000414E8" w:rsidP="00DB3627">
      <w:pPr>
        <w:autoSpaceDE w:val="0"/>
        <w:autoSpaceDN w:val="0"/>
        <w:adjustRightInd w:val="0"/>
        <w:spacing w:after="0" w:line="240" w:lineRule="auto"/>
        <w:rPr>
          <w:rFonts w:cstheme="minorHAnsi"/>
          <w:bCs/>
        </w:rPr>
      </w:pPr>
    </w:p>
    <w:p w:rsidR="006C63BD" w:rsidRDefault="002B5016" w:rsidP="006C63BD">
      <w:pPr>
        <w:spacing w:after="0" w:line="240" w:lineRule="auto"/>
        <w:ind w:left="90"/>
        <w:contextualSpacing/>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r w:rsidR="00AF279A">
        <w:rPr>
          <w:rFonts w:cstheme="minorHAnsi"/>
          <w:bCs/>
        </w:rPr>
        <w:br/>
      </w:r>
    </w:p>
    <w:p w:rsidR="006C63BD" w:rsidRDefault="006C63BD" w:rsidP="006C63BD">
      <w:pPr>
        <w:spacing w:after="0" w:line="240" w:lineRule="auto"/>
        <w:ind w:left="90"/>
        <w:contextualSpacing/>
        <w:rPr>
          <w:rFonts w:cstheme="minorHAnsi"/>
          <w:bCs/>
        </w:rPr>
      </w:pPr>
    </w:p>
    <w:p w:rsidR="004E656C" w:rsidRPr="004E656C" w:rsidRDefault="004E656C" w:rsidP="006C63BD">
      <w:pPr>
        <w:keepNext/>
        <w:spacing w:after="0" w:line="240" w:lineRule="auto"/>
        <w:ind w:left="86"/>
        <w:contextualSpacing/>
        <w:rPr>
          <w:rFonts w:eastAsia="Trebuchet MS" w:cstheme="minorHAnsi"/>
          <w:b/>
          <w:color w:val="0000FF"/>
        </w:rPr>
      </w:pPr>
      <w:proofErr w:type="gramStart"/>
      <w:r w:rsidRPr="004E656C">
        <w:rPr>
          <w:rFonts w:cstheme="minorHAnsi"/>
          <w:b/>
          <w:color w:val="0000FF"/>
        </w:rPr>
        <w:lastRenderedPageBreak/>
        <w:t>Table 1.</w:t>
      </w:r>
      <w:proofErr w:type="gramEnd"/>
      <w:r w:rsidRPr="004E656C">
        <w:rPr>
          <w:rFonts w:cstheme="minorHAnsi"/>
          <w:b/>
          <w:color w:val="0000FF"/>
        </w:rPr>
        <w:t xml:space="preserve"> Reference Population Rate and Distribution of Hospital Performance</w:t>
      </w:r>
      <w:r w:rsidR="006C63BD">
        <w:rPr>
          <w:rFonts w:cstheme="minorHAnsi"/>
          <w:b/>
          <w:color w:val="0000FF"/>
        </w:rPr>
        <w:t xml:space="preserve"> </w:t>
      </w:r>
      <w:r w:rsidR="00AF279A">
        <w:rPr>
          <w:rFonts w:cstheme="minorHAnsi"/>
          <w:b/>
          <w:color w:val="0000FF"/>
        </w:rPr>
        <w:t>PSI 11 Postoperative Respiratory Failure Rate</w:t>
      </w:r>
    </w:p>
    <w:tbl>
      <w:tblPr>
        <w:tblStyle w:val="TableGrid"/>
        <w:tblW w:w="9360" w:type="dxa"/>
        <w:tblInd w:w="198" w:type="dxa"/>
        <w:tblLayout w:type="fixed"/>
        <w:tblLook w:val="04A0" w:firstRow="1" w:lastRow="0" w:firstColumn="1" w:lastColumn="0" w:noHBand="0" w:noVBand="1"/>
      </w:tblPr>
      <w:tblGrid>
        <w:gridCol w:w="1131"/>
        <w:gridCol w:w="1683"/>
        <w:gridCol w:w="2392"/>
        <w:gridCol w:w="2392"/>
        <w:gridCol w:w="1762"/>
      </w:tblGrid>
      <w:tr w:rsidR="004E656C" w:rsidRPr="004E656C" w:rsidTr="00A669C3">
        <w:trPr>
          <w:trHeight w:val="250"/>
        </w:trPr>
        <w:tc>
          <w:tcPr>
            <w:tcW w:w="10530"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4E656C" w:rsidRPr="004E656C" w:rsidRDefault="004E656C" w:rsidP="001F1ACA">
            <w:pPr>
              <w:autoSpaceDE w:val="0"/>
              <w:autoSpaceDN w:val="0"/>
              <w:adjustRightInd w:val="0"/>
              <w:jc w:val="center"/>
              <w:rPr>
                <w:rFonts w:cstheme="minorHAnsi"/>
                <w:b/>
                <w:bCs/>
                <w:color w:val="0000FF"/>
              </w:rPr>
            </w:pPr>
            <w:r w:rsidRPr="004E656C">
              <w:rPr>
                <w:rFonts w:cstheme="minorHAnsi"/>
                <w:b/>
                <w:bCs/>
                <w:color w:val="0000FF"/>
              </w:rPr>
              <w:t>Overall Reference Population Rate</w:t>
            </w:r>
          </w:p>
        </w:tc>
      </w:tr>
      <w:tr w:rsidR="004E656C" w:rsidRPr="004E656C" w:rsidTr="00A669C3">
        <w:trPr>
          <w:trHeight w:val="250"/>
        </w:trPr>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4E656C" w:rsidRPr="004E656C" w:rsidRDefault="004E656C" w:rsidP="001F1ACA">
            <w:pPr>
              <w:autoSpaceDE w:val="0"/>
              <w:autoSpaceDN w:val="0"/>
              <w:adjustRightInd w:val="0"/>
              <w:rPr>
                <w:rFonts w:cstheme="minorHAnsi"/>
                <w:color w:val="0000FF"/>
              </w:rPr>
            </w:pPr>
            <w:r w:rsidRPr="004E656C">
              <w:rPr>
                <w:rFonts w:cstheme="minorHAnsi"/>
                <w:b/>
                <w:bCs/>
                <w:color w:val="0000FF"/>
              </w:rPr>
              <w:t xml:space="preserve">Year </w:t>
            </w:r>
          </w:p>
        </w:tc>
        <w:tc>
          <w:tcPr>
            <w:tcW w:w="18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4E656C" w:rsidRPr="004E656C" w:rsidRDefault="004E656C" w:rsidP="001F1ACA">
            <w:pPr>
              <w:autoSpaceDE w:val="0"/>
              <w:autoSpaceDN w:val="0"/>
              <w:adjustRightInd w:val="0"/>
              <w:rPr>
                <w:rFonts w:cstheme="minorHAnsi"/>
                <w:color w:val="0000FF"/>
              </w:rPr>
            </w:pPr>
            <w:r w:rsidRPr="004E656C">
              <w:rPr>
                <w:rFonts w:cstheme="minorHAnsi"/>
                <w:b/>
                <w:bCs/>
                <w:color w:val="0000FF"/>
              </w:rPr>
              <w:t xml:space="preserve">Number Hospitals </w:t>
            </w:r>
          </w:p>
        </w:tc>
        <w:tc>
          <w:tcPr>
            <w:tcW w:w="2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4E656C" w:rsidRPr="004E656C" w:rsidRDefault="004E656C" w:rsidP="001F1ACA">
            <w:pPr>
              <w:autoSpaceDE w:val="0"/>
              <w:autoSpaceDN w:val="0"/>
              <w:adjustRightInd w:val="0"/>
              <w:rPr>
                <w:rFonts w:cstheme="minorHAnsi"/>
                <w:color w:val="0000FF"/>
              </w:rPr>
            </w:pPr>
            <w:r w:rsidRPr="004E656C">
              <w:rPr>
                <w:rFonts w:cstheme="minorHAnsi"/>
                <w:b/>
                <w:bCs/>
                <w:color w:val="0000FF"/>
              </w:rPr>
              <w:t xml:space="preserve">Outcome of Interest </w:t>
            </w:r>
          </w:p>
          <w:p w:rsidR="004E656C" w:rsidRPr="004E656C" w:rsidRDefault="004E656C" w:rsidP="001F1ACA">
            <w:pPr>
              <w:autoSpaceDE w:val="0"/>
              <w:autoSpaceDN w:val="0"/>
              <w:adjustRightInd w:val="0"/>
              <w:rPr>
                <w:rFonts w:cstheme="minorHAnsi"/>
                <w:color w:val="0000FF"/>
              </w:rPr>
            </w:pPr>
            <w:r w:rsidRPr="004E656C">
              <w:rPr>
                <w:rFonts w:cstheme="minorHAnsi"/>
                <w:b/>
                <w:bCs/>
                <w:color w:val="0000FF"/>
              </w:rPr>
              <w:t>(Numerator)</w:t>
            </w:r>
            <w:r w:rsidRPr="004E656C">
              <w:rPr>
                <w:rFonts w:cstheme="minorHAnsi"/>
                <w:b/>
                <w:bCs/>
                <w:color w:val="0000FF"/>
                <w:vertAlign w:val="superscript"/>
              </w:rPr>
              <w:t>1</w:t>
            </w:r>
            <w:r w:rsidRPr="004E656C">
              <w:rPr>
                <w:rFonts w:cstheme="minorHAnsi"/>
                <w:b/>
                <w:bCs/>
                <w:color w:val="0000FF"/>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4E656C" w:rsidRPr="004E656C" w:rsidRDefault="004E656C" w:rsidP="001F1ACA">
            <w:pPr>
              <w:autoSpaceDE w:val="0"/>
              <w:autoSpaceDN w:val="0"/>
              <w:adjustRightInd w:val="0"/>
              <w:rPr>
                <w:rFonts w:cstheme="minorHAnsi"/>
                <w:color w:val="0000FF"/>
              </w:rPr>
            </w:pPr>
            <w:r w:rsidRPr="004E656C">
              <w:rPr>
                <w:rFonts w:cstheme="minorHAnsi"/>
                <w:b/>
                <w:bCs/>
                <w:color w:val="0000FF"/>
              </w:rPr>
              <w:t xml:space="preserve">Population at Risk </w:t>
            </w:r>
          </w:p>
          <w:p w:rsidR="004E656C" w:rsidRPr="004E656C" w:rsidRDefault="004E656C" w:rsidP="001F1ACA">
            <w:pPr>
              <w:autoSpaceDE w:val="0"/>
              <w:autoSpaceDN w:val="0"/>
              <w:adjustRightInd w:val="0"/>
              <w:rPr>
                <w:rFonts w:cstheme="minorHAnsi"/>
                <w:color w:val="0000FF"/>
              </w:rPr>
            </w:pPr>
            <w:r w:rsidRPr="004E656C">
              <w:rPr>
                <w:rFonts w:cstheme="minorHAnsi"/>
                <w:b/>
                <w:bCs/>
                <w:color w:val="0000FF"/>
              </w:rPr>
              <w:t>(Denominator)</w:t>
            </w:r>
            <w:r w:rsidRPr="004E656C">
              <w:rPr>
                <w:rFonts w:cstheme="minorHAnsi"/>
                <w:b/>
                <w:bCs/>
                <w:color w:val="0000FF"/>
                <w:vertAlign w:val="superscript"/>
              </w:rPr>
              <w:t>1</w:t>
            </w:r>
          </w:p>
        </w:tc>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4E656C" w:rsidRPr="004E656C" w:rsidRDefault="004E656C" w:rsidP="001F1ACA">
            <w:pPr>
              <w:autoSpaceDE w:val="0"/>
              <w:autoSpaceDN w:val="0"/>
              <w:adjustRightInd w:val="0"/>
              <w:rPr>
                <w:rFonts w:cstheme="minorHAnsi"/>
                <w:color w:val="0000FF"/>
              </w:rPr>
            </w:pPr>
            <w:r w:rsidRPr="004E656C">
              <w:rPr>
                <w:rFonts w:cstheme="minorHAnsi"/>
                <w:b/>
                <w:bCs/>
                <w:color w:val="0000FF"/>
              </w:rPr>
              <w:t xml:space="preserve">Observed Rate </w:t>
            </w:r>
          </w:p>
          <w:p w:rsidR="004E656C" w:rsidRPr="004E656C" w:rsidRDefault="004E656C" w:rsidP="001F1ACA">
            <w:pPr>
              <w:autoSpaceDE w:val="0"/>
              <w:autoSpaceDN w:val="0"/>
              <w:adjustRightInd w:val="0"/>
              <w:rPr>
                <w:rFonts w:cstheme="minorHAnsi"/>
                <w:color w:val="0000FF"/>
              </w:rPr>
            </w:pPr>
            <w:r w:rsidRPr="004E656C">
              <w:rPr>
                <w:rFonts w:cstheme="minorHAnsi"/>
                <w:b/>
                <w:bCs/>
                <w:color w:val="0000FF"/>
              </w:rPr>
              <w:t>Per 1000</w:t>
            </w:r>
            <w:r w:rsidRPr="004E656C">
              <w:rPr>
                <w:rFonts w:cstheme="minorHAnsi"/>
                <w:b/>
                <w:bCs/>
                <w:color w:val="0000FF"/>
                <w:vertAlign w:val="superscript"/>
              </w:rPr>
              <w:t>1</w:t>
            </w:r>
          </w:p>
        </w:tc>
      </w:tr>
      <w:tr w:rsidR="004E656C" w:rsidRPr="004E656C" w:rsidTr="00A669C3">
        <w:trPr>
          <w:trHeight w:val="139"/>
        </w:trPr>
        <w:tc>
          <w:tcPr>
            <w:tcW w:w="1260" w:type="dxa"/>
            <w:tcBorders>
              <w:top w:val="single" w:sz="4" w:space="0" w:color="auto"/>
              <w:left w:val="single" w:sz="4" w:space="0" w:color="auto"/>
              <w:bottom w:val="single" w:sz="4" w:space="0" w:color="auto"/>
              <w:right w:val="single" w:sz="4" w:space="0" w:color="auto"/>
            </w:tcBorders>
            <w:vAlign w:val="bottom"/>
            <w:hideMark/>
          </w:tcPr>
          <w:p w:rsidR="004E656C" w:rsidRPr="004E656C" w:rsidRDefault="004E656C" w:rsidP="001F1ACA">
            <w:pPr>
              <w:jc w:val="center"/>
              <w:rPr>
                <w:rFonts w:cstheme="minorHAnsi"/>
                <w:color w:val="0000FF"/>
              </w:rPr>
            </w:pPr>
            <w:r w:rsidRPr="004E656C">
              <w:rPr>
                <w:rFonts w:cstheme="minorHAnsi"/>
                <w:color w:val="0000FF"/>
              </w:rPr>
              <w:t>2012</w:t>
            </w:r>
          </w:p>
        </w:tc>
        <w:tc>
          <w:tcPr>
            <w:tcW w:w="1890" w:type="dxa"/>
            <w:tcBorders>
              <w:top w:val="single" w:sz="4" w:space="0" w:color="auto"/>
              <w:left w:val="single" w:sz="4" w:space="0" w:color="auto"/>
              <w:bottom w:val="single" w:sz="4" w:space="0" w:color="auto"/>
              <w:right w:val="single" w:sz="4" w:space="0" w:color="auto"/>
            </w:tcBorders>
            <w:vAlign w:val="bottom"/>
            <w:hideMark/>
          </w:tcPr>
          <w:p w:rsidR="004E656C" w:rsidRPr="004E656C" w:rsidRDefault="004E656C" w:rsidP="001F1ACA">
            <w:pPr>
              <w:ind w:left="-108"/>
              <w:jc w:val="center"/>
              <w:rPr>
                <w:rFonts w:cstheme="minorHAnsi"/>
                <w:color w:val="0000FF"/>
              </w:rPr>
            </w:pPr>
            <w:r w:rsidRPr="004E656C">
              <w:rPr>
                <w:rFonts w:cstheme="minorHAnsi"/>
                <w:color w:val="0000FF"/>
              </w:rPr>
              <w:t>2,706</w:t>
            </w:r>
          </w:p>
        </w:tc>
        <w:tc>
          <w:tcPr>
            <w:tcW w:w="2700" w:type="dxa"/>
            <w:tcBorders>
              <w:top w:val="single" w:sz="4" w:space="0" w:color="auto"/>
              <w:left w:val="single" w:sz="4" w:space="0" w:color="auto"/>
              <w:bottom w:val="single" w:sz="4" w:space="0" w:color="auto"/>
              <w:right w:val="single" w:sz="4" w:space="0" w:color="auto"/>
            </w:tcBorders>
            <w:vAlign w:val="bottom"/>
            <w:hideMark/>
          </w:tcPr>
          <w:p w:rsidR="004E656C" w:rsidRPr="004E656C" w:rsidRDefault="004E656C" w:rsidP="001F1ACA">
            <w:pPr>
              <w:ind w:left="-108"/>
              <w:jc w:val="center"/>
              <w:rPr>
                <w:rFonts w:cstheme="minorHAnsi"/>
                <w:color w:val="0000FF"/>
              </w:rPr>
            </w:pPr>
            <w:r w:rsidRPr="004E656C">
              <w:rPr>
                <w:rFonts w:cstheme="minorHAnsi"/>
                <w:color w:val="0000FF"/>
              </w:rPr>
              <w:t>24,066</w:t>
            </w:r>
          </w:p>
        </w:tc>
        <w:tc>
          <w:tcPr>
            <w:tcW w:w="2700" w:type="dxa"/>
            <w:tcBorders>
              <w:top w:val="single" w:sz="4" w:space="0" w:color="auto"/>
              <w:left w:val="single" w:sz="4" w:space="0" w:color="auto"/>
              <w:bottom w:val="single" w:sz="4" w:space="0" w:color="auto"/>
              <w:right w:val="single" w:sz="4" w:space="0" w:color="auto"/>
            </w:tcBorders>
            <w:vAlign w:val="bottom"/>
            <w:hideMark/>
          </w:tcPr>
          <w:p w:rsidR="004E656C" w:rsidRPr="004E656C" w:rsidRDefault="004E656C" w:rsidP="001F1ACA">
            <w:pPr>
              <w:ind w:left="-108"/>
              <w:jc w:val="center"/>
              <w:rPr>
                <w:rFonts w:cstheme="minorHAnsi"/>
                <w:color w:val="0000FF"/>
              </w:rPr>
            </w:pPr>
            <w:r w:rsidRPr="004E656C">
              <w:rPr>
                <w:rFonts w:cstheme="minorHAnsi"/>
                <w:color w:val="0000FF"/>
              </w:rPr>
              <w:t>2,385,631</w:t>
            </w:r>
          </w:p>
        </w:tc>
        <w:tc>
          <w:tcPr>
            <w:tcW w:w="1980" w:type="dxa"/>
            <w:tcBorders>
              <w:top w:val="single" w:sz="4" w:space="0" w:color="auto"/>
              <w:left w:val="single" w:sz="4" w:space="0" w:color="auto"/>
              <w:bottom w:val="single" w:sz="4" w:space="0" w:color="auto"/>
              <w:right w:val="single" w:sz="4" w:space="0" w:color="auto"/>
            </w:tcBorders>
            <w:vAlign w:val="bottom"/>
            <w:hideMark/>
          </w:tcPr>
          <w:p w:rsidR="004E656C" w:rsidRPr="004E656C" w:rsidRDefault="004E656C" w:rsidP="001F1ACA">
            <w:pPr>
              <w:ind w:left="-108"/>
              <w:jc w:val="center"/>
              <w:rPr>
                <w:rFonts w:cstheme="minorHAnsi"/>
                <w:color w:val="0000FF"/>
              </w:rPr>
            </w:pPr>
            <w:r w:rsidRPr="004E656C">
              <w:rPr>
                <w:rFonts w:cstheme="minorHAnsi"/>
                <w:color w:val="0000FF"/>
              </w:rPr>
              <w:t>10.088</w:t>
            </w:r>
          </w:p>
        </w:tc>
      </w:tr>
      <w:tr w:rsidR="004E656C" w:rsidRPr="004E656C" w:rsidTr="00A669C3">
        <w:trPr>
          <w:trHeight w:val="230"/>
        </w:trPr>
        <w:tc>
          <w:tcPr>
            <w:tcW w:w="1260" w:type="dxa"/>
            <w:tcBorders>
              <w:top w:val="single" w:sz="4" w:space="0" w:color="auto"/>
              <w:left w:val="single" w:sz="4" w:space="0" w:color="auto"/>
              <w:bottom w:val="single" w:sz="4" w:space="0" w:color="auto"/>
              <w:right w:val="single" w:sz="4" w:space="0" w:color="auto"/>
            </w:tcBorders>
            <w:vAlign w:val="bottom"/>
            <w:hideMark/>
          </w:tcPr>
          <w:p w:rsidR="004E656C" w:rsidRPr="004E656C" w:rsidRDefault="004E656C" w:rsidP="001F1ACA">
            <w:pPr>
              <w:jc w:val="center"/>
              <w:rPr>
                <w:rFonts w:cstheme="minorHAnsi"/>
                <w:color w:val="0000FF"/>
              </w:rPr>
            </w:pPr>
            <w:r w:rsidRPr="004E656C">
              <w:rPr>
                <w:rFonts w:cstheme="minorHAnsi"/>
                <w:color w:val="0000FF"/>
              </w:rPr>
              <w:t>2011</w:t>
            </w:r>
          </w:p>
        </w:tc>
        <w:tc>
          <w:tcPr>
            <w:tcW w:w="1890" w:type="dxa"/>
            <w:tcBorders>
              <w:top w:val="single" w:sz="4" w:space="0" w:color="auto"/>
              <w:left w:val="single" w:sz="4" w:space="0" w:color="auto"/>
              <w:bottom w:val="single" w:sz="4" w:space="0" w:color="auto"/>
              <w:right w:val="single" w:sz="4" w:space="0" w:color="auto"/>
            </w:tcBorders>
            <w:vAlign w:val="bottom"/>
            <w:hideMark/>
          </w:tcPr>
          <w:p w:rsidR="004E656C" w:rsidRPr="004E656C" w:rsidRDefault="004E656C" w:rsidP="001F1ACA">
            <w:pPr>
              <w:ind w:left="-108"/>
              <w:jc w:val="center"/>
              <w:rPr>
                <w:rFonts w:cstheme="minorHAnsi"/>
                <w:color w:val="0000FF"/>
              </w:rPr>
            </w:pPr>
            <w:r w:rsidRPr="004E656C">
              <w:rPr>
                <w:rFonts w:cstheme="minorHAnsi"/>
                <w:color w:val="0000FF"/>
              </w:rPr>
              <w:t>2,559</w:t>
            </w:r>
          </w:p>
        </w:tc>
        <w:tc>
          <w:tcPr>
            <w:tcW w:w="2700" w:type="dxa"/>
            <w:tcBorders>
              <w:top w:val="single" w:sz="4" w:space="0" w:color="auto"/>
              <w:left w:val="single" w:sz="4" w:space="0" w:color="auto"/>
              <w:bottom w:val="single" w:sz="4" w:space="0" w:color="auto"/>
              <w:right w:val="single" w:sz="4" w:space="0" w:color="auto"/>
            </w:tcBorders>
            <w:vAlign w:val="bottom"/>
            <w:hideMark/>
          </w:tcPr>
          <w:p w:rsidR="004E656C" w:rsidRPr="004E656C" w:rsidRDefault="004E656C" w:rsidP="001F1ACA">
            <w:pPr>
              <w:ind w:left="-108"/>
              <w:jc w:val="center"/>
              <w:rPr>
                <w:rFonts w:cstheme="minorHAnsi"/>
                <w:color w:val="0000FF"/>
              </w:rPr>
            </w:pPr>
            <w:r w:rsidRPr="004E656C">
              <w:rPr>
                <w:rFonts w:cstheme="minorHAnsi"/>
                <w:color w:val="0000FF"/>
              </w:rPr>
              <w:t>21,506</w:t>
            </w:r>
          </w:p>
        </w:tc>
        <w:tc>
          <w:tcPr>
            <w:tcW w:w="2700" w:type="dxa"/>
            <w:tcBorders>
              <w:top w:val="single" w:sz="4" w:space="0" w:color="auto"/>
              <w:left w:val="single" w:sz="4" w:space="0" w:color="auto"/>
              <w:bottom w:val="single" w:sz="4" w:space="0" w:color="auto"/>
              <w:right w:val="single" w:sz="4" w:space="0" w:color="auto"/>
            </w:tcBorders>
            <w:vAlign w:val="bottom"/>
            <w:hideMark/>
          </w:tcPr>
          <w:p w:rsidR="004E656C" w:rsidRPr="004E656C" w:rsidRDefault="004E656C" w:rsidP="001F1ACA">
            <w:pPr>
              <w:ind w:left="-108"/>
              <w:jc w:val="center"/>
              <w:rPr>
                <w:rFonts w:cstheme="minorHAnsi"/>
                <w:color w:val="0000FF"/>
              </w:rPr>
            </w:pPr>
            <w:r w:rsidRPr="004E656C">
              <w:rPr>
                <w:rFonts w:cstheme="minorHAnsi"/>
                <w:color w:val="0000FF"/>
              </w:rPr>
              <w:t>2,326,997</w:t>
            </w:r>
          </w:p>
        </w:tc>
        <w:tc>
          <w:tcPr>
            <w:tcW w:w="1980" w:type="dxa"/>
            <w:tcBorders>
              <w:top w:val="single" w:sz="4" w:space="0" w:color="auto"/>
              <w:left w:val="single" w:sz="4" w:space="0" w:color="auto"/>
              <w:bottom w:val="single" w:sz="4" w:space="0" w:color="auto"/>
              <w:right w:val="single" w:sz="4" w:space="0" w:color="auto"/>
            </w:tcBorders>
            <w:vAlign w:val="bottom"/>
            <w:hideMark/>
          </w:tcPr>
          <w:p w:rsidR="004E656C" w:rsidRPr="004E656C" w:rsidRDefault="004E656C" w:rsidP="001F1ACA">
            <w:pPr>
              <w:ind w:left="-108"/>
              <w:jc w:val="center"/>
              <w:rPr>
                <w:rFonts w:cstheme="minorHAnsi"/>
                <w:color w:val="0000FF"/>
              </w:rPr>
            </w:pPr>
            <w:r w:rsidRPr="004E656C">
              <w:rPr>
                <w:rFonts w:cstheme="minorHAnsi"/>
                <w:color w:val="0000FF"/>
              </w:rPr>
              <w:t>9.242</w:t>
            </w:r>
          </w:p>
        </w:tc>
      </w:tr>
      <w:tr w:rsidR="004E656C" w:rsidRPr="004E656C" w:rsidTr="00A669C3">
        <w:trPr>
          <w:trHeight w:val="139"/>
        </w:trPr>
        <w:tc>
          <w:tcPr>
            <w:tcW w:w="1260" w:type="dxa"/>
            <w:tcBorders>
              <w:top w:val="single" w:sz="4" w:space="0" w:color="auto"/>
              <w:left w:val="single" w:sz="4" w:space="0" w:color="auto"/>
              <w:bottom w:val="single" w:sz="4" w:space="0" w:color="auto"/>
              <w:right w:val="single" w:sz="4" w:space="0" w:color="auto"/>
            </w:tcBorders>
            <w:hideMark/>
          </w:tcPr>
          <w:p w:rsidR="004E656C" w:rsidRPr="004E656C" w:rsidRDefault="004E656C" w:rsidP="001F1ACA">
            <w:pPr>
              <w:ind w:right="-108"/>
              <w:jc w:val="center"/>
              <w:rPr>
                <w:rFonts w:cstheme="minorHAnsi"/>
                <w:color w:val="0000FF"/>
                <w:vertAlign w:val="superscript"/>
              </w:rPr>
            </w:pPr>
            <w:r w:rsidRPr="004E656C">
              <w:rPr>
                <w:rFonts w:cstheme="minorHAnsi"/>
                <w:color w:val="0000FF"/>
              </w:rPr>
              <w:t>2010</w:t>
            </w:r>
            <w:r w:rsidRPr="004E656C">
              <w:rPr>
                <w:rFonts w:cstheme="minorHAnsi"/>
                <w:color w:val="0000FF"/>
                <w:vertAlign w:val="superscript"/>
              </w:rPr>
              <w:t>3</w:t>
            </w:r>
          </w:p>
        </w:tc>
        <w:tc>
          <w:tcPr>
            <w:tcW w:w="1890" w:type="dxa"/>
            <w:tcBorders>
              <w:top w:val="single" w:sz="4" w:space="0" w:color="auto"/>
              <w:left w:val="single" w:sz="4" w:space="0" w:color="auto"/>
              <w:bottom w:val="single" w:sz="4" w:space="0" w:color="auto"/>
              <w:right w:val="single" w:sz="4" w:space="0" w:color="auto"/>
            </w:tcBorders>
          </w:tcPr>
          <w:p w:rsidR="004E656C" w:rsidRPr="004E656C" w:rsidRDefault="004E656C" w:rsidP="001F1ACA">
            <w:pPr>
              <w:pStyle w:val="Default"/>
              <w:ind w:left="-108"/>
              <w:jc w:val="center"/>
              <w:rPr>
                <w:rFonts w:asciiTheme="minorHAnsi" w:hAnsiTheme="minorHAnsi" w:cstheme="minorHAnsi"/>
                <w:color w:val="0000FF"/>
                <w:sz w:val="22"/>
                <w:szCs w:val="22"/>
              </w:rPr>
            </w:pPr>
            <w:r w:rsidRPr="004E656C">
              <w:rPr>
                <w:rFonts w:asciiTheme="minorHAnsi" w:hAnsiTheme="minorHAnsi" w:cstheme="minorHAnsi"/>
                <w:color w:val="0000FF"/>
                <w:sz w:val="22"/>
                <w:szCs w:val="22"/>
              </w:rPr>
              <w:t>4,253</w:t>
            </w:r>
          </w:p>
        </w:tc>
        <w:tc>
          <w:tcPr>
            <w:tcW w:w="2700" w:type="dxa"/>
            <w:tcBorders>
              <w:top w:val="single" w:sz="4" w:space="0" w:color="auto"/>
              <w:left w:val="single" w:sz="4" w:space="0" w:color="auto"/>
              <w:bottom w:val="single" w:sz="4" w:space="0" w:color="auto"/>
              <w:right w:val="single" w:sz="4" w:space="0" w:color="auto"/>
            </w:tcBorders>
          </w:tcPr>
          <w:p w:rsidR="004E656C" w:rsidRPr="004E656C" w:rsidRDefault="004E656C" w:rsidP="001F1ACA">
            <w:pPr>
              <w:pStyle w:val="Default"/>
              <w:ind w:left="-108"/>
              <w:jc w:val="center"/>
              <w:rPr>
                <w:rFonts w:asciiTheme="minorHAnsi" w:hAnsiTheme="minorHAnsi" w:cstheme="minorHAnsi"/>
                <w:color w:val="0000FF"/>
                <w:sz w:val="22"/>
                <w:szCs w:val="22"/>
              </w:rPr>
            </w:pPr>
            <w:r w:rsidRPr="004E656C">
              <w:rPr>
                <w:rFonts w:asciiTheme="minorHAnsi" w:hAnsiTheme="minorHAnsi" w:cstheme="minorHAnsi"/>
                <w:color w:val="0000FF"/>
                <w:sz w:val="22"/>
                <w:szCs w:val="22"/>
              </w:rPr>
              <w:t>28,952</w:t>
            </w:r>
          </w:p>
        </w:tc>
        <w:tc>
          <w:tcPr>
            <w:tcW w:w="2700" w:type="dxa"/>
            <w:tcBorders>
              <w:top w:val="single" w:sz="4" w:space="0" w:color="auto"/>
              <w:left w:val="single" w:sz="4" w:space="0" w:color="auto"/>
              <w:bottom w:val="single" w:sz="4" w:space="0" w:color="auto"/>
              <w:right w:val="single" w:sz="4" w:space="0" w:color="auto"/>
            </w:tcBorders>
          </w:tcPr>
          <w:p w:rsidR="004E656C" w:rsidRPr="004E656C" w:rsidRDefault="004E656C" w:rsidP="001F1ACA">
            <w:pPr>
              <w:pStyle w:val="Default"/>
              <w:ind w:left="-108"/>
              <w:jc w:val="center"/>
              <w:rPr>
                <w:rFonts w:asciiTheme="minorHAnsi" w:hAnsiTheme="minorHAnsi" w:cstheme="minorHAnsi"/>
                <w:color w:val="0000FF"/>
                <w:sz w:val="22"/>
                <w:szCs w:val="22"/>
              </w:rPr>
            </w:pPr>
            <w:r w:rsidRPr="004E656C">
              <w:rPr>
                <w:rFonts w:asciiTheme="minorHAnsi" w:hAnsiTheme="minorHAnsi" w:cstheme="minorHAnsi"/>
                <w:color w:val="0000FF"/>
                <w:sz w:val="22"/>
                <w:szCs w:val="22"/>
              </w:rPr>
              <w:t>3,360,053</w:t>
            </w:r>
          </w:p>
        </w:tc>
        <w:tc>
          <w:tcPr>
            <w:tcW w:w="1980" w:type="dxa"/>
            <w:tcBorders>
              <w:top w:val="single" w:sz="4" w:space="0" w:color="auto"/>
              <w:left w:val="single" w:sz="4" w:space="0" w:color="auto"/>
              <w:bottom w:val="single" w:sz="4" w:space="0" w:color="auto"/>
              <w:right w:val="single" w:sz="4" w:space="0" w:color="auto"/>
            </w:tcBorders>
          </w:tcPr>
          <w:p w:rsidR="004E656C" w:rsidRPr="004E656C" w:rsidRDefault="004E656C" w:rsidP="001F1ACA">
            <w:pPr>
              <w:pStyle w:val="Default"/>
              <w:ind w:left="-108"/>
              <w:jc w:val="center"/>
              <w:rPr>
                <w:rFonts w:asciiTheme="minorHAnsi" w:hAnsiTheme="minorHAnsi" w:cstheme="minorHAnsi"/>
                <w:color w:val="0000FF"/>
                <w:sz w:val="22"/>
                <w:szCs w:val="22"/>
              </w:rPr>
            </w:pPr>
            <w:r w:rsidRPr="004E656C">
              <w:rPr>
                <w:rFonts w:asciiTheme="minorHAnsi" w:hAnsiTheme="minorHAnsi" w:cstheme="minorHAnsi"/>
                <w:color w:val="0000FF"/>
                <w:sz w:val="22"/>
                <w:szCs w:val="22"/>
              </w:rPr>
              <w:t>8.616</w:t>
            </w:r>
          </w:p>
        </w:tc>
      </w:tr>
      <w:tr w:rsidR="004E656C" w:rsidRPr="004E656C" w:rsidTr="00A669C3">
        <w:trPr>
          <w:trHeight w:val="58"/>
        </w:trPr>
        <w:tc>
          <w:tcPr>
            <w:tcW w:w="1260" w:type="dxa"/>
            <w:tcBorders>
              <w:top w:val="single" w:sz="4" w:space="0" w:color="auto"/>
              <w:left w:val="single" w:sz="4" w:space="0" w:color="auto"/>
              <w:bottom w:val="single" w:sz="4" w:space="0" w:color="auto"/>
              <w:right w:val="single" w:sz="4" w:space="0" w:color="auto"/>
            </w:tcBorders>
            <w:hideMark/>
          </w:tcPr>
          <w:p w:rsidR="004E656C" w:rsidRPr="004E656C" w:rsidRDefault="004E656C" w:rsidP="001F1ACA">
            <w:pPr>
              <w:ind w:right="-108"/>
              <w:jc w:val="center"/>
              <w:rPr>
                <w:rFonts w:cstheme="minorHAnsi"/>
                <w:color w:val="0000FF"/>
                <w:vertAlign w:val="superscript"/>
              </w:rPr>
            </w:pPr>
            <w:r w:rsidRPr="004E656C">
              <w:rPr>
                <w:rFonts w:cstheme="minorHAnsi"/>
                <w:color w:val="0000FF"/>
              </w:rPr>
              <w:t>2009</w:t>
            </w:r>
            <w:r w:rsidRPr="004E656C">
              <w:rPr>
                <w:rFonts w:cstheme="minorHAnsi"/>
                <w:color w:val="0000FF"/>
                <w:vertAlign w:val="superscript"/>
              </w:rPr>
              <w:t>3</w:t>
            </w:r>
          </w:p>
        </w:tc>
        <w:tc>
          <w:tcPr>
            <w:tcW w:w="1890" w:type="dxa"/>
            <w:tcBorders>
              <w:top w:val="single" w:sz="4" w:space="0" w:color="auto"/>
              <w:left w:val="single" w:sz="4" w:space="0" w:color="auto"/>
              <w:bottom w:val="single" w:sz="4" w:space="0" w:color="auto"/>
              <w:right w:val="single" w:sz="4" w:space="0" w:color="auto"/>
            </w:tcBorders>
          </w:tcPr>
          <w:p w:rsidR="004E656C" w:rsidRPr="004E656C" w:rsidRDefault="004E656C" w:rsidP="001F1ACA">
            <w:pPr>
              <w:ind w:left="-108"/>
              <w:jc w:val="center"/>
              <w:rPr>
                <w:rFonts w:cstheme="minorHAnsi"/>
                <w:color w:val="0000FF"/>
              </w:rPr>
            </w:pPr>
            <w:r w:rsidRPr="004E656C">
              <w:rPr>
                <w:rFonts w:cstheme="minorHAnsi"/>
                <w:color w:val="0000FF"/>
              </w:rPr>
              <w:t>4,156</w:t>
            </w:r>
          </w:p>
        </w:tc>
        <w:tc>
          <w:tcPr>
            <w:tcW w:w="2700" w:type="dxa"/>
            <w:tcBorders>
              <w:top w:val="single" w:sz="4" w:space="0" w:color="auto"/>
              <w:left w:val="single" w:sz="4" w:space="0" w:color="auto"/>
              <w:bottom w:val="single" w:sz="4" w:space="0" w:color="auto"/>
              <w:right w:val="single" w:sz="4" w:space="0" w:color="auto"/>
            </w:tcBorders>
          </w:tcPr>
          <w:p w:rsidR="004E656C" w:rsidRPr="004E656C" w:rsidRDefault="004E656C" w:rsidP="001F1ACA">
            <w:pPr>
              <w:tabs>
                <w:tab w:val="left" w:pos="2484"/>
              </w:tabs>
              <w:ind w:left="-108"/>
              <w:jc w:val="center"/>
              <w:rPr>
                <w:rFonts w:cstheme="minorHAnsi"/>
                <w:color w:val="0000FF"/>
              </w:rPr>
            </w:pPr>
            <w:r w:rsidRPr="004E656C">
              <w:rPr>
                <w:rFonts w:cstheme="minorHAnsi"/>
                <w:color w:val="0000FF"/>
              </w:rPr>
              <w:t>27,856</w:t>
            </w:r>
          </w:p>
        </w:tc>
        <w:tc>
          <w:tcPr>
            <w:tcW w:w="2700" w:type="dxa"/>
            <w:tcBorders>
              <w:top w:val="single" w:sz="4" w:space="0" w:color="auto"/>
              <w:left w:val="single" w:sz="4" w:space="0" w:color="auto"/>
              <w:bottom w:val="single" w:sz="4" w:space="0" w:color="auto"/>
              <w:right w:val="single" w:sz="4" w:space="0" w:color="auto"/>
            </w:tcBorders>
          </w:tcPr>
          <w:p w:rsidR="004E656C" w:rsidRPr="004E656C" w:rsidRDefault="004E656C" w:rsidP="001F1ACA">
            <w:pPr>
              <w:ind w:left="-108" w:right="-18"/>
              <w:jc w:val="center"/>
              <w:rPr>
                <w:rFonts w:cstheme="minorHAnsi"/>
                <w:color w:val="0000FF"/>
              </w:rPr>
            </w:pPr>
            <w:r w:rsidRPr="004E656C">
              <w:rPr>
                <w:rFonts w:cstheme="minorHAnsi"/>
                <w:color w:val="0000FF"/>
              </w:rPr>
              <w:t>3,369,598</w:t>
            </w:r>
          </w:p>
        </w:tc>
        <w:tc>
          <w:tcPr>
            <w:tcW w:w="1980" w:type="dxa"/>
            <w:tcBorders>
              <w:top w:val="single" w:sz="4" w:space="0" w:color="auto"/>
              <w:left w:val="single" w:sz="4" w:space="0" w:color="auto"/>
              <w:bottom w:val="single" w:sz="4" w:space="0" w:color="auto"/>
              <w:right w:val="single" w:sz="4" w:space="0" w:color="auto"/>
            </w:tcBorders>
          </w:tcPr>
          <w:p w:rsidR="004E656C" w:rsidRPr="004E656C" w:rsidRDefault="004E656C" w:rsidP="001F1ACA">
            <w:pPr>
              <w:ind w:left="-108" w:right="-18"/>
              <w:jc w:val="center"/>
              <w:rPr>
                <w:rFonts w:cstheme="minorHAnsi"/>
                <w:color w:val="0000FF"/>
              </w:rPr>
            </w:pPr>
            <w:r w:rsidRPr="004E656C">
              <w:rPr>
                <w:rFonts w:cstheme="minorHAnsi"/>
                <w:color w:val="0000FF"/>
              </w:rPr>
              <w:t>8.267</w:t>
            </w:r>
          </w:p>
        </w:tc>
      </w:tr>
      <w:tr w:rsidR="004E656C" w:rsidRPr="004E656C" w:rsidTr="00A669C3">
        <w:trPr>
          <w:trHeight w:val="139"/>
        </w:trPr>
        <w:tc>
          <w:tcPr>
            <w:tcW w:w="1260" w:type="dxa"/>
            <w:tcBorders>
              <w:top w:val="single" w:sz="4" w:space="0" w:color="auto"/>
              <w:left w:val="single" w:sz="4" w:space="0" w:color="auto"/>
              <w:bottom w:val="single" w:sz="4" w:space="0" w:color="auto"/>
              <w:right w:val="single" w:sz="4" w:space="0" w:color="auto"/>
            </w:tcBorders>
            <w:hideMark/>
          </w:tcPr>
          <w:p w:rsidR="004E656C" w:rsidRPr="004E656C" w:rsidRDefault="004E656C" w:rsidP="001F1ACA">
            <w:pPr>
              <w:ind w:right="-108"/>
              <w:jc w:val="center"/>
              <w:rPr>
                <w:rFonts w:cstheme="minorHAnsi"/>
                <w:color w:val="0000FF"/>
                <w:vertAlign w:val="superscript"/>
              </w:rPr>
            </w:pPr>
            <w:r w:rsidRPr="004E656C">
              <w:rPr>
                <w:rFonts w:cstheme="minorHAnsi"/>
                <w:color w:val="0000FF"/>
              </w:rPr>
              <w:t>2008</w:t>
            </w:r>
            <w:r w:rsidRPr="004E656C">
              <w:rPr>
                <w:rFonts w:cstheme="minorHAnsi"/>
                <w:color w:val="0000FF"/>
                <w:vertAlign w:val="superscript"/>
              </w:rPr>
              <w:t>3</w:t>
            </w:r>
          </w:p>
        </w:tc>
        <w:tc>
          <w:tcPr>
            <w:tcW w:w="1890" w:type="dxa"/>
            <w:tcBorders>
              <w:top w:val="single" w:sz="4" w:space="0" w:color="auto"/>
              <w:left w:val="single" w:sz="4" w:space="0" w:color="auto"/>
              <w:bottom w:val="single" w:sz="4" w:space="0" w:color="auto"/>
              <w:right w:val="single" w:sz="4" w:space="0" w:color="auto"/>
            </w:tcBorders>
          </w:tcPr>
          <w:p w:rsidR="004E656C" w:rsidRPr="004E656C" w:rsidRDefault="004E656C" w:rsidP="001F1ACA">
            <w:pPr>
              <w:ind w:left="-108"/>
              <w:jc w:val="center"/>
              <w:rPr>
                <w:rFonts w:cstheme="minorHAnsi"/>
                <w:color w:val="0000FF"/>
              </w:rPr>
            </w:pPr>
            <w:r w:rsidRPr="004E656C">
              <w:rPr>
                <w:rFonts w:cstheme="minorHAnsi"/>
                <w:color w:val="0000FF"/>
              </w:rPr>
              <w:t>4,124</w:t>
            </w:r>
          </w:p>
        </w:tc>
        <w:tc>
          <w:tcPr>
            <w:tcW w:w="2700" w:type="dxa"/>
            <w:tcBorders>
              <w:top w:val="single" w:sz="4" w:space="0" w:color="auto"/>
              <w:left w:val="single" w:sz="4" w:space="0" w:color="auto"/>
              <w:bottom w:val="single" w:sz="4" w:space="0" w:color="auto"/>
              <w:right w:val="single" w:sz="4" w:space="0" w:color="auto"/>
            </w:tcBorders>
          </w:tcPr>
          <w:p w:rsidR="004E656C" w:rsidRPr="004E656C" w:rsidRDefault="004E656C" w:rsidP="001F1ACA">
            <w:pPr>
              <w:tabs>
                <w:tab w:val="left" w:pos="2484"/>
              </w:tabs>
              <w:ind w:left="-108"/>
              <w:jc w:val="center"/>
              <w:rPr>
                <w:rFonts w:cstheme="minorHAnsi"/>
                <w:color w:val="0000FF"/>
              </w:rPr>
            </w:pPr>
            <w:r w:rsidRPr="004E656C">
              <w:rPr>
                <w:rFonts w:cstheme="minorHAnsi"/>
                <w:color w:val="0000FF"/>
              </w:rPr>
              <w:t>27,254</w:t>
            </w:r>
          </w:p>
        </w:tc>
        <w:tc>
          <w:tcPr>
            <w:tcW w:w="2700" w:type="dxa"/>
            <w:tcBorders>
              <w:top w:val="single" w:sz="4" w:space="0" w:color="auto"/>
              <w:left w:val="single" w:sz="4" w:space="0" w:color="auto"/>
              <w:bottom w:val="single" w:sz="4" w:space="0" w:color="auto"/>
              <w:right w:val="single" w:sz="4" w:space="0" w:color="auto"/>
            </w:tcBorders>
          </w:tcPr>
          <w:p w:rsidR="004E656C" w:rsidRPr="004E656C" w:rsidRDefault="004E656C" w:rsidP="001F1ACA">
            <w:pPr>
              <w:ind w:left="-108" w:right="-18"/>
              <w:jc w:val="center"/>
              <w:rPr>
                <w:rFonts w:cstheme="minorHAnsi"/>
                <w:color w:val="0000FF"/>
              </w:rPr>
            </w:pPr>
            <w:r w:rsidRPr="004E656C">
              <w:rPr>
                <w:rFonts w:cstheme="minorHAnsi"/>
                <w:color w:val="0000FF"/>
              </w:rPr>
              <w:t>3,317,359</w:t>
            </w:r>
          </w:p>
        </w:tc>
        <w:tc>
          <w:tcPr>
            <w:tcW w:w="1980" w:type="dxa"/>
            <w:tcBorders>
              <w:top w:val="single" w:sz="4" w:space="0" w:color="auto"/>
              <w:left w:val="single" w:sz="4" w:space="0" w:color="auto"/>
              <w:bottom w:val="single" w:sz="4" w:space="0" w:color="auto"/>
              <w:right w:val="single" w:sz="4" w:space="0" w:color="auto"/>
            </w:tcBorders>
          </w:tcPr>
          <w:p w:rsidR="004E656C" w:rsidRPr="004E656C" w:rsidRDefault="004E656C" w:rsidP="001F1ACA">
            <w:pPr>
              <w:ind w:left="-108" w:right="-18"/>
              <w:jc w:val="center"/>
              <w:rPr>
                <w:rFonts w:cstheme="minorHAnsi"/>
                <w:color w:val="0000FF"/>
              </w:rPr>
            </w:pPr>
            <w:r w:rsidRPr="004E656C">
              <w:rPr>
                <w:rFonts w:cstheme="minorHAnsi"/>
                <w:color w:val="0000FF"/>
              </w:rPr>
              <w:t>8.216</w:t>
            </w:r>
          </w:p>
        </w:tc>
      </w:tr>
    </w:tbl>
    <w:tbl>
      <w:tblPr>
        <w:tblW w:w="9360" w:type="dxa"/>
        <w:tblInd w:w="198" w:type="dxa"/>
        <w:tblLayout w:type="fixed"/>
        <w:tblLook w:val="04A0" w:firstRow="1" w:lastRow="0" w:firstColumn="1" w:lastColumn="0" w:noHBand="0" w:noVBand="1"/>
      </w:tblPr>
      <w:tblGrid>
        <w:gridCol w:w="1118"/>
        <w:gridCol w:w="1659"/>
        <w:gridCol w:w="962"/>
        <w:gridCol w:w="885"/>
        <w:gridCol w:w="885"/>
        <w:gridCol w:w="885"/>
        <w:gridCol w:w="963"/>
        <w:gridCol w:w="963"/>
        <w:gridCol w:w="1040"/>
      </w:tblGrid>
      <w:tr w:rsidR="004E656C" w:rsidRPr="004E656C" w:rsidTr="00A669C3">
        <w:trPr>
          <w:trHeight w:val="300"/>
        </w:trPr>
        <w:tc>
          <w:tcPr>
            <w:tcW w:w="10536" w:type="dxa"/>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4E656C" w:rsidRPr="004E656C" w:rsidRDefault="004E656C" w:rsidP="001F1ACA">
            <w:pPr>
              <w:spacing w:after="0" w:line="240" w:lineRule="auto"/>
              <w:jc w:val="center"/>
              <w:rPr>
                <w:rFonts w:eastAsia="Times New Roman" w:cs="Times New Roman"/>
                <w:b/>
                <w:color w:val="0000FF"/>
              </w:rPr>
            </w:pPr>
            <w:r w:rsidRPr="004E656C">
              <w:rPr>
                <w:rFonts w:eastAsia="Times New Roman" w:cs="Times New Roman"/>
                <w:b/>
                <w:color w:val="0000FF"/>
              </w:rPr>
              <w:t>Distribution of Hospital-level Observed Rates in Reference Population</w:t>
            </w:r>
          </w:p>
        </w:tc>
      </w:tr>
      <w:tr w:rsidR="004E656C" w:rsidRPr="004E656C" w:rsidTr="00A669C3">
        <w:trPr>
          <w:trHeight w:val="300"/>
        </w:trPr>
        <w:tc>
          <w:tcPr>
            <w:tcW w:w="1260" w:type="dxa"/>
            <w:vMerge w:val="restart"/>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rsidR="004E656C" w:rsidRPr="004E656C" w:rsidRDefault="004E656C" w:rsidP="001F1ACA">
            <w:pPr>
              <w:spacing w:after="0" w:line="240" w:lineRule="auto"/>
              <w:jc w:val="center"/>
              <w:rPr>
                <w:rFonts w:eastAsia="Times New Roman" w:cs="Times New Roman"/>
                <w:color w:val="0000FF"/>
              </w:rPr>
            </w:pPr>
            <w:r w:rsidRPr="004E656C">
              <w:rPr>
                <w:rFonts w:eastAsia="Times New Roman" w:cs="Times New Roman"/>
                <w:color w:val="0000FF"/>
              </w:rPr>
              <w:t>Year</w:t>
            </w:r>
          </w:p>
        </w:tc>
        <w:tc>
          <w:tcPr>
            <w:tcW w:w="1890" w:type="dxa"/>
            <w:vMerge w:val="restart"/>
            <w:tcBorders>
              <w:top w:val="single" w:sz="4" w:space="0" w:color="auto"/>
              <w:left w:val="single" w:sz="8" w:space="0" w:color="auto"/>
              <w:bottom w:val="single" w:sz="4" w:space="0" w:color="auto"/>
              <w:right w:val="single" w:sz="8" w:space="0" w:color="auto"/>
            </w:tcBorders>
            <w:shd w:val="clear" w:color="auto" w:fill="D9D9D9" w:themeFill="background1" w:themeFillShade="D9"/>
            <w:noWrap/>
            <w:vAlign w:val="bottom"/>
            <w:hideMark/>
          </w:tcPr>
          <w:p w:rsidR="004E656C" w:rsidRPr="004E656C" w:rsidRDefault="004E656C" w:rsidP="001F1ACA">
            <w:pPr>
              <w:spacing w:after="0" w:line="240" w:lineRule="auto"/>
              <w:jc w:val="center"/>
              <w:rPr>
                <w:rFonts w:eastAsia="Times New Roman" w:cs="Times New Roman"/>
                <w:color w:val="0000FF"/>
              </w:rPr>
            </w:pPr>
            <w:r w:rsidRPr="004E656C">
              <w:rPr>
                <w:rFonts w:eastAsia="Times New Roman" w:cs="Times New Roman"/>
                <w:color w:val="0000FF"/>
              </w:rPr>
              <w:t>Number of</w:t>
            </w:r>
          </w:p>
          <w:p w:rsidR="004E656C" w:rsidRPr="004E656C" w:rsidRDefault="004E656C" w:rsidP="001F1ACA">
            <w:pPr>
              <w:spacing w:after="0" w:line="240" w:lineRule="auto"/>
              <w:jc w:val="center"/>
              <w:rPr>
                <w:rFonts w:eastAsia="Times New Roman" w:cs="Times New Roman"/>
                <w:color w:val="0000FF"/>
              </w:rPr>
            </w:pPr>
            <w:r w:rsidRPr="004E656C">
              <w:rPr>
                <w:rFonts w:eastAsia="Times New Roman" w:cs="Times New Roman"/>
                <w:color w:val="0000FF"/>
              </w:rPr>
              <w:t>Hospitals</w:t>
            </w:r>
          </w:p>
        </w:tc>
        <w:tc>
          <w:tcPr>
            <w:tcW w:w="7386" w:type="dxa"/>
            <w:gridSpan w:val="7"/>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rsidR="004E656C" w:rsidRPr="004E656C" w:rsidRDefault="004E656C" w:rsidP="001F1ACA">
            <w:pPr>
              <w:spacing w:after="0" w:line="240" w:lineRule="auto"/>
              <w:jc w:val="center"/>
              <w:rPr>
                <w:rFonts w:eastAsia="Times New Roman" w:cs="Times New Roman"/>
                <w:color w:val="0000FF"/>
                <w:vertAlign w:val="superscript"/>
              </w:rPr>
            </w:pPr>
            <w:r w:rsidRPr="004E656C">
              <w:rPr>
                <w:rFonts w:eastAsia="Times New Roman" w:cs="Times New Roman"/>
                <w:color w:val="0000FF"/>
              </w:rPr>
              <w:t>Distribution of Observed Hospital-level Rates per 1000 (p=percentile)</w:t>
            </w:r>
            <w:r w:rsidRPr="004E656C">
              <w:rPr>
                <w:rFonts w:eastAsia="Times New Roman" w:cs="Times New Roman"/>
                <w:color w:val="0000FF"/>
                <w:vertAlign w:val="superscript"/>
              </w:rPr>
              <w:t>2</w:t>
            </w:r>
          </w:p>
        </w:tc>
      </w:tr>
      <w:tr w:rsidR="004E656C" w:rsidRPr="004E656C" w:rsidTr="00A669C3">
        <w:trPr>
          <w:trHeight w:val="300"/>
        </w:trPr>
        <w:tc>
          <w:tcPr>
            <w:tcW w:w="1260" w:type="dxa"/>
            <w:vMerge/>
            <w:tcBorders>
              <w:top w:val="single" w:sz="4" w:space="0" w:color="auto"/>
              <w:left w:val="single" w:sz="4" w:space="0" w:color="auto"/>
              <w:bottom w:val="single" w:sz="4" w:space="0" w:color="auto"/>
              <w:right w:val="nil"/>
            </w:tcBorders>
            <w:vAlign w:val="center"/>
            <w:hideMark/>
          </w:tcPr>
          <w:p w:rsidR="004E656C" w:rsidRPr="004E656C" w:rsidRDefault="004E656C" w:rsidP="001F1ACA">
            <w:pPr>
              <w:spacing w:after="0" w:line="240" w:lineRule="auto"/>
              <w:rPr>
                <w:rFonts w:eastAsia="Times New Roman" w:cs="Times New Roman"/>
                <w:color w:val="0000FF"/>
              </w:rPr>
            </w:pPr>
          </w:p>
        </w:tc>
        <w:tc>
          <w:tcPr>
            <w:tcW w:w="1890" w:type="dxa"/>
            <w:vMerge/>
            <w:tcBorders>
              <w:top w:val="single" w:sz="4" w:space="0" w:color="auto"/>
              <w:left w:val="single" w:sz="8" w:space="0" w:color="auto"/>
              <w:bottom w:val="single" w:sz="4" w:space="0" w:color="auto"/>
              <w:right w:val="single" w:sz="8" w:space="0" w:color="auto"/>
            </w:tcBorders>
            <w:vAlign w:val="center"/>
            <w:hideMark/>
          </w:tcPr>
          <w:p w:rsidR="004E656C" w:rsidRPr="004E656C" w:rsidRDefault="004E656C" w:rsidP="001F1ACA">
            <w:pPr>
              <w:spacing w:after="0" w:line="240" w:lineRule="auto"/>
              <w:rPr>
                <w:rFonts w:eastAsia="Times New Roman" w:cs="Times New Roman"/>
                <w:color w:val="0000FF"/>
              </w:rPr>
            </w:pPr>
          </w:p>
        </w:tc>
        <w:tc>
          <w:tcPr>
            <w:tcW w:w="108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4E656C" w:rsidRPr="004E656C" w:rsidRDefault="004E656C" w:rsidP="001F1ACA">
            <w:pPr>
              <w:spacing w:after="0" w:line="240" w:lineRule="auto"/>
              <w:jc w:val="center"/>
              <w:rPr>
                <w:rFonts w:eastAsia="Times New Roman" w:cs="Times New Roman"/>
                <w:color w:val="0000FF"/>
              </w:rPr>
            </w:pPr>
            <w:r w:rsidRPr="004E656C">
              <w:rPr>
                <w:rFonts w:eastAsia="Times New Roman" w:cs="Times New Roman"/>
                <w:color w:val="0000FF"/>
              </w:rPr>
              <w:t>Mean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4E656C" w:rsidRPr="004E656C" w:rsidRDefault="004E656C" w:rsidP="001F1ACA">
            <w:pPr>
              <w:spacing w:after="0" w:line="240" w:lineRule="auto"/>
              <w:jc w:val="center"/>
              <w:rPr>
                <w:rFonts w:eastAsia="Times New Roman" w:cs="Times New Roman"/>
                <w:color w:val="0000FF"/>
              </w:rPr>
            </w:pPr>
            <w:r w:rsidRPr="004E656C">
              <w:rPr>
                <w:rFonts w:eastAsia="Times New Roman" w:cs="Times New Roman"/>
                <w:color w:val="0000FF"/>
              </w:rPr>
              <w:t>SD</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4E656C" w:rsidRPr="004E656C" w:rsidRDefault="004E656C" w:rsidP="001F1ACA">
            <w:pPr>
              <w:spacing w:after="0" w:line="240" w:lineRule="auto"/>
              <w:jc w:val="center"/>
              <w:rPr>
                <w:rFonts w:eastAsia="Times New Roman" w:cs="Times New Roman"/>
                <w:color w:val="0000FF"/>
              </w:rPr>
            </w:pPr>
            <w:r w:rsidRPr="004E656C">
              <w:rPr>
                <w:rFonts w:eastAsia="Times New Roman" w:cs="Times New Roman"/>
                <w:color w:val="0000FF"/>
              </w:rPr>
              <w:t>p5</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4E656C" w:rsidRPr="004E656C" w:rsidRDefault="004E656C" w:rsidP="001F1ACA">
            <w:pPr>
              <w:spacing w:after="0" w:line="240" w:lineRule="auto"/>
              <w:jc w:val="center"/>
              <w:rPr>
                <w:rFonts w:eastAsia="Times New Roman" w:cs="Times New Roman"/>
                <w:color w:val="0000FF"/>
              </w:rPr>
            </w:pPr>
            <w:r w:rsidRPr="004E656C">
              <w:rPr>
                <w:rFonts w:eastAsia="Times New Roman" w:cs="Times New Roman"/>
                <w:color w:val="0000FF"/>
              </w:rPr>
              <w:t>p25</w:t>
            </w:r>
          </w:p>
        </w:tc>
        <w:tc>
          <w:tcPr>
            <w:tcW w:w="108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4E656C" w:rsidRPr="004E656C" w:rsidRDefault="004E656C" w:rsidP="001F1ACA">
            <w:pPr>
              <w:spacing w:after="0" w:line="240" w:lineRule="auto"/>
              <w:jc w:val="center"/>
              <w:rPr>
                <w:rFonts w:eastAsia="Times New Roman" w:cs="Times New Roman"/>
                <w:color w:val="0000FF"/>
              </w:rPr>
            </w:pPr>
            <w:r w:rsidRPr="004E656C">
              <w:rPr>
                <w:rFonts w:eastAsia="Times New Roman" w:cs="Times New Roman"/>
                <w:color w:val="0000FF"/>
              </w:rPr>
              <w:t>Median</w:t>
            </w:r>
          </w:p>
        </w:tc>
        <w:tc>
          <w:tcPr>
            <w:tcW w:w="108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4E656C" w:rsidRPr="004E656C" w:rsidRDefault="004E656C" w:rsidP="001F1ACA">
            <w:pPr>
              <w:spacing w:after="0" w:line="240" w:lineRule="auto"/>
              <w:jc w:val="center"/>
              <w:rPr>
                <w:rFonts w:eastAsia="Times New Roman" w:cs="Times New Roman"/>
                <w:color w:val="0000FF"/>
              </w:rPr>
            </w:pPr>
            <w:r w:rsidRPr="004E656C">
              <w:rPr>
                <w:rFonts w:eastAsia="Times New Roman" w:cs="Times New Roman"/>
                <w:color w:val="0000FF"/>
              </w:rPr>
              <w:t>p75</w:t>
            </w:r>
          </w:p>
        </w:tc>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4E656C" w:rsidRPr="004E656C" w:rsidRDefault="004E656C" w:rsidP="001F1ACA">
            <w:pPr>
              <w:spacing w:after="0" w:line="240" w:lineRule="auto"/>
              <w:jc w:val="center"/>
              <w:rPr>
                <w:rFonts w:eastAsia="Times New Roman" w:cs="Times New Roman"/>
                <w:color w:val="0000FF"/>
              </w:rPr>
            </w:pPr>
            <w:r w:rsidRPr="004E656C">
              <w:rPr>
                <w:rFonts w:eastAsia="Times New Roman" w:cs="Times New Roman"/>
                <w:color w:val="0000FF"/>
              </w:rPr>
              <w:t>p95</w:t>
            </w:r>
          </w:p>
        </w:tc>
      </w:tr>
      <w:tr w:rsidR="004E656C" w:rsidRPr="004E656C" w:rsidTr="00A669C3">
        <w:trPr>
          <w:trHeight w:val="300"/>
        </w:trPr>
        <w:tc>
          <w:tcPr>
            <w:tcW w:w="1260" w:type="dxa"/>
            <w:tcBorders>
              <w:top w:val="single" w:sz="4" w:space="0" w:color="auto"/>
              <w:left w:val="single" w:sz="4" w:space="0" w:color="auto"/>
              <w:bottom w:val="single" w:sz="4" w:space="0" w:color="auto"/>
              <w:right w:val="nil"/>
            </w:tcBorders>
            <w:noWrap/>
            <w:vAlign w:val="bottom"/>
            <w:hideMark/>
          </w:tcPr>
          <w:p w:rsidR="004E656C" w:rsidRPr="004E656C" w:rsidRDefault="004E656C" w:rsidP="001F1ACA">
            <w:pPr>
              <w:spacing w:after="0"/>
              <w:jc w:val="center"/>
              <w:rPr>
                <w:rFonts w:cstheme="minorHAnsi"/>
                <w:color w:val="0000FF"/>
              </w:rPr>
            </w:pPr>
            <w:r w:rsidRPr="004E656C">
              <w:rPr>
                <w:rFonts w:cstheme="minorHAnsi"/>
                <w:color w:val="0000FF"/>
              </w:rPr>
              <w:t>2012</w:t>
            </w:r>
          </w:p>
        </w:tc>
        <w:tc>
          <w:tcPr>
            <w:tcW w:w="1890" w:type="dxa"/>
            <w:tcBorders>
              <w:top w:val="single" w:sz="4" w:space="0" w:color="auto"/>
              <w:left w:val="single" w:sz="8" w:space="0" w:color="auto"/>
              <w:bottom w:val="single" w:sz="4" w:space="0" w:color="auto"/>
              <w:right w:val="single" w:sz="8" w:space="0" w:color="auto"/>
            </w:tcBorders>
            <w:noWrap/>
            <w:vAlign w:val="bottom"/>
            <w:hideMark/>
          </w:tcPr>
          <w:p w:rsidR="004E656C" w:rsidRPr="004E656C" w:rsidRDefault="004E656C" w:rsidP="001F1ACA">
            <w:pPr>
              <w:spacing w:after="0"/>
              <w:jc w:val="center"/>
              <w:rPr>
                <w:rFonts w:cstheme="minorHAnsi"/>
                <w:color w:val="0000FF"/>
              </w:rPr>
            </w:pPr>
            <w:r w:rsidRPr="004E656C">
              <w:rPr>
                <w:rFonts w:cstheme="minorHAnsi"/>
                <w:color w:val="0000FF"/>
              </w:rPr>
              <w:t>2,706</w:t>
            </w:r>
          </w:p>
        </w:tc>
        <w:tc>
          <w:tcPr>
            <w:tcW w:w="1080" w:type="dxa"/>
            <w:tcBorders>
              <w:top w:val="single" w:sz="4" w:space="0" w:color="auto"/>
              <w:left w:val="single" w:sz="4" w:space="0" w:color="auto"/>
              <w:bottom w:val="single" w:sz="4" w:space="0" w:color="auto"/>
              <w:right w:val="single" w:sz="4" w:space="0" w:color="auto"/>
            </w:tcBorders>
            <w:vAlign w:val="bottom"/>
            <w:hideMark/>
          </w:tcPr>
          <w:p w:rsidR="004E656C" w:rsidRPr="004E656C" w:rsidRDefault="004E656C" w:rsidP="001F1ACA">
            <w:pPr>
              <w:spacing w:after="0"/>
              <w:jc w:val="center"/>
              <w:rPr>
                <w:rFonts w:cstheme="minorHAnsi"/>
                <w:color w:val="0000FF"/>
              </w:rPr>
            </w:pPr>
            <w:r w:rsidRPr="004E656C">
              <w:rPr>
                <w:rFonts w:cstheme="minorHAnsi"/>
                <w:color w:val="0000FF"/>
              </w:rPr>
              <w:t>8.48</w:t>
            </w:r>
          </w:p>
        </w:tc>
        <w:tc>
          <w:tcPr>
            <w:tcW w:w="991" w:type="dxa"/>
            <w:tcBorders>
              <w:top w:val="single" w:sz="4" w:space="0" w:color="auto"/>
              <w:left w:val="single" w:sz="4" w:space="0" w:color="auto"/>
              <w:bottom w:val="single" w:sz="4" w:space="0" w:color="auto"/>
              <w:right w:val="single" w:sz="4" w:space="0" w:color="auto"/>
            </w:tcBorders>
            <w:vAlign w:val="bottom"/>
            <w:hideMark/>
          </w:tcPr>
          <w:p w:rsidR="004E656C" w:rsidRPr="004E656C" w:rsidRDefault="004E656C" w:rsidP="001F1ACA">
            <w:pPr>
              <w:spacing w:after="0"/>
              <w:jc w:val="center"/>
              <w:rPr>
                <w:rFonts w:cstheme="minorHAnsi"/>
                <w:color w:val="0000FF"/>
              </w:rPr>
            </w:pPr>
            <w:r w:rsidRPr="004E656C">
              <w:rPr>
                <w:rFonts w:cstheme="minorHAnsi"/>
                <w:color w:val="0000FF"/>
              </w:rPr>
              <w:t>13.88</w:t>
            </w:r>
          </w:p>
        </w:tc>
        <w:tc>
          <w:tcPr>
            <w:tcW w:w="991" w:type="dxa"/>
            <w:tcBorders>
              <w:top w:val="single" w:sz="4" w:space="0" w:color="auto"/>
              <w:left w:val="single" w:sz="4" w:space="0" w:color="auto"/>
              <w:bottom w:val="single" w:sz="4" w:space="0" w:color="auto"/>
              <w:right w:val="nil"/>
            </w:tcBorders>
            <w:vAlign w:val="bottom"/>
            <w:hideMark/>
          </w:tcPr>
          <w:p w:rsidR="004E656C" w:rsidRPr="004E656C" w:rsidRDefault="004E656C" w:rsidP="001F1ACA">
            <w:pPr>
              <w:spacing w:after="0"/>
              <w:jc w:val="center"/>
              <w:rPr>
                <w:rFonts w:cstheme="minorHAnsi"/>
                <w:color w:val="0000FF"/>
              </w:rPr>
            </w:pPr>
            <w:r w:rsidRPr="004E656C">
              <w:rPr>
                <w:rFonts w:cstheme="minorHAnsi"/>
                <w:color w:val="0000FF"/>
              </w:rPr>
              <w:t>0.00</w:t>
            </w:r>
          </w:p>
        </w:tc>
        <w:tc>
          <w:tcPr>
            <w:tcW w:w="991" w:type="dxa"/>
            <w:tcBorders>
              <w:top w:val="single" w:sz="4" w:space="0" w:color="auto"/>
              <w:left w:val="single" w:sz="4" w:space="0" w:color="auto"/>
              <w:bottom w:val="single" w:sz="4" w:space="0" w:color="auto"/>
              <w:right w:val="nil"/>
            </w:tcBorders>
            <w:vAlign w:val="bottom"/>
            <w:hideMark/>
          </w:tcPr>
          <w:p w:rsidR="004E656C" w:rsidRPr="004E656C" w:rsidRDefault="004E656C" w:rsidP="001F1ACA">
            <w:pPr>
              <w:spacing w:after="0"/>
              <w:jc w:val="center"/>
              <w:rPr>
                <w:rFonts w:cstheme="minorHAnsi"/>
                <w:color w:val="0000FF"/>
              </w:rPr>
            </w:pPr>
            <w:r w:rsidRPr="004E656C">
              <w:rPr>
                <w:rFonts w:cstheme="minorHAnsi"/>
                <w:color w:val="0000FF"/>
              </w:rPr>
              <w:t>0.00</w:t>
            </w:r>
          </w:p>
        </w:tc>
        <w:tc>
          <w:tcPr>
            <w:tcW w:w="1081" w:type="dxa"/>
            <w:tcBorders>
              <w:top w:val="single" w:sz="4" w:space="0" w:color="auto"/>
              <w:left w:val="single" w:sz="4" w:space="0" w:color="auto"/>
              <w:bottom w:val="single" w:sz="4" w:space="0" w:color="auto"/>
              <w:right w:val="nil"/>
            </w:tcBorders>
            <w:vAlign w:val="bottom"/>
            <w:hideMark/>
          </w:tcPr>
          <w:p w:rsidR="004E656C" w:rsidRPr="004E656C" w:rsidRDefault="004E656C" w:rsidP="001F1ACA">
            <w:pPr>
              <w:spacing w:after="0"/>
              <w:jc w:val="center"/>
              <w:rPr>
                <w:rFonts w:cstheme="minorHAnsi"/>
                <w:color w:val="0000FF"/>
              </w:rPr>
            </w:pPr>
            <w:r w:rsidRPr="004E656C">
              <w:rPr>
                <w:rFonts w:cstheme="minorHAnsi"/>
                <w:color w:val="0000FF"/>
              </w:rPr>
              <w:t>6.03</w:t>
            </w:r>
          </w:p>
        </w:tc>
        <w:tc>
          <w:tcPr>
            <w:tcW w:w="1081" w:type="dxa"/>
            <w:tcBorders>
              <w:top w:val="single" w:sz="4" w:space="0" w:color="auto"/>
              <w:left w:val="single" w:sz="4" w:space="0" w:color="auto"/>
              <w:bottom w:val="single" w:sz="4" w:space="0" w:color="auto"/>
              <w:right w:val="nil"/>
            </w:tcBorders>
            <w:vAlign w:val="bottom"/>
            <w:hideMark/>
          </w:tcPr>
          <w:p w:rsidR="004E656C" w:rsidRPr="004E656C" w:rsidRDefault="004E656C" w:rsidP="001F1ACA">
            <w:pPr>
              <w:spacing w:after="0"/>
              <w:jc w:val="center"/>
              <w:rPr>
                <w:rFonts w:cstheme="minorHAnsi"/>
                <w:color w:val="0000FF"/>
              </w:rPr>
            </w:pPr>
            <w:r w:rsidRPr="004E656C">
              <w:rPr>
                <w:rFonts w:cstheme="minorHAnsi"/>
                <w:color w:val="0000FF"/>
              </w:rPr>
              <w:t>11.93</w:t>
            </w:r>
          </w:p>
        </w:tc>
        <w:tc>
          <w:tcPr>
            <w:tcW w:w="1171" w:type="dxa"/>
            <w:tcBorders>
              <w:top w:val="single" w:sz="4" w:space="0" w:color="auto"/>
              <w:left w:val="single" w:sz="4" w:space="0" w:color="auto"/>
              <w:bottom w:val="single" w:sz="4" w:space="0" w:color="auto"/>
              <w:right w:val="single" w:sz="4" w:space="0" w:color="auto"/>
            </w:tcBorders>
            <w:vAlign w:val="bottom"/>
            <w:hideMark/>
          </w:tcPr>
          <w:p w:rsidR="004E656C" w:rsidRPr="004E656C" w:rsidRDefault="004E656C" w:rsidP="001F1ACA">
            <w:pPr>
              <w:spacing w:after="0"/>
              <w:jc w:val="center"/>
              <w:rPr>
                <w:rFonts w:cstheme="minorHAnsi"/>
                <w:color w:val="0000FF"/>
              </w:rPr>
            </w:pPr>
            <w:r w:rsidRPr="004E656C">
              <w:rPr>
                <w:rFonts w:cstheme="minorHAnsi"/>
                <w:color w:val="0000FF"/>
              </w:rPr>
              <w:t>25.13</w:t>
            </w:r>
          </w:p>
        </w:tc>
      </w:tr>
      <w:tr w:rsidR="004E656C" w:rsidRPr="004E656C" w:rsidTr="00A669C3">
        <w:trPr>
          <w:trHeight w:val="315"/>
        </w:trPr>
        <w:tc>
          <w:tcPr>
            <w:tcW w:w="1260" w:type="dxa"/>
            <w:tcBorders>
              <w:top w:val="single" w:sz="4" w:space="0" w:color="auto"/>
              <w:left w:val="single" w:sz="4" w:space="0" w:color="auto"/>
              <w:bottom w:val="single" w:sz="4" w:space="0" w:color="auto"/>
              <w:right w:val="nil"/>
            </w:tcBorders>
            <w:noWrap/>
            <w:vAlign w:val="bottom"/>
            <w:hideMark/>
          </w:tcPr>
          <w:p w:rsidR="004E656C" w:rsidRPr="004E656C" w:rsidRDefault="004E656C" w:rsidP="001F1ACA">
            <w:pPr>
              <w:spacing w:after="0"/>
              <w:jc w:val="center"/>
              <w:rPr>
                <w:rFonts w:cstheme="minorHAnsi"/>
                <w:color w:val="0000FF"/>
              </w:rPr>
            </w:pPr>
            <w:r w:rsidRPr="004E656C">
              <w:rPr>
                <w:rFonts w:cstheme="minorHAnsi"/>
                <w:color w:val="0000FF"/>
              </w:rPr>
              <w:t>2011</w:t>
            </w:r>
          </w:p>
        </w:tc>
        <w:tc>
          <w:tcPr>
            <w:tcW w:w="1890" w:type="dxa"/>
            <w:tcBorders>
              <w:top w:val="single" w:sz="4" w:space="0" w:color="auto"/>
              <w:left w:val="single" w:sz="8" w:space="0" w:color="auto"/>
              <w:bottom w:val="single" w:sz="4" w:space="0" w:color="auto"/>
              <w:right w:val="single" w:sz="8" w:space="0" w:color="auto"/>
            </w:tcBorders>
            <w:vAlign w:val="bottom"/>
            <w:hideMark/>
          </w:tcPr>
          <w:p w:rsidR="004E656C" w:rsidRPr="004E656C" w:rsidRDefault="004E656C" w:rsidP="001F1ACA">
            <w:pPr>
              <w:spacing w:after="0"/>
              <w:jc w:val="center"/>
              <w:rPr>
                <w:rFonts w:cstheme="minorHAnsi"/>
                <w:color w:val="0000FF"/>
              </w:rPr>
            </w:pPr>
            <w:r w:rsidRPr="004E656C">
              <w:rPr>
                <w:rFonts w:cstheme="minorHAnsi"/>
                <w:color w:val="0000FF"/>
              </w:rPr>
              <w:t>2,559</w:t>
            </w:r>
          </w:p>
        </w:tc>
        <w:tc>
          <w:tcPr>
            <w:tcW w:w="1080" w:type="dxa"/>
            <w:tcBorders>
              <w:top w:val="single" w:sz="4" w:space="0" w:color="auto"/>
              <w:left w:val="single" w:sz="4" w:space="0" w:color="auto"/>
              <w:bottom w:val="single" w:sz="4" w:space="0" w:color="auto"/>
              <w:right w:val="single" w:sz="4" w:space="0" w:color="auto"/>
            </w:tcBorders>
            <w:vAlign w:val="bottom"/>
            <w:hideMark/>
          </w:tcPr>
          <w:p w:rsidR="004E656C" w:rsidRPr="004E656C" w:rsidRDefault="004E656C" w:rsidP="001F1ACA">
            <w:pPr>
              <w:spacing w:after="0"/>
              <w:jc w:val="center"/>
              <w:rPr>
                <w:rFonts w:cstheme="minorHAnsi"/>
                <w:color w:val="0000FF"/>
              </w:rPr>
            </w:pPr>
            <w:r w:rsidRPr="004E656C">
              <w:rPr>
                <w:rFonts w:cstheme="minorHAnsi"/>
                <w:color w:val="0000FF"/>
              </w:rPr>
              <w:t>8.48</w:t>
            </w:r>
          </w:p>
        </w:tc>
        <w:tc>
          <w:tcPr>
            <w:tcW w:w="991" w:type="dxa"/>
            <w:tcBorders>
              <w:top w:val="single" w:sz="4" w:space="0" w:color="auto"/>
              <w:left w:val="single" w:sz="4" w:space="0" w:color="auto"/>
              <w:bottom w:val="single" w:sz="4" w:space="0" w:color="auto"/>
              <w:right w:val="single" w:sz="4" w:space="0" w:color="auto"/>
            </w:tcBorders>
            <w:vAlign w:val="bottom"/>
            <w:hideMark/>
          </w:tcPr>
          <w:p w:rsidR="004E656C" w:rsidRPr="004E656C" w:rsidRDefault="004E656C" w:rsidP="001F1ACA">
            <w:pPr>
              <w:spacing w:after="0"/>
              <w:jc w:val="center"/>
              <w:rPr>
                <w:rFonts w:cstheme="minorHAnsi"/>
                <w:color w:val="0000FF"/>
              </w:rPr>
            </w:pPr>
            <w:r w:rsidRPr="004E656C">
              <w:rPr>
                <w:rFonts w:cstheme="minorHAnsi"/>
                <w:color w:val="0000FF"/>
              </w:rPr>
              <w:t>15.08</w:t>
            </w:r>
          </w:p>
        </w:tc>
        <w:tc>
          <w:tcPr>
            <w:tcW w:w="991" w:type="dxa"/>
            <w:tcBorders>
              <w:top w:val="single" w:sz="4" w:space="0" w:color="auto"/>
              <w:left w:val="single" w:sz="4" w:space="0" w:color="auto"/>
              <w:bottom w:val="single" w:sz="4" w:space="0" w:color="auto"/>
              <w:right w:val="nil"/>
            </w:tcBorders>
            <w:vAlign w:val="bottom"/>
            <w:hideMark/>
          </w:tcPr>
          <w:p w:rsidR="004E656C" w:rsidRPr="004E656C" w:rsidRDefault="004E656C" w:rsidP="001F1ACA">
            <w:pPr>
              <w:spacing w:after="0"/>
              <w:jc w:val="center"/>
              <w:rPr>
                <w:rFonts w:cstheme="minorHAnsi"/>
                <w:color w:val="0000FF"/>
              </w:rPr>
            </w:pPr>
            <w:r w:rsidRPr="004E656C">
              <w:rPr>
                <w:rFonts w:cstheme="minorHAnsi"/>
                <w:color w:val="0000FF"/>
              </w:rPr>
              <w:t>0.00</w:t>
            </w:r>
          </w:p>
        </w:tc>
        <w:tc>
          <w:tcPr>
            <w:tcW w:w="991" w:type="dxa"/>
            <w:tcBorders>
              <w:top w:val="single" w:sz="4" w:space="0" w:color="auto"/>
              <w:left w:val="single" w:sz="4" w:space="0" w:color="auto"/>
              <w:bottom w:val="single" w:sz="4" w:space="0" w:color="auto"/>
              <w:right w:val="nil"/>
            </w:tcBorders>
            <w:vAlign w:val="bottom"/>
            <w:hideMark/>
          </w:tcPr>
          <w:p w:rsidR="004E656C" w:rsidRPr="004E656C" w:rsidRDefault="004E656C" w:rsidP="001F1ACA">
            <w:pPr>
              <w:spacing w:after="0"/>
              <w:jc w:val="center"/>
              <w:rPr>
                <w:rFonts w:cstheme="minorHAnsi"/>
                <w:color w:val="0000FF"/>
              </w:rPr>
            </w:pPr>
            <w:r w:rsidRPr="004E656C">
              <w:rPr>
                <w:rFonts w:cstheme="minorHAnsi"/>
                <w:color w:val="0000FF"/>
              </w:rPr>
              <w:t>0.00</w:t>
            </w:r>
          </w:p>
        </w:tc>
        <w:tc>
          <w:tcPr>
            <w:tcW w:w="1081" w:type="dxa"/>
            <w:tcBorders>
              <w:top w:val="single" w:sz="4" w:space="0" w:color="auto"/>
              <w:left w:val="single" w:sz="4" w:space="0" w:color="auto"/>
              <w:bottom w:val="single" w:sz="4" w:space="0" w:color="auto"/>
              <w:right w:val="nil"/>
            </w:tcBorders>
            <w:vAlign w:val="bottom"/>
            <w:hideMark/>
          </w:tcPr>
          <w:p w:rsidR="004E656C" w:rsidRPr="004E656C" w:rsidRDefault="004E656C" w:rsidP="001F1ACA">
            <w:pPr>
              <w:spacing w:after="0"/>
              <w:jc w:val="center"/>
              <w:rPr>
                <w:rFonts w:cstheme="minorHAnsi"/>
                <w:color w:val="0000FF"/>
              </w:rPr>
            </w:pPr>
            <w:r w:rsidRPr="004E656C">
              <w:rPr>
                <w:rFonts w:cstheme="minorHAnsi"/>
                <w:color w:val="0000FF"/>
              </w:rPr>
              <w:t>6.21</w:t>
            </w:r>
          </w:p>
        </w:tc>
        <w:tc>
          <w:tcPr>
            <w:tcW w:w="1081" w:type="dxa"/>
            <w:tcBorders>
              <w:top w:val="single" w:sz="4" w:space="0" w:color="auto"/>
              <w:left w:val="single" w:sz="4" w:space="0" w:color="auto"/>
              <w:bottom w:val="single" w:sz="4" w:space="0" w:color="auto"/>
              <w:right w:val="nil"/>
            </w:tcBorders>
            <w:vAlign w:val="bottom"/>
            <w:hideMark/>
          </w:tcPr>
          <w:p w:rsidR="004E656C" w:rsidRPr="004E656C" w:rsidRDefault="004E656C" w:rsidP="001F1ACA">
            <w:pPr>
              <w:spacing w:after="0"/>
              <w:jc w:val="center"/>
              <w:rPr>
                <w:rFonts w:cstheme="minorHAnsi"/>
                <w:color w:val="0000FF"/>
              </w:rPr>
            </w:pPr>
            <w:r w:rsidRPr="004E656C">
              <w:rPr>
                <w:rFonts w:cstheme="minorHAnsi"/>
                <w:color w:val="0000FF"/>
              </w:rPr>
              <w:t>11.31</w:t>
            </w:r>
          </w:p>
        </w:tc>
        <w:tc>
          <w:tcPr>
            <w:tcW w:w="1171" w:type="dxa"/>
            <w:tcBorders>
              <w:top w:val="single" w:sz="4" w:space="0" w:color="auto"/>
              <w:left w:val="single" w:sz="4" w:space="0" w:color="auto"/>
              <w:bottom w:val="single" w:sz="4" w:space="0" w:color="auto"/>
              <w:right w:val="single" w:sz="4" w:space="0" w:color="auto"/>
            </w:tcBorders>
            <w:vAlign w:val="bottom"/>
            <w:hideMark/>
          </w:tcPr>
          <w:p w:rsidR="004E656C" w:rsidRPr="004E656C" w:rsidRDefault="004E656C" w:rsidP="001F1ACA">
            <w:pPr>
              <w:spacing w:after="0"/>
              <w:jc w:val="center"/>
              <w:rPr>
                <w:rFonts w:cstheme="minorHAnsi"/>
                <w:color w:val="0000FF"/>
              </w:rPr>
            </w:pPr>
            <w:r w:rsidRPr="004E656C">
              <w:rPr>
                <w:rFonts w:cstheme="minorHAnsi"/>
                <w:color w:val="0000FF"/>
              </w:rPr>
              <w:t>22.90</w:t>
            </w:r>
          </w:p>
        </w:tc>
      </w:tr>
    </w:tbl>
    <w:p w:rsidR="004E656C" w:rsidRPr="004E656C" w:rsidRDefault="004E656C" w:rsidP="00A669C3">
      <w:pPr>
        <w:spacing w:after="0" w:line="240" w:lineRule="auto"/>
        <w:ind w:left="86" w:right="-90"/>
        <w:rPr>
          <w:rFonts w:cstheme="minorHAnsi"/>
          <w:color w:val="0000FF"/>
        </w:rPr>
      </w:pPr>
      <w:r w:rsidRPr="004E656C">
        <w:rPr>
          <w:rFonts w:cstheme="minorHAnsi"/>
          <w:color w:val="0000FF"/>
        </w:rPr>
        <w:t xml:space="preserve">Source: HCUP State Inpatient Databases (SID). Healthcare Cost and Utilization Project (HCUP). </w:t>
      </w:r>
      <w:proofErr w:type="gramStart"/>
      <w:r w:rsidRPr="004E656C">
        <w:rPr>
          <w:rFonts w:cstheme="minorHAnsi"/>
          <w:color w:val="0000FF"/>
        </w:rPr>
        <w:t>2008-2012. Agency for Healthcare Research and Quality, Rockville, MD.</w:t>
      </w:r>
      <w:proofErr w:type="gramEnd"/>
      <w:r w:rsidRPr="004E656C">
        <w:rPr>
          <w:rFonts w:cstheme="minorHAnsi"/>
          <w:color w:val="0000FF"/>
        </w:rPr>
        <w:t xml:space="preserve"> www.hcup-us.ahrq.gov/sidoverview.jsp. (AHRQ QI Software Version 5.0)</w:t>
      </w:r>
    </w:p>
    <w:p w:rsidR="004E656C" w:rsidRPr="004E656C" w:rsidRDefault="004E656C" w:rsidP="00A669C3">
      <w:pPr>
        <w:spacing w:after="0" w:line="240" w:lineRule="auto"/>
        <w:ind w:left="86" w:right="-90"/>
        <w:rPr>
          <w:rFonts w:cstheme="minorHAnsi"/>
          <w:color w:val="0000FF"/>
        </w:rPr>
      </w:pPr>
      <w:r w:rsidRPr="004E656C">
        <w:rPr>
          <w:rFonts w:cstheme="minorHAnsi"/>
          <w:color w:val="0000FF"/>
          <w:vertAlign w:val="superscript"/>
        </w:rPr>
        <w:t>1</w:t>
      </w:r>
      <w:r w:rsidRPr="004E656C">
        <w:rPr>
          <w:rFonts w:cstheme="minorHAnsi"/>
          <w:color w:val="0000FF"/>
        </w:rPr>
        <w:t xml:space="preserve">The observed rate refers to the total rate for all observations included in the reference population data (numerator) divided the total combined population of all hospitals included in the reference population data (denominator). </w:t>
      </w:r>
    </w:p>
    <w:p w:rsidR="004E656C" w:rsidRPr="004E656C" w:rsidRDefault="004E656C" w:rsidP="00A669C3">
      <w:pPr>
        <w:autoSpaceDE w:val="0"/>
        <w:autoSpaceDN w:val="0"/>
        <w:adjustRightInd w:val="0"/>
        <w:spacing w:after="0" w:line="240" w:lineRule="auto"/>
        <w:ind w:left="86" w:right="-90"/>
        <w:rPr>
          <w:rFonts w:cstheme="minorHAnsi"/>
          <w:color w:val="0000FF"/>
        </w:rPr>
      </w:pPr>
      <w:r w:rsidRPr="004E656C">
        <w:rPr>
          <w:rFonts w:cstheme="minorHAnsi"/>
          <w:color w:val="0000FF"/>
          <w:vertAlign w:val="superscript"/>
        </w:rPr>
        <w:t>2</w:t>
      </w:r>
      <w:r w:rsidRPr="004E656C">
        <w:rPr>
          <w:rFonts w:cstheme="minorHAnsi"/>
          <w:color w:val="0000FF"/>
        </w:rPr>
        <w:t>The distribution of hospital rates reports the mean and standard deviation (SD) of the observed rates for all hospitals included in the dataset, as well as the observed rate for hospitals in the 5</w:t>
      </w:r>
      <w:r w:rsidRPr="004E656C">
        <w:rPr>
          <w:rFonts w:cstheme="minorHAnsi"/>
          <w:color w:val="0000FF"/>
          <w:vertAlign w:val="superscript"/>
        </w:rPr>
        <w:t>th</w:t>
      </w:r>
      <w:r w:rsidRPr="004E656C">
        <w:rPr>
          <w:rFonts w:cstheme="minorHAnsi"/>
          <w:color w:val="0000FF"/>
        </w:rPr>
        <w:t>, 25</w:t>
      </w:r>
      <w:r w:rsidRPr="004E656C">
        <w:rPr>
          <w:rFonts w:cstheme="minorHAnsi"/>
          <w:color w:val="0000FF"/>
          <w:vertAlign w:val="superscript"/>
        </w:rPr>
        <w:t>th</w:t>
      </w:r>
      <w:r w:rsidRPr="004E656C">
        <w:rPr>
          <w:rFonts w:cstheme="minorHAnsi"/>
          <w:color w:val="0000FF"/>
        </w:rPr>
        <w:t>, 50</w:t>
      </w:r>
      <w:r w:rsidRPr="004E656C">
        <w:rPr>
          <w:rFonts w:cstheme="minorHAnsi"/>
          <w:color w:val="0000FF"/>
          <w:vertAlign w:val="superscript"/>
        </w:rPr>
        <w:t>th</w:t>
      </w:r>
      <w:r w:rsidRPr="004E656C">
        <w:rPr>
          <w:rFonts w:cstheme="minorHAnsi"/>
          <w:color w:val="0000FF"/>
        </w:rPr>
        <w:t xml:space="preserve"> (median), 75</w:t>
      </w:r>
      <w:r w:rsidRPr="004E656C">
        <w:rPr>
          <w:rFonts w:cstheme="minorHAnsi"/>
          <w:color w:val="0000FF"/>
          <w:vertAlign w:val="superscript"/>
        </w:rPr>
        <w:t>th</w:t>
      </w:r>
      <w:r w:rsidRPr="004E656C">
        <w:rPr>
          <w:rFonts w:cstheme="minorHAnsi"/>
          <w:color w:val="0000FF"/>
        </w:rPr>
        <w:t>, and 95</w:t>
      </w:r>
      <w:r w:rsidRPr="004E656C">
        <w:rPr>
          <w:rFonts w:cstheme="minorHAnsi"/>
          <w:color w:val="0000FF"/>
          <w:vertAlign w:val="superscript"/>
        </w:rPr>
        <w:t>th</w:t>
      </w:r>
      <w:r w:rsidRPr="004E656C">
        <w:rPr>
          <w:rFonts w:cstheme="minorHAnsi"/>
          <w:color w:val="0000FF"/>
        </w:rPr>
        <w:t xml:space="preserve"> percentile.</w:t>
      </w:r>
    </w:p>
    <w:p w:rsidR="004E656C" w:rsidRPr="004E656C" w:rsidRDefault="004E656C" w:rsidP="00A669C3">
      <w:pPr>
        <w:autoSpaceDE w:val="0"/>
        <w:autoSpaceDN w:val="0"/>
        <w:adjustRightInd w:val="0"/>
        <w:spacing w:after="0" w:line="240" w:lineRule="auto"/>
        <w:ind w:left="86" w:right="-90"/>
        <w:rPr>
          <w:rFonts w:cstheme="minorHAnsi"/>
          <w:bCs/>
          <w:color w:val="0000FF"/>
        </w:rPr>
      </w:pPr>
      <w:r w:rsidRPr="004E656C">
        <w:rPr>
          <w:rFonts w:cstheme="minorHAnsi"/>
          <w:color w:val="0000FF"/>
          <w:vertAlign w:val="superscript"/>
        </w:rPr>
        <w:t>3</w:t>
      </w:r>
      <w:r w:rsidRPr="004E656C">
        <w:rPr>
          <w:rFonts w:cstheme="minorHAnsi"/>
          <w:color w:val="0000FF"/>
        </w:rPr>
        <w:t xml:space="preserve">2008-2010 data are calculated using Version 4.5 of the QI Software and all states included in the SID for those years. Version 4.5 includes a “prediction module” which is used to account for missing present on admission flags. In Version 5.0, the “prediction module” has been removed and the reference population is limited to states and hospitals with present on admission data. These differences may lead to some discontinuity in the observed rates between 2010 and 2011.  </w:t>
      </w:r>
    </w:p>
    <w:p w:rsidR="002E78A0" w:rsidRDefault="002E78A0" w:rsidP="00DB3627">
      <w:pPr>
        <w:autoSpaceDE w:val="0"/>
        <w:autoSpaceDN w:val="0"/>
        <w:adjustRightInd w:val="0"/>
        <w:spacing w:after="0" w:line="240" w:lineRule="auto"/>
        <w:rPr>
          <w:rFonts w:cstheme="minorHAnsi"/>
          <w:bCs/>
        </w:rPr>
      </w:pPr>
    </w:p>
    <w:p w:rsidR="007422FD"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r w:rsidR="004E656C" w:rsidRPr="004E656C">
        <w:rPr>
          <w:rFonts w:cstheme="minorHAnsi"/>
          <w:bCs/>
          <w:color w:val="0000FF"/>
        </w:rPr>
        <w:t>See 1.5 (Table 1)</w:t>
      </w:r>
    </w:p>
    <w:p w:rsidR="004E656C" w:rsidRDefault="004E656C" w:rsidP="00DB3627">
      <w:pPr>
        <w:autoSpaceDE w:val="0"/>
        <w:autoSpaceDN w:val="0"/>
        <w:adjustRightInd w:val="0"/>
        <w:spacing w:after="0" w:line="240" w:lineRule="auto"/>
        <w:rPr>
          <w:rFonts w:cstheme="minorHAnsi"/>
          <w:bCs/>
        </w:rPr>
      </w:pPr>
    </w:p>
    <w:p w:rsidR="00E37E1B"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rsidR="004348CC" w:rsidRPr="00E37E1B" w:rsidRDefault="00DB19CE" w:rsidP="00E37E1B">
      <w:pPr>
        <w:autoSpaceDE w:val="0"/>
        <w:autoSpaceDN w:val="0"/>
        <w:adjustRightInd w:val="0"/>
        <w:spacing w:after="0" w:line="240" w:lineRule="auto"/>
        <w:rPr>
          <w:rFonts w:cstheme="minorHAnsi"/>
          <w:bCs/>
        </w:rPr>
      </w:pPr>
      <w:r>
        <w:rPr>
          <w:color w:val="0000FF"/>
        </w:rPr>
        <w:t>Some tests require comparisons of two years of data</w:t>
      </w:r>
      <w:r w:rsidR="004E656C" w:rsidRPr="004E656C">
        <w:rPr>
          <w:color w:val="0000FF"/>
        </w:rPr>
        <w:t xml:space="preserve"> </w:t>
      </w:r>
      <w:r>
        <w:rPr>
          <w:color w:val="0000FF"/>
        </w:rPr>
        <w:t>(</w:t>
      </w:r>
      <w:r w:rsidR="004E656C" w:rsidRPr="004E656C">
        <w:rPr>
          <w:color w:val="0000FF"/>
        </w:rPr>
        <w:t>2011-2012</w:t>
      </w:r>
      <w:r>
        <w:rPr>
          <w:color w:val="0000FF"/>
        </w:rPr>
        <w:t xml:space="preserve">). When no comparisons are required for the test, only 2012 data are used. For 5 year comparison sake we provide rates from 2008-2010 Version 4.5 of the software. Version 5.0 could not be calculated for 2008-2010 due to missing POA data. </w:t>
      </w:r>
      <w:r w:rsidR="00ED36D2">
        <w:rPr>
          <w:color w:val="0000FF"/>
        </w:rPr>
        <w:t xml:space="preserve"> </w:t>
      </w:r>
      <w:r w:rsidR="00483E94">
        <w:rPr>
          <w:rFonts w:cstheme="minorHAnsi"/>
          <w:noProof/>
        </w:rPr>
        <w:t>________</w:t>
      </w:r>
      <w:r w:rsidR="00E37E1B">
        <w:rPr>
          <w:rFonts w:cstheme="minorHAnsi"/>
          <w:noProof/>
        </w:rPr>
        <w:t>_______________</w:t>
      </w:r>
      <w:r w:rsidR="003755CB">
        <w:rPr>
          <w:rFonts w:cstheme="minorHAnsi"/>
          <w:noProof/>
        </w:rPr>
        <w:t>_________</w:t>
      </w:r>
    </w:p>
    <w:p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rsidR="008C54A9" w:rsidRPr="00A25024" w:rsidRDefault="008C54A9" w:rsidP="00DB3627">
      <w:pPr>
        <w:autoSpaceDE w:val="0"/>
        <w:autoSpaceDN w:val="0"/>
        <w:adjustRightInd w:val="0"/>
        <w:spacing w:after="0" w:line="240" w:lineRule="auto"/>
        <w:rPr>
          <w:rFonts w:cstheme="minorHAnsi"/>
          <w:b/>
          <w:bCs/>
        </w:rPr>
      </w:pPr>
    </w:p>
    <w:p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4E656C">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sidRPr="004E656C">
        <w:rPr>
          <w:rFonts w:cstheme="minorHAnsi"/>
          <w:b/>
          <w:bCs/>
          <w:highlight w:val="yellow"/>
        </w:rPr>
        <w:t>Performance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rsidR="008C54A9" w:rsidRDefault="008C54A9" w:rsidP="008C54A9">
      <w:pPr>
        <w:autoSpaceDE w:val="0"/>
        <w:autoSpaceDN w:val="0"/>
        <w:adjustRightInd w:val="0"/>
        <w:spacing w:after="0" w:line="240" w:lineRule="auto"/>
        <w:rPr>
          <w:rFonts w:cstheme="minorHAnsi"/>
          <w:bCs/>
        </w:rPr>
      </w:pPr>
    </w:p>
    <w:p w:rsidR="00ED36D2" w:rsidRPr="00AF279A" w:rsidRDefault="00D25365" w:rsidP="00ED36D2">
      <w:pPr>
        <w:rPr>
          <w:rFonts w:cstheme="minorHAnsi"/>
          <w:color w:val="0000FF"/>
        </w:rPr>
      </w:pPr>
      <w:r w:rsidRPr="00AF279A">
        <w:rPr>
          <w:rFonts w:cstheme="minorHAnsi"/>
          <w:color w:val="0000FF"/>
        </w:rPr>
        <w:t>T</w:t>
      </w:r>
      <w:r w:rsidR="00ED36D2" w:rsidRPr="00AF279A">
        <w:rPr>
          <w:rFonts w:cstheme="minorHAnsi"/>
          <w:color w:val="0000FF"/>
        </w:rPr>
        <w:t xml:space="preserve">he reliability of risk-adjusted rates </w:t>
      </w:r>
      <w:r w:rsidRPr="00AF279A">
        <w:rPr>
          <w:rFonts w:cstheme="minorHAnsi"/>
          <w:color w:val="0000FF"/>
        </w:rPr>
        <w:t xml:space="preserve">was evaluated </w:t>
      </w:r>
      <w:r w:rsidR="00ED36D2" w:rsidRPr="00AF279A">
        <w:rPr>
          <w:rFonts w:cstheme="minorHAnsi"/>
          <w:color w:val="0000FF"/>
        </w:rPr>
        <w:t>using a signal-to-noise ratio metric. This metric is a stringent measure of reliability that accounts not only for the precision of the estimate within a hospital, but the distribution of rates across hospitals. The metric therefore is particularly useful in the context of comparisons between hospitals. Signal-to-noise analyses test whether a hospital’s performance can be measured reliably in relation to other hospitals. The unit of analysis is the hospital.  The noise component is defined as the within-hospital variance, which is computed using a formula for approximating the variance of adjusted rates that is based on the observed and expected rates.</w:t>
      </w:r>
      <w:r w:rsidR="00ED36D2" w:rsidRPr="00AF279A">
        <w:rPr>
          <w:rStyle w:val="FootnoteReference"/>
          <w:rFonts w:cstheme="minorHAnsi"/>
          <w:color w:val="0000FF"/>
        </w:rPr>
        <w:footnoteReference w:id="2"/>
      </w:r>
      <w:r w:rsidR="00A669C3">
        <w:rPr>
          <w:rFonts w:cstheme="minorHAnsi"/>
          <w:color w:val="0000FF"/>
        </w:rPr>
        <w:t xml:space="preserve"> </w:t>
      </w:r>
      <w:r w:rsidR="00ED36D2" w:rsidRPr="00AF279A">
        <w:rPr>
          <w:rFonts w:cstheme="minorHAnsi"/>
          <w:color w:val="0000FF"/>
        </w:rPr>
        <w:t>The signal component is defined as the variance between hospitals.  Signal-to-noise is computed for each hospital as (signal / (signal + noise)).  The overall signal-to-noise ratio is the weighted average of the hospital-specific signal-to-noise ratios where the weights are defined as (1</w:t>
      </w:r>
      <w:proofErr w:type="gramStart"/>
      <w:r w:rsidR="00ED36D2" w:rsidRPr="00AF279A">
        <w:rPr>
          <w:rFonts w:cstheme="minorHAnsi"/>
          <w:color w:val="0000FF"/>
        </w:rPr>
        <w:t>/(</w:t>
      </w:r>
      <w:proofErr w:type="spellStart"/>
      <w:proofErr w:type="gramEnd"/>
      <w:r w:rsidR="00ED36D2" w:rsidRPr="00AF279A">
        <w:rPr>
          <w:rFonts w:cstheme="minorHAnsi"/>
          <w:color w:val="0000FF"/>
        </w:rPr>
        <w:t>signal+noise</w:t>
      </w:r>
      <w:proofErr w:type="spellEnd"/>
      <w:r w:rsidR="00ED36D2" w:rsidRPr="00AF279A">
        <w:rPr>
          <w:rFonts w:cstheme="minorHAnsi"/>
          <w:color w:val="0000FF"/>
        </w:rPr>
        <w:t>)^2).</w:t>
      </w:r>
      <w:r w:rsidR="00ED36D2" w:rsidRPr="00AF279A">
        <w:rPr>
          <w:rStyle w:val="FootnoteReference"/>
          <w:rFonts w:cstheme="minorHAnsi"/>
          <w:color w:val="0000FF"/>
        </w:rPr>
        <w:footnoteReference w:id="3"/>
      </w:r>
      <w:r w:rsidR="00ED36D2" w:rsidRPr="00AF279A">
        <w:rPr>
          <w:rFonts w:cstheme="minorHAnsi"/>
          <w:color w:val="0000FF"/>
          <w:vertAlign w:val="superscript"/>
        </w:rPr>
        <w:t xml:space="preserve">, </w:t>
      </w:r>
      <w:r w:rsidR="00ED36D2" w:rsidRPr="00AF279A">
        <w:rPr>
          <w:rStyle w:val="FootnoteReference"/>
          <w:rFonts w:cstheme="minorHAnsi"/>
          <w:color w:val="0000FF"/>
        </w:rPr>
        <w:footnoteReference w:id="4"/>
      </w:r>
    </w:p>
    <w:p w:rsidR="00ED36D2" w:rsidRPr="00AF279A" w:rsidRDefault="00ED36D2" w:rsidP="00ED36D2">
      <w:pPr>
        <w:rPr>
          <w:rFonts w:cstheme="minorHAnsi"/>
          <w:color w:val="0000FF"/>
        </w:rPr>
      </w:pPr>
      <w:r w:rsidRPr="00AF279A">
        <w:rPr>
          <w:rFonts w:cstheme="minorHAnsi"/>
          <w:color w:val="0000FF"/>
        </w:rPr>
        <w:t xml:space="preserve">Indicators with smaller signal-to-noise ratios have less reliable risk adjusted rates than indicators with larger ratios. </w:t>
      </w:r>
    </w:p>
    <w:p w:rsidR="00ED36D2" w:rsidRPr="00AF279A" w:rsidRDefault="00ED36D2" w:rsidP="00ED36D2">
      <w:pPr>
        <w:rPr>
          <w:rFonts w:cstheme="minorHAnsi"/>
          <w:color w:val="0000FF"/>
        </w:rPr>
      </w:pPr>
      <w:r w:rsidRPr="00AF279A">
        <w:rPr>
          <w:rFonts w:cstheme="minorHAnsi"/>
          <w:color w:val="0000FF"/>
        </w:rPr>
        <w:t xml:space="preserve">Signal-to-noise ratios reflect the hospital rate distribution. In other words, the signal-to-noise ratio is proportional to the signal variance (or between hospital variance). The signal-to-noise ratio is also sensitive to other characteristics of the reference population, including the number of hospitals in the sample and the number of eligible discharges from each hospital. As a result, the ratio will vary based on the reference population. In general practice, “moderate” reliability as assessed by the overall signal-to-noise ratio ranges from 0.4 and 0.8. No universally accepted reliability threshold has been determined, as adequate reliability depends both on the application of the indicators (e.g. hospital comparison, longitudinal analyses) and the magnitude of change or difference that is to be detected. When signal-to-noise ratios are smaller than desired for the hospitals of interest, the smoothed rate provided by the AHRQ QI software should be used. The smoothed rate addresses uncertainty in the risk adjusted rates for less precise indicators by applying a shrinkage factor based on the signal-to-noise ratio. </w:t>
      </w:r>
      <w:r w:rsidRPr="00AF279A" w:rsidDel="00C07525">
        <w:rPr>
          <w:rFonts w:cstheme="minorHAnsi"/>
          <w:color w:val="0000FF"/>
        </w:rPr>
        <w:t xml:space="preserve"> </w:t>
      </w:r>
    </w:p>
    <w:p w:rsidR="00DB31EF" w:rsidRDefault="00092566" w:rsidP="008C54A9">
      <w:pPr>
        <w:autoSpaceDE w:val="0"/>
        <w:autoSpaceDN w:val="0"/>
        <w:adjustRightInd w:val="0"/>
        <w:spacing w:after="0" w:line="240" w:lineRule="auto"/>
        <w:rPr>
          <w:rFonts w:cstheme="minorHAnsi"/>
          <w:bCs/>
        </w:rPr>
      </w:pPr>
      <w:r>
        <w:rPr>
          <w:rFonts w:cstheme="minorHAnsi"/>
          <w:b/>
          <w:bCs/>
        </w:rPr>
        <w:lastRenderedPageBreak/>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rsidR="00AF279A" w:rsidRPr="00DB31EF" w:rsidRDefault="006F585B" w:rsidP="006F585B">
      <w:pPr>
        <w:autoSpaceDE w:val="0"/>
        <w:autoSpaceDN w:val="0"/>
        <w:adjustRightInd w:val="0"/>
        <w:spacing w:after="0" w:line="240" w:lineRule="auto"/>
        <w:ind w:left="90"/>
        <w:jc w:val="both"/>
        <w:rPr>
          <w:rFonts w:ascii="Calibri" w:hAnsi="Calibri" w:cstheme="minorHAnsi"/>
          <w:b/>
          <w:bCs/>
          <w:color w:val="0000FF"/>
        </w:rPr>
      </w:pPr>
      <w:proofErr w:type="gramStart"/>
      <w:r w:rsidRPr="00DB31EF">
        <w:rPr>
          <w:rFonts w:ascii="Calibri" w:hAnsi="Calibri" w:cstheme="minorHAnsi"/>
          <w:b/>
          <w:bCs/>
          <w:color w:val="0000FF"/>
        </w:rPr>
        <w:t>Table 2.</w:t>
      </w:r>
      <w:proofErr w:type="gramEnd"/>
      <w:r w:rsidRPr="00DB31EF">
        <w:rPr>
          <w:rFonts w:ascii="Calibri" w:hAnsi="Calibri" w:cstheme="minorHAnsi"/>
          <w:b/>
          <w:bCs/>
          <w:color w:val="0000FF"/>
        </w:rPr>
        <w:t xml:space="preserve"> Signal-to-Noise Ratio by Size </w:t>
      </w:r>
      <w:proofErr w:type="spellStart"/>
      <w:r w:rsidRPr="00DB31EF">
        <w:rPr>
          <w:rFonts w:ascii="Calibri" w:hAnsi="Calibri" w:cstheme="minorHAnsi"/>
          <w:b/>
          <w:bCs/>
          <w:color w:val="0000FF"/>
        </w:rPr>
        <w:t>Decile</w:t>
      </w:r>
      <w:proofErr w:type="spellEnd"/>
      <w:r w:rsidR="00A669C3">
        <w:rPr>
          <w:rFonts w:ascii="Calibri" w:hAnsi="Calibri" w:cstheme="minorHAnsi"/>
          <w:b/>
          <w:bCs/>
          <w:color w:val="0000FF"/>
        </w:rPr>
        <w:t>,</w:t>
      </w:r>
      <w:r w:rsidR="006C63BD">
        <w:rPr>
          <w:rFonts w:ascii="Calibri" w:hAnsi="Calibri" w:cstheme="minorHAnsi"/>
          <w:b/>
          <w:bCs/>
          <w:color w:val="0000FF"/>
        </w:rPr>
        <w:t xml:space="preserve"> </w:t>
      </w:r>
      <w:r w:rsidR="00AF279A" w:rsidRPr="00DB31EF">
        <w:rPr>
          <w:rFonts w:ascii="Calibri" w:hAnsi="Calibri" w:cstheme="minorHAnsi"/>
          <w:b/>
          <w:bCs/>
          <w:color w:val="0000FF"/>
        </w:rPr>
        <w:t>PSI 11 Postoperative Respiratory Failure Rate</w:t>
      </w:r>
    </w:p>
    <w:tbl>
      <w:tblPr>
        <w:tblW w:w="7640" w:type="dxa"/>
        <w:tblInd w:w="106" w:type="dxa"/>
        <w:tblLayout w:type="fixed"/>
        <w:tblCellMar>
          <w:left w:w="0" w:type="dxa"/>
          <w:right w:w="0" w:type="dxa"/>
        </w:tblCellMar>
        <w:tblLook w:val="01E0" w:firstRow="1" w:lastRow="1" w:firstColumn="1" w:lastColumn="1" w:noHBand="0" w:noVBand="0"/>
      </w:tblPr>
      <w:tblGrid>
        <w:gridCol w:w="1257"/>
        <w:gridCol w:w="1703"/>
        <w:gridCol w:w="2340"/>
        <w:gridCol w:w="2340"/>
      </w:tblGrid>
      <w:tr w:rsidR="00E37029" w:rsidRPr="00E37029" w:rsidTr="00DB31EF">
        <w:trPr>
          <w:trHeight w:hRule="exact" w:val="929"/>
        </w:trPr>
        <w:tc>
          <w:tcPr>
            <w:tcW w:w="1257" w:type="dxa"/>
            <w:tcBorders>
              <w:top w:val="single" w:sz="5" w:space="0" w:color="000000"/>
              <w:left w:val="single" w:sz="5" w:space="0" w:color="000000"/>
              <w:bottom w:val="single" w:sz="5" w:space="0" w:color="000000"/>
              <w:right w:val="nil"/>
            </w:tcBorders>
            <w:shd w:val="clear" w:color="auto" w:fill="D9D9D9" w:themeFill="background1" w:themeFillShade="D9"/>
          </w:tcPr>
          <w:p w:rsidR="00E37029" w:rsidRPr="00E37029" w:rsidRDefault="00E37029" w:rsidP="00EB48CA">
            <w:pPr>
              <w:pStyle w:val="TableParagraph"/>
              <w:spacing w:before="8"/>
              <w:jc w:val="both"/>
              <w:rPr>
                <w:rFonts w:eastAsia="Times New Roman" w:cstheme="minorHAnsi"/>
                <w:color w:val="0000FF"/>
                <w:sz w:val="20"/>
                <w:szCs w:val="20"/>
              </w:rPr>
            </w:pPr>
          </w:p>
          <w:p w:rsidR="00E37029" w:rsidRPr="00E37029" w:rsidRDefault="00E37029" w:rsidP="00EB48CA">
            <w:pPr>
              <w:pStyle w:val="TableParagraph"/>
              <w:ind w:left="102"/>
              <w:jc w:val="both"/>
              <w:rPr>
                <w:rFonts w:eastAsia="Times New Roman" w:cstheme="minorHAnsi"/>
                <w:color w:val="0000FF"/>
                <w:sz w:val="20"/>
                <w:szCs w:val="20"/>
              </w:rPr>
            </w:pPr>
            <w:r w:rsidRPr="00E37029">
              <w:rPr>
                <w:rFonts w:cstheme="minorHAnsi"/>
                <w:b/>
                <w:color w:val="0000FF"/>
                <w:sz w:val="20"/>
                <w:szCs w:val="20"/>
              </w:rPr>
              <w:t xml:space="preserve">Size </w:t>
            </w:r>
            <w:proofErr w:type="spellStart"/>
            <w:r w:rsidRPr="00E37029">
              <w:rPr>
                <w:rFonts w:cstheme="minorHAnsi"/>
                <w:b/>
                <w:color w:val="0000FF"/>
                <w:sz w:val="20"/>
                <w:szCs w:val="20"/>
              </w:rPr>
              <w:t>Decile</w:t>
            </w:r>
            <w:proofErr w:type="spellEnd"/>
          </w:p>
        </w:tc>
        <w:tc>
          <w:tcPr>
            <w:tcW w:w="1703" w:type="dxa"/>
            <w:tcBorders>
              <w:top w:val="single" w:sz="5" w:space="0" w:color="000000"/>
              <w:left w:val="nil"/>
              <w:bottom w:val="single" w:sz="5" w:space="0" w:color="000000"/>
              <w:right w:val="nil"/>
            </w:tcBorders>
            <w:shd w:val="clear" w:color="auto" w:fill="D9D9D9" w:themeFill="background1" w:themeFillShade="D9"/>
          </w:tcPr>
          <w:p w:rsidR="00E37029" w:rsidRPr="00E37029" w:rsidRDefault="00E37029" w:rsidP="00EB48CA">
            <w:pPr>
              <w:pStyle w:val="TableParagraph"/>
              <w:spacing w:before="7"/>
              <w:jc w:val="both"/>
              <w:rPr>
                <w:rFonts w:eastAsia="Times New Roman" w:cstheme="minorHAnsi"/>
                <w:color w:val="0000FF"/>
                <w:sz w:val="20"/>
                <w:szCs w:val="20"/>
              </w:rPr>
            </w:pPr>
          </w:p>
          <w:p w:rsidR="00E37029" w:rsidRPr="00E37029" w:rsidRDefault="00E37029" w:rsidP="00EB48CA">
            <w:pPr>
              <w:pStyle w:val="TableParagraph"/>
              <w:ind w:left="83" w:right="630" w:firstLine="28"/>
              <w:jc w:val="both"/>
              <w:rPr>
                <w:rFonts w:eastAsia="Times New Roman" w:cstheme="minorHAnsi"/>
                <w:color w:val="0000FF"/>
                <w:sz w:val="20"/>
                <w:szCs w:val="20"/>
              </w:rPr>
            </w:pPr>
            <w:r w:rsidRPr="00E37029">
              <w:rPr>
                <w:rFonts w:cstheme="minorHAnsi"/>
                <w:b/>
                <w:color w:val="0000FF"/>
                <w:sz w:val="20"/>
                <w:szCs w:val="20"/>
              </w:rPr>
              <w:t>Number</w:t>
            </w:r>
            <w:r w:rsidRPr="00E37029">
              <w:rPr>
                <w:rFonts w:cstheme="minorHAnsi"/>
                <w:b/>
                <w:color w:val="0000FF"/>
                <w:w w:val="99"/>
                <w:sz w:val="20"/>
                <w:szCs w:val="20"/>
              </w:rPr>
              <w:t xml:space="preserve"> </w:t>
            </w:r>
            <w:r w:rsidRPr="00E37029">
              <w:rPr>
                <w:rFonts w:cstheme="minorHAnsi"/>
                <w:b/>
                <w:color w:val="0000FF"/>
                <w:sz w:val="20"/>
                <w:szCs w:val="20"/>
              </w:rPr>
              <w:t>of Hospitals</w:t>
            </w:r>
          </w:p>
        </w:tc>
        <w:tc>
          <w:tcPr>
            <w:tcW w:w="2340" w:type="dxa"/>
            <w:tcBorders>
              <w:top w:val="single" w:sz="5" w:space="0" w:color="000000"/>
              <w:left w:val="nil"/>
              <w:bottom w:val="single" w:sz="5" w:space="0" w:color="000000"/>
              <w:right w:val="nil"/>
            </w:tcBorders>
            <w:shd w:val="clear" w:color="auto" w:fill="D9D9D9" w:themeFill="background1" w:themeFillShade="D9"/>
          </w:tcPr>
          <w:p w:rsidR="00E37029" w:rsidRPr="00E37029" w:rsidRDefault="00E37029" w:rsidP="00EB48CA">
            <w:pPr>
              <w:pStyle w:val="TableParagraph"/>
              <w:spacing w:before="9"/>
              <w:rPr>
                <w:rFonts w:eastAsia="Times New Roman" w:cstheme="minorHAnsi"/>
                <w:color w:val="0000FF"/>
                <w:sz w:val="20"/>
                <w:szCs w:val="20"/>
              </w:rPr>
            </w:pPr>
          </w:p>
          <w:p w:rsidR="00E37029" w:rsidRPr="00E37029" w:rsidRDefault="00E37029" w:rsidP="0028189D">
            <w:pPr>
              <w:pStyle w:val="TableParagraph"/>
              <w:ind w:right="214"/>
              <w:rPr>
                <w:rFonts w:eastAsia="Times New Roman" w:cstheme="minorHAnsi"/>
                <w:color w:val="0000FF"/>
                <w:sz w:val="20"/>
                <w:szCs w:val="20"/>
              </w:rPr>
            </w:pPr>
            <w:r w:rsidRPr="00E37029">
              <w:rPr>
                <w:rFonts w:cstheme="minorHAnsi"/>
                <w:b/>
                <w:color w:val="0000FF"/>
                <w:sz w:val="20"/>
                <w:szCs w:val="20"/>
              </w:rPr>
              <w:t>Ave. Number of</w:t>
            </w:r>
            <w:r w:rsidRPr="00E37029">
              <w:rPr>
                <w:rFonts w:cstheme="minorHAnsi"/>
                <w:b/>
                <w:color w:val="0000FF"/>
                <w:w w:val="99"/>
                <w:sz w:val="20"/>
                <w:szCs w:val="20"/>
              </w:rPr>
              <w:t xml:space="preserve"> </w:t>
            </w:r>
            <w:r w:rsidR="0028189D">
              <w:rPr>
                <w:rFonts w:cstheme="minorHAnsi"/>
                <w:b/>
                <w:color w:val="0000FF"/>
                <w:sz w:val="20"/>
                <w:szCs w:val="20"/>
              </w:rPr>
              <w:t xml:space="preserve">Discharges </w:t>
            </w:r>
            <w:r w:rsidRPr="00E37029">
              <w:rPr>
                <w:rFonts w:cstheme="minorHAnsi"/>
                <w:b/>
                <w:color w:val="0000FF"/>
                <w:sz w:val="20"/>
                <w:szCs w:val="20"/>
              </w:rPr>
              <w:t>per Hospital</w:t>
            </w:r>
            <w:r w:rsidRPr="00E37029">
              <w:rPr>
                <w:rFonts w:eastAsia="Times New Roman" w:cstheme="minorHAnsi"/>
                <w:color w:val="0000FF"/>
                <w:sz w:val="20"/>
                <w:szCs w:val="20"/>
              </w:rPr>
              <w:t xml:space="preserve"> </w:t>
            </w:r>
            <w:r w:rsidRPr="00E37029">
              <w:rPr>
                <w:rFonts w:cstheme="minorHAnsi"/>
                <w:b/>
                <w:color w:val="0000FF"/>
                <w:sz w:val="20"/>
                <w:szCs w:val="20"/>
              </w:rPr>
              <w:t xml:space="preserve">in </w:t>
            </w:r>
            <w:proofErr w:type="spellStart"/>
            <w:r w:rsidRPr="00E37029">
              <w:rPr>
                <w:rFonts w:cstheme="minorHAnsi"/>
                <w:b/>
                <w:color w:val="0000FF"/>
                <w:sz w:val="20"/>
                <w:szCs w:val="20"/>
              </w:rPr>
              <w:t>Decile</w:t>
            </w:r>
            <w:proofErr w:type="spellEnd"/>
          </w:p>
        </w:tc>
        <w:tc>
          <w:tcPr>
            <w:tcW w:w="2340" w:type="dxa"/>
            <w:tcBorders>
              <w:top w:val="single" w:sz="6" w:space="0" w:color="000000"/>
              <w:left w:val="nil"/>
              <w:bottom w:val="single" w:sz="5" w:space="0" w:color="000000"/>
              <w:right w:val="single" w:sz="6" w:space="0" w:color="000000"/>
            </w:tcBorders>
            <w:shd w:val="clear" w:color="auto" w:fill="D9D9D9" w:themeFill="background1" w:themeFillShade="D9"/>
          </w:tcPr>
          <w:p w:rsidR="00E37029" w:rsidRPr="00E37029" w:rsidRDefault="00E37029" w:rsidP="00EB48CA">
            <w:pPr>
              <w:pStyle w:val="TableParagraph"/>
              <w:spacing w:before="9"/>
              <w:jc w:val="both"/>
              <w:rPr>
                <w:rFonts w:eastAsia="Times New Roman" w:cstheme="minorHAnsi"/>
                <w:color w:val="0000FF"/>
                <w:sz w:val="20"/>
                <w:szCs w:val="20"/>
              </w:rPr>
            </w:pPr>
          </w:p>
          <w:p w:rsidR="00E37029" w:rsidRPr="00E37029" w:rsidRDefault="00E37029" w:rsidP="00EB48CA">
            <w:pPr>
              <w:pStyle w:val="TableParagraph"/>
              <w:rPr>
                <w:rFonts w:eastAsia="Times New Roman" w:cstheme="minorHAnsi"/>
                <w:color w:val="0000FF"/>
                <w:sz w:val="20"/>
                <w:szCs w:val="20"/>
              </w:rPr>
            </w:pPr>
            <w:r w:rsidRPr="00E37029">
              <w:rPr>
                <w:rFonts w:cstheme="minorHAnsi"/>
                <w:b/>
                <w:color w:val="0000FF"/>
                <w:sz w:val="20"/>
                <w:szCs w:val="20"/>
              </w:rPr>
              <w:t>Ave. Signal-to-Noise</w:t>
            </w:r>
            <w:r w:rsidRPr="00E37029">
              <w:rPr>
                <w:rFonts w:cstheme="minorHAnsi"/>
                <w:b/>
                <w:color w:val="0000FF"/>
                <w:w w:val="99"/>
                <w:sz w:val="20"/>
                <w:szCs w:val="20"/>
              </w:rPr>
              <w:t xml:space="preserve"> </w:t>
            </w:r>
            <w:r w:rsidRPr="00E37029">
              <w:rPr>
                <w:rFonts w:cstheme="minorHAnsi"/>
                <w:b/>
                <w:color w:val="0000FF"/>
                <w:sz w:val="20"/>
                <w:szCs w:val="20"/>
              </w:rPr>
              <w:t>Ratio for Hospitals</w:t>
            </w:r>
            <w:r w:rsidRPr="00E37029">
              <w:rPr>
                <w:rFonts w:eastAsia="Times New Roman" w:cstheme="minorHAnsi"/>
                <w:color w:val="0000FF"/>
                <w:sz w:val="20"/>
                <w:szCs w:val="20"/>
              </w:rPr>
              <w:t xml:space="preserve"> </w:t>
            </w:r>
            <w:r w:rsidRPr="00E37029">
              <w:rPr>
                <w:rFonts w:cstheme="minorHAnsi"/>
                <w:b/>
                <w:color w:val="0000FF"/>
                <w:sz w:val="20"/>
                <w:szCs w:val="20"/>
              </w:rPr>
              <w:t xml:space="preserve">in </w:t>
            </w:r>
            <w:proofErr w:type="spellStart"/>
            <w:r w:rsidRPr="00E37029">
              <w:rPr>
                <w:rFonts w:cstheme="minorHAnsi"/>
                <w:b/>
                <w:color w:val="0000FF"/>
                <w:sz w:val="20"/>
                <w:szCs w:val="20"/>
              </w:rPr>
              <w:t>Decile</w:t>
            </w:r>
            <w:proofErr w:type="spellEnd"/>
          </w:p>
        </w:tc>
      </w:tr>
      <w:tr w:rsidR="00E37029" w:rsidRPr="00E37029" w:rsidTr="00EB48CA">
        <w:trPr>
          <w:trHeight w:hRule="exact" w:val="338"/>
        </w:trPr>
        <w:tc>
          <w:tcPr>
            <w:tcW w:w="1257" w:type="dxa"/>
            <w:tcBorders>
              <w:top w:val="single" w:sz="5" w:space="0" w:color="000000"/>
              <w:left w:val="single" w:sz="5" w:space="0" w:color="000000"/>
              <w:bottom w:val="nil"/>
              <w:right w:val="nil"/>
            </w:tcBorders>
            <w:vAlign w:val="bottom"/>
          </w:tcPr>
          <w:p w:rsidR="00E37029" w:rsidRPr="00E37029" w:rsidRDefault="00E37029" w:rsidP="00EB48CA">
            <w:pPr>
              <w:spacing w:after="0"/>
              <w:rPr>
                <w:rFonts w:ascii="Calibri" w:hAnsi="Calibri"/>
                <w:color w:val="0000FF"/>
              </w:rPr>
            </w:pPr>
            <w:r w:rsidRPr="00E37029">
              <w:rPr>
                <w:rFonts w:ascii="Calibri" w:hAnsi="Calibri"/>
                <w:color w:val="0000FF"/>
              </w:rPr>
              <w:t>1</w:t>
            </w:r>
          </w:p>
        </w:tc>
        <w:tc>
          <w:tcPr>
            <w:tcW w:w="1703" w:type="dxa"/>
            <w:tcBorders>
              <w:top w:val="single" w:sz="5" w:space="0" w:color="000000"/>
              <w:left w:val="nil"/>
              <w:bottom w:val="nil"/>
              <w:right w:val="nil"/>
            </w:tcBorders>
            <w:vAlign w:val="bottom"/>
          </w:tcPr>
          <w:p w:rsidR="00E37029" w:rsidRPr="00E37029" w:rsidRDefault="00E37029" w:rsidP="00EB48CA">
            <w:pPr>
              <w:spacing w:after="0"/>
              <w:rPr>
                <w:rFonts w:ascii="Calibri" w:hAnsi="Calibri"/>
                <w:color w:val="0000FF"/>
              </w:rPr>
            </w:pPr>
            <w:r w:rsidRPr="00E37029">
              <w:rPr>
                <w:rFonts w:ascii="Calibri" w:hAnsi="Calibri"/>
                <w:color w:val="0000FF"/>
              </w:rPr>
              <w:t>262</w:t>
            </w:r>
          </w:p>
        </w:tc>
        <w:tc>
          <w:tcPr>
            <w:tcW w:w="2340" w:type="dxa"/>
            <w:tcBorders>
              <w:top w:val="single" w:sz="5" w:space="0" w:color="000000"/>
              <w:left w:val="nil"/>
              <w:bottom w:val="nil"/>
              <w:right w:val="nil"/>
            </w:tcBorders>
            <w:vAlign w:val="bottom"/>
          </w:tcPr>
          <w:p w:rsidR="00E37029" w:rsidRPr="00E37029" w:rsidRDefault="00E37029" w:rsidP="00EB48CA">
            <w:pPr>
              <w:spacing w:after="0"/>
              <w:rPr>
                <w:rFonts w:ascii="Calibri" w:hAnsi="Calibri"/>
                <w:color w:val="0000FF"/>
              </w:rPr>
            </w:pPr>
            <w:r w:rsidRPr="00E37029">
              <w:rPr>
                <w:rFonts w:ascii="Calibri" w:hAnsi="Calibri"/>
                <w:color w:val="0000FF"/>
              </w:rPr>
              <w:t>10.8</w:t>
            </w:r>
          </w:p>
        </w:tc>
        <w:tc>
          <w:tcPr>
            <w:tcW w:w="2340" w:type="dxa"/>
            <w:tcBorders>
              <w:top w:val="single" w:sz="5" w:space="0" w:color="000000"/>
              <w:left w:val="nil"/>
              <w:bottom w:val="nil"/>
              <w:right w:val="single" w:sz="6" w:space="0" w:color="000000"/>
            </w:tcBorders>
            <w:vAlign w:val="bottom"/>
          </w:tcPr>
          <w:p w:rsidR="00E37029" w:rsidRPr="00E37029" w:rsidRDefault="00E37029" w:rsidP="00EB48CA">
            <w:pPr>
              <w:spacing w:after="0"/>
              <w:rPr>
                <w:rFonts w:ascii="Calibri" w:hAnsi="Calibri"/>
                <w:color w:val="0000FF"/>
              </w:rPr>
            </w:pPr>
            <w:r w:rsidRPr="00E37029">
              <w:rPr>
                <w:rFonts w:ascii="Calibri" w:hAnsi="Calibri"/>
                <w:color w:val="0000FF"/>
              </w:rPr>
              <w:t>0.14404</w:t>
            </w:r>
          </w:p>
        </w:tc>
      </w:tr>
      <w:tr w:rsidR="00E37029" w:rsidRPr="00E37029" w:rsidTr="00EB48CA">
        <w:trPr>
          <w:trHeight w:hRule="exact" w:val="300"/>
        </w:trPr>
        <w:tc>
          <w:tcPr>
            <w:tcW w:w="1257" w:type="dxa"/>
            <w:tcBorders>
              <w:top w:val="nil"/>
              <w:left w:val="single" w:sz="5" w:space="0" w:color="000000"/>
              <w:bottom w:val="nil"/>
              <w:right w:val="nil"/>
            </w:tcBorders>
            <w:vAlign w:val="bottom"/>
          </w:tcPr>
          <w:p w:rsidR="00E37029" w:rsidRPr="00E37029" w:rsidRDefault="00E37029" w:rsidP="00EB48CA">
            <w:pPr>
              <w:spacing w:after="0"/>
              <w:rPr>
                <w:rFonts w:ascii="Calibri" w:hAnsi="Calibri"/>
                <w:color w:val="0000FF"/>
              </w:rPr>
            </w:pPr>
            <w:r w:rsidRPr="00E37029">
              <w:rPr>
                <w:rFonts w:ascii="Calibri" w:hAnsi="Calibri"/>
                <w:color w:val="0000FF"/>
              </w:rPr>
              <w:t>2</w:t>
            </w:r>
          </w:p>
        </w:tc>
        <w:tc>
          <w:tcPr>
            <w:tcW w:w="1703" w:type="dxa"/>
            <w:tcBorders>
              <w:top w:val="nil"/>
              <w:left w:val="nil"/>
              <w:bottom w:val="nil"/>
              <w:right w:val="nil"/>
            </w:tcBorders>
            <w:vAlign w:val="bottom"/>
          </w:tcPr>
          <w:p w:rsidR="00E37029" w:rsidRPr="00E37029" w:rsidRDefault="00E37029" w:rsidP="00EB48CA">
            <w:pPr>
              <w:spacing w:after="0"/>
              <w:rPr>
                <w:rFonts w:ascii="Calibri" w:hAnsi="Calibri"/>
                <w:color w:val="0000FF"/>
              </w:rPr>
            </w:pPr>
            <w:r w:rsidRPr="00E37029">
              <w:rPr>
                <w:rFonts w:ascii="Calibri" w:hAnsi="Calibri"/>
                <w:color w:val="0000FF"/>
              </w:rPr>
              <w:t>262</w:t>
            </w:r>
          </w:p>
        </w:tc>
        <w:tc>
          <w:tcPr>
            <w:tcW w:w="2340" w:type="dxa"/>
            <w:tcBorders>
              <w:top w:val="nil"/>
              <w:left w:val="nil"/>
              <w:bottom w:val="nil"/>
              <w:right w:val="nil"/>
            </w:tcBorders>
            <w:vAlign w:val="bottom"/>
          </w:tcPr>
          <w:p w:rsidR="00E37029" w:rsidRPr="00E37029" w:rsidRDefault="00E37029" w:rsidP="00EB48CA">
            <w:pPr>
              <w:spacing w:after="0"/>
              <w:rPr>
                <w:rFonts w:ascii="Calibri" w:hAnsi="Calibri"/>
                <w:color w:val="0000FF"/>
              </w:rPr>
            </w:pPr>
            <w:r w:rsidRPr="00E37029">
              <w:rPr>
                <w:rFonts w:ascii="Calibri" w:hAnsi="Calibri"/>
                <w:color w:val="0000FF"/>
              </w:rPr>
              <w:t>49.2</w:t>
            </w:r>
          </w:p>
        </w:tc>
        <w:tc>
          <w:tcPr>
            <w:tcW w:w="2340" w:type="dxa"/>
            <w:tcBorders>
              <w:top w:val="nil"/>
              <w:left w:val="nil"/>
              <w:bottom w:val="nil"/>
              <w:right w:val="single" w:sz="6" w:space="0" w:color="000000"/>
            </w:tcBorders>
            <w:vAlign w:val="bottom"/>
          </w:tcPr>
          <w:p w:rsidR="00E37029" w:rsidRPr="00E37029" w:rsidRDefault="00E37029" w:rsidP="00EB48CA">
            <w:pPr>
              <w:spacing w:after="0"/>
              <w:rPr>
                <w:rFonts w:ascii="Calibri" w:hAnsi="Calibri"/>
                <w:color w:val="0000FF"/>
              </w:rPr>
            </w:pPr>
            <w:r w:rsidRPr="00E37029">
              <w:rPr>
                <w:rFonts w:ascii="Calibri" w:hAnsi="Calibri"/>
                <w:color w:val="0000FF"/>
              </w:rPr>
              <w:t>0.21941</w:t>
            </w:r>
          </w:p>
        </w:tc>
      </w:tr>
      <w:tr w:rsidR="00E37029" w:rsidRPr="00E37029" w:rsidTr="00EB48CA">
        <w:trPr>
          <w:trHeight w:hRule="exact" w:val="300"/>
        </w:trPr>
        <w:tc>
          <w:tcPr>
            <w:tcW w:w="1257" w:type="dxa"/>
            <w:tcBorders>
              <w:top w:val="nil"/>
              <w:left w:val="single" w:sz="5" w:space="0" w:color="000000"/>
              <w:bottom w:val="nil"/>
              <w:right w:val="nil"/>
            </w:tcBorders>
            <w:vAlign w:val="bottom"/>
          </w:tcPr>
          <w:p w:rsidR="00E37029" w:rsidRPr="00E37029" w:rsidRDefault="00E37029" w:rsidP="00EB48CA">
            <w:pPr>
              <w:spacing w:after="0"/>
              <w:rPr>
                <w:rFonts w:ascii="Calibri" w:hAnsi="Calibri"/>
                <w:color w:val="0000FF"/>
              </w:rPr>
            </w:pPr>
            <w:r w:rsidRPr="00E37029">
              <w:rPr>
                <w:rFonts w:ascii="Calibri" w:hAnsi="Calibri"/>
                <w:color w:val="0000FF"/>
              </w:rPr>
              <w:t>3</w:t>
            </w:r>
          </w:p>
        </w:tc>
        <w:tc>
          <w:tcPr>
            <w:tcW w:w="1703" w:type="dxa"/>
            <w:tcBorders>
              <w:top w:val="nil"/>
              <w:left w:val="nil"/>
              <w:bottom w:val="nil"/>
              <w:right w:val="nil"/>
            </w:tcBorders>
            <w:vAlign w:val="bottom"/>
          </w:tcPr>
          <w:p w:rsidR="00E37029" w:rsidRPr="00E37029" w:rsidRDefault="00E37029" w:rsidP="00EB48CA">
            <w:pPr>
              <w:spacing w:after="0"/>
              <w:rPr>
                <w:rFonts w:ascii="Calibri" w:hAnsi="Calibri"/>
                <w:color w:val="0000FF"/>
              </w:rPr>
            </w:pPr>
            <w:r w:rsidRPr="00E37029">
              <w:rPr>
                <w:rFonts w:ascii="Calibri" w:hAnsi="Calibri"/>
                <w:color w:val="0000FF"/>
              </w:rPr>
              <w:t>262</w:t>
            </w:r>
          </w:p>
        </w:tc>
        <w:tc>
          <w:tcPr>
            <w:tcW w:w="2340" w:type="dxa"/>
            <w:tcBorders>
              <w:top w:val="nil"/>
              <w:left w:val="nil"/>
              <w:bottom w:val="nil"/>
              <w:right w:val="nil"/>
            </w:tcBorders>
            <w:vAlign w:val="bottom"/>
          </w:tcPr>
          <w:p w:rsidR="00E37029" w:rsidRPr="00E37029" w:rsidRDefault="00E37029" w:rsidP="00EB48CA">
            <w:pPr>
              <w:spacing w:after="0"/>
              <w:rPr>
                <w:rFonts w:ascii="Calibri" w:hAnsi="Calibri"/>
                <w:color w:val="0000FF"/>
              </w:rPr>
            </w:pPr>
            <w:r w:rsidRPr="00E37029">
              <w:rPr>
                <w:rFonts w:ascii="Calibri" w:hAnsi="Calibri"/>
                <w:color w:val="0000FF"/>
              </w:rPr>
              <w:t>116.5</w:t>
            </w:r>
          </w:p>
        </w:tc>
        <w:tc>
          <w:tcPr>
            <w:tcW w:w="2340" w:type="dxa"/>
            <w:tcBorders>
              <w:top w:val="nil"/>
              <w:left w:val="nil"/>
              <w:bottom w:val="nil"/>
              <w:right w:val="single" w:sz="6" w:space="0" w:color="000000"/>
            </w:tcBorders>
            <w:vAlign w:val="bottom"/>
          </w:tcPr>
          <w:p w:rsidR="00E37029" w:rsidRPr="00E37029" w:rsidRDefault="00E37029" w:rsidP="00EB48CA">
            <w:pPr>
              <w:spacing w:after="0"/>
              <w:rPr>
                <w:rFonts w:ascii="Calibri" w:hAnsi="Calibri"/>
                <w:color w:val="0000FF"/>
              </w:rPr>
            </w:pPr>
            <w:r w:rsidRPr="00E37029">
              <w:rPr>
                <w:rFonts w:ascii="Calibri" w:hAnsi="Calibri"/>
                <w:color w:val="0000FF"/>
              </w:rPr>
              <w:t>0.29550</w:t>
            </w:r>
          </w:p>
        </w:tc>
      </w:tr>
      <w:tr w:rsidR="00E37029" w:rsidRPr="00E37029" w:rsidTr="00EB48CA">
        <w:trPr>
          <w:trHeight w:hRule="exact" w:val="300"/>
        </w:trPr>
        <w:tc>
          <w:tcPr>
            <w:tcW w:w="1257" w:type="dxa"/>
            <w:tcBorders>
              <w:top w:val="nil"/>
              <w:left w:val="single" w:sz="5" w:space="0" w:color="000000"/>
              <w:bottom w:val="nil"/>
              <w:right w:val="nil"/>
            </w:tcBorders>
            <w:vAlign w:val="bottom"/>
          </w:tcPr>
          <w:p w:rsidR="00E37029" w:rsidRPr="00E37029" w:rsidRDefault="00E37029" w:rsidP="00EB48CA">
            <w:pPr>
              <w:spacing w:after="0"/>
              <w:rPr>
                <w:rFonts w:ascii="Calibri" w:hAnsi="Calibri"/>
                <w:color w:val="0000FF"/>
              </w:rPr>
            </w:pPr>
            <w:r w:rsidRPr="00E37029">
              <w:rPr>
                <w:rFonts w:ascii="Calibri" w:hAnsi="Calibri"/>
                <w:color w:val="0000FF"/>
              </w:rPr>
              <w:t>4</w:t>
            </w:r>
          </w:p>
        </w:tc>
        <w:tc>
          <w:tcPr>
            <w:tcW w:w="1703" w:type="dxa"/>
            <w:tcBorders>
              <w:top w:val="nil"/>
              <w:left w:val="nil"/>
              <w:bottom w:val="nil"/>
              <w:right w:val="nil"/>
            </w:tcBorders>
            <w:vAlign w:val="bottom"/>
          </w:tcPr>
          <w:p w:rsidR="00E37029" w:rsidRPr="00E37029" w:rsidRDefault="00E37029" w:rsidP="00EB48CA">
            <w:pPr>
              <w:spacing w:after="0"/>
              <w:rPr>
                <w:rFonts w:ascii="Calibri" w:hAnsi="Calibri"/>
                <w:color w:val="0000FF"/>
              </w:rPr>
            </w:pPr>
            <w:r w:rsidRPr="00E37029">
              <w:rPr>
                <w:rFonts w:ascii="Calibri" w:hAnsi="Calibri"/>
                <w:color w:val="0000FF"/>
              </w:rPr>
              <w:t>262</w:t>
            </w:r>
          </w:p>
        </w:tc>
        <w:tc>
          <w:tcPr>
            <w:tcW w:w="2340" w:type="dxa"/>
            <w:tcBorders>
              <w:top w:val="nil"/>
              <w:left w:val="nil"/>
              <w:bottom w:val="nil"/>
              <w:right w:val="nil"/>
            </w:tcBorders>
            <w:vAlign w:val="bottom"/>
          </w:tcPr>
          <w:p w:rsidR="00E37029" w:rsidRPr="00E37029" w:rsidRDefault="00E37029" w:rsidP="00EB48CA">
            <w:pPr>
              <w:spacing w:after="0"/>
              <w:rPr>
                <w:rFonts w:ascii="Calibri" w:hAnsi="Calibri"/>
                <w:color w:val="0000FF"/>
              </w:rPr>
            </w:pPr>
            <w:r w:rsidRPr="00E37029">
              <w:rPr>
                <w:rFonts w:ascii="Calibri" w:hAnsi="Calibri"/>
                <w:color w:val="0000FF"/>
              </w:rPr>
              <w:t>217.4</w:t>
            </w:r>
          </w:p>
        </w:tc>
        <w:tc>
          <w:tcPr>
            <w:tcW w:w="2340" w:type="dxa"/>
            <w:tcBorders>
              <w:top w:val="nil"/>
              <w:left w:val="nil"/>
              <w:bottom w:val="nil"/>
              <w:right w:val="single" w:sz="6" w:space="0" w:color="000000"/>
            </w:tcBorders>
            <w:vAlign w:val="bottom"/>
          </w:tcPr>
          <w:p w:rsidR="00E37029" w:rsidRPr="00E37029" w:rsidRDefault="00E37029" w:rsidP="00EB48CA">
            <w:pPr>
              <w:spacing w:after="0"/>
              <w:rPr>
                <w:rFonts w:ascii="Calibri" w:hAnsi="Calibri"/>
                <w:color w:val="0000FF"/>
              </w:rPr>
            </w:pPr>
            <w:r w:rsidRPr="00E37029">
              <w:rPr>
                <w:rFonts w:ascii="Calibri" w:hAnsi="Calibri"/>
                <w:color w:val="0000FF"/>
              </w:rPr>
              <w:t>0.42233</w:t>
            </w:r>
          </w:p>
        </w:tc>
      </w:tr>
      <w:tr w:rsidR="00E37029" w:rsidRPr="00E37029" w:rsidTr="00EB48CA">
        <w:trPr>
          <w:trHeight w:hRule="exact" w:val="300"/>
        </w:trPr>
        <w:tc>
          <w:tcPr>
            <w:tcW w:w="1257" w:type="dxa"/>
            <w:tcBorders>
              <w:top w:val="nil"/>
              <w:left w:val="single" w:sz="5" w:space="0" w:color="000000"/>
              <w:bottom w:val="nil"/>
              <w:right w:val="nil"/>
            </w:tcBorders>
            <w:vAlign w:val="bottom"/>
          </w:tcPr>
          <w:p w:rsidR="00E37029" w:rsidRPr="00E37029" w:rsidRDefault="00E37029" w:rsidP="00EB48CA">
            <w:pPr>
              <w:spacing w:after="0"/>
              <w:rPr>
                <w:rFonts w:ascii="Calibri" w:hAnsi="Calibri"/>
                <w:color w:val="0000FF"/>
              </w:rPr>
            </w:pPr>
            <w:r w:rsidRPr="00E37029">
              <w:rPr>
                <w:rFonts w:ascii="Calibri" w:hAnsi="Calibri"/>
                <w:color w:val="0000FF"/>
              </w:rPr>
              <w:t>5</w:t>
            </w:r>
          </w:p>
        </w:tc>
        <w:tc>
          <w:tcPr>
            <w:tcW w:w="1703" w:type="dxa"/>
            <w:tcBorders>
              <w:top w:val="nil"/>
              <w:left w:val="nil"/>
              <w:bottom w:val="nil"/>
              <w:right w:val="nil"/>
            </w:tcBorders>
            <w:vAlign w:val="bottom"/>
          </w:tcPr>
          <w:p w:rsidR="00E37029" w:rsidRPr="00E37029" w:rsidRDefault="00E37029" w:rsidP="00EB48CA">
            <w:pPr>
              <w:spacing w:after="0"/>
              <w:rPr>
                <w:rFonts w:ascii="Calibri" w:hAnsi="Calibri"/>
                <w:color w:val="0000FF"/>
              </w:rPr>
            </w:pPr>
            <w:r w:rsidRPr="00E37029">
              <w:rPr>
                <w:rFonts w:ascii="Calibri" w:hAnsi="Calibri"/>
                <w:color w:val="0000FF"/>
              </w:rPr>
              <w:t>262</w:t>
            </w:r>
          </w:p>
        </w:tc>
        <w:tc>
          <w:tcPr>
            <w:tcW w:w="2340" w:type="dxa"/>
            <w:tcBorders>
              <w:top w:val="nil"/>
              <w:left w:val="nil"/>
              <w:bottom w:val="nil"/>
              <w:right w:val="nil"/>
            </w:tcBorders>
            <w:vAlign w:val="bottom"/>
          </w:tcPr>
          <w:p w:rsidR="00E37029" w:rsidRPr="00E37029" w:rsidRDefault="00E37029" w:rsidP="00EB48CA">
            <w:pPr>
              <w:spacing w:after="0"/>
              <w:rPr>
                <w:rFonts w:ascii="Calibri" w:hAnsi="Calibri"/>
                <w:color w:val="0000FF"/>
              </w:rPr>
            </w:pPr>
            <w:r w:rsidRPr="00E37029">
              <w:rPr>
                <w:rFonts w:ascii="Calibri" w:hAnsi="Calibri"/>
                <w:color w:val="0000FF"/>
              </w:rPr>
              <w:t>365.8</w:t>
            </w:r>
          </w:p>
        </w:tc>
        <w:tc>
          <w:tcPr>
            <w:tcW w:w="2340" w:type="dxa"/>
            <w:tcBorders>
              <w:top w:val="nil"/>
              <w:left w:val="nil"/>
              <w:bottom w:val="nil"/>
              <w:right w:val="single" w:sz="6" w:space="0" w:color="000000"/>
            </w:tcBorders>
            <w:vAlign w:val="bottom"/>
          </w:tcPr>
          <w:p w:rsidR="00E37029" w:rsidRPr="00E37029" w:rsidRDefault="00E37029" w:rsidP="00EB48CA">
            <w:pPr>
              <w:spacing w:after="0"/>
              <w:rPr>
                <w:rFonts w:ascii="Calibri" w:hAnsi="Calibri"/>
                <w:color w:val="0000FF"/>
              </w:rPr>
            </w:pPr>
            <w:r w:rsidRPr="00E37029">
              <w:rPr>
                <w:rFonts w:ascii="Calibri" w:hAnsi="Calibri"/>
                <w:color w:val="0000FF"/>
              </w:rPr>
              <w:t>0.50805</w:t>
            </w:r>
          </w:p>
        </w:tc>
      </w:tr>
      <w:tr w:rsidR="00E37029" w:rsidRPr="00E37029" w:rsidTr="00EB48CA">
        <w:trPr>
          <w:trHeight w:hRule="exact" w:val="300"/>
        </w:trPr>
        <w:tc>
          <w:tcPr>
            <w:tcW w:w="1257" w:type="dxa"/>
            <w:tcBorders>
              <w:top w:val="nil"/>
              <w:left w:val="single" w:sz="5" w:space="0" w:color="000000"/>
              <w:bottom w:val="nil"/>
              <w:right w:val="nil"/>
            </w:tcBorders>
            <w:vAlign w:val="bottom"/>
          </w:tcPr>
          <w:p w:rsidR="00E37029" w:rsidRPr="00E37029" w:rsidRDefault="00E37029" w:rsidP="00EB48CA">
            <w:pPr>
              <w:spacing w:after="0"/>
              <w:rPr>
                <w:rFonts w:ascii="Calibri" w:hAnsi="Calibri"/>
                <w:color w:val="0000FF"/>
              </w:rPr>
            </w:pPr>
            <w:r w:rsidRPr="00E37029">
              <w:rPr>
                <w:rFonts w:ascii="Calibri" w:hAnsi="Calibri"/>
                <w:color w:val="0000FF"/>
              </w:rPr>
              <w:t>6</w:t>
            </w:r>
          </w:p>
        </w:tc>
        <w:tc>
          <w:tcPr>
            <w:tcW w:w="1703" w:type="dxa"/>
            <w:tcBorders>
              <w:top w:val="nil"/>
              <w:left w:val="nil"/>
              <w:bottom w:val="nil"/>
              <w:right w:val="nil"/>
            </w:tcBorders>
            <w:vAlign w:val="bottom"/>
          </w:tcPr>
          <w:p w:rsidR="00E37029" w:rsidRPr="00E37029" w:rsidRDefault="00E37029" w:rsidP="00EB48CA">
            <w:pPr>
              <w:spacing w:after="0"/>
              <w:rPr>
                <w:rFonts w:ascii="Calibri" w:hAnsi="Calibri"/>
                <w:color w:val="0000FF"/>
              </w:rPr>
            </w:pPr>
            <w:r w:rsidRPr="00E37029">
              <w:rPr>
                <w:rFonts w:ascii="Calibri" w:hAnsi="Calibri"/>
                <w:color w:val="0000FF"/>
              </w:rPr>
              <w:t>263</w:t>
            </w:r>
          </w:p>
        </w:tc>
        <w:tc>
          <w:tcPr>
            <w:tcW w:w="2340" w:type="dxa"/>
            <w:tcBorders>
              <w:top w:val="nil"/>
              <w:left w:val="nil"/>
              <w:bottom w:val="nil"/>
              <w:right w:val="nil"/>
            </w:tcBorders>
            <w:vAlign w:val="bottom"/>
          </w:tcPr>
          <w:p w:rsidR="00E37029" w:rsidRPr="00E37029" w:rsidRDefault="00E37029" w:rsidP="00EB48CA">
            <w:pPr>
              <w:spacing w:after="0"/>
              <w:rPr>
                <w:rFonts w:ascii="Calibri" w:hAnsi="Calibri"/>
                <w:color w:val="0000FF"/>
              </w:rPr>
            </w:pPr>
            <w:r w:rsidRPr="00E37029">
              <w:rPr>
                <w:rFonts w:ascii="Calibri" w:hAnsi="Calibri"/>
                <w:color w:val="0000FF"/>
              </w:rPr>
              <w:t>556.9</w:t>
            </w:r>
          </w:p>
        </w:tc>
        <w:tc>
          <w:tcPr>
            <w:tcW w:w="2340" w:type="dxa"/>
            <w:tcBorders>
              <w:top w:val="nil"/>
              <w:left w:val="nil"/>
              <w:bottom w:val="nil"/>
              <w:right w:val="single" w:sz="6" w:space="0" w:color="000000"/>
            </w:tcBorders>
            <w:vAlign w:val="bottom"/>
          </w:tcPr>
          <w:p w:rsidR="00E37029" w:rsidRPr="00E37029" w:rsidRDefault="00E37029" w:rsidP="00EB48CA">
            <w:pPr>
              <w:spacing w:after="0"/>
              <w:rPr>
                <w:rFonts w:ascii="Calibri" w:hAnsi="Calibri"/>
                <w:color w:val="0000FF"/>
              </w:rPr>
            </w:pPr>
            <w:r w:rsidRPr="00E37029">
              <w:rPr>
                <w:rFonts w:ascii="Calibri" w:hAnsi="Calibri"/>
                <w:color w:val="0000FF"/>
              </w:rPr>
              <w:t>0.59908</w:t>
            </w:r>
          </w:p>
        </w:tc>
      </w:tr>
      <w:tr w:rsidR="00E37029" w:rsidRPr="00E37029" w:rsidTr="00EB48CA">
        <w:trPr>
          <w:trHeight w:hRule="exact" w:val="300"/>
        </w:trPr>
        <w:tc>
          <w:tcPr>
            <w:tcW w:w="1257" w:type="dxa"/>
            <w:tcBorders>
              <w:top w:val="nil"/>
              <w:left w:val="single" w:sz="5" w:space="0" w:color="000000"/>
              <w:bottom w:val="nil"/>
              <w:right w:val="nil"/>
            </w:tcBorders>
            <w:vAlign w:val="bottom"/>
          </w:tcPr>
          <w:p w:rsidR="00E37029" w:rsidRPr="00E37029" w:rsidRDefault="00E37029" w:rsidP="00EB48CA">
            <w:pPr>
              <w:spacing w:after="0"/>
              <w:rPr>
                <w:rFonts w:ascii="Calibri" w:hAnsi="Calibri"/>
                <w:color w:val="0000FF"/>
              </w:rPr>
            </w:pPr>
            <w:r w:rsidRPr="00E37029">
              <w:rPr>
                <w:rFonts w:ascii="Calibri" w:hAnsi="Calibri"/>
                <w:color w:val="0000FF"/>
              </w:rPr>
              <w:t>7</w:t>
            </w:r>
          </w:p>
        </w:tc>
        <w:tc>
          <w:tcPr>
            <w:tcW w:w="1703" w:type="dxa"/>
            <w:tcBorders>
              <w:top w:val="nil"/>
              <w:left w:val="nil"/>
              <w:bottom w:val="nil"/>
              <w:right w:val="nil"/>
            </w:tcBorders>
            <w:vAlign w:val="bottom"/>
          </w:tcPr>
          <w:p w:rsidR="00E37029" w:rsidRPr="00E37029" w:rsidRDefault="00E37029" w:rsidP="00EB48CA">
            <w:pPr>
              <w:spacing w:after="0"/>
              <w:rPr>
                <w:rFonts w:ascii="Calibri" w:hAnsi="Calibri"/>
                <w:color w:val="0000FF"/>
              </w:rPr>
            </w:pPr>
            <w:r w:rsidRPr="00E37029">
              <w:rPr>
                <w:rFonts w:ascii="Calibri" w:hAnsi="Calibri"/>
                <w:color w:val="0000FF"/>
              </w:rPr>
              <w:t>262</w:t>
            </w:r>
          </w:p>
        </w:tc>
        <w:tc>
          <w:tcPr>
            <w:tcW w:w="2340" w:type="dxa"/>
            <w:tcBorders>
              <w:top w:val="nil"/>
              <w:left w:val="nil"/>
              <w:bottom w:val="nil"/>
              <w:right w:val="nil"/>
            </w:tcBorders>
            <w:vAlign w:val="bottom"/>
          </w:tcPr>
          <w:p w:rsidR="00E37029" w:rsidRPr="00E37029" w:rsidRDefault="00E37029" w:rsidP="00EB48CA">
            <w:pPr>
              <w:spacing w:after="0"/>
              <w:rPr>
                <w:rFonts w:ascii="Calibri" w:hAnsi="Calibri"/>
                <w:color w:val="0000FF"/>
              </w:rPr>
            </w:pPr>
            <w:r w:rsidRPr="00E37029">
              <w:rPr>
                <w:rFonts w:ascii="Calibri" w:hAnsi="Calibri"/>
                <w:color w:val="0000FF"/>
              </w:rPr>
              <w:t>820.5</w:t>
            </w:r>
          </w:p>
        </w:tc>
        <w:tc>
          <w:tcPr>
            <w:tcW w:w="2340" w:type="dxa"/>
            <w:tcBorders>
              <w:top w:val="nil"/>
              <w:left w:val="nil"/>
              <w:bottom w:val="nil"/>
              <w:right w:val="single" w:sz="6" w:space="0" w:color="000000"/>
            </w:tcBorders>
            <w:vAlign w:val="bottom"/>
          </w:tcPr>
          <w:p w:rsidR="00E37029" w:rsidRPr="00E37029" w:rsidRDefault="00E37029" w:rsidP="00EB48CA">
            <w:pPr>
              <w:spacing w:after="0"/>
              <w:rPr>
                <w:rFonts w:ascii="Calibri" w:hAnsi="Calibri"/>
                <w:color w:val="0000FF"/>
              </w:rPr>
            </w:pPr>
            <w:r w:rsidRPr="00E37029">
              <w:rPr>
                <w:rFonts w:ascii="Calibri" w:hAnsi="Calibri"/>
                <w:color w:val="0000FF"/>
              </w:rPr>
              <w:t>0.68774</w:t>
            </w:r>
          </w:p>
        </w:tc>
      </w:tr>
      <w:tr w:rsidR="00E37029" w:rsidRPr="00E37029" w:rsidTr="00EB48CA">
        <w:trPr>
          <w:trHeight w:hRule="exact" w:val="300"/>
        </w:trPr>
        <w:tc>
          <w:tcPr>
            <w:tcW w:w="1257" w:type="dxa"/>
            <w:tcBorders>
              <w:top w:val="nil"/>
              <w:left w:val="single" w:sz="5" w:space="0" w:color="000000"/>
              <w:bottom w:val="nil"/>
              <w:right w:val="nil"/>
            </w:tcBorders>
            <w:vAlign w:val="bottom"/>
          </w:tcPr>
          <w:p w:rsidR="00E37029" w:rsidRPr="00E37029" w:rsidRDefault="00E37029" w:rsidP="00EB48CA">
            <w:pPr>
              <w:spacing w:after="0"/>
              <w:rPr>
                <w:rFonts w:ascii="Calibri" w:hAnsi="Calibri"/>
                <w:color w:val="0000FF"/>
              </w:rPr>
            </w:pPr>
            <w:r w:rsidRPr="00E37029">
              <w:rPr>
                <w:rFonts w:ascii="Calibri" w:hAnsi="Calibri"/>
                <w:color w:val="0000FF"/>
              </w:rPr>
              <w:t>8</w:t>
            </w:r>
          </w:p>
        </w:tc>
        <w:tc>
          <w:tcPr>
            <w:tcW w:w="1703" w:type="dxa"/>
            <w:tcBorders>
              <w:top w:val="nil"/>
              <w:left w:val="nil"/>
              <w:bottom w:val="nil"/>
              <w:right w:val="nil"/>
            </w:tcBorders>
            <w:vAlign w:val="bottom"/>
          </w:tcPr>
          <w:p w:rsidR="00E37029" w:rsidRPr="00E37029" w:rsidRDefault="00E37029" w:rsidP="00EB48CA">
            <w:pPr>
              <w:spacing w:after="0"/>
              <w:rPr>
                <w:rFonts w:ascii="Calibri" w:hAnsi="Calibri"/>
                <w:color w:val="0000FF"/>
              </w:rPr>
            </w:pPr>
            <w:r w:rsidRPr="00E37029">
              <w:rPr>
                <w:rFonts w:ascii="Calibri" w:hAnsi="Calibri"/>
                <w:color w:val="0000FF"/>
              </w:rPr>
              <w:t>262</w:t>
            </w:r>
          </w:p>
        </w:tc>
        <w:tc>
          <w:tcPr>
            <w:tcW w:w="2340" w:type="dxa"/>
            <w:tcBorders>
              <w:top w:val="nil"/>
              <w:left w:val="nil"/>
              <w:bottom w:val="nil"/>
              <w:right w:val="nil"/>
            </w:tcBorders>
            <w:vAlign w:val="bottom"/>
          </w:tcPr>
          <w:p w:rsidR="00E37029" w:rsidRPr="00E37029" w:rsidRDefault="00E37029" w:rsidP="00EB48CA">
            <w:pPr>
              <w:spacing w:after="0"/>
              <w:rPr>
                <w:rFonts w:ascii="Calibri" w:hAnsi="Calibri"/>
                <w:color w:val="0000FF"/>
              </w:rPr>
            </w:pPr>
            <w:r w:rsidRPr="00E37029">
              <w:rPr>
                <w:rFonts w:ascii="Calibri" w:hAnsi="Calibri"/>
                <w:color w:val="0000FF"/>
              </w:rPr>
              <w:t>1237</w:t>
            </w:r>
          </w:p>
        </w:tc>
        <w:tc>
          <w:tcPr>
            <w:tcW w:w="2340" w:type="dxa"/>
            <w:tcBorders>
              <w:top w:val="nil"/>
              <w:left w:val="nil"/>
              <w:bottom w:val="nil"/>
              <w:right w:val="single" w:sz="6" w:space="0" w:color="000000"/>
            </w:tcBorders>
            <w:vAlign w:val="bottom"/>
          </w:tcPr>
          <w:p w:rsidR="00E37029" w:rsidRPr="00E37029" w:rsidRDefault="00E37029" w:rsidP="00EB48CA">
            <w:pPr>
              <w:spacing w:after="0"/>
              <w:rPr>
                <w:rFonts w:ascii="Calibri" w:hAnsi="Calibri"/>
                <w:color w:val="0000FF"/>
              </w:rPr>
            </w:pPr>
            <w:r w:rsidRPr="00E37029">
              <w:rPr>
                <w:rFonts w:ascii="Calibri" w:hAnsi="Calibri"/>
                <w:color w:val="0000FF"/>
              </w:rPr>
              <w:t>0.76378</w:t>
            </w:r>
          </w:p>
        </w:tc>
      </w:tr>
      <w:tr w:rsidR="00E37029" w:rsidRPr="00E37029" w:rsidTr="00EB48CA">
        <w:trPr>
          <w:trHeight w:hRule="exact" w:val="300"/>
        </w:trPr>
        <w:tc>
          <w:tcPr>
            <w:tcW w:w="1257" w:type="dxa"/>
            <w:tcBorders>
              <w:top w:val="nil"/>
              <w:left w:val="single" w:sz="5" w:space="0" w:color="000000"/>
              <w:bottom w:val="nil"/>
              <w:right w:val="nil"/>
            </w:tcBorders>
            <w:vAlign w:val="bottom"/>
          </w:tcPr>
          <w:p w:rsidR="00E37029" w:rsidRPr="00E37029" w:rsidRDefault="00E37029" w:rsidP="00EB48CA">
            <w:pPr>
              <w:spacing w:after="0"/>
              <w:rPr>
                <w:rFonts w:ascii="Calibri" w:hAnsi="Calibri"/>
                <w:color w:val="0000FF"/>
              </w:rPr>
            </w:pPr>
            <w:r w:rsidRPr="00E37029">
              <w:rPr>
                <w:rFonts w:ascii="Calibri" w:hAnsi="Calibri"/>
                <w:color w:val="0000FF"/>
              </w:rPr>
              <w:t>9</w:t>
            </w:r>
          </w:p>
        </w:tc>
        <w:tc>
          <w:tcPr>
            <w:tcW w:w="1703" w:type="dxa"/>
            <w:tcBorders>
              <w:top w:val="nil"/>
              <w:left w:val="nil"/>
              <w:bottom w:val="nil"/>
              <w:right w:val="nil"/>
            </w:tcBorders>
            <w:vAlign w:val="bottom"/>
          </w:tcPr>
          <w:p w:rsidR="00E37029" w:rsidRPr="00E37029" w:rsidRDefault="00E37029" w:rsidP="00EB48CA">
            <w:pPr>
              <w:spacing w:after="0"/>
              <w:rPr>
                <w:rFonts w:ascii="Calibri" w:hAnsi="Calibri"/>
                <w:color w:val="0000FF"/>
              </w:rPr>
            </w:pPr>
            <w:r w:rsidRPr="00E37029">
              <w:rPr>
                <w:rFonts w:ascii="Calibri" w:hAnsi="Calibri"/>
                <w:color w:val="0000FF"/>
              </w:rPr>
              <w:t>262</w:t>
            </w:r>
          </w:p>
        </w:tc>
        <w:tc>
          <w:tcPr>
            <w:tcW w:w="2340" w:type="dxa"/>
            <w:tcBorders>
              <w:top w:val="nil"/>
              <w:left w:val="nil"/>
              <w:bottom w:val="nil"/>
              <w:right w:val="nil"/>
            </w:tcBorders>
            <w:vAlign w:val="bottom"/>
          </w:tcPr>
          <w:p w:rsidR="00E37029" w:rsidRPr="00E37029" w:rsidRDefault="00E37029" w:rsidP="00EB48CA">
            <w:pPr>
              <w:spacing w:after="0"/>
              <w:rPr>
                <w:rFonts w:ascii="Calibri" w:hAnsi="Calibri"/>
                <w:color w:val="0000FF"/>
              </w:rPr>
            </w:pPr>
            <w:r w:rsidRPr="00E37029">
              <w:rPr>
                <w:rFonts w:ascii="Calibri" w:hAnsi="Calibri"/>
                <w:color w:val="0000FF"/>
              </w:rPr>
              <w:t>1900.6</w:t>
            </w:r>
          </w:p>
        </w:tc>
        <w:tc>
          <w:tcPr>
            <w:tcW w:w="2340" w:type="dxa"/>
            <w:tcBorders>
              <w:top w:val="nil"/>
              <w:left w:val="nil"/>
              <w:bottom w:val="nil"/>
              <w:right w:val="single" w:sz="6" w:space="0" w:color="000000"/>
            </w:tcBorders>
            <w:vAlign w:val="bottom"/>
          </w:tcPr>
          <w:p w:rsidR="00E37029" w:rsidRPr="00E37029" w:rsidRDefault="00E37029" w:rsidP="00EB48CA">
            <w:pPr>
              <w:spacing w:after="0"/>
              <w:rPr>
                <w:rFonts w:ascii="Calibri" w:hAnsi="Calibri"/>
                <w:color w:val="0000FF"/>
              </w:rPr>
            </w:pPr>
            <w:r w:rsidRPr="00E37029">
              <w:rPr>
                <w:rFonts w:ascii="Calibri" w:hAnsi="Calibri"/>
                <w:color w:val="0000FF"/>
              </w:rPr>
              <w:t>0.83933</w:t>
            </w:r>
          </w:p>
        </w:tc>
      </w:tr>
      <w:tr w:rsidR="00E37029" w:rsidRPr="00E37029" w:rsidTr="00EB48CA">
        <w:trPr>
          <w:trHeight w:hRule="exact" w:val="272"/>
        </w:trPr>
        <w:tc>
          <w:tcPr>
            <w:tcW w:w="1257" w:type="dxa"/>
            <w:tcBorders>
              <w:top w:val="nil"/>
              <w:left w:val="single" w:sz="5" w:space="0" w:color="000000"/>
              <w:bottom w:val="single" w:sz="5" w:space="0" w:color="000000"/>
              <w:right w:val="nil"/>
            </w:tcBorders>
            <w:vAlign w:val="bottom"/>
          </w:tcPr>
          <w:p w:rsidR="00E37029" w:rsidRPr="00E37029" w:rsidRDefault="00E37029" w:rsidP="00EB48CA">
            <w:pPr>
              <w:spacing w:after="0"/>
              <w:rPr>
                <w:rFonts w:ascii="Calibri" w:hAnsi="Calibri"/>
                <w:color w:val="0000FF"/>
              </w:rPr>
            </w:pPr>
            <w:r w:rsidRPr="00E37029">
              <w:rPr>
                <w:rFonts w:ascii="Calibri" w:hAnsi="Calibri"/>
                <w:color w:val="0000FF"/>
              </w:rPr>
              <w:t>10</w:t>
            </w:r>
          </w:p>
        </w:tc>
        <w:tc>
          <w:tcPr>
            <w:tcW w:w="1703" w:type="dxa"/>
            <w:tcBorders>
              <w:top w:val="nil"/>
              <w:left w:val="nil"/>
              <w:bottom w:val="single" w:sz="5" w:space="0" w:color="000000"/>
              <w:right w:val="nil"/>
            </w:tcBorders>
            <w:vAlign w:val="bottom"/>
          </w:tcPr>
          <w:p w:rsidR="00E37029" w:rsidRPr="00E37029" w:rsidRDefault="00E37029" w:rsidP="00EB48CA">
            <w:pPr>
              <w:spacing w:after="0"/>
              <w:rPr>
                <w:rFonts w:ascii="Calibri" w:hAnsi="Calibri"/>
                <w:color w:val="0000FF"/>
              </w:rPr>
            </w:pPr>
            <w:r w:rsidRPr="00E37029">
              <w:rPr>
                <w:rFonts w:ascii="Calibri" w:hAnsi="Calibri"/>
                <w:color w:val="0000FF"/>
              </w:rPr>
              <w:t>262</w:t>
            </w:r>
          </w:p>
        </w:tc>
        <w:tc>
          <w:tcPr>
            <w:tcW w:w="2340" w:type="dxa"/>
            <w:tcBorders>
              <w:top w:val="nil"/>
              <w:left w:val="nil"/>
              <w:bottom w:val="single" w:sz="5" w:space="0" w:color="000000"/>
              <w:right w:val="nil"/>
            </w:tcBorders>
            <w:vAlign w:val="bottom"/>
          </w:tcPr>
          <w:p w:rsidR="00E37029" w:rsidRPr="00E37029" w:rsidRDefault="00E37029" w:rsidP="00EB48CA">
            <w:pPr>
              <w:spacing w:after="0"/>
              <w:rPr>
                <w:rFonts w:ascii="Calibri" w:hAnsi="Calibri"/>
                <w:color w:val="0000FF"/>
              </w:rPr>
            </w:pPr>
            <w:r w:rsidRPr="00E37029">
              <w:rPr>
                <w:rFonts w:ascii="Calibri" w:hAnsi="Calibri"/>
                <w:color w:val="0000FF"/>
              </w:rPr>
              <w:t>3828</w:t>
            </w:r>
          </w:p>
        </w:tc>
        <w:tc>
          <w:tcPr>
            <w:tcW w:w="2340" w:type="dxa"/>
            <w:tcBorders>
              <w:top w:val="nil"/>
              <w:left w:val="nil"/>
              <w:bottom w:val="single" w:sz="5" w:space="0" w:color="000000"/>
              <w:right w:val="single" w:sz="6" w:space="0" w:color="000000"/>
            </w:tcBorders>
            <w:vAlign w:val="bottom"/>
          </w:tcPr>
          <w:p w:rsidR="00E37029" w:rsidRPr="00E37029" w:rsidRDefault="00E37029" w:rsidP="00EB48CA">
            <w:pPr>
              <w:spacing w:after="0"/>
              <w:rPr>
                <w:rFonts w:ascii="Calibri" w:hAnsi="Calibri"/>
                <w:color w:val="0000FF"/>
              </w:rPr>
            </w:pPr>
            <w:r w:rsidRPr="00E37029">
              <w:rPr>
                <w:rFonts w:ascii="Calibri" w:hAnsi="Calibri"/>
                <w:color w:val="0000FF"/>
              </w:rPr>
              <w:t>0.91242</w:t>
            </w:r>
          </w:p>
        </w:tc>
      </w:tr>
      <w:tr w:rsidR="00E37029" w:rsidRPr="00E37029" w:rsidTr="00EB48CA">
        <w:trPr>
          <w:trHeight w:hRule="exact" w:val="312"/>
        </w:trPr>
        <w:tc>
          <w:tcPr>
            <w:tcW w:w="1257" w:type="dxa"/>
            <w:tcBorders>
              <w:top w:val="single" w:sz="5" w:space="0" w:color="000000"/>
              <w:left w:val="single" w:sz="5" w:space="0" w:color="000000"/>
              <w:bottom w:val="single" w:sz="5" w:space="0" w:color="000000"/>
              <w:right w:val="nil"/>
            </w:tcBorders>
            <w:vAlign w:val="bottom"/>
          </w:tcPr>
          <w:p w:rsidR="00E37029" w:rsidRPr="00E37029" w:rsidRDefault="00E37029" w:rsidP="00EB48CA">
            <w:pPr>
              <w:spacing w:after="0"/>
              <w:rPr>
                <w:rFonts w:ascii="Calibri" w:hAnsi="Calibri"/>
                <w:color w:val="0000FF"/>
              </w:rPr>
            </w:pPr>
            <w:r w:rsidRPr="00E37029">
              <w:rPr>
                <w:rFonts w:ascii="Calibri" w:hAnsi="Calibri"/>
                <w:color w:val="0000FF"/>
              </w:rPr>
              <w:t>Overall</w:t>
            </w:r>
          </w:p>
        </w:tc>
        <w:tc>
          <w:tcPr>
            <w:tcW w:w="1703" w:type="dxa"/>
            <w:tcBorders>
              <w:top w:val="single" w:sz="5" w:space="0" w:color="000000"/>
              <w:left w:val="nil"/>
              <w:bottom w:val="single" w:sz="5" w:space="0" w:color="000000"/>
              <w:right w:val="nil"/>
            </w:tcBorders>
            <w:vAlign w:val="bottom"/>
          </w:tcPr>
          <w:p w:rsidR="00E37029" w:rsidRPr="00E37029" w:rsidRDefault="00E37029" w:rsidP="00EB48CA">
            <w:pPr>
              <w:spacing w:after="0"/>
              <w:rPr>
                <w:rFonts w:ascii="Calibri" w:hAnsi="Calibri"/>
                <w:color w:val="0000FF"/>
              </w:rPr>
            </w:pPr>
            <w:r w:rsidRPr="00E37029">
              <w:rPr>
                <w:rFonts w:ascii="Calibri" w:hAnsi="Calibri"/>
                <w:color w:val="0000FF"/>
              </w:rPr>
              <w:t>2621</w:t>
            </w:r>
          </w:p>
        </w:tc>
        <w:tc>
          <w:tcPr>
            <w:tcW w:w="2340" w:type="dxa"/>
            <w:tcBorders>
              <w:top w:val="single" w:sz="5" w:space="0" w:color="000000"/>
              <w:left w:val="nil"/>
              <w:bottom w:val="single" w:sz="5" w:space="0" w:color="000000"/>
              <w:right w:val="nil"/>
            </w:tcBorders>
            <w:vAlign w:val="bottom"/>
          </w:tcPr>
          <w:p w:rsidR="00E37029" w:rsidRPr="00E37029" w:rsidRDefault="00E37029" w:rsidP="00EB48CA">
            <w:pPr>
              <w:spacing w:after="0"/>
              <w:rPr>
                <w:rFonts w:ascii="Calibri" w:hAnsi="Calibri"/>
                <w:color w:val="0000FF"/>
              </w:rPr>
            </w:pPr>
            <w:r w:rsidRPr="00E37029">
              <w:rPr>
                <w:rFonts w:ascii="Calibri" w:hAnsi="Calibri"/>
                <w:color w:val="0000FF"/>
              </w:rPr>
              <w:t>910.2</w:t>
            </w:r>
          </w:p>
        </w:tc>
        <w:tc>
          <w:tcPr>
            <w:tcW w:w="2340" w:type="dxa"/>
            <w:tcBorders>
              <w:top w:val="single" w:sz="5" w:space="0" w:color="000000"/>
              <w:left w:val="nil"/>
              <w:bottom w:val="single" w:sz="6" w:space="0" w:color="000000"/>
              <w:right w:val="single" w:sz="6" w:space="0" w:color="000000"/>
            </w:tcBorders>
            <w:vAlign w:val="bottom"/>
          </w:tcPr>
          <w:p w:rsidR="00E37029" w:rsidRPr="00E37029" w:rsidRDefault="00E37029" w:rsidP="00EB48CA">
            <w:pPr>
              <w:spacing w:after="0"/>
              <w:rPr>
                <w:rFonts w:ascii="Calibri" w:hAnsi="Calibri"/>
                <w:color w:val="0000FF"/>
              </w:rPr>
            </w:pPr>
            <w:r w:rsidRPr="00E37029">
              <w:rPr>
                <w:rFonts w:ascii="Calibri" w:hAnsi="Calibri"/>
                <w:color w:val="0000FF"/>
              </w:rPr>
              <w:t>0.74413</w:t>
            </w:r>
          </w:p>
        </w:tc>
      </w:tr>
    </w:tbl>
    <w:p w:rsidR="00E37029" w:rsidRPr="00AF279A" w:rsidRDefault="00E37029" w:rsidP="00A669C3">
      <w:pPr>
        <w:ind w:left="90" w:right="340"/>
        <w:rPr>
          <w:rFonts w:eastAsia="Times New Roman" w:cstheme="minorHAnsi"/>
        </w:rPr>
      </w:pPr>
      <w:r w:rsidRPr="00AF279A">
        <w:rPr>
          <w:rFonts w:cstheme="minorHAnsi"/>
          <w:color w:val="0000FF"/>
        </w:rPr>
        <w:t>Source: HCUP State Inpatient Databases (SID). Healthcare Cost and Utilization Project (HCUP). 2012. Agency for</w:t>
      </w:r>
      <w:r w:rsidRPr="00AF279A">
        <w:rPr>
          <w:rFonts w:cstheme="minorHAnsi"/>
          <w:color w:val="0000FF"/>
          <w:w w:val="99"/>
        </w:rPr>
        <w:t xml:space="preserve"> </w:t>
      </w:r>
      <w:r w:rsidRPr="00AF279A">
        <w:rPr>
          <w:rFonts w:cstheme="minorHAnsi"/>
          <w:color w:val="0000FF"/>
        </w:rPr>
        <w:t xml:space="preserve">Healthcare Research and Quality, Rockville, MD. </w:t>
      </w:r>
      <w:hyperlink r:id="rId15">
        <w:r w:rsidRPr="00AF279A">
          <w:rPr>
            <w:rFonts w:cstheme="minorHAnsi"/>
            <w:color w:val="0000FF"/>
            <w:u w:val="single" w:color="043C66"/>
          </w:rPr>
          <w:t>www.hcup-us.ahrq.gov/sidoverview.jsp</w:t>
        </w:r>
        <w:r w:rsidRPr="00AF279A">
          <w:rPr>
            <w:rFonts w:cstheme="minorHAnsi"/>
            <w:color w:val="0000FF"/>
          </w:rPr>
          <w:t>.</w:t>
        </w:r>
      </w:hyperlink>
      <w:r w:rsidRPr="00AF279A">
        <w:rPr>
          <w:rFonts w:cstheme="minorHAnsi"/>
          <w:color w:val="0000FF"/>
        </w:rPr>
        <w:t xml:space="preserve"> (AHRQ QI Software</w:t>
      </w:r>
      <w:r w:rsidRPr="00AF279A">
        <w:rPr>
          <w:rFonts w:cstheme="minorHAnsi"/>
          <w:color w:val="0000FF"/>
          <w:w w:val="99"/>
        </w:rPr>
        <w:t xml:space="preserve"> </w:t>
      </w:r>
      <w:r w:rsidRPr="00AF279A">
        <w:rPr>
          <w:rFonts w:cstheme="minorHAnsi"/>
          <w:color w:val="0000FF"/>
        </w:rPr>
        <w:t>Version 5.0)</w:t>
      </w:r>
    </w:p>
    <w:p w:rsidR="00E37029" w:rsidRPr="00A25024" w:rsidRDefault="00092566" w:rsidP="00DB3627">
      <w:pPr>
        <w:autoSpaceDE w:val="0"/>
        <w:autoSpaceDN w:val="0"/>
        <w:adjustRightInd w:val="0"/>
        <w:spacing w:after="0" w:line="240" w:lineRule="auto"/>
        <w:rPr>
          <w:rFonts w:cstheme="minorHAnsi"/>
          <w:bCs/>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ED36D2">
        <w:rPr>
          <w:rStyle w:val="FormTextChar"/>
        </w:rPr>
        <w:t>Signal to noise ratios were smaller for hospitals with fewer than 116 cases per year (average signal-to-noise ratio less than 0.295). Smoothed rates, which are recommended for all hospitals (and are implemented in the AHRQ software) addresses reliability concerns particularly for small hospitals. Hospitals with more than 217 discharges on average have risk adjusted rates with moderate to high reliability (average signal-to-noise ratio of 0.422 to 0.912). Overall, the signal to noise ratio for this indicator is strong with an overall signal-to-noise ratio of 0.744.</w:t>
      </w:r>
      <w:r w:rsidR="0018227D">
        <w:rPr>
          <w:rStyle w:val="FormTextChar"/>
        </w:rPr>
        <w:t xml:space="preserve"> </w:t>
      </w:r>
    </w:p>
    <w:p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rsidR="00696262" w:rsidRPr="00A25024" w:rsidRDefault="00164633"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4E656C">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sidRPr="004E656C">
        <w:rPr>
          <w:rFonts w:eastAsia="MS Gothic" w:cstheme="minorHAnsi"/>
          <w:b/>
          <w:bCs/>
          <w:highlight w:val="yellow"/>
        </w:rPr>
        <w:t>P</w:t>
      </w:r>
      <w:r w:rsidR="00696262" w:rsidRPr="004E656C">
        <w:rPr>
          <w:rFonts w:eastAsia="MS Gothic" w:cstheme="minorHAnsi"/>
          <w:b/>
          <w:bCs/>
          <w:highlight w:val="yellow"/>
        </w:rPr>
        <w:t xml:space="preserve">erformance </w:t>
      </w:r>
      <w:r w:rsidR="00696262" w:rsidRPr="004E656C">
        <w:rPr>
          <w:rFonts w:cstheme="minorHAnsi"/>
          <w:b/>
          <w:bCs/>
          <w:highlight w:val="yellow"/>
        </w:rPr>
        <w:t>measure score</w:t>
      </w:r>
    </w:p>
    <w:p w:rsidR="000574AB" w:rsidRPr="00A25024" w:rsidRDefault="00164633"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4E656C">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sidRPr="004E656C">
        <w:rPr>
          <w:rFonts w:eastAsia="MS Mincho" w:cstheme="minorHAnsi"/>
          <w:b/>
          <w:bCs/>
          <w:highlight w:val="yellow"/>
        </w:rPr>
        <w:t>E</w:t>
      </w:r>
      <w:r w:rsidR="00696262" w:rsidRPr="004E656C">
        <w:rPr>
          <w:rFonts w:eastAsia="MS Mincho" w:cstheme="minorHAnsi"/>
          <w:b/>
          <w:bCs/>
          <w:highlight w:val="yellow"/>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rsidR="00CA06D8" w:rsidRPr="00A25024" w:rsidRDefault="00CA06D8" w:rsidP="00DB3627">
      <w:pPr>
        <w:autoSpaceDE w:val="0"/>
        <w:autoSpaceDN w:val="0"/>
        <w:adjustRightInd w:val="0"/>
        <w:spacing w:after="0" w:line="240" w:lineRule="auto"/>
        <w:rPr>
          <w:rFonts w:cstheme="minorHAnsi"/>
        </w:rPr>
      </w:pPr>
    </w:p>
    <w:p w:rsidR="00D50704" w:rsidRPr="00A25024" w:rsidRDefault="00D50704" w:rsidP="00DB3627">
      <w:pPr>
        <w:autoSpaceDE w:val="0"/>
        <w:autoSpaceDN w:val="0"/>
        <w:adjustRightInd w:val="0"/>
        <w:spacing w:after="0" w:line="240" w:lineRule="auto"/>
        <w:rPr>
          <w:rFonts w:cstheme="minorHAnsi"/>
          <w:bCs/>
        </w:rPr>
      </w:pPr>
    </w:p>
    <w:p w:rsidR="00F352EE" w:rsidRDefault="00092566" w:rsidP="004E656C">
      <w:pPr>
        <w:pStyle w:val="BodyText"/>
        <w:ind w:right="340"/>
        <w:rPr>
          <w:rFonts w:cstheme="minorHAnsi"/>
          <w:bCs/>
          <w:i/>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rsidR="000467F5" w:rsidRDefault="000467F5" w:rsidP="000467F5">
      <w:pPr>
        <w:pStyle w:val="BodyText"/>
        <w:ind w:right="340"/>
        <w:rPr>
          <w:rFonts w:asciiTheme="minorHAnsi" w:hAnsiTheme="minorHAnsi" w:cstheme="minorHAnsi"/>
          <w:color w:val="0000FF"/>
        </w:rPr>
      </w:pPr>
      <w:r>
        <w:rPr>
          <w:rFonts w:asciiTheme="minorHAnsi" w:hAnsiTheme="minorHAnsi" w:cstheme="minorHAnsi"/>
          <w:color w:val="0000FF"/>
        </w:rPr>
        <w:lastRenderedPageBreak/>
        <w:t>AHRQ and its contractors and collaborators have evaluated the criterion validity of this indicator in various settings, using a “gold standard” based on detailed abstraction of randomly sample medical records.</w:t>
      </w:r>
      <w:r>
        <w:rPr>
          <w:rFonts w:asciiTheme="minorHAnsi" w:hAnsiTheme="minorHAnsi" w:cstheme="minorHAnsi"/>
          <w:color w:val="0000FF"/>
          <w:vertAlign w:val="superscript"/>
        </w:rPr>
        <w:t>1-3</w:t>
      </w:r>
      <w:r>
        <w:rPr>
          <w:rFonts w:asciiTheme="minorHAnsi" w:hAnsiTheme="minorHAnsi" w:cstheme="minorHAnsi"/>
          <w:color w:val="0000FF"/>
        </w:rPr>
        <w:t xml:space="preserve"> </w:t>
      </w:r>
      <w:proofErr w:type="spellStart"/>
      <w:r>
        <w:rPr>
          <w:rFonts w:asciiTheme="minorHAnsi" w:hAnsiTheme="minorHAnsi" w:cstheme="minorHAnsi"/>
          <w:color w:val="0000FF"/>
        </w:rPr>
        <w:t>Borzecki</w:t>
      </w:r>
      <w:proofErr w:type="spellEnd"/>
      <w:r>
        <w:rPr>
          <w:rFonts w:asciiTheme="minorHAnsi" w:hAnsiTheme="minorHAnsi" w:cstheme="minorHAnsi"/>
          <w:color w:val="0000FF"/>
        </w:rPr>
        <w:t xml:space="preserve"> et al. examined the positive predictive value (PPV) of PSI11 in a random sample of 28 Veterans Health Administration hospitals, using a retrospective cohort of 112 cases flagged by the version 3.1 software using data from FY 2003 through FY 2007.  Seventy-five cases were true positives (PPV=67%, 95% CI [57% to 76%]). Utter and colleagues determined the PPV of PSI11 in a similar retrospective cohort of 609 consecutive cases that met PSI11 criteria from 18 geographically diverse academic medical centers on or before June 30, 2007.</w:t>
      </w:r>
      <w:r>
        <w:rPr>
          <w:rFonts w:asciiTheme="minorHAnsi" w:hAnsiTheme="minorHAnsi" w:cstheme="minorHAnsi"/>
          <w:color w:val="0000FF"/>
          <w:vertAlign w:val="superscript"/>
        </w:rPr>
        <w:t>2</w:t>
      </w:r>
      <w:r>
        <w:rPr>
          <w:rFonts w:asciiTheme="minorHAnsi" w:hAnsiTheme="minorHAnsi" w:cstheme="minorHAnsi"/>
          <w:color w:val="0000FF"/>
        </w:rPr>
        <w:t xml:space="preserve">  Of those 609 cases, 507 represented true positives of postoperative respiratory failure from a clinical standpoint (PPV=83.2%, 95% CI [77.2 to 89.3]).  False positives arose most frequently from non-elective hospitalizations, prolonged intubation for airway protection, and insufficient evidence to support a diagnosis of acute respiratory failure.  Of the 58 hospitalizations that did not meet coding criteria for the indicator, 30 (4.9%) had medical record documentation that the hospitalization was not elective, 3 (0.5%) involved an exc</w:t>
      </w:r>
      <w:r w:rsidR="00EA589F">
        <w:rPr>
          <w:rFonts w:asciiTheme="minorHAnsi" w:hAnsiTheme="minorHAnsi" w:cstheme="minorHAnsi"/>
          <w:color w:val="0000FF"/>
        </w:rPr>
        <w:t xml:space="preserve">lusionary neuromuscular </w:t>
      </w:r>
      <w:proofErr w:type="gramStart"/>
      <w:r w:rsidR="00EA589F">
        <w:rPr>
          <w:rFonts w:asciiTheme="minorHAnsi" w:hAnsiTheme="minorHAnsi" w:cstheme="minorHAnsi"/>
          <w:color w:val="0000FF"/>
        </w:rPr>
        <w:t>disorder,</w:t>
      </w:r>
      <w:proofErr w:type="gramEnd"/>
      <w:r>
        <w:rPr>
          <w:rFonts w:asciiTheme="minorHAnsi" w:hAnsiTheme="minorHAnsi" w:cstheme="minorHAnsi"/>
          <w:color w:val="0000FF"/>
        </w:rPr>
        <w:t xml:space="preserve"> and 5 (0.8%) were patients who had acute respiratory failure present on admission.</w:t>
      </w:r>
    </w:p>
    <w:p w:rsidR="000467F5" w:rsidRDefault="000467F5" w:rsidP="000467F5">
      <w:pPr>
        <w:pStyle w:val="BodyText"/>
        <w:ind w:right="340"/>
        <w:rPr>
          <w:rFonts w:asciiTheme="minorHAnsi" w:hAnsiTheme="minorHAnsi" w:cstheme="minorHAnsi"/>
          <w:color w:val="0000FF"/>
        </w:rPr>
      </w:pPr>
    </w:p>
    <w:p w:rsidR="000467F5" w:rsidRPr="00C30BD0" w:rsidRDefault="000467F5" w:rsidP="000467F5">
      <w:pPr>
        <w:pStyle w:val="BodyText"/>
        <w:ind w:right="340"/>
        <w:rPr>
          <w:rFonts w:asciiTheme="minorHAnsi" w:hAnsiTheme="minorHAnsi" w:cstheme="minorHAnsi"/>
          <w:color w:val="0000FF"/>
          <w:vertAlign w:val="superscript"/>
        </w:rPr>
      </w:pPr>
      <w:r>
        <w:rPr>
          <w:rFonts w:asciiTheme="minorHAnsi" w:hAnsiTheme="minorHAnsi" w:cstheme="minorHAnsi"/>
          <w:color w:val="0000FF"/>
        </w:rPr>
        <w:t>In a parallel study involving the same hospitals, 179 potential false negative cases were reviewed, of which 8 were confirmed as “true” postoperative respiratory failure, leading to a weighted sensitivity estimate of 81%.  This estimate is moderately higher than an earlier estimate of 63% based on the Veterans Affairs Surgical Quality Improvement registry as a gold standard</w:t>
      </w:r>
      <w:r w:rsidR="00C30BD0">
        <w:rPr>
          <w:rFonts w:asciiTheme="minorHAnsi" w:hAnsiTheme="minorHAnsi" w:cstheme="minorHAnsi"/>
          <w:color w:val="0000FF"/>
        </w:rPr>
        <w:t xml:space="preserve">, </w:t>
      </w:r>
      <w:r>
        <w:rPr>
          <w:rFonts w:asciiTheme="minorHAnsi" w:hAnsiTheme="minorHAnsi" w:cstheme="minorHAnsi"/>
          <w:color w:val="0000FF"/>
        </w:rPr>
        <w:t xml:space="preserve">presumably because the </w:t>
      </w:r>
      <w:proofErr w:type="spellStart"/>
      <w:r>
        <w:rPr>
          <w:rFonts w:asciiTheme="minorHAnsi" w:hAnsiTheme="minorHAnsi" w:cstheme="minorHAnsi"/>
          <w:color w:val="0000FF"/>
        </w:rPr>
        <w:t>VASQuIP</w:t>
      </w:r>
      <w:proofErr w:type="spellEnd"/>
      <w:r>
        <w:rPr>
          <w:rFonts w:asciiTheme="minorHAnsi" w:hAnsiTheme="minorHAnsi" w:cstheme="minorHAnsi"/>
          <w:color w:val="0000FF"/>
        </w:rPr>
        <w:t xml:space="preserve"> definition of postoperative respiratory failure includes any unplanned </w:t>
      </w:r>
      <w:proofErr w:type="spellStart"/>
      <w:r>
        <w:rPr>
          <w:rFonts w:asciiTheme="minorHAnsi" w:hAnsiTheme="minorHAnsi" w:cstheme="minorHAnsi"/>
          <w:color w:val="0000FF"/>
        </w:rPr>
        <w:t>reintubation</w:t>
      </w:r>
      <w:proofErr w:type="spellEnd"/>
      <w:r>
        <w:rPr>
          <w:rFonts w:asciiTheme="minorHAnsi" w:hAnsiTheme="minorHAnsi" w:cstheme="minorHAnsi"/>
          <w:color w:val="0000FF"/>
        </w:rPr>
        <w:t xml:space="preserve">, whereas the AHRQ definition does not count </w:t>
      </w:r>
      <w:proofErr w:type="spellStart"/>
      <w:r>
        <w:rPr>
          <w:rFonts w:asciiTheme="minorHAnsi" w:hAnsiTheme="minorHAnsi" w:cstheme="minorHAnsi"/>
          <w:color w:val="0000FF"/>
        </w:rPr>
        <w:t>reintubation</w:t>
      </w:r>
      <w:proofErr w:type="spellEnd"/>
      <w:r>
        <w:rPr>
          <w:rFonts w:asciiTheme="minorHAnsi" w:hAnsiTheme="minorHAnsi" w:cstheme="minorHAnsi"/>
          <w:color w:val="0000FF"/>
        </w:rPr>
        <w:t xml:space="preserve"> later on the same day as the major operating room procedure</w:t>
      </w:r>
      <w:r w:rsidR="00C30BD0">
        <w:rPr>
          <w:rFonts w:asciiTheme="minorHAnsi" w:hAnsiTheme="minorHAnsi" w:cstheme="minorHAnsi"/>
          <w:color w:val="0000FF"/>
        </w:rPr>
        <w:fldChar w:fldCharType="begin"/>
      </w:r>
      <w:r w:rsidR="00C30BD0">
        <w:rPr>
          <w:rFonts w:asciiTheme="minorHAnsi" w:hAnsiTheme="minorHAnsi" w:cstheme="minorHAnsi"/>
          <w:color w:val="0000FF"/>
        </w:rPr>
        <w:instrText xml:space="preserve"> ADDIN EN.CITE &lt;EndNote&gt;&lt;Cite&gt;&lt;Author&gt;Romano&lt;/Author&gt;&lt;RecNum&gt;243&lt;/RecNum&gt;&lt;DisplayText&gt;&lt;style face="superscript"&gt;1&lt;/style&gt;&lt;/DisplayText&gt;&lt;record&gt;&lt;rec-number&gt;243&lt;/rec-number&gt;&lt;foreign-keys&gt;&lt;key app="EN" db-id="z52trwzt3ewd29extfzv29d2a9ftve9fveva" timestamp="1421177441"&gt;243&lt;/key&gt;&lt;/foreign-keys&gt;&lt;ref-type name="Journal Article"&gt;17&lt;/ref-type&gt;&lt;contributors&gt;&lt;authors&gt;&lt;author&gt;Romano, Patrick&lt;/author&gt;&lt;author&gt;Mull, Hillary&lt;/author&gt;&lt;author&gt;Rivard, Peter&lt;/author&gt;&lt;author&gt;Zhao, Shibei&lt;/author&gt;&lt;author&gt;Henderson, William&lt;/author&gt;&lt;author&gt;Loveland, Susan&lt;/author&gt;&lt;author&gt;Tsilimingras, Dennis&lt;/author&gt;&lt;author&gt;Christiansen, Cindy&lt;/author&gt;&lt;author&gt;Rosen, Amy&lt;/author&gt;&lt;/authors&gt;&lt;/contributors&gt;&lt;titles&gt;&lt;title&gt;Validity of selected AHRQ patient safety indicators based on VA National Surgical Quality Improvement Program data&lt;/title&gt;&lt;/titles&gt;&lt;dates&gt;&lt;/dates&gt;&lt;isbn&gt;1&lt;/isbn&gt;&lt;urls&gt;&lt;/urls&gt;&lt;/record&gt;&lt;/Cite&gt;&lt;/EndNote&gt;</w:instrText>
      </w:r>
      <w:r w:rsidR="00C30BD0">
        <w:rPr>
          <w:rFonts w:asciiTheme="minorHAnsi" w:hAnsiTheme="minorHAnsi" w:cstheme="minorHAnsi"/>
          <w:color w:val="0000FF"/>
        </w:rPr>
        <w:fldChar w:fldCharType="separate"/>
      </w:r>
      <w:r w:rsidR="00C30BD0" w:rsidRPr="00C30BD0">
        <w:rPr>
          <w:rFonts w:asciiTheme="minorHAnsi" w:hAnsiTheme="minorHAnsi" w:cstheme="minorHAnsi"/>
          <w:noProof/>
          <w:color w:val="0000FF"/>
          <w:vertAlign w:val="superscript"/>
        </w:rPr>
        <w:t>1</w:t>
      </w:r>
      <w:r w:rsidR="00C30BD0">
        <w:rPr>
          <w:rFonts w:asciiTheme="minorHAnsi" w:hAnsiTheme="minorHAnsi" w:cstheme="minorHAnsi"/>
          <w:color w:val="0000FF"/>
        </w:rPr>
        <w:fldChar w:fldCharType="end"/>
      </w:r>
    </w:p>
    <w:p w:rsidR="000467F5" w:rsidRDefault="000467F5" w:rsidP="000467F5">
      <w:pPr>
        <w:pStyle w:val="BodyText"/>
        <w:ind w:right="340"/>
        <w:rPr>
          <w:rFonts w:asciiTheme="minorHAnsi" w:hAnsiTheme="minorHAnsi" w:cstheme="minorHAnsi"/>
          <w:color w:val="0000FF"/>
        </w:rPr>
      </w:pPr>
    </w:p>
    <w:p w:rsidR="000467F5" w:rsidRPr="00C30BD0" w:rsidRDefault="000467F5" w:rsidP="000467F5">
      <w:pPr>
        <w:pStyle w:val="BodyText"/>
        <w:ind w:right="340"/>
        <w:rPr>
          <w:rFonts w:asciiTheme="minorHAnsi" w:hAnsiTheme="minorHAnsi" w:cstheme="minorHAnsi"/>
          <w:color w:val="0000FF"/>
          <w:vertAlign w:val="superscript"/>
        </w:rPr>
      </w:pPr>
      <w:r>
        <w:rPr>
          <w:rFonts w:asciiTheme="minorHAnsi" w:hAnsiTheme="minorHAnsi" w:cstheme="minorHAnsi"/>
          <w:color w:val="0000FF"/>
        </w:rPr>
        <w:t xml:space="preserve">Of 125 potential false negative cases (identified using related diagnosis and procedure codes, but not the specific codes used in PSI 11) </w:t>
      </w:r>
      <w:proofErr w:type="spellStart"/>
      <w:r>
        <w:rPr>
          <w:rFonts w:asciiTheme="minorHAnsi" w:hAnsiTheme="minorHAnsi" w:cstheme="minorHAnsi"/>
          <w:color w:val="0000FF"/>
        </w:rPr>
        <w:t>reabstracted</w:t>
      </w:r>
      <w:proofErr w:type="spellEnd"/>
      <w:r>
        <w:rPr>
          <w:rFonts w:asciiTheme="minorHAnsi" w:hAnsiTheme="minorHAnsi" w:cstheme="minorHAnsi"/>
          <w:color w:val="0000FF"/>
        </w:rPr>
        <w:t xml:space="preserve"> in a later study by </w:t>
      </w:r>
      <w:proofErr w:type="spellStart"/>
      <w:r>
        <w:rPr>
          <w:rFonts w:asciiTheme="minorHAnsi" w:hAnsiTheme="minorHAnsi" w:cstheme="minorHAnsi"/>
          <w:color w:val="0000FF"/>
        </w:rPr>
        <w:t>Borzecki</w:t>
      </w:r>
      <w:proofErr w:type="spellEnd"/>
      <w:r>
        <w:rPr>
          <w:rFonts w:asciiTheme="minorHAnsi" w:hAnsiTheme="minorHAnsi" w:cstheme="minorHAnsi"/>
          <w:color w:val="0000FF"/>
        </w:rPr>
        <w:t xml:space="preserve"> and colleagues, 38 (30%) were confirmed as false negatives (95% CI 23% to 39%).  When excluding non-elective cases from analysis, 25 of 93 potential false negatives were confirmed as false negatives (27%, 95% CI 18% to 37%).  Of these 25 records, 13 contained coding errors and 4 were missed by the PSI11 algorithm due to the timing of procedure </w:t>
      </w:r>
      <w:proofErr w:type="gramStart"/>
      <w:r>
        <w:rPr>
          <w:rFonts w:asciiTheme="minorHAnsi" w:hAnsiTheme="minorHAnsi" w:cstheme="minorHAnsi"/>
          <w:color w:val="0000FF"/>
        </w:rPr>
        <w:t>codes.</w:t>
      </w:r>
      <w:r>
        <w:rPr>
          <w:rFonts w:asciiTheme="minorHAnsi" w:hAnsiTheme="minorHAnsi" w:cstheme="minorHAnsi"/>
          <w:color w:val="0000FF"/>
          <w:vertAlign w:val="superscript"/>
        </w:rPr>
        <w:t>3</w:t>
      </w:r>
      <w:r>
        <w:rPr>
          <w:rFonts w:asciiTheme="minorHAnsi" w:hAnsiTheme="minorHAnsi" w:cstheme="minorHAnsi"/>
          <w:color w:val="0000FF"/>
        </w:rPr>
        <w:t xml:space="preserve">  Unfortunately</w:t>
      </w:r>
      <w:proofErr w:type="gramEnd"/>
      <w:r>
        <w:rPr>
          <w:rFonts w:asciiTheme="minorHAnsi" w:hAnsiTheme="minorHAnsi" w:cstheme="minorHAnsi"/>
          <w:color w:val="0000FF"/>
        </w:rPr>
        <w:t>, the sampling method in this study precluded estimation of sensitivity.</w:t>
      </w:r>
      <w:r w:rsidR="0070261A">
        <w:rPr>
          <w:rFonts w:asciiTheme="minorHAnsi" w:hAnsiTheme="minorHAnsi" w:cstheme="minorHAnsi"/>
          <w:color w:val="0000FF"/>
          <w:vertAlign w:val="superscript"/>
        </w:rPr>
        <w:t>5</w:t>
      </w:r>
    </w:p>
    <w:p w:rsidR="000467F5" w:rsidRDefault="000467F5" w:rsidP="000467F5">
      <w:pPr>
        <w:pStyle w:val="BodyText"/>
        <w:ind w:right="340"/>
        <w:rPr>
          <w:rFonts w:asciiTheme="minorHAnsi" w:hAnsiTheme="minorHAnsi" w:cstheme="minorHAnsi"/>
          <w:color w:val="0000FF"/>
        </w:rPr>
      </w:pPr>
    </w:p>
    <w:p w:rsidR="000467F5" w:rsidRDefault="000467F5" w:rsidP="000467F5">
      <w:pPr>
        <w:pStyle w:val="BodyText"/>
        <w:ind w:right="340"/>
        <w:rPr>
          <w:rFonts w:asciiTheme="minorHAnsi" w:hAnsiTheme="minorHAnsi" w:cstheme="minorHAnsi"/>
          <w:color w:val="0000FF"/>
        </w:rPr>
      </w:pPr>
      <w:r>
        <w:rPr>
          <w:rFonts w:asciiTheme="minorHAnsi" w:hAnsiTheme="minorHAnsi" w:cstheme="minorHAnsi"/>
          <w:color w:val="0000FF"/>
        </w:rPr>
        <w:t xml:space="preserve">There are two major reasons to believe that the current (2015) criterion validity of PSI 11 would be even higher than these studies suggest: </w:t>
      </w:r>
    </w:p>
    <w:p w:rsidR="000467F5" w:rsidRDefault="000467F5" w:rsidP="000467F5">
      <w:pPr>
        <w:pStyle w:val="BodyText"/>
        <w:numPr>
          <w:ilvl w:val="0"/>
          <w:numId w:val="31"/>
        </w:numPr>
        <w:ind w:right="340"/>
        <w:rPr>
          <w:rFonts w:asciiTheme="minorHAnsi" w:hAnsiTheme="minorHAnsi" w:cstheme="minorHAnsi"/>
          <w:color w:val="0000FF"/>
        </w:rPr>
      </w:pPr>
      <w:r>
        <w:rPr>
          <w:rFonts w:asciiTheme="minorHAnsi" w:hAnsiTheme="minorHAnsi" w:cstheme="minorHAnsi"/>
          <w:color w:val="0000FF"/>
        </w:rPr>
        <w:t>Present-on-admission coding is now expected, and across multiple studies, 0-6% of events flagged by PSI 11 without POA data were actually present on admission.</w:t>
      </w:r>
      <w:r w:rsidR="00C30BD0">
        <w:rPr>
          <w:rFonts w:asciiTheme="minorHAnsi" w:hAnsiTheme="minorHAnsi" w:cstheme="minorHAnsi"/>
          <w:color w:val="0000FF"/>
          <w:vertAlign w:val="superscript"/>
        </w:rPr>
        <w:t xml:space="preserve"> </w:t>
      </w:r>
      <w:r w:rsidR="0070261A">
        <w:rPr>
          <w:rFonts w:asciiTheme="minorHAnsi" w:hAnsiTheme="minorHAnsi" w:cstheme="minorHAnsi"/>
          <w:color w:val="0000FF"/>
          <w:vertAlign w:val="superscript"/>
        </w:rPr>
        <w:t>6,7</w:t>
      </w:r>
    </w:p>
    <w:p w:rsidR="000467F5" w:rsidRDefault="000467F5" w:rsidP="000467F5">
      <w:pPr>
        <w:pStyle w:val="BodyText"/>
        <w:numPr>
          <w:ilvl w:val="0"/>
          <w:numId w:val="31"/>
        </w:numPr>
        <w:ind w:right="340"/>
        <w:rPr>
          <w:rFonts w:asciiTheme="minorHAnsi" w:hAnsiTheme="minorHAnsi" w:cstheme="minorHAnsi"/>
          <w:color w:val="0000FF"/>
        </w:rPr>
      </w:pPr>
      <w:r>
        <w:rPr>
          <w:rFonts w:asciiTheme="minorHAnsi" w:hAnsiTheme="minorHAnsi" w:cstheme="minorHAnsi"/>
          <w:color w:val="0000FF"/>
        </w:rPr>
        <w:t>The diagnosis codes that caused confusion among professional coders and variability in coding practice (518.81, 518.84) are no longer used for postoperative respiratory failure; new and more specific ICD-9-CM diagnoses (518.51, 518.53) have been created and coders have been educated to use them.</w:t>
      </w:r>
      <w:r w:rsidR="009D3647">
        <w:rPr>
          <w:rFonts w:asciiTheme="minorHAnsi" w:hAnsiTheme="minorHAnsi" w:cstheme="minorHAnsi"/>
          <w:color w:val="0000FF"/>
          <w:vertAlign w:val="superscript"/>
        </w:rPr>
        <w:t>4</w:t>
      </w:r>
      <w:r>
        <w:rPr>
          <w:rFonts w:asciiTheme="minorHAnsi" w:hAnsiTheme="minorHAnsi" w:cstheme="minorHAnsi"/>
          <w:color w:val="0000FF"/>
        </w:rPr>
        <w:t xml:space="preserve"> </w:t>
      </w:r>
    </w:p>
    <w:p w:rsidR="000467F5" w:rsidRDefault="000467F5" w:rsidP="000467F5">
      <w:pPr>
        <w:pStyle w:val="BodyText"/>
        <w:ind w:right="340"/>
        <w:rPr>
          <w:rFonts w:asciiTheme="minorHAnsi" w:hAnsiTheme="minorHAnsi" w:cstheme="minorHAnsi"/>
          <w:color w:val="0000FF"/>
        </w:rPr>
      </w:pPr>
    </w:p>
    <w:p w:rsidR="000467F5" w:rsidRPr="009D3647" w:rsidRDefault="000467F5" w:rsidP="009D3647">
      <w:pPr>
        <w:pStyle w:val="EndNoteBibliography"/>
        <w:rPr>
          <w:i/>
          <w:color w:val="0000FF"/>
          <w:sz w:val="20"/>
          <w:szCs w:val="20"/>
        </w:rPr>
      </w:pPr>
      <w:r w:rsidRPr="009D3647">
        <w:rPr>
          <w:i/>
          <w:color w:val="0000FF"/>
          <w:sz w:val="20"/>
          <w:szCs w:val="20"/>
        </w:rPr>
        <w:t>1. Borzecki AM, Kaafarani HM, Utter GH, et al. How valid is the AHRQ Patient Safety Indicator "postoperative respiratory failure"? Journal of the American College of Surgeons. Jun 2011;212(6):935-945.</w:t>
      </w:r>
    </w:p>
    <w:p w:rsidR="000467F5" w:rsidRPr="009D3647" w:rsidRDefault="000467F5" w:rsidP="009D3647">
      <w:pPr>
        <w:pStyle w:val="EndNoteBibliography"/>
        <w:rPr>
          <w:i/>
          <w:color w:val="0000FF"/>
          <w:sz w:val="20"/>
          <w:szCs w:val="20"/>
        </w:rPr>
      </w:pPr>
      <w:r w:rsidRPr="009D3647">
        <w:rPr>
          <w:i/>
          <w:color w:val="0000FF"/>
          <w:sz w:val="20"/>
          <w:szCs w:val="20"/>
        </w:rPr>
        <w:t>2. Utter GH, Cuny J, Sama P, et al. Detection of postoperative respiratory failure: how predictive is the Agency for Healthcare Research and Quality's Patient Safety Indicator? Journal of the American College of Surgeons. Sep 2010;211(3):347-354 e341-329.</w:t>
      </w:r>
    </w:p>
    <w:p w:rsidR="00C30BD0" w:rsidRDefault="000467F5" w:rsidP="009D3647">
      <w:pPr>
        <w:pStyle w:val="BodyText"/>
        <w:ind w:left="0" w:right="340"/>
        <w:rPr>
          <w:rFonts w:ascii="Calibri" w:hAnsi="Calibri"/>
          <w:i/>
          <w:color w:val="0000FF"/>
          <w:sz w:val="20"/>
          <w:szCs w:val="20"/>
        </w:rPr>
      </w:pPr>
      <w:r w:rsidRPr="009D3647">
        <w:rPr>
          <w:rFonts w:ascii="Calibri" w:hAnsi="Calibri"/>
          <w:i/>
          <w:color w:val="0000FF"/>
          <w:sz w:val="20"/>
          <w:szCs w:val="20"/>
        </w:rPr>
        <w:t xml:space="preserve">3. </w:t>
      </w:r>
      <w:proofErr w:type="spellStart"/>
      <w:r w:rsidRPr="009D3647">
        <w:rPr>
          <w:rFonts w:ascii="Calibri" w:hAnsi="Calibri"/>
          <w:i/>
          <w:color w:val="0000FF"/>
          <w:sz w:val="20"/>
          <w:szCs w:val="20"/>
        </w:rPr>
        <w:t>Borzecki</w:t>
      </w:r>
      <w:proofErr w:type="spellEnd"/>
      <w:r w:rsidRPr="009D3647">
        <w:rPr>
          <w:rFonts w:ascii="Calibri" w:hAnsi="Calibri"/>
          <w:i/>
          <w:color w:val="0000FF"/>
          <w:sz w:val="20"/>
          <w:szCs w:val="20"/>
        </w:rPr>
        <w:t xml:space="preserve"> AM, </w:t>
      </w:r>
      <w:proofErr w:type="spellStart"/>
      <w:r w:rsidRPr="009D3647">
        <w:rPr>
          <w:rFonts w:ascii="Calibri" w:hAnsi="Calibri"/>
          <w:i/>
          <w:color w:val="0000FF"/>
          <w:sz w:val="20"/>
          <w:szCs w:val="20"/>
        </w:rPr>
        <w:t>Cevasco</w:t>
      </w:r>
      <w:proofErr w:type="spellEnd"/>
      <w:r w:rsidRPr="009D3647">
        <w:rPr>
          <w:rFonts w:ascii="Calibri" w:hAnsi="Calibri"/>
          <w:i/>
          <w:color w:val="0000FF"/>
          <w:sz w:val="20"/>
          <w:szCs w:val="20"/>
        </w:rPr>
        <w:t xml:space="preserve"> M, Chen Q, Shin M, </w:t>
      </w:r>
      <w:proofErr w:type="spellStart"/>
      <w:proofErr w:type="gramStart"/>
      <w:r w:rsidRPr="009D3647">
        <w:rPr>
          <w:rFonts w:ascii="Calibri" w:hAnsi="Calibri"/>
          <w:i/>
          <w:color w:val="0000FF"/>
          <w:sz w:val="20"/>
          <w:szCs w:val="20"/>
        </w:rPr>
        <w:t>Itani</w:t>
      </w:r>
      <w:proofErr w:type="spellEnd"/>
      <w:proofErr w:type="gramEnd"/>
      <w:r w:rsidRPr="009D3647">
        <w:rPr>
          <w:rFonts w:ascii="Calibri" w:hAnsi="Calibri"/>
          <w:i/>
          <w:color w:val="0000FF"/>
          <w:sz w:val="20"/>
          <w:szCs w:val="20"/>
        </w:rPr>
        <w:t xml:space="preserve"> KM, Rosen AK. Improving identification of postoperative </w:t>
      </w:r>
    </w:p>
    <w:p w:rsidR="000467F5" w:rsidRPr="009D3647" w:rsidRDefault="000467F5" w:rsidP="00C30BD0">
      <w:pPr>
        <w:pStyle w:val="BodyText"/>
        <w:ind w:left="0" w:right="340"/>
        <w:rPr>
          <w:rFonts w:ascii="Calibri" w:hAnsi="Calibri"/>
          <w:i/>
          <w:color w:val="0000FF"/>
          <w:sz w:val="20"/>
          <w:szCs w:val="20"/>
        </w:rPr>
      </w:pPr>
      <w:proofErr w:type="gramStart"/>
      <w:r w:rsidRPr="009D3647">
        <w:rPr>
          <w:rFonts w:ascii="Calibri" w:hAnsi="Calibri"/>
          <w:i/>
          <w:color w:val="0000FF"/>
          <w:sz w:val="20"/>
          <w:szCs w:val="20"/>
        </w:rPr>
        <w:t>respiratory</w:t>
      </w:r>
      <w:proofErr w:type="gramEnd"/>
      <w:r w:rsidRPr="009D3647">
        <w:rPr>
          <w:rFonts w:ascii="Calibri" w:hAnsi="Calibri"/>
          <w:i/>
          <w:color w:val="0000FF"/>
          <w:sz w:val="20"/>
          <w:szCs w:val="20"/>
        </w:rPr>
        <w:t xml:space="preserve"> failure missed by the patient safety indicator algorithm. American journal of medical </w:t>
      </w:r>
      <w:proofErr w:type="gramStart"/>
      <w:r w:rsidRPr="009D3647">
        <w:rPr>
          <w:rFonts w:ascii="Calibri" w:hAnsi="Calibri"/>
          <w:i/>
          <w:color w:val="0000FF"/>
          <w:sz w:val="20"/>
          <w:szCs w:val="20"/>
        </w:rPr>
        <w:t>quality :</w:t>
      </w:r>
      <w:proofErr w:type="gramEnd"/>
      <w:r w:rsidRPr="009D3647">
        <w:rPr>
          <w:rFonts w:ascii="Calibri" w:hAnsi="Calibri"/>
          <w:i/>
          <w:color w:val="0000FF"/>
          <w:sz w:val="20"/>
          <w:szCs w:val="20"/>
        </w:rPr>
        <w:t xml:space="preserve"> the </w:t>
      </w:r>
      <w:r w:rsidRPr="009D3647">
        <w:rPr>
          <w:rFonts w:ascii="Calibri" w:hAnsi="Calibri"/>
          <w:i/>
          <w:color w:val="0000FF"/>
          <w:sz w:val="20"/>
          <w:szCs w:val="20"/>
        </w:rPr>
        <w:lastRenderedPageBreak/>
        <w:t>official journal of the American College of Medical Quality. Jul-Aug 2013</w:t>
      </w:r>
      <w:proofErr w:type="gramStart"/>
      <w:r w:rsidRPr="009D3647">
        <w:rPr>
          <w:rFonts w:ascii="Calibri" w:hAnsi="Calibri"/>
          <w:i/>
          <w:color w:val="0000FF"/>
          <w:sz w:val="20"/>
          <w:szCs w:val="20"/>
        </w:rPr>
        <w:t>;28</w:t>
      </w:r>
      <w:proofErr w:type="gramEnd"/>
      <w:r w:rsidRPr="009D3647">
        <w:rPr>
          <w:rFonts w:ascii="Calibri" w:hAnsi="Calibri"/>
          <w:i/>
          <w:color w:val="0000FF"/>
          <w:sz w:val="20"/>
          <w:szCs w:val="20"/>
        </w:rPr>
        <w:t>(4):315-323.</w:t>
      </w:r>
    </w:p>
    <w:p w:rsidR="009D3647" w:rsidRPr="00C30BD0" w:rsidRDefault="009D3647" w:rsidP="009D3647">
      <w:pPr>
        <w:pStyle w:val="NQFMeasureStyle"/>
        <w:ind w:left="0" w:right="620"/>
        <w:rPr>
          <w:i/>
          <w:sz w:val="20"/>
          <w:szCs w:val="20"/>
        </w:rPr>
      </w:pPr>
      <w:r w:rsidRPr="009D3647">
        <w:rPr>
          <w:i/>
          <w:sz w:val="20"/>
          <w:szCs w:val="20"/>
        </w:rPr>
        <w:t xml:space="preserve">4. Utter GH, </w:t>
      </w:r>
      <w:proofErr w:type="spellStart"/>
      <w:r w:rsidRPr="009D3647">
        <w:rPr>
          <w:i/>
          <w:sz w:val="20"/>
          <w:szCs w:val="20"/>
        </w:rPr>
        <w:t>Cuny</w:t>
      </w:r>
      <w:proofErr w:type="spellEnd"/>
      <w:r w:rsidRPr="009D3647">
        <w:rPr>
          <w:i/>
          <w:sz w:val="20"/>
          <w:szCs w:val="20"/>
        </w:rPr>
        <w:t xml:space="preserve"> J, </w:t>
      </w:r>
      <w:proofErr w:type="spellStart"/>
      <w:r w:rsidRPr="009D3647">
        <w:rPr>
          <w:i/>
          <w:sz w:val="20"/>
          <w:szCs w:val="20"/>
        </w:rPr>
        <w:t>Strater</w:t>
      </w:r>
      <w:proofErr w:type="spellEnd"/>
      <w:r w:rsidRPr="009D3647">
        <w:rPr>
          <w:i/>
          <w:sz w:val="20"/>
          <w:szCs w:val="20"/>
        </w:rPr>
        <w:t xml:space="preserve"> A, Silver MR, </w:t>
      </w:r>
      <w:proofErr w:type="spellStart"/>
      <w:r w:rsidRPr="009D3647">
        <w:rPr>
          <w:i/>
          <w:sz w:val="20"/>
          <w:szCs w:val="20"/>
        </w:rPr>
        <w:t>Hossli</w:t>
      </w:r>
      <w:proofErr w:type="spellEnd"/>
      <w:r w:rsidRPr="009D3647">
        <w:rPr>
          <w:i/>
          <w:sz w:val="20"/>
          <w:szCs w:val="20"/>
        </w:rPr>
        <w:t xml:space="preserve"> S, </w:t>
      </w:r>
      <w:proofErr w:type="gramStart"/>
      <w:r w:rsidRPr="009D3647">
        <w:rPr>
          <w:i/>
          <w:sz w:val="20"/>
          <w:szCs w:val="20"/>
        </w:rPr>
        <w:t>Romano</w:t>
      </w:r>
      <w:proofErr w:type="gramEnd"/>
      <w:r w:rsidRPr="009D3647">
        <w:rPr>
          <w:i/>
          <w:sz w:val="20"/>
          <w:szCs w:val="20"/>
        </w:rPr>
        <w:t xml:space="preserve"> PS. Variation in academic medical centers' coding practices for postoperative respiratory complications: implications for the AHRQ postoperative respiratory </w:t>
      </w:r>
      <w:r w:rsidRPr="00C30BD0">
        <w:rPr>
          <w:i/>
          <w:sz w:val="20"/>
          <w:szCs w:val="20"/>
        </w:rPr>
        <w:t xml:space="preserve">failure Patient Safety Indicator. </w:t>
      </w:r>
      <w:proofErr w:type="gramStart"/>
      <w:r w:rsidRPr="00C30BD0">
        <w:rPr>
          <w:i/>
          <w:sz w:val="20"/>
          <w:szCs w:val="20"/>
        </w:rPr>
        <w:t>Medical care.</w:t>
      </w:r>
      <w:proofErr w:type="gramEnd"/>
      <w:r w:rsidRPr="00C30BD0">
        <w:rPr>
          <w:i/>
          <w:sz w:val="20"/>
          <w:szCs w:val="20"/>
        </w:rPr>
        <w:t xml:space="preserve"> Sep 2012</w:t>
      </w:r>
      <w:proofErr w:type="gramStart"/>
      <w:r w:rsidRPr="00C30BD0">
        <w:rPr>
          <w:i/>
          <w:sz w:val="20"/>
          <w:szCs w:val="20"/>
        </w:rPr>
        <w:t>;50</w:t>
      </w:r>
      <w:proofErr w:type="gramEnd"/>
      <w:r w:rsidRPr="00C30BD0">
        <w:rPr>
          <w:i/>
          <w:sz w:val="20"/>
          <w:szCs w:val="20"/>
        </w:rPr>
        <w:t>(9):792-800.</w:t>
      </w:r>
    </w:p>
    <w:p w:rsidR="00C30BD0" w:rsidRPr="00C30BD0" w:rsidRDefault="00C30BD0" w:rsidP="00704748">
      <w:pPr>
        <w:pStyle w:val="EndNoteBibliography"/>
        <w:rPr>
          <w:i/>
          <w:color w:val="0000FF"/>
          <w:sz w:val="20"/>
          <w:szCs w:val="20"/>
        </w:rPr>
      </w:pPr>
      <w:r w:rsidRPr="00C30BD0">
        <w:rPr>
          <w:rFonts w:asciiTheme="minorHAnsi" w:hAnsiTheme="minorHAnsi" w:cstheme="minorHAnsi"/>
          <w:bCs/>
          <w:i/>
          <w:color w:val="0000FF"/>
          <w:sz w:val="20"/>
          <w:szCs w:val="20"/>
        </w:rPr>
        <w:fldChar w:fldCharType="begin"/>
      </w:r>
      <w:r w:rsidRPr="00C30BD0">
        <w:rPr>
          <w:rFonts w:asciiTheme="minorHAnsi" w:hAnsiTheme="minorHAnsi" w:cstheme="minorHAnsi"/>
          <w:bCs/>
          <w:i/>
          <w:color w:val="0000FF"/>
          <w:sz w:val="20"/>
          <w:szCs w:val="20"/>
        </w:rPr>
        <w:instrText xml:space="preserve"> ADDIN EN.REFLIST </w:instrText>
      </w:r>
      <w:r w:rsidRPr="00C30BD0">
        <w:rPr>
          <w:rFonts w:asciiTheme="minorHAnsi" w:hAnsiTheme="minorHAnsi" w:cstheme="minorHAnsi"/>
          <w:bCs/>
          <w:i/>
          <w:color w:val="0000FF"/>
          <w:sz w:val="20"/>
          <w:szCs w:val="20"/>
        </w:rPr>
        <w:fldChar w:fldCharType="separate"/>
      </w:r>
      <w:r w:rsidRPr="00C30BD0">
        <w:rPr>
          <w:i/>
          <w:color w:val="0000FF"/>
          <w:sz w:val="20"/>
          <w:szCs w:val="20"/>
        </w:rPr>
        <w:t>5. Romano P, Mull H, Rivard P, et al. Validity of selected AHRQ patient safety indicators based on VA National Surgical Quality Improvement Program data.</w:t>
      </w:r>
    </w:p>
    <w:p w:rsidR="00C30BD0" w:rsidRPr="00C30BD0" w:rsidRDefault="00C30BD0" w:rsidP="00704748">
      <w:pPr>
        <w:pStyle w:val="EndNoteBibliography"/>
        <w:rPr>
          <w:i/>
          <w:color w:val="0000FF"/>
          <w:sz w:val="20"/>
          <w:szCs w:val="20"/>
        </w:rPr>
      </w:pPr>
      <w:r w:rsidRPr="00C30BD0">
        <w:rPr>
          <w:i/>
          <w:color w:val="0000FF"/>
          <w:sz w:val="20"/>
          <w:szCs w:val="20"/>
        </w:rPr>
        <w:t>6. Bahl V, Thompson MA, Kau T-Y, Hu HM, Campbell DA, Jr. Do the AHRQ Patient Safety Indicators Flag Conditions That Are Present at the Time of Hospital Admission? Medical care. 2008;46(5):516-522.</w:t>
      </w:r>
    </w:p>
    <w:p w:rsidR="00C30BD0" w:rsidRPr="00C30BD0" w:rsidRDefault="00C30BD0" w:rsidP="00704748">
      <w:pPr>
        <w:pStyle w:val="EndNoteBibliography"/>
        <w:rPr>
          <w:i/>
          <w:color w:val="0000FF"/>
          <w:sz w:val="20"/>
          <w:szCs w:val="20"/>
        </w:rPr>
      </w:pPr>
      <w:r w:rsidRPr="00C30BD0">
        <w:rPr>
          <w:i/>
          <w:color w:val="0000FF"/>
          <w:sz w:val="20"/>
          <w:szCs w:val="20"/>
        </w:rPr>
        <w:t>7. Houchens RL, Elixhauser A, Romano PS. How Often are Potential Patient Safety Events Present on Admission? Joint Commission Journal on Quality and Patient Safety. 2008;34(3):154-163.</w:t>
      </w:r>
    </w:p>
    <w:p w:rsidR="009D3647" w:rsidRDefault="00C30BD0" w:rsidP="00704748">
      <w:pPr>
        <w:pStyle w:val="BodyText"/>
        <w:ind w:left="0" w:right="340"/>
        <w:rPr>
          <w:rFonts w:asciiTheme="minorHAnsi" w:hAnsiTheme="minorHAnsi" w:cstheme="minorHAnsi"/>
          <w:color w:val="0000FF"/>
          <w:sz w:val="20"/>
        </w:rPr>
      </w:pPr>
      <w:r w:rsidRPr="00C30BD0">
        <w:rPr>
          <w:rFonts w:asciiTheme="minorHAnsi" w:hAnsiTheme="minorHAnsi" w:cstheme="minorHAnsi"/>
          <w:bCs/>
          <w:i/>
          <w:color w:val="0000FF"/>
          <w:sz w:val="20"/>
          <w:szCs w:val="20"/>
        </w:rPr>
        <w:fldChar w:fldCharType="end"/>
      </w:r>
    </w:p>
    <w:p w:rsidR="007422FD"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rsidR="005A4D00" w:rsidRPr="005A4D00" w:rsidRDefault="00F36842" w:rsidP="00DB3627">
      <w:pPr>
        <w:autoSpaceDE w:val="0"/>
        <w:autoSpaceDN w:val="0"/>
        <w:adjustRightInd w:val="0"/>
        <w:spacing w:after="0" w:line="240" w:lineRule="auto"/>
        <w:rPr>
          <w:rFonts w:cstheme="minorHAnsi"/>
          <w:bCs/>
          <w:color w:val="0000FF"/>
        </w:rPr>
      </w:pPr>
      <w:r>
        <w:rPr>
          <w:rFonts w:cstheme="minorHAnsi"/>
          <w:bCs/>
          <w:color w:val="0000FF"/>
        </w:rPr>
        <w:t>Both the positive predictive value and sensitivity of this indicator are consistent with other adverse event measures, in the 80% ± 10% range.</w:t>
      </w:r>
      <w:r w:rsidR="00005E2A">
        <w:rPr>
          <w:rFonts w:cstheme="minorHAnsi"/>
          <w:bCs/>
          <w:color w:val="0000FF"/>
        </w:rPr>
        <w:t xml:space="preserve">  PPV was lower in the VA setting because (at the time of </w:t>
      </w:r>
      <w:proofErr w:type="spellStart"/>
      <w:r w:rsidR="00005E2A">
        <w:rPr>
          <w:rFonts w:cstheme="minorHAnsi"/>
          <w:bCs/>
          <w:color w:val="0000FF"/>
        </w:rPr>
        <w:t>Borzecki’s</w:t>
      </w:r>
      <w:proofErr w:type="spellEnd"/>
      <w:r w:rsidR="00005E2A">
        <w:rPr>
          <w:rFonts w:cstheme="minorHAnsi"/>
          <w:bCs/>
          <w:color w:val="0000FF"/>
        </w:rPr>
        <w:t xml:space="preserve"> study) the VA data set did not include any “present on admission” flag</w:t>
      </w:r>
      <w:r w:rsidR="000467F5">
        <w:rPr>
          <w:rFonts w:cstheme="minorHAnsi"/>
          <w:bCs/>
          <w:color w:val="0000FF"/>
        </w:rPr>
        <w:t xml:space="preserve"> or any validated “type of admission” variable to identify elective admissions</w:t>
      </w:r>
      <w:r w:rsidR="00005E2A">
        <w:rPr>
          <w:rFonts w:cstheme="minorHAnsi"/>
          <w:bCs/>
          <w:color w:val="0000FF"/>
        </w:rPr>
        <w:t>.  Most false positives are not due to coding errors, but due to confusion about whether an admission was elective or non-elective.</w:t>
      </w:r>
    </w:p>
    <w:p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074B6F">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rsidR="00001D73" w:rsidRDefault="00001D73" w:rsidP="00DB3627">
      <w:pPr>
        <w:autoSpaceDE w:val="0"/>
        <w:autoSpaceDN w:val="0"/>
        <w:adjustRightInd w:val="0"/>
        <w:spacing w:after="0" w:line="240" w:lineRule="auto"/>
        <w:rPr>
          <w:rFonts w:cstheme="minorHAnsi"/>
          <w:b/>
          <w:bCs/>
        </w:rPr>
      </w:pPr>
    </w:p>
    <w:p w:rsidR="00833325" w:rsidRPr="004E656C" w:rsidRDefault="00092566" w:rsidP="00DB3627">
      <w:pPr>
        <w:autoSpaceDE w:val="0"/>
        <w:autoSpaceDN w:val="0"/>
        <w:adjustRightInd w:val="0"/>
        <w:spacing w:after="0" w:line="240" w:lineRule="auto"/>
        <w:rPr>
          <w:rFonts w:cstheme="minorHAnsi"/>
          <w:bCs/>
          <w:color w:val="0000FF"/>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proofErr w:type="gramStart"/>
      <w:r w:rsidR="00833325" w:rsidRPr="00A25024">
        <w:rPr>
          <w:rFonts w:cstheme="minorHAnsi"/>
          <w:bCs/>
        </w:rPr>
        <w:t>)</w:t>
      </w:r>
      <w:proofErr w:type="gramEnd"/>
      <w:r w:rsidR="00833325" w:rsidRPr="00A25024">
        <w:rPr>
          <w:rFonts w:cstheme="minorHAnsi"/>
          <w:bCs/>
        </w:rPr>
        <w:br/>
      </w:r>
      <w:r w:rsidR="00164633">
        <w:rPr>
          <w:rStyle w:val="FormTextChar"/>
        </w:rPr>
        <w:t>Using the 2012 data from 36 states we examined the percent of potential denominator cases excluded by each criterion. The percent of potential cases excluded by each criterion are reported.</w:t>
      </w:r>
    </w:p>
    <w:p w:rsidR="00833325" w:rsidRPr="00A25024" w:rsidRDefault="00833325" w:rsidP="00DB3627">
      <w:pPr>
        <w:autoSpaceDE w:val="0"/>
        <w:autoSpaceDN w:val="0"/>
        <w:adjustRightInd w:val="0"/>
        <w:spacing w:after="0" w:line="240" w:lineRule="auto"/>
        <w:rPr>
          <w:rFonts w:cstheme="minorHAnsi"/>
          <w:bCs/>
        </w:rPr>
      </w:pPr>
    </w:p>
    <w:p w:rsidR="00164633" w:rsidRDefault="00092566" w:rsidP="004E656C">
      <w:pPr>
        <w:autoSpaceDE w:val="0"/>
        <w:autoSpaceDN w:val="0"/>
        <w:adjustRightInd w:val="0"/>
        <w:spacing w:after="0" w:line="240" w:lineRule="auto"/>
        <w:rPr>
          <w:rFonts w:cstheme="minorHAnsi"/>
          <w:bCs/>
          <w:color w:val="0000FF"/>
        </w:rPr>
      </w:pPr>
      <w:r>
        <w:rPr>
          <w:rFonts w:cstheme="minorHAnsi"/>
          <w:b/>
          <w:bCs/>
        </w:rPr>
        <w:t>2b3.</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rsidR="00164633" w:rsidRPr="00164633" w:rsidRDefault="00164633" w:rsidP="004E656C">
      <w:pPr>
        <w:autoSpaceDE w:val="0"/>
        <w:autoSpaceDN w:val="0"/>
        <w:adjustRightInd w:val="0"/>
        <w:spacing w:after="0" w:line="240" w:lineRule="auto"/>
        <w:rPr>
          <w:rFonts w:cstheme="minorHAnsi"/>
          <w:b/>
          <w:bCs/>
          <w:color w:val="0000FF"/>
        </w:rPr>
      </w:pPr>
      <w:proofErr w:type="gramStart"/>
      <w:r w:rsidRPr="00164633">
        <w:rPr>
          <w:rFonts w:cstheme="minorHAnsi"/>
          <w:b/>
          <w:bCs/>
          <w:color w:val="0000FF"/>
        </w:rPr>
        <w:t>Table 3.</w:t>
      </w:r>
      <w:proofErr w:type="gramEnd"/>
      <w:r w:rsidRPr="00164633">
        <w:rPr>
          <w:rFonts w:cstheme="minorHAnsi"/>
          <w:b/>
          <w:bCs/>
          <w:color w:val="0000FF"/>
        </w:rPr>
        <w:t xml:space="preserve"> Number and Percent of Discharges Excluded, Postoperative Respiratory Failure (PSI11)</w:t>
      </w:r>
    </w:p>
    <w:tbl>
      <w:tblPr>
        <w:tblW w:w="0" w:type="auto"/>
        <w:tblCellMar>
          <w:left w:w="0" w:type="dxa"/>
          <w:right w:w="0" w:type="dxa"/>
        </w:tblCellMar>
        <w:tblLook w:val="04A0" w:firstRow="1" w:lastRow="0" w:firstColumn="1" w:lastColumn="0" w:noHBand="0" w:noVBand="1"/>
      </w:tblPr>
      <w:tblGrid>
        <w:gridCol w:w="2718"/>
        <w:gridCol w:w="2700"/>
        <w:gridCol w:w="2610"/>
      </w:tblGrid>
      <w:tr w:rsidR="00164633" w:rsidRPr="00164633" w:rsidTr="00164633">
        <w:tc>
          <w:tcPr>
            <w:tcW w:w="27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64633" w:rsidRPr="00164633" w:rsidRDefault="00164633">
            <w:pPr>
              <w:autoSpaceDE w:val="0"/>
              <w:autoSpaceDN w:val="0"/>
              <w:rPr>
                <w:rFonts w:ascii="Calibri" w:eastAsiaTheme="minorHAnsi" w:hAnsi="Calibri"/>
                <w:color w:val="0000FF"/>
              </w:rPr>
            </w:pPr>
            <w:r w:rsidRPr="00164633">
              <w:rPr>
                <w:color w:val="0000FF"/>
              </w:rPr>
              <w:t> </w:t>
            </w:r>
          </w:p>
        </w:tc>
        <w:tc>
          <w:tcPr>
            <w:tcW w:w="27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4633" w:rsidRPr="00164633" w:rsidRDefault="00164633">
            <w:pPr>
              <w:autoSpaceDE w:val="0"/>
              <w:autoSpaceDN w:val="0"/>
              <w:rPr>
                <w:rFonts w:ascii="Calibri" w:eastAsiaTheme="minorHAnsi" w:hAnsi="Calibri"/>
                <w:b/>
                <w:color w:val="0000FF"/>
              </w:rPr>
            </w:pPr>
            <w:r w:rsidRPr="00164633">
              <w:rPr>
                <w:b/>
                <w:color w:val="0000FF"/>
              </w:rPr>
              <w:t>Number of discharges</w:t>
            </w:r>
          </w:p>
        </w:tc>
        <w:tc>
          <w:tcPr>
            <w:tcW w:w="26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4633" w:rsidRPr="00164633" w:rsidRDefault="00164633">
            <w:pPr>
              <w:autoSpaceDE w:val="0"/>
              <w:autoSpaceDN w:val="0"/>
              <w:rPr>
                <w:rFonts w:ascii="Calibri" w:eastAsiaTheme="minorHAnsi" w:hAnsi="Calibri"/>
                <w:b/>
                <w:color w:val="0000FF"/>
              </w:rPr>
            </w:pPr>
            <w:r w:rsidRPr="00164633">
              <w:rPr>
                <w:b/>
                <w:color w:val="0000FF"/>
              </w:rPr>
              <w:t>Percent of potential denominator discharges</w:t>
            </w:r>
          </w:p>
        </w:tc>
      </w:tr>
      <w:tr w:rsidR="00164633" w:rsidRPr="00164633" w:rsidTr="00164633">
        <w:tc>
          <w:tcPr>
            <w:tcW w:w="2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64633" w:rsidRPr="00164633" w:rsidRDefault="00164633">
            <w:pPr>
              <w:autoSpaceDE w:val="0"/>
              <w:autoSpaceDN w:val="0"/>
              <w:rPr>
                <w:rFonts w:ascii="Calibri" w:eastAsiaTheme="minorHAnsi" w:hAnsi="Calibri"/>
                <w:color w:val="0000FF"/>
              </w:rPr>
            </w:pPr>
            <w:r w:rsidRPr="00164633">
              <w:rPr>
                <w:color w:val="0000FF"/>
              </w:rPr>
              <w:t>Total Numerator</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164633" w:rsidRPr="00164633" w:rsidRDefault="00164633">
            <w:pPr>
              <w:autoSpaceDE w:val="0"/>
              <w:autoSpaceDN w:val="0"/>
              <w:rPr>
                <w:rFonts w:ascii="Calibri" w:eastAsiaTheme="minorHAnsi" w:hAnsi="Calibri"/>
                <w:color w:val="0000FF"/>
              </w:rPr>
            </w:pPr>
            <w:r w:rsidRPr="00164633">
              <w:rPr>
                <w:color w:val="0000FF"/>
              </w:rPr>
              <w:t>24,562</w:t>
            </w:r>
          </w:p>
        </w:tc>
        <w:tc>
          <w:tcPr>
            <w:tcW w:w="2610" w:type="dxa"/>
            <w:tcBorders>
              <w:top w:val="nil"/>
              <w:left w:val="nil"/>
              <w:bottom w:val="single" w:sz="8" w:space="0" w:color="auto"/>
              <w:right w:val="single" w:sz="8" w:space="0" w:color="auto"/>
            </w:tcBorders>
            <w:tcMar>
              <w:top w:w="0" w:type="dxa"/>
              <w:left w:w="108" w:type="dxa"/>
              <w:bottom w:w="0" w:type="dxa"/>
              <w:right w:w="108" w:type="dxa"/>
            </w:tcMar>
            <w:hideMark/>
          </w:tcPr>
          <w:p w:rsidR="00164633" w:rsidRPr="00164633" w:rsidRDefault="00164633">
            <w:pPr>
              <w:autoSpaceDE w:val="0"/>
              <w:autoSpaceDN w:val="0"/>
              <w:rPr>
                <w:rFonts w:ascii="Calibri" w:eastAsiaTheme="minorHAnsi" w:hAnsi="Calibri"/>
                <w:color w:val="0000FF"/>
              </w:rPr>
            </w:pPr>
            <w:r w:rsidRPr="00164633">
              <w:rPr>
                <w:color w:val="0000FF"/>
              </w:rPr>
              <w:t>N/A</w:t>
            </w:r>
          </w:p>
        </w:tc>
      </w:tr>
      <w:tr w:rsidR="00164633" w:rsidRPr="00164633" w:rsidTr="00164633">
        <w:tc>
          <w:tcPr>
            <w:tcW w:w="2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64633" w:rsidRPr="00164633" w:rsidRDefault="00164633">
            <w:pPr>
              <w:autoSpaceDE w:val="0"/>
              <w:autoSpaceDN w:val="0"/>
              <w:rPr>
                <w:rFonts w:ascii="Calibri" w:eastAsiaTheme="minorHAnsi" w:hAnsi="Calibri"/>
                <w:color w:val="0000FF"/>
              </w:rPr>
            </w:pPr>
            <w:r w:rsidRPr="00164633">
              <w:rPr>
                <w:color w:val="0000FF"/>
              </w:rPr>
              <w:t>Total Denominator</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rsidR="00164633" w:rsidRPr="00164633" w:rsidRDefault="00164633">
            <w:pPr>
              <w:autoSpaceDE w:val="0"/>
              <w:autoSpaceDN w:val="0"/>
              <w:rPr>
                <w:rFonts w:ascii="Calibri" w:eastAsiaTheme="minorHAnsi" w:hAnsi="Calibri"/>
                <w:color w:val="0000FF"/>
              </w:rPr>
            </w:pPr>
            <w:r w:rsidRPr="00164633">
              <w:rPr>
                <w:color w:val="0000FF"/>
              </w:rPr>
              <w:t>2,412,191</w:t>
            </w:r>
          </w:p>
        </w:tc>
        <w:tc>
          <w:tcPr>
            <w:tcW w:w="2610" w:type="dxa"/>
            <w:tcBorders>
              <w:top w:val="nil"/>
              <w:left w:val="nil"/>
              <w:bottom w:val="single" w:sz="8" w:space="0" w:color="auto"/>
              <w:right w:val="single" w:sz="8" w:space="0" w:color="auto"/>
            </w:tcBorders>
            <w:tcMar>
              <w:top w:w="0" w:type="dxa"/>
              <w:left w:w="108" w:type="dxa"/>
              <w:bottom w:w="0" w:type="dxa"/>
              <w:right w:w="108" w:type="dxa"/>
            </w:tcMar>
            <w:hideMark/>
          </w:tcPr>
          <w:p w:rsidR="00164633" w:rsidRPr="00164633" w:rsidRDefault="00164633">
            <w:pPr>
              <w:autoSpaceDE w:val="0"/>
              <w:autoSpaceDN w:val="0"/>
              <w:rPr>
                <w:rFonts w:ascii="Calibri" w:eastAsiaTheme="minorHAnsi" w:hAnsi="Calibri"/>
                <w:color w:val="0000FF"/>
              </w:rPr>
            </w:pPr>
            <w:r w:rsidRPr="00164633">
              <w:rPr>
                <w:color w:val="0000FF"/>
              </w:rPr>
              <w:t>N/A</w:t>
            </w:r>
          </w:p>
        </w:tc>
      </w:tr>
      <w:tr w:rsidR="00164633" w:rsidRPr="00164633" w:rsidTr="00164633">
        <w:tc>
          <w:tcPr>
            <w:tcW w:w="27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64633" w:rsidRPr="00164633" w:rsidRDefault="00164633">
            <w:pPr>
              <w:rPr>
                <w:rFonts w:ascii="Calibri" w:eastAsiaTheme="minorHAnsi" w:hAnsi="Calibri"/>
                <w:color w:val="0000FF"/>
              </w:rPr>
            </w:pPr>
            <w:r w:rsidRPr="00164633">
              <w:rPr>
                <w:color w:val="0000FF"/>
              </w:rPr>
              <w:t>Excluded due to Neuromuscular disorders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64633" w:rsidRPr="00164633" w:rsidRDefault="00164633">
            <w:pPr>
              <w:rPr>
                <w:rFonts w:ascii="Calibri" w:eastAsiaTheme="minorHAnsi" w:hAnsi="Calibri"/>
                <w:color w:val="0000FF"/>
              </w:rPr>
            </w:pPr>
            <w:r w:rsidRPr="00164633">
              <w:rPr>
                <w:color w:val="0000FF"/>
              </w:rPr>
              <w:t>6129</w:t>
            </w:r>
          </w:p>
        </w:tc>
        <w:tc>
          <w:tcPr>
            <w:tcW w:w="26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64633" w:rsidRPr="00164633" w:rsidRDefault="00164633">
            <w:pPr>
              <w:rPr>
                <w:rFonts w:ascii="Calibri" w:eastAsiaTheme="minorHAnsi" w:hAnsi="Calibri"/>
                <w:color w:val="0000FF"/>
              </w:rPr>
            </w:pPr>
            <w:r w:rsidRPr="00164633">
              <w:rPr>
                <w:color w:val="0000FF"/>
              </w:rPr>
              <w:t>0.18%</w:t>
            </w:r>
          </w:p>
        </w:tc>
      </w:tr>
      <w:tr w:rsidR="00164633" w:rsidRPr="00164633" w:rsidTr="00164633">
        <w:tc>
          <w:tcPr>
            <w:tcW w:w="27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64633" w:rsidRPr="00164633" w:rsidRDefault="00164633">
            <w:pPr>
              <w:rPr>
                <w:rFonts w:ascii="Calibri" w:eastAsiaTheme="minorHAnsi" w:hAnsi="Calibri"/>
                <w:color w:val="0000FF"/>
              </w:rPr>
            </w:pPr>
            <w:r w:rsidRPr="00164633">
              <w:rPr>
                <w:color w:val="0000FF"/>
              </w:rPr>
              <w:t>Excluded due to MDC 4, 5, 14</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64633" w:rsidRPr="00164633" w:rsidRDefault="00164633">
            <w:pPr>
              <w:rPr>
                <w:rFonts w:ascii="Calibri" w:eastAsiaTheme="minorHAnsi" w:hAnsi="Calibri"/>
                <w:color w:val="0000FF"/>
              </w:rPr>
            </w:pPr>
            <w:r w:rsidRPr="00164633">
              <w:rPr>
                <w:color w:val="0000FF"/>
              </w:rPr>
              <w:t>961911</w:t>
            </w:r>
          </w:p>
        </w:tc>
        <w:tc>
          <w:tcPr>
            <w:tcW w:w="26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64633" w:rsidRPr="00164633" w:rsidRDefault="00164633">
            <w:pPr>
              <w:rPr>
                <w:rFonts w:ascii="Calibri" w:eastAsiaTheme="minorHAnsi" w:hAnsi="Calibri"/>
                <w:color w:val="0000FF"/>
              </w:rPr>
            </w:pPr>
            <w:r w:rsidRPr="00164633">
              <w:rPr>
                <w:color w:val="0000FF"/>
              </w:rPr>
              <w:t>27.57%</w:t>
            </w:r>
          </w:p>
        </w:tc>
      </w:tr>
      <w:tr w:rsidR="00164633" w:rsidRPr="00164633" w:rsidTr="00164633">
        <w:tc>
          <w:tcPr>
            <w:tcW w:w="27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64633" w:rsidRPr="00164633" w:rsidRDefault="00164633">
            <w:pPr>
              <w:rPr>
                <w:rFonts w:ascii="Calibri" w:eastAsiaTheme="minorHAnsi" w:hAnsi="Calibri"/>
                <w:color w:val="0000FF"/>
              </w:rPr>
            </w:pPr>
            <w:r w:rsidRPr="00164633">
              <w:rPr>
                <w:color w:val="0000FF"/>
              </w:rPr>
              <w:lastRenderedPageBreak/>
              <w:t>Excluded due to Craniofacial anomalies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64633" w:rsidRPr="00164633" w:rsidRDefault="00164633">
            <w:pPr>
              <w:rPr>
                <w:rFonts w:ascii="Calibri" w:eastAsiaTheme="minorHAnsi" w:hAnsi="Calibri"/>
                <w:color w:val="0000FF"/>
              </w:rPr>
            </w:pPr>
            <w:r w:rsidRPr="00164633">
              <w:rPr>
                <w:color w:val="0000FF"/>
              </w:rPr>
              <w:t>27362</w:t>
            </w:r>
          </w:p>
        </w:tc>
        <w:tc>
          <w:tcPr>
            <w:tcW w:w="26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64633" w:rsidRPr="00164633" w:rsidRDefault="00164633">
            <w:pPr>
              <w:rPr>
                <w:rFonts w:ascii="Calibri" w:eastAsiaTheme="minorHAnsi" w:hAnsi="Calibri"/>
                <w:color w:val="0000FF"/>
              </w:rPr>
            </w:pPr>
            <w:r w:rsidRPr="00164633">
              <w:rPr>
                <w:color w:val="0000FF"/>
              </w:rPr>
              <w:t>0.78%</w:t>
            </w:r>
          </w:p>
        </w:tc>
      </w:tr>
      <w:tr w:rsidR="00164633" w:rsidRPr="00164633" w:rsidTr="00164633">
        <w:tc>
          <w:tcPr>
            <w:tcW w:w="27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64633" w:rsidRPr="00164633" w:rsidRDefault="00164633">
            <w:pPr>
              <w:rPr>
                <w:rFonts w:ascii="Calibri" w:eastAsiaTheme="minorHAnsi" w:hAnsi="Calibri"/>
                <w:color w:val="0000FF"/>
              </w:rPr>
            </w:pPr>
            <w:r w:rsidRPr="00164633">
              <w:rPr>
                <w:color w:val="0000FF"/>
              </w:rPr>
              <w:t xml:space="preserve">Excluded due to Esophageal resection procedure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64633" w:rsidRPr="00164633" w:rsidRDefault="00164633">
            <w:pPr>
              <w:rPr>
                <w:rFonts w:ascii="Calibri" w:eastAsiaTheme="minorHAnsi" w:hAnsi="Calibri"/>
                <w:color w:val="0000FF"/>
              </w:rPr>
            </w:pPr>
            <w:r w:rsidRPr="00164633">
              <w:rPr>
                <w:color w:val="0000FF"/>
              </w:rPr>
              <w:t>5249</w:t>
            </w:r>
          </w:p>
        </w:tc>
        <w:tc>
          <w:tcPr>
            <w:tcW w:w="26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64633" w:rsidRPr="00164633" w:rsidRDefault="00164633">
            <w:pPr>
              <w:rPr>
                <w:rFonts w:ascii="Calibri" w:eastAsiaTheme="minorHAnsi" w:hAnsi="Calibri"/>
                <w:color w:val="0000FF"/>
              </w:rPr>
            </w:pPr>
            <w:r w:rsidRPr="00164633">
              <w:rPr>
                <w:color w:val="0000FF"/>
              </w:rPr>
              <w:t>0.15%</w:t>
            </w:r>
          </w:p>
        </w:tc>
      </w:tr>
      <w:tr w:rsidR="00164633" w:rsidRPr="00164633" w:rsidTr="00164633">
        <w:tc>
          <w:tcPr>
            <w:tcW w:w="27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64633" w:rsidRPr="00164633" w:rsidRDefault="00164633">
            <w:pPr>
              <w:rPr>
                <w:rFonts w:ascii="Calibri" w:eastAsiaTheme="minorHAnsi" w:hAnsi="Calibri"/>
                <w:color w:val="0000FF"/>
              </w:rPr>
            </w:pPr>
            <w:r w:rsidRPr="00164633">
              <w:rPr>
                <w:color w:val="0000FF"/>
              </w:rPr>
              <w:t xml:space="preserve">Excluded due to Lung Cancer Procedure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64633" w:rsidRPr="00164633" w:rsidRDefault="00164633">
            <w:pPr>
              <w:rPr>
                <w:rFonts w:ascii="Calibri" w:eastAsiaTheme="minorHAnsi" w:hAnsi="Calibri"/>
                <w:color w:val="0000FF"/>
              </w:rPr>
            </w:pPr>
            <w:r w:rsidRPr="00164633">
              <w:rPr>
                <w:color w:val="0000FF"/>
              </w:rPr>
              <w:t>27891</w:t>
            </w:r>
          </w:p>
        </w:tc>
        <w:tc>
          <w:tcPr>
            <w:tcW w:w="26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64633" w:rsidRPr="00164633" w:rsidRDefault="00164633">
            <w:pPr>
              <w:rPr>
                <w:rFonts w:ascii="Calibri" w:eastAsiaTheme="minorHAnsi" w:hAnsi="Calibri"/>
                <w:color w:val="0000FF"/>
              </w:rPr>
            </w:pPr>
            <w:r w:rsidRPr="00164633">
              <w:rPr>
                <w:color w:val="0000FF"/>
              </w:rPr>
              <w:t>0.80%</w:t>
            </w:r>
          </w:p>
        </w:tc>
      </w:tr>
      <w:tr w:rsidR="00164633" w:rsidRPr="00164633" w:rsidTr="00164633">
        <w:tc>
          <w:tcPr>
            <w:tcW w:w="27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64633" w:rsidRPr="00164633" w:rsidRDefault="00164633">
            <w:pPr>
              <w:rPr>
                <w:rFonts w:ascii="Calibri" w:eastAsiaTheme="minorHAnsi" w:hAnsi="Calibri"/>
                <w:color w:val="0000FF"/>
              </w:rPr>
            </w:pPr>
            <w:r w:rsidRPr="00164633">
              <w:rPr>
                <w:color w:val="0000FF"/>
              </w:rPr>
              <w:t xml:space="preserve">Excluded due to Degenerative neurological disorder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64633" w:rsidRPr="00164633" w:rsidRDefault="00164633">
            <w:pPr>
              <w:rPr>
                <w:rFonts w:ascii="Calibri" w:eastAsiaTheme="minorHAnsi" w:hAnsi="Calibri"/>
                <w:color w:val="0000FF"/>
              </w:rPr>
            </w:pPr>
            <w:r w:rsidRPr="00164633">
              <w:rPr>
                <w:color w:val="0000FF"/>
              </w:rPr>
              <w:t>24294</w:t>
            </w:r>
          </w:p>
        </w:tc>
        <w:tc>
          <w:tcPr>
            <w:tcW w:w="261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164633" w:rsidRPr="00164633" w:rsidRDefault="00164633">
            <w:pPr>
              <w:rPr>
                <w:rFonts w:ascii="Calibri" w:eastAsiaTheme="minorHAnsi" w:hAnsi="Calibri"/>
                <w:color w:val="0000FF"/>
              </w:rPr>
            </w:pPr>
            <w:r w:rsidRPr="00164633">
              <w:rPr>
                <w:color w:val="0000FF"/>
              </w:rPr>
              <w:t>0.70%</w:t>
            </w:r>
          </w:p>
        </w:tc>
      </w:tr>
    </w:tbl>
    <w:p w:rsidR="004E656C" w:rsidRPr="004E656C" w:rsidRDefault="004E656C" w:rsidP="004E656C">
      <w:pPr>
        <w:autoSpaceDE w:val="0"/>
        <w:autoSpaceDN w:val="0"/>
        <w:adjustRightInd w:val="0"/>
        <w:spacing w:after="0" w:line="240" w:lineRule="auto"/>
        <w:rPr>
          <w:rFonts w:cstheme="minorHAnsi"/>
          <w:bCs/>
          <w:color w:val="0000FF"/>
        </w:rPr>
      </w:pPr>
    </w:p>
    <w:p w:rsidR="00092566" w:rsidRPr="00092566" w:rsidRDefault="00092566" w:rsidP="00092566">
      <w:pPr>
        <w:autoSpaceDE w:val="0"/>
        <w:autoSpaceDN w:val="0"/>
        <w:adjustRightInd w:val="0"/>
        <w:spacing w:after="0" w:line="240" w:lineRule="auto"/>
        <w:rPr>
          <w:rFonts w:cstheme="minorHAnsi"/>
          <w:bCs/>
        </w:rPr>
      </w:pPr>
    </w:p>
    <w:p w:rsidR="004E656C" w:rsidRPr="00164633" w:rsidRDefault="00092566" w:rsidP="004E656C">
      <w:pPr>
        <w:autoSpaceDE w:val="0"/>
        <w:autoSpaceDN w:val="0"/>
        <w:adjustRightInd w:val="0"/>
        <w:spacing w:after="0" w:line="240" w:lineRule="auto"/>
        <w:rPr>
          <w:rFonts w:cstheme="minorHAnsi"/>
          <w:bCs/>
          <w:color w:val="0000FF"/>
        </w:rPr>
      </w:pPr>
      <w:r>
        <w:rPr>
          <w:rFonts w:cstheme="minorHAnsi"/>
          <w:b/>
          <w:bCs/>
        </w:rPr>
        <w:t>2b3.</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proofErr w:type="gramStart"/>
      <w:r w:rsidR="00713394" w:rsidRPr="00A25024">
        <w:rPr>
          <w:rFonts w:cstheme="minorHAnsi"/>
          <w:bCs/>
        </w:rPr>
        <w:t>)</w:t>
      </w:r>
      <w:proofErr w:type="gramEnd"/>
      <w:r w:rsidR="007422FD" w:rsidRPr="00A25024">
        <w:rPr>
          <w:rFonts w:cstheme="minorHAnsi"/>
          <w:bCs/>
        </w:rPr>
        <w:br/>
      </w:r>
      <w:bookmarkStart w:id="11" w:name="_GoBack"/>
      <w:r w:rsidR="00164633" w:rsidRPr="00164633">
        <w:rPr>
          <w:rStyle w:val="FormTextChar"/>
        </w:rPr>
        <w:t xml:space="preserve">All exclusions, except MDC 4, 5, 14 are relatively uncommon but maintain face validity for the indicators. Particularly when used at the facility level, it is useful to provide such exclusions to avoid identifying individual cases unlikely to reflect the outcome of interest (e.g. potentially preventable hospitalization). However, as part of the 2015 work plan, we are evaluating </w:t>
      </w:r>
      <w:proofErr w:type="gramStart"/>
      <w:r w:rsidR="00164633" w:rsidRPr="00164633">
        <w:rPr>
          <w:rStyle w:val="FormTextChar"/>
        </w:rPr>
        <w:t>each exclusion</w:t>
      </w:r>
      <w:proofErr w:type="gramEnd"/>
      <w:r w:rsidR="00164633" w:rsidRPr="00164633">
        <w:rPr>
          <w:rStyle w:val="FormTextChar"/>
        </w:rPr>
        <w:t xml:space="preserve"> for potential modification. We welcome the comments of the </w:t>
      </w:r>
      <w:proofErr w:type="gramStart"/>
      <w:r w:rsidR="00164633" w:rsidRPr="00164633">
        <w:rPr>
          <w:rStyle w:val="FormTextChar"/>
        </w:rPr>
        <w:t>NQF  committee</w:t>
      </w:r>
      <w:proofErr w:type="gramEnd"/>
      <w:r w:rsidR="00164633" w:rsidRPr="00164633">
        <w:rPr>
          <w:rStyle w:val="FormTextChar"/>
        </w:rPr>
        <w:t xml:space="preserve"> regarding these exclusion criteria.</w:t>
      </w:r>
    </w:p>
    <w:bookmarkEnd w:id="11"/>
    <w:p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rsidR="008871A9" w:rsidRDefault="008871A9" w:rsidP="00092566">
      <w:pPr>
        <w:autoSpaceDE w:val="0"/>
        <w:autoSpaceDN w:val="0"/>
        <w:adjustRightInd w:val="0"/>
        <w:spacing w:after="0" w:line="240" w:lineRule="auto"/>
        <w:rPr>
          <w:rFonts w:cstheme="minorHAnsi"/>
          <w:b/>
          <w:bCs/>
        </w:rPr>
      </w:pPr>
    </w:p>
    <w:p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rsidR="00033038" w:rsidRPr="005232D6" w:rsidRDefault="00164633"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rsidR="00743E46" w:rsidRPr="005232D6" w:rsidRDefault="00164633"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4E656C">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rsidR="00743E46" w:rsidRPr="005232D6" w:rsidRDefault="00164633"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rsidR="00743E46" w:rsidRPr="005232D6" w:rsidRDefault="00164633"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rsidR="00743E46" w:rsidRDefault="00743E46" w:rsidP="00092566">
      <w:pPr>
        <w:autoSpaceDE w:val="0"/>
        <w:autoSpaceDN w:val="0"/>
        <w:adjustRightInd w:val="0"/>
        <w:spacing w:after="0" w:line="240" w:lineRule="auto"/>
        <w:rPr>
          <w:rFonts w:cstheme="minorHAnsi"/>
          <w:b/>
          <w:bCs/>
        </w:rPr>
      </w:pPr>
    </w:p>
    <w:p w:rsidR="001F1ACA" w:rsidRPr="004E656C" w:rsidRDefault="00743E46" w:rsidP="001F1ACA">
      <w:pPr>
        <w:autoSpaceDE w:val="0"/>
        <w:autoSpaceDN w:val="0"/>
        <w:adjustRightInd w:val="0"/>
        <w:spacing w:after="0" w:line="240" w:lineRule="auto"/>
        <w:rPr>
          <w:rFonts w:cstheme="minorHAnsi"/>
          <w:bCs/>
          <w:color w:val="0000FF"/>
        </w:rPr>
      </w:pPr>
      <w:r>
        <w:rPr>
          <w:rFonts w:cstheme="minorHAnsi"/>
          <w:b/>
          <w:bCs/>
        </w:rPr>
        <w:t xml:space="preserve">2b4.2. </w:t>
      </w:r>
      <w:proofErr w:type="gramStart"/>
      <w:r w:rsidR="008871A9">
        <w:rPr>
          <w:rFonts w:cstheme="minorHAnsi"/>
          <w:b/>
          <w:bCs/>
        </w:rPr>
        <w:t>If</w:t>
      </w:r>
      <w:proofErr w:type="gramEnd"/>
      <w:r w:rsidR="008871A9">
        <w:rPr>
          <w:rFonts w:cstheme="minorHAnsi"/>
          <w:b/>
          <w:bCs/>
        </w:rPr>
        <w:t xml:space="preserve">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r w:rsidR="001F1ACA" w:rsidRPr="004E656C">
        <w:rPr>
          <w:rFonts w:cstheme="minorHAnsi"/>
          <w:bCs/>
          <w:color w:val="0000FF"/>
        </w:rPr>
        <w:t xml:space="preserve">Not applicable </w:t>
      </w:r>
    </w:p>
    <w:p w:rsidR="00092566" w:rsidRPr="00A25024" w:rsidRDefault="00092566" w:rsidP="00092566">
      <w:pPr>
        <w:pStyle w:val="ListParagraph"/>
        <w:autoSpaceDE w:val="0"/>
        <w:autoSpaceDN w:val="0"/>
        <w:adjustRightInd w:val="0"/>
        <w:spacing w:after="0" w:line="240" w:lineRule="auto"/>
        <w:ind w:left="360"/>
        <w:rPr>
          <w:rFonts w:cstheme="minorHAnsi"/>
          <w:bCs/>
        </w:rPr>
      </w:pPr>
    </w:p>
    <w:p w:rsidR="001F1ACA" w:rsidRPr="00D9106B" w:rsidRDefault="00092566" w:rsidP="001F1ACA">
      <w:pPr>
        <w:pStyle w:val="Default"/>
        <w:rPr>
          <w:rFonts w:asciiTheme="minorHAnsi" w:hAnsiTheme="minorHAnsi"/>
          <w:color w:val="0000FF"/>
          <w:sz w:val="22"/>
          <w:szCs w:val="22"/>
        </w:rPr>
      </w:pPr>
      <w:r w:rsidRPr="00D9106B">
        <w:rPr>
          <w:rFonts w:asciiTheme="minorHAnsi" w:hAnsiTheme="minorHAnsi" w:cstheme="minorHAnsi"/>
          <w:b/>
          <w:bCs/>
        </w:rPr>
        <w:t xml:space="preserve">2b4.3. </w:t>
      </w:r>
      <w:r w:rsidR="00927027" w:rsidRPr="00D9106B">
        <w:rPr>
          <w:rFonts w:asciiTheme="minorHAnsi" w:hAnsiTheme="minorHAnsi" w:cstheme="minorHAnsi"/>
          <w:b/>
          <w:bCs/>
        </w:rPr>
        <w:t>Describe</w:t>
      </w:r>
      <w:r w:rsidRPr="00D9106B">
        <w:rPr>
          <w:rFonts w:asciiTheme="minorHAnsi" w:hAnsiTheme="minorHAnsi" w:cstheme="minorHAnsi"/>
          <w:b/>
          <w:bCs/>
        </w:rPr>
        <w:t xml:space="preserve"> the conceptual/clinical </w:t>
      </w:r>
      <w:r w:rsidRPr="00D9106B">
        <w:rPr>
          <w:rFonts w:asciiTheme="minorHAnsi" w:hAnsiTheme="minorHAnsi" w:cstheme="minorHAnsi"/>
          <w:b/>
          <w:bCs/>
          <w:u w:val="single"/>
        </w:rPr>
        <w:t>and</w:t>
      </w:r>
      <w:r w:rsidRPr="00D9106B">
        <w:rPr>
          <w:rFonts w:asciiTheme="minorHAnsi" w:hAnsiTheme="minorHAnsi" w:cstheme="minorHAnsi"/>
          <w:b/>
          <w:bCs/>
        </w:rPr>
        <w:t xml:space="preserve"> statistical methods and criteria used to select </w:t>
      </w:r>
      <w:r w:rsidR="005363F1" w:rsidRPr="00D9106B">
        <w:rPr>
          <w:rFonts w:asciiTheme="minorHAnsi" w:hAnsiTheme="minorHAnsi" w:cstheme="minorHAnsi"/>
          <w:b/>
          <w:bCs/>
        </w:rPr>
        <w:t xml:space="preserve">patient </w:t>
      </w:r>
      <w:r w:rsidRPr="00D9106B">
        <w:rPr>
          <w:rFonts w:asciiTheme="minorHAnsi" w:hAnsiTheme="minorHAnsi" w:cstheme="minorHAnsi"/>
          <w:b/>
          <w:bCs/>
        </w:rPr>
        <w:t>factors used in the statistical risk model or for stratification by risk</w:t>
      </w:r>
      <w:r w:rsidR="00927027" w:rsidRPr="00D9106B">
        <w:rPr>
          <w:rFonts w:asciiTheme="minorHAnsi" w:hAnsiTheme="minorHAnsi" w:cstheme="minorHAnsi"/>
          <w:b/>
          <w:bCs/>
        </w:rPr>
        <w:t xml:space="preserve"> </w:t>
      </w:r>
      <w:r w:rsidRPr="00D9106B">
        <w:rPr>
          <w:rFonts w:asciiTheme="minorHAnsi" w:hAnsiTheme="minorHAnsi" w:cstheme="minorHAnsi"/>
          <w:bCs/>
        </w:rPr>
        <w:t>(</w:t>
      </w:r>
      <w:r w:rsidRPr="00D9106B">
        <w:rPr>
          <w:rFonts w:asciiTheme="minorHAnsi" w:hAnsiTheme="minorHAnsi" w:cstheme="minorHAnsi"/>
          <w:bCs/>
          <w:i/>
        </w:rPr>
        <w:t xml:space="preserve">e.g., potential factors identified in </w:t>
      </w:r>
      <w:r w:rsidR="005363F1" w:rsidRPr="00D9106B">
        <w:rPr>
          <w:rFonts w:asciiTheme="minorHAnsi" w:hAnsiTheme="minorHAnsi" w:cstheme="minorHAnsi"/>
          <w:bCs/>
          <w:i/>
        </w:rPr>
        <w:t xml:space="preserve">the </w:t>
      </w:r>
      <w:r w:rsidRPr="00D9106B">
        <w:rPr>
          <w:rFonts w:asciiTheme="minorHAnsi" w:hAnsiTheme="minorHAnsi" w:cstheme="minorHAnsi"/>
          <w:bCs/>
          <w:i/>
        </w:rPr>
        <w:t>literature and/or expert panel; regression analysis; statistical significance of p&lt;0.10; correlation of x or higher</w:t>
      </w:r>
      <w:r w:rsidR="005363F1" w:rsidRPr="00D9106B">
        <w:rPr>
          <w:rFonts w:asciiTheme="minorHAnsi" w:hAnsiTheme="minorHAnsi" w:cstheme="minorHAnsi"/>
          <w:bCs/>
          <w:i/>
        </w:rPr>
        <w:t>; patient factors should be present at the start of care and not related to disparities</w:t>
      </w:r>
      <w:r w:rsidRPr="00D9106B">
        <w:rPr>
          <w:rFonts w:asciiTheme="minorHAnsi" w:hAnsiTheme="minorHAnsi" w:cstheme="minorHAnsi"/>
          <w:bCs/>
        </w:rPr>
        <w:t>)</w:t>
      </w:r>
      <w:r w:rsidRPr="00D9106B">
        <w:rPr>
          <w:rFonts w:asciiTheme="minorHAnsi" w:hAnsiTheme="minorHAnsi" w:cstheme="minorHAnsi"/>
          <w:bCs/>
        </w:rPr>
        <w:br/>
      </w:r>
      <w:r w:rsidR="001F1ACA" w:rsidRPr="00D9106B">
        <w:rPr>
          <w:rFonts w:asciiTheme="minorHAnsi" w:hAnsiTheme="minorHAnsi"/>
          <w:color w:val="0000FF"/>
          <w:sz w:val="22"/>
          <w:szCs w:val="22"/>
        </w:rPr>
        <w:t xml:space="preserve">For the provider level indicators, each module has a standard set of covariates grouped into four categories: demographics, severity of illness, comorbidities, transfer-in status, point of origin and days </w:t>
      </w:r>
      <w:r w:rsidR="001F1ACA" w:rsidRPr="00D9106B">
        <w:rPr>
          <w:rFonts w:asciiTheme="minorHAnsi" w:hAnsiTheme="minorHAnsi"/>
          <w:color w:val="0000FF"/>
          <w:sz w:val="22"/>
          <w:szCs w:val="22"/>
        </w:rPr>
        <w:lastRenderedPageBreak/>
        <w:t xml:space="preserve">to procedure. The standard set is tailored to each indicator to create a parsimonious set of covariates for each indicator. Based on cross tabulations between each covariate and the outcome of interest, only those covariates with at least 30 cases with the outcome of interest are retained. For categories that are mutually exclusive, covariates with fewer than 30 cases are pooled into the next covariate along the risk gradient. For example, age 70 to 74 is combined with age 65 to 69, or risk of mortality subclass 3 is combined with subclass 2. For categories with no risk gradient, covariates are pooled into broader covariates. For example, MS-DRGs are pooled into MDCs. </w:t>
      </w:r>
    </w:p>
    <w:p w:rsidR="00F82B99" w:rsidRDefault="00F82B99" w:rsidP="001F1ACA">
      <w:pPr>
        <w:pStyle w:val="Default"/>
        <w:rPr>
          <w:rFonts w:asciiTheme="minorHAnsi" w:hAnsiTheme="minorHAnsi"/>
          <w:color w:val="0000FF"/>
          <w:sz w:val="22"/>
          <w:szCs w:val="22"/>
        </w:rPr>
      </w:pPr>
    </w:p>
    <w:p w:rsidR="001F1ACA" w:rsidRPr="00D9106B" w:rsidRDefault="001F1ACA" w:rsidP="001F1ACA">
      <w:pPr>
        <w:pStyle w:val="Default"/>
        <w:rPr>
          <w:rFonts w:asciiTheme="minorHAnsi" w:hAnsiTheme="minorHAnsi"/>
          <w:color w:val="0000FF"/>
          <w:sz w:val="22"/>
          <w:szCs w:val="22"/>
        </w:rPr>
      </w:pPr>
      <w:r w:rsidRPr="00D9106B">
        <w:rPr>
          <w:rFonts w:asciiTheme="minorHAnsi" w:hAnsiTheme="minorHAnsi"/>
          <w:color w:val="0000FF"/>
          <w:sz w:val="22"/>
          <w:szCs w:val="22"/>
        </w:rPr>
        <w:t xml:space="preserve">The omitted covariate within mutually exclusive categories is the reference group for those categories. Reference categories are usually 1) the most common and/or 2) the least risk. </w:t>
      </w:r>
    </w:p>
    <w:p w:rsidR="001F1ACA" w:rsidRPr="00D9106B" w:rsidRDefault="001F1ACA" w:rsidP="001F1ACA">
      <w:pPr>
        <w:pStyle w:val="Default"/>
        <w:rPr>
          <w:rFonts w:asciiTheme="minorHAnsi" w:hAnsiTheme="minorHAnsi"/>
          <w:color w:val="0000FF"/>
          <w:sz w:val="22"/>
          <w:szCs w:val="22"/>
        </w:rPr>
      </w:pPr>
    </w:p>
    <w:p w:rsidR="001F1ACA" w:rsidRDefault="001F1ACA" w:rsidP="001F1ACA">
      <w:pPr>
        <w:pStyle w:val="Default"/>
        <w:rPr>
          <w:rFonts w:asciiTheme="minorHAnsi" w:hAnsiTheme="minorHAnsi"/>
          <w:color w:val="0000FF"/>
          <w:sz w:val="22"/>
          <w:szCs w:val="22"/>
        </w:rPr>
      </w:pPr>
      <w:r w:rsidRPr="00D9106B">
        <w:rPr>
          <w:rFonts w:asciiTheme="minorHAnsi" w:hAnsiTheme="minorHAnsi"/>
          <w:color w:val="0000FF"/>
          <w:sz w:val="22"/>
          <w:szCs w:val="22"/>
        </w:rPr>
        <w:t xml:space="preserve">The choice of omitted reference category does affect how one might use the model coefficients or odds ratios in an English language sentence, but it does not affect predicted probabilities or model performance. </w:t>
      </w:r>
    </w:p>
    <w:p w:rsidR="00B97FD0" w:rsidRPr="00D9106B" w:rsidRDefault="00B97FD0" w:rsidP="001F1ACA">
      <w:pPr>
        <w:pStyle w:val="Default"/>
        <w:rPr>
          <w:rFonts w:asciiTheme="minorHAnsi" w:hAnsiTheme="minorHAnsi"/>
          <w:color w:val="0000FF"/>
          <w:sz w:val="22"/>
          <w:szCs w:val="22"/>
        </w:rPr>
      </w:pPr>
    </w:p>
    <w:p w:rsidR="001F1ACA" w:rsidRPr="00D9106B" w:rsidRDefault="001F1ACA" w:rsidP="001F1ACA">
      <w:pPr>
        <w:pStyle w:val="Default"/>
        <w:rPr>
          <w:rFonts w:asciiTheme="minorHAnsi" w:hAnsiTheme="minorHAnsi"/>
          <w:color w:val="0000FF"/>
          <w:sz w:val="22"/>
          <w:szCs w:val="22"/>
        </w:rPr>
      </w:pPr>
      <w:r w:rsidRPr="00D9106B">
        <w:rPr>
          <w:rFonts w:asciiTheme="minorHAnsi" w:hAnsiTheme="minorHAnsi"/>
          <w:color w:val="0000FF"/>
          <w:sz w:val="22"/>
          <w:szCs w:val="22"/>
        </w:rPr>
        <w:t xml:space="preserve">Once the preliminary multivariable model is specified, it is estimated on the adult analytic data, as appropriate. Only those covariates that are statistically significant (p&lt;.05) are retained. For covariates that are not statistically significant in categories that are mutually exclusive, the pooling process described above is repeated until a complete, parsimonious model is specified. </w:t>
      </w:r>
    </w:p>
    <w:p w:rsidR="001F1ACA" w:rsidRPr="00D9106B" w:rsidRDefault="001F1ACA" w:rsidP="001F1ACA">
      <w:pPr>
        <w:autoSpaceDE w:val="0"/>
        <w:autoSpaceDN w:val="0"/>
        <w:adjustRightInd w:val="0"/>
        <w:spacing w:after="0" w:line="240" w:lineRule="auto"/>
        <w:rPr>
          <w:color w:val="0000FF"/>
        </w:rPr>
      </w:pPr>
    </w:p>
    <w:p w:rsidR="00092566" w:rsidRPr="00D9106B" w:rsidRDefault="001F1ACA" w:rsidP="001F1ACA">
      <w:pPr>
        <w:autoSpaceDE w:val="0"/>
        <w:autoSpaceDN w:val="0"/>
        <w:adjustRightInd w:val="0"/>
        <w:spacing w:after="0" w:line="240" w:lineRule="auto"/>
        <w:rPr>
          <w:rFonts w:cstheme="minorHAnsi"/>
          <w:bCs/>
        </w:rPr>
      </w:pPr>
      <w:r w:rsidRPr="00D9106B">
        <w:rPr>
          <w:color w:val="0000FF"/>
        </w:rPr>
        <w:t>Additional details are available in the AHRQ Quality Indicator Empirical Methods document, included in the supplemental file.</w:t>
      </w:r>
    </w:p>
    <w:p w:rsidR="00001D73" w:rsidRPr="00D9106B" w:rsidRDefault="00001D73" w:rsidP="00001D73">
      <w:pPr>
        <w:autoSpaceDE w:val="0"/>
        <w:autoSpaceDN w:val="0"/>
        <w:adjustRightInd w:val="0"/>
        <w:spacing w:after="0" w:line="240" w:lineRule="auto"/>
        <w:rPr>
          <w:rFonts w:cstheme="minorHAnsi"/>
          <w:bCs/>
        </w:rPr>
      </w:pPr>
    </w:p>
    <w:p w:rsidR="001F1ACA" w:rsidRDefault="00092566" w:rsidP="001F1ACA">
      <w:pPr>
        <w:pStyle w:val="Default"/>
        <w:rPr>
          <w:rFonts w:asciiTheme="minorHAnsi" w:hAnsiTheme="minorHAnsi" w:cs="Calibri"/>
          <w:color w:val="0000FF"/>
          <w:sz w:val="22"/>
          <w:szCs w:val="22"/>
        </w:rPr>
      </w:pPr>
      <w:r w:rsidRPr="00D9106B">
        <w:rPr>
          <w:rFonts w:asciiTheme="minorHAnsi" w:hAnsiTheme="minorHAnsi" w:cstheme="minorHAnsi"/>
          <w:b/>
          <w:bCs/>
        </w:rPr>
        <w:t xml:space="preserve">2b4.4. </w:t>
      </w:r>
      <w:proofErr w:type="gramStart"/>
      <w:r w:rsidRPr="00D9106B">
        <w:rPr>
          <w:rFonts w:asciiTheme="minorHAnsi" w:hAnsiTheme="minorHAnsi" w:cstheme="minorHAnsi"/>
          <w:b/>
          <w:bCs/>
        </w:rPr>
        <w:t>What</w:t>
      </w:r>
      <w:proofErr w:type="gramEnd"/>
      <w:r w:rsidRPr="00D9106B">
        <w:rPr>
          <w:rFonts w:asciiTheme="minorHAnsi" w:hAnsiTheme="minorHAnsi" w:cstheme="minorHAnsi"/>
          <w:b/>
          <w:bCs/>
        </w:rPr>
        <w:t xml:space="preserve"> were the statistical results of the analyses used to select risk factors?</w:t>
      </w:r>
      <w:r w:rsidR="00001D73" w:rsidRPr="00D9106B">
        <w:rPr>
          <w:rFonts w:asciiTheme="minorHAnsi" w:hAnsiTheme="minorHAnsi" w:cstheme="minorHAnsi"/>
          <w:b/>
          <w:bCs/>
        </w:rPr>
        <w:br/>
      </w:r>
      <w:r w:rsidR="001F1ACA" w:rsidRPr="00D9106B">
        <w:rPr>
          <w:rFonts w:asciiTheme="minorHAnsi" w:hAnsiTheme="minorHAnsi" w:cs="Calibri"/>
          <w:color w:val="0000FF"/>
          <w:sz w:val="22"/>
          <w:szCs w:val="22"/>
        </w:rPr>
        <w:t xml:space="preserve">The process to select risk factors is described in the AHRQ QI Empirical Methods report. The results of the analyses are provided in the PSI Parameter Estimates document. Both documents are available to reviewers in the supporting materials. The results of the analyses are provided in the tables below as well as on the submitted excel spreadsheet. </w:t>
      </w:r>
    </w:p>
    <w:p w:rsidR="00B97FD0" w:rsidRPr="00D9106B" w:rsidRDefault="00B97FD0" w:rsidP="001F1ACA">
      <w:pPr>
        <w:pStyle w:val="Default"/>
        <w:rPr>
          <w:rFonts w:asciiTheme="minorHAnsi" w:hAnsiTheme="minorHAnsi" w:cs="Calibri"/>
          <w:color w:val="0000FF"/>
          <w:sz w:val="22"/>
          <w:szCs w:val="22"/>
        </w:rPr>
      </w:pPr>
    </w:p>
    <w:p w:rsidR="001F1ACA" w:rsidRPr="00D9106B" w:rsidRDefault="001F1ACA" w:rsidP="001F1ACA">
      <w:pPr>
        <w:autoSpaceDE w:val="0"/>
        <w:autoSpaceDN w:val="0"/>
        <w:adjustRightInd w:val="0"/>
        <w:spacing w:after="0" w:line="240" w:lineRule="auto"/>
        <w:rPr>
          <w:rFonts w:cs="Calibri"/>
          <w:color w:val="0000FF"/>
        </w:rPr>
      </w:pPr>
      <w:r w:rsidRPr="00D9106B">
        <w:rPr>
          <w:rFonts w:cs="Calibri"/>
          <w:color w:val="0000FF"/>
        </w:rPr>
        <w:t xml:space="preserve">There are several steps involved in estimating the QI risk-adjustment models. </w:t>
      </w:r>
    </w:p>
    <w:p w:rsidR="001F1ACA" w:rsidRPr="00D9106B" w:rsidRDefault="001F1ACA" w:rsidP="001F1ACA">
      <w:pPr>
        <w:autoSpaceDE w:val="0"/>
        <w:autoSpaceDN w:val="0"/>
        <w:adjustRightInd w:val="0"/>
        <w:spacing w:after="0" w:line="240" w:lineRule="auto"/>
        <w:rPr>
          <w:rFonts w:cs="Calibri"/>
          <w:color w:val="0000FF"/>
        </w:rPr>
      </w:pPr>
      <w:r w:rsidRPr="00D9106B">
        <w:rPr>
          <w:rFonts w:cs="Calibri"/>
          <w:color w:val="0000FF"/>
        </w:rPr>
        <w:t xml:space="preserve">1. Construct candidate covariates </w:t>
      </w:r>
    </w:p>
    <w:p w:rsidR="001F1ACA" w:rsidRPr="00D9106B" w:rsidRDefault="001F1ACA" w:rsidP="001F1ACA">
      <w:pPr>
        <w:autoSpaceDE w:val="0"/>
        <w:autoSpaceDN w:val="0"/>
        <w:adjustRightInd w:val="0"/>
        <w:spacing w:after="0" w:line="240" w:lineRule="auto"/>
        <w:rPr>
          <w:rFonts w:cs="Calibri"/>
          <w:color w:val="0000FF"/>
        </w:rPr>
      </w:pPr>
      <w:r w:rsidRPr="00D9106B">
        <w:rPr>
          <w:rFonts w:cs="Calibri"/>
          <w:color w:val="0000FF"/>
        </w:rPr>
        <w:t xml:space="preserve">2. Select model covariates </w:t>
      </w:r>
    </w:p>
    <w:p w:rsidR="001F1ACA" w:rsidRPr="00D9106B" w:rsidRDefault="001F1ACA" w:rsidP="001F1ACA">
      <w:pPr>
        <w:autoSpaceDE w:val="0"/>
        <w:autoSpaceDN w:val="0"/>
        <w:adjustRightInd w:val="0"/>
        <w:spacing w:after="0" w:line="240" w:lineRule="auto"/>
        <w:rPr>
          <w:rFonts w:cs="Calibri"/>
          <w:color w:val="0000FF"/>
        </w:rPr>
      </w:pPr>
      <w:r w:rsidRPr="00D9106B">
        <w:rPr>
          <w:rFonts w:cs="Calibri"/>
          <w:color w:val="0000FF"/>
        </w:rPr>
        <w:t xml:space="preserve">3. Estimate the models </w:t>
      </w:r>
    </w:p>
    <w:p w:rsidR="001F1ACA" w:rsidRDefault="001F1ACA" w:rsidP="001F1ACA">
      <w:pPr>
        <w:autoSpaceDE w:val="0"/>
        <w:autoSpaceDN w:val="0"/>
        <w:adjustRightInd w:val="0"/>
        <w:spacing w:after="0" w:line="240" w:lineRule="auto"/>
        <w:rPr>
          <w:rFonts w:cs="Calibri"/>
          <w:color w:val="0000FF"/>
        </w:rPr>
      </w:pPr>
      <w:r w:rsidRPr="00D9106B">
        <w:rPr>
          <w:rFonts w:cs="Calibri"/>
          <w:color w:val="0000FF"/>
        </w:rPr>
        <w:t xml:space="preserve">4. Evaluate the models </w:t>
      </w:r>
    </w:p>
    <w:p w:rsidR="00B97FD0" w:rsidRPr="00D9106B" w:rsidRDefault="00B97FD0" w:rsidP="001F1ACA">
      <w:pPr>
        <w:autoSpaceDE w:val="0"/>
        <w:autoSpaceDN w:val="0"/>
        <w:adjustRightInd w:val="0"/>
        <w:spacing w:after="0" w:line="240" w:lineRule="auto"/>
        <w:rPr>
          <w:rFonts w:cs="Calibri"/>
          <w:color w:val="0000FF"/>
        </w:rPr>
      </w:pPr>
    </w:p>
    <w:p w:rsidR="001F1ACA" w:rsidRPr="00D9106B" w:rsidRDefault="001F1ACA" w:rsidP="001F1ACA">
      <w:pPr>
        <w:autoSpaceDE w:val="0"/>
        <w:autoSpaceDN w:val="0"/>
        <w:adjustRightInd w:val="0"/>
        <w:spacing w:after="0" w:line="240" w:lineRule="auto"/>
        <w:rPr>
          <w:rFonts w:cs="Calibri"/>
          <w:color w:val="0000FF"/>
        </w:rPr>
      </w:pPr>
      <w:r w:rsidRPr="00D9106B">
        <w:rPr>
          <w:rFonts w:cs="Calibri"/>
          <w:color w:val="0000FF"/>
        </w:rPr>
        <w:t xml:space="preserve">For the PSIs, potential risk-adjustment covariates indicate whether the discharge record meets the technical specification for gender, age, modified Diagnosis-Related Group (MDRG) and at least one of twenty-five (25) co-morbidities that are used as covariates in the risk-adjustment model. </w:t>
      </w:r>
    </w:p>
    <w:p w:rsidR="00092566" w:rsidRPr="00D9106B" w:rsidRDefault="001F1ACA" w:rsidP="001F1ACA">
      <w:pPr>
        <w:autoSpaceDE w:val="0"/>
        <w:autoSpaceDN w:val="0"/>
        <w:adjustRightInd w:val="0"/>
        <w:spacing w:after="0" w:line="240" w:lineRule="auto"/>
        <w:rPr>
          <w:rFonts w:cs="Calibri"/>
          <w:color w:val="0000FF"/>
        </w:rPr>
      </w:pPr>
      <w:r w:rsidRPr="00D9106B">
        <w:rPr>
          <w:rFonts w:cs="Calibri"/>
          <w:color w:val="0000FF"/>
        </w:rPr>
        <w:t>Covariates are coded for each discharge record based on the data elements, data values, and logic described in the technical specifications and the appendices of the risk-adjustment coefficient tables. For a given covariate, if the discharge meets the technical specification for that covariate a value of “1” is assigned to the discharge level covariate data element. Otherwise a value of “0” is assigned to the discharge level covariate data element.</w:t>
      </w:r>
    </w:p>
    <w:p w:rsidR="001F1ACA" w:rsidRPr="00DB31EF" w:rsidRDefault="001F1ACA" w:rsidP="001F1ACA">
      <w:pPr>
        <w:autoSpaceDE w:val="0"/>
        <w:autoSpaceDN w:val="0"/>
        <w:adjustRightInd w:val="0"/>
        <w:spacing w:after="0" w:line="240" w:lineRule="auto"/>
        <w:rPr>
          <w:rFonts w:ascii="Calibri" w:hAnsi="Calibri" w:cs="Calibri"/>
          <w:color w:val="0000FF"/>
        </w:rPr>
      </w:pPr>
    </w:p>
    <w:tbl>
      <w:tblPr>
        <w:tblW w:w="9483" w:type="dxa"/>
        <w:tblInd w:w="93" w:type="dxa"/>
        <w:tblLook w:val="04A0" w:firstRow="1" w:lastRow="0" w:firstColumn="1" w:lastColumn="0" w:noHBand="0" w:noVBand="1"/>
      </w:tblPr>
      <w:tblGrid>
        <w:gridCol w:w="1153"/>
        <w:gridCol w:w="2451"/>
        <w:gridCol w:w="434"/>
        <w:gridCol w:w="944"/>
        <w:gridCol w:w="1418"/>
        <w:gridCol w:w="1606"/>
        <w:gridCol w:w="1477"/>
      </w:tblGrid>
      <w:tr w:rsidR="00A7072F" w:rsidTr="00A7072F">
        <w:trPr>
          <w:trHeight w:val="312"/>
        </w:trPr>
        <w:tc>
          <w:tcPr>
            <w:tcW w:w="9483" w:type="dxa"/>
            <w:gridSpan w:val="7"/>
            <w:noWrap/>
            <w:vAlign w:val="bottom"/>
            <w:hideMark/>
          </w:tcPr>
          <w:p w:rsidR="00A7072F" w:rsidRDefault="00A7072F" w:rsidP="00EA589F">
            <w:pPr>
              <w:spacing w:after="0" w:line="240" w:lineRule="auto"/>
              <w:rPr>
                <w:rFonts w:ascii="Calibri" w:eastAsia="Times New Roman" w:hAnsi="Calibri" w:cs="Times New Roman"/>
                <w:b/>
                <w:bCs/>
                <w:color w:val="0000FF"/>
              </w:rPr>
            </w:pPr>
            <w:r>
              <w:rPr>
                <w:rFonts w:ascii="Calibri" w:eastAsia="Times New Roman" w:hAnsi="Calibri" w:cs="Times New Roman"/>
                <w:b/>
                <w:bCs/>
                <w:color w:val="0000FF"/>
              </w:rPr>
              <w:t>Table 3. Risk A</w:t>
            </w:r>
            <w:r w:rsidR="00EA589F">
              <w:rPr>
                <w:rFonts w:ascii="Calibri" w:eastAsia="Times New Roman" w:hAnsi="Calibri" w:cs="Times New Roman"/>
                <w:b/>
                <w:bCs/>
                <w:color w:val="0000FF"/>
              </w:rPr>
              <w:t xml:space="preserve">djustment Coefficients - PSI 11 </w:t>
            </w:r>
            <w:r>
              <w:rPr>
                <w:rFonts w:ascii="Calibri" w:eastAsia="Times New Roman" w:hAnsi="Calibri" w:cs="Times New Roman"/>
                <w:b/>
                <w:bCs/>
                <w:color w:val="0000FF"/>
              </w:rPr>
              <w:t>Postoperative Respiratory Failure Rate</w:t>
            </w:r>
            <w:r w:rsidR="00491EC0">
              <w:rPr>
                <w:rFonts w:ascii="Calibri" w:eastAsia="Times New Roman" w:hAnsi="Calibri" w:cs="Times New Roman"/>
                <w:b/>
                <w:bCs/>
                <w:color w:val="0000FF"/>
              </w:rPr>
              <w:t xml:space="preserve"> </w:t>
            </w:r>
          </w:p>
        </w:tc>
      </w:tr>
      <w:tr w:rsidR="00A7072F" w:rsidTr="00A7072F">
        <w:trPr>
          <w:trHeight w:val="289"/>
        </w:trPr>
        <w:tc>
          <w:tcPr>
            <w:tcW w:w="1152" w:type="dxa"/>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rsidR="00A7072F" w:rsidRDefault="00A7072F">
            <w:pPr>
              <w:spacing w:after="0" w:line="240" w:lineRule="auto"/>
              <w:rPr>
                <w:rFonts w:ascii="Calibri" w:eastAsia="Times New Roman" w:hAnsi="Calibri" w:cs="Times New Roman"/>
                <w:b/>
                <w:bCs/>
                <w:color w:val="0000FF"/>
                <w:sz w:val="20"/>
              </w:rPr>
            </w:pPr>
            <w:r>
              <w:rPr>
                <w:rFonts w:ascii="Calibri" w:eastAsia="Times New Roman" w:hAnsi="Calibri" w:cs="Times New Roman"/>
                <w:b/>
                <w:bCs/>
                <w:color w:val="0000FF"/>
                <w:sz w:val="20"/>
              </w:rPr>
              <w:t>Parameter</w:t>
            </w:r>
          </w:p>
        </w:tc>
        <w:tc>
          <w:tcPr>
            <w:tcW w:w="2452" w:type="dxa"/>
            <w:tcBorders>
              <w:top w:val="single" w:sz="4" w:space="0" w:color="auto"/>
              <w:left w:val="nil"/>
              <w:bottom w:val="nil"/>
              <w:right w:val="single" w:sz="4" w:space="0" w:color="auto"/>
            </w:tcBorders>
            <w:shd w:val="clear" w:color="auto" w:fill="D9D9D9" w:themeFill="background1" w:themeFillShade="D9"/>
            <w:noWrap/>
            <w:vAlign w:val="bottom"/>
            <w:hideMark/>
          </w:tcPr>
          <w:p w:rsidR="00A7072F" w:rsidRDefault="00A7072F">
            <w:pPr>
              <w:spacing w:after="0" w:line="240" w:lineRule="auto"/>
              <w:rPr>
                <w:rFonts w:ascii="Calibri" w:eastAsia="Times New Roman" w:hAnsi="Calibri" w:cs="Times New Roman"/>
                <w:b/>
                <w:bCs/>
                <w:color w:val="0000FF"/>
                <w:sz w:val="20"/>
              </w:rPr>
            </w:pPr>
            <w:r>
              <w:rPr>
                <w:rFonts w:ascii="Calibri" w:eastAsia="Times New Roman" w:hAnsi="Calibri" w:cs="Times New Roman"/>
                <w:b/>
                <w:bCs/>
                <w:color w:val="0000FF"/>
                <w:sz w:val="20"/>
              </w:rPr>
              <w:t>Label</w:t>
            </w:r>
          </w:p>
        </w:tc>
        <w:tc>
          <w:tcPr>
            <w:tcW w:w="433" w:type="dxa"/>
            <w:tcBorders>
              <w:top w:val="single" w:sz="4" w:space="0" w:color="auto"/>
              <w:left w:val="nil"/>
              <w:bottom w:val="nil"/>
              <w:right w:val="single" w:sz="4" w:space="0" w:color="auto"/>
            </w:tcBorders>
            <w:shd w:val="clear" w:color="auto" w:fill="D9D9D9" w:themeFill="background1" w:themeFillShade="D9"/>
            <w:noWrap/>
            <w:vAlign w:val="bottom"/>
            <w:hideMark/>
          </w:tcPr>
          <w:p w:rsidR="00A7072F" w:rsidRDefault="00A7072F">
            <w:pPr>
              <w:spacing w:after="0" w:line="240" w:lineRule="auto"/>
              <w:rPr>
                <w:rFonts w:ascii="Calibri" w:eastAsia="Times New Roman" w:hAnsi="Calibri" w:cs="Times New Roman"/>
                <w:b/>
                <w:bCs/>
                <w:color w:val="0000FF"/>
                <w:sz w:val="20"/>
              </w:rPr>
            </w:pPr>
            <w:r>
              <w:rPr>
                <w:rFonts w:ascii="Calibri" w:eastAsia="Times New Roman" w:hAnsi="Calibri" w:cs="Times New Roman"/>
                <w:b/>
                <w:bCs/>
                <w:color w:val="0000FF"/>
                <w:sz w:val="20"/>
              </w:rPr>
              <w:t>DF</w:t>
            </w:r>
          </w:p>
        </w:tc>
        <w:tc>
          <w:tcPr>
            <w:tcW w:w="942" w:type="dxa"/>
            <w:tcBorders>
              <w:top w:val="single" w:sz="4" w:space="0" w:color="auto"/>
              <w:left w:val="nil"/>
              <w:bottom w:val="nil"/>
              <w:right w:val="single" w:sz="4" w:space="0" w:color="auto"/>
            </w:tcBorders>
            <w:shd w:val="clear" w:color="auto" w:fill="D9D9D9" w:themeFill="background1" w:themeFillShade="D9"/>
            <w:noWrap/>
            <w:vAlign w:val="bottom"/>
            <w:hideMark/>
          </w:tcPr>
          <w:p w:rsidR="00A7072F" w:rsidRDefault="00A7072F">
            <w:pPr>
              <w:spacing w:after="0" w:line="240" w:lineRule="auto"/>
              <w:rPr>
                <w:rFonts w:ascii="Calibri" w:eastAsia="Times New Roman" w:hAnsi="Calibri" w:cs="Times New Roman"/>
                <w:b/>
                <w:bCs/>
                <w:color w:val="0000FF"/>
                <w:sz w:val="20"/>
              </w:rPr>
            </w:pPr>
            <w:r>
              <w:rPr>
                <w:rFonts w:ascii="Calibri" w:eastAsia="Times New Roman" w:hAnsi="Calibri" w:cs="Times New Roman"/>
                <w:b/>
                <w:bCs/>
                <w:color w:val="0000FF"/>
                <w:sz w:val="20"/>
              </w:rPr>
              <w:t>Estimate</w:t>
            </w:r>
          </w:p>
        </w:tc>
        <w:tc>
          <w:tcPr>
            <w:tcW w:w="1419" w:type="dxa"/>
            <w:tcBorders>
              <w:top w:val="single" w:sz="4" w:space="0" w:color="auto"/>
              <w:left w:val="nil"/>
              <w:bottom w:val="nil"/>
              <w:right w:val="single" w:sz="4" w:space="0" w:color="auto"/>
            </w:tcBorders>
            <w:shd w:val="clear" w:color="auto" w:fill="D9D9D9" w:themeFill="background1" w:themeFillShade="D9"/>
            <w:noWrap/>
            <w:vAlign w:val="bottom"/>
            <w:hideMark/>
          </w:tcPr>
          <w:p w:rsidR="00A7072F" w:rsidRDefault="00A7072F">
            <w:pPr>
              <w:spacing w:after="0" w:line="240" w:lineRule="auto"/>
              <w:rPr>
                <w:rFonts w:ascii="Calibri" w:eastAsia="Times New Roman" w:hAnsi="Calibri" w:cs="Times New Roman"/>
                <w:b/>
                <w:bCs/>
                <w:color w:val="0000FF"/>
                <w:sz w:val="20"/>
              </w:rPr>
            </w:pPr>
            <w:r>
              <w:rPr>
                <w:rFonts w:ascii="Calibri" w:eastAsia="Times New Roman" w:hAnsi="Calibri" w:cs="Times New Roman"/>
                <w:b/>
                <w:bCs/>
                <w:color w:val="0000FF"/>
                <w:sz w:val="20"/>
              </w:rPr>
              <w:t>Standard Error</w:t>
            </w:r>
          </w:p>
        </w:tc>
        <w:tc>
          <w:tcPr>
            <w:tcW w:w="1607" w:type="dxa"/>
            <w:tcBorders>
              <w:top w:val="single" w:sz="4" w:space="0" w:color="auto"/>
              <w:left w:val="nil"/>
              <w:bottom w:val="nil"/>
              <w:right w:val="single" w:sz="4" w:space="0" w:color="auto"/>
            </w:tcBorders>
            <w:shd w:val="clear" w:color="auto" w:fill="D9D9D9" w:themeFill="background1" w:themeFillShade="D9"/>
            <w:noWrap/>
            <w:vAlign w:val="bottom"/>
            <w:hideMark/>
          </w:tcPr>
          <w:p w:rsidR="00A7072F" w:rsidRDefault="00A7072F">
            <w:pPr>
              <w:spacing w:after="0" w:line="240" w:lineRule="auto"/>
              <w:rPr>
                <w:rFonts w:ascii="Calibri" w:eastAsia="Times New Roman" w:hAnsi="Calibri" w:cs="Times New Roman"/>
                <w:b/>
                <w:bCs/>
                <w:color w:val="0000FF"/>
                <w:sz w:val="20"/>
              </w:rPr>
            </w:pPr>
            <w:r>
              <w:rPr>
                <w:rFonts w:ascii="Calibri" w:eastAsia="Times New Roman" w:hAnsi="Calibri" w:cs="Times New Roman"/>
                <w:b/>
                <w:bCs/>
                <w:color w:val="0000FF"/>
                <w:sz w:val="20"/>
              </w:rPr>
              <w:t>Wald Chi-Square</w:t>
            </w:r>
          </w:p>
        </w:tc>
        <w:tc>
          <w:tcPr>
            <w:tcW w:w="1478" w:type="dxa"/>
            <w:tcBorders>
              <w:top w:val="single" w:sz="4" w:space="0" w:color="auto"/>
              <w:left w:val="nil"/>
              <w:bottom w:val="nil"/>
              <w:right w:val="single" w:sz="4" w:space="0" w:color="auto"/>
            </w:tcBorders>
            <w:shd w:val="clear" w:color="auto" w:fill="D9D9D9" w:themeFill="background1" w:themeFillShade="D9"/>
            <w:noWrap/>
            <w:vAlign w:val="bottom"/>
            <w:hideMark/>
          </w:tcPr>
          <w:p w:rsidR="00A7072F" w:rsidRDefault="00A7072F">
            <w:pPr>
              <w:spacing w:after="0" w:line="240" w:lineRule="auto"/>
              <w:rPr>
                <w:rFonts w:ascii="Calibri" w:eastAsia="Times New Roman" w:hAnsi="Calibri" w:cs="Times New Roman"/>
                <w:b/>
                <w:bCs/>
                <w:color w:val="0000FF"/>
                <w:sz w:val="20"/>
              </w:rPr>
            </w:pPr>
            <w:proofErr w:type="spellStart"/>
            <w:r>
              <w:rPr>
                <w:rFonts w:ascii="Calibri" w:eastAsia="Times New Roman" w:hAnsi="Calibri" w:cs="Times New Roman"/>
                <w:b/>
                <w:bCs/>
                <w:color w:val="0000FF"/>
                <w:sz w:val="20"/>
              </w:rPr>
              <w:t>Pr</w:t>
            </w:r>
            <w:proofErr w:type="spellEnd"/>
            <w:r>
              <w:rPr>
                <w:rFonts w:ascii="Calibri" w:eastAsia="Times New Roman" w:hAnsi="Calibri" w:cs="Times New Roman"/>
                <w:b/>
                <w:bCs/>
                <w:color w:val="0000FF"/>
                <w:sz w:val="20"/>
              </w:rPr>
              <w:t xml:space="preserve"> &gt; Chi-Square</w:t>
            </w:r>
          </w:p>
        </w:tc>
      </w:tr>
      <w:tr w:rsidR="00A7072F" w:rsidTr="00A7072F">
        <w:trPr>
          <w:trHeight w:val="289"/>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Intercept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  </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-6.3227</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0.0321</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38777.37</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289"/>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lastRenderedPageBreak/>
              <w:t xml:space="preserve">SEX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Female </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-0.1444</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0.0143</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101.7142</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289"/>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AGE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18 to 24 </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-0.5585</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0.068</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67.3955</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289"/>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AGE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25 to 29 </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-0.6814</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0.0716</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90.5109</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289"/>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AGE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30 to 34 </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-0.7978</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0.0618</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166.8141</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289"/>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AGE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35 to 39 </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-0.5878</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0.0493</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141.8993</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289"/>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AGE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40 to 44 </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-0.5143</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0.0406</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160.5617</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289"/>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AGE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45 to 49 </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-0.3932</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0.0344</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131.0222</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289"/>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AGE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50 to 54 </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-0.237</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0.0295</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64.6913</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289"/>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AGE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55 to 59 </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-0.0771</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0.0268</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8.2401</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0.0041</w:t>
            </w:r>
          </w:p>
        </w:tc>
      </w:tr>
      <w:tr w:rsidR="00A7072F" w:rsidTr="00A7072F">
        <w:trPr>
          <w:trHeight w:val="289"/>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AGE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65 to 69 </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0.0984</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0.0249</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15.5585</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289"/>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AGE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70 to 74 </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0.2016</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0.0258</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61.1276</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289"/>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AGE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75 to 79 </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0.2872</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0.0273</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110.4365</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289"/>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AGE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80 to 84 </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0.3806</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0.0305</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155.6829</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289"/>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AGE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85+ </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0.4457</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0.0362</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151.9455</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289"/>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MDRG </w:t>
            </w:r>
          </w:p>
        </w:tc>
        <w:tc>
          <w:tcPr>
            <w:tcW w:w="2452" w:type="dxa"/>
            <w:tcBorders>
              <w:top w:val="single" w:sz="4" w:space="0" w:color="auto"/>
              <w:left w:val="nil"/>
              <w:bottom w:val="nil"/>
              <w:right w:val="single" w:sz="4" w:space="0" w:color="auto"/>
            </w:tcBorders>
            <w:noWrap/>
            <w:vAlign w:val="bottom"/>
            <w:hideMark/>
          </w:tcPr>
          <w:p w:rsidR="00A7072F" w:rsidRDefault="00491EC0">
            <w:pPr>
              <w:spacing w:after="0" w:line="240" w:lineRule="auto"/>
              <w:rPr>
                <w:rFonts w:eastAsia="Times New Roman" w:cs="Times New Roman"/>
                <w:color w:val="0000FF"/>
                <w:sz w:val="20"/>
                <w:szCs w:val="20"/>
              </w:rPr>
            </w:pPr>
            <w:r>
              <w:rPr>
                <w:rFonts w:eastAsia="Times New Roman" w:cs="Times New Roman"/>
                <w:color w:val="0000FF"/>
                <w:sz w:val="20"/>
                <w:szCs w:val="20"/>
              </w:rPr>
              <w:t>0</w:t>
            </w:r>
            <w:r w:rsidR="00A7072F">
              <w:rPr>
                <w:rFonts w:eastAsia="Times New Roman" w:cs="Times New Roman"/>
                <w:color w:val="0000FF"/>
                <w:sz w:val="20"/>
                <w:szCs w:val="20"/>
              </w:rPr>
              <w:t xml:space="preserve">101 (Intracranial vascular procedures w </w:t>
            </w:r>
            <w:proofErr w:type="spellStart"/>
            <w:r w:rsidR="00A7072F">
              <w:rPr>
                <w:rFonts w:eastAsia="Times New Roman" w:cs="Times New Roman"/>
                <w:color w:val="0000FF"/>
                <w:sz w:val="20"/>
                <w:szCs w:val="20"/>
              </w:rPr>
              <w:t>pdx</w:t>
            </w:r>
            <w:proofErr w:type="spellEnd"/>
            <w:r w:rsidR="00A7072F">
              <w:rPr>
                <w:rFonts w:eastAsia="Times New Roman" w:cs="Times New Roman"/>
                <w:color w:val="0000FF"/>
                <w:sz w:val="20"/>
                <w:szCs w:val="20"/>
              </w:rPr>
              <w:t xml:space="preserve"> hemorrhage)</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4.2741</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0.1555</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755.2328</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289"/>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MDRG </w:t>
            </w:r>
          </w:p>
        </w:tc>
        <w:tc>
          <w:tcPr>
            <w:tcW w:w="2452" w:type="dxa"/>
            <w:tcBorders>
              <w:top w:val="single" w:sz="4" w:space="0" w:color="auto"/>
              <w:left w:val="nil"/>
              <w:bottom w:val="nil"/>
              <w:right w:val="single" w:sz="4" w:space="0" w:color="auto"/>
            </w:tcBorders>
            <w:noWrap/>
            <w:vAlign w:val="bottom"/>
            <w:hideMark/>
          </w:tcPr>
          <w:p w:rsidR="00A7072F" w:rsidRDefault="00491EC0">
            <w:pPr>
              <w:spacing w:after="0" w:line="240" w:lineRule="auto"/>
              <w:rPr>
                <w:rFonts w:eastAsia="Times New Roman" w:cs="Times New Roman"/>
                <w:color w:val="0000FF"/>
                <w:sz w:val="20"/>
                <w:szCs w:val="20"/>
              </w:rPr>
            </w:pPr>
            <w:r>
              <w:rPr>
                <w:rFonts w:eastAsia="Times New Roman" w:cs="Times New Roman"/>
                <w:color w:val="0000FF"/>
                <w:sz w:val="20"/>
                <w:szCs w:val="20"/>
              </w:rPr>
              <w:t>0</w:t>
            </w:r>
            <w:r w:rsidR="00A7072F">
              <w:rPr>
                <w:rFonts w:eastAsia="Times New Roman" w:cs="Times New Roman"/>
                <w:color w:val="0000FF"/>
                <w:sz w:val="20"/>
                <w:szCs w:val="20"/>
              </w:rPr>
              <w:t xml:space="preserve">102 (Craniotomy w major device implant or acute complex </w:t>
            </w:r>
            <w:proofErr w:type="spellStart"/>
            <w:r w:rsidR="00A7072F">
              <w:rPr>
                <w:rFonts w:eastAsia="Times New Roman" w:cs="Times New Roman"/>
                <w:color w:val="0000FF"/>
                <w:sz w:val="20"/>
                <w:szCs w:val="20"/>
              </w:rPr>
              <w:t>cns</w:t>
            </w:r>
            <w:proofErr w:type="spellEnd"/>
            <w:r w:rsidR="00A7072F">
              <w:rPr>
                <w:rFonts w:eastAsia="Times New Roman" w:cs="Times New Roman"/>
                <w:color w:val="0000FF"/>
                <w:sz w:val="20"/>
                <w:szCs w:val="20"/>
              </w:rPr>
              <w:t xml:space="preserve"> </w:t>
            </w:r>
            <w:proofErr w:type="spellStart"/>
            <w:r w:rsidR="00A7072F">
              <w:rPr>
                <w:rFonts w:eastAsia="Times New Roman" w:cs="Times New Roman"/>
                <w:color w:val="0000FF"/>
                <w:sz w:val="20"/>
                <w:szCs w:val="20"/>
              </w:rPr>
              <w:t>pdx</w:t>
            </w:r>
            <w:proofErr w:type="spellEnd"/>
            <w:r w:rsidR="00A7072F">
              <w:rPr>
                <w:rFonts w:eastAsia="Times New Roman" w:cs="Times New Roman"/>
                <w:color w:val="0000FF"/>
                <w:sz w:val="20"/>
                <w:szCs w:val="20"/>
              </w:rPr>
              <w:t>)</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3.0771</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0.1095</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790.339</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289"/>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MDRG </w:t>
            </w:r>
          </w:p>
        </w:tc>
        <w:tc>
          <w:tcPr>
            <w:tcW w:w="2452" w:type="dxa"/>
            <w:tcBorders>
              <w:top w:val="single" w:sz="4" w:space="0" w:color="auto"/>
              <w:left w:val="nil"/>
              <w:bottom w:val="nil"/>
              <w:right w:val="single" w:sz="4" w:space="0" w:color="auto"/>
            </w:tcBorders>
            <w:noWrap/>
            <w:vAlign w:val="bottom"/>
            <w:hideMark/>
          </w:tcPr>
          <w:p w:rsidR="00A7072F" w:rsidRDefault="00491EC0">
            <w:pPr>
              <w:spacing w:after="0" w:line="240" w:lineRule="auto"/>
              <w:rPr>
                <w:rFonts w:eastAsia="Times New Roman" w:cs="Times New Roman"/>
                <w:color w:val="0000FF"/>
                <w:sz w:val="20"/>
                <w:szCs w:val="20"/>
              </w:rPr>
            </w:pPr>
            <w:r>
              <w:rPr>
                <w:rFonts w:eastAsia="Times New Roman" w:cs="Times New Roman"/>
                <w:color w:val="0000FF"/>
                <w:sz w:val="20"/>
                <w:szCs w:val="20"/>
              </w:rPr>
              <w:t>0</w:t>
            </w:r>
            <w:r w:rsidR="00A7072F">
              <w:rPr>
                <w:rFonts w:eastAsia="Times New Roman" w:cs="Times New Roman"/>
                <w:color w:val="0000FF"/>
                <w:sz w:val="20"/>
                <w:szCs w:val="20"/>
              </w:rPr>
              <w:t>103 (Craniotomy)</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2.3093</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0.0411</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3162.868</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289"/>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MDRG </w:t>
            </w:r>
          </w:p>
        </w:tc>
        <w:tc>
          <w:tcPr>
            <w:tcW w:w="2452" w:type="dxa"/>
            <w:tcBorders>
              <w:top w:val="single" w:sz="4" w:space="0" w:color="auto"/>
              <w:left w:val="nil"/>
              <w:bottom w:val="nil"/>
              <w:right w:val="single" w:sz="4" w:space="0" w:color="auto"/>
            </w:tcBorders>
            <w:noWrap/>
            <w:vAlign w:val="bottom"/>
            <w:hideMark/>
          </w:tcPr>
          <w:p w:rsidR="00A7072F" w:rsidRDefault="00491EC0" w:rsidP="008C08C9">
            <w:pPr>
              <w:spacing w:after="0" w:line="240" w:lineRule="auto"/>
              <w:rPr>
                <w:rFonts w:eastAsia="Times New Roman" w:cs="Times New Roman"/>
                <w:color w:val="0000FF"/>
                <w:sz w:val="20"/>
                <w:szCs w:val="20"/>
              </w:rPr>
            </w:pPr>
            <w:r>
              <w:rPr>
                <w:rFonts w:eastAsia="Times New Roman" w:cs="Times New Roman"/>
                <w:color w:val="0000FF"/>
                <w:sz w:val="20"/>
                <w:szCs w:val="20"/>
              </w:rPr>
              <w:t>0</w:t>
            </w:r>
            <w:r w:rsidR="00A7072F">
              <w:rPr>
                <w:rFonts w:eastAsia="Times New Roman" w:cs="Times New Roman"/>
                <w:color w:val="0000FF"/>
                <w:sz w:val="20"/>
                <w:szCs w:val="20"/>
              </w:rPr>
              <w:t>107 (</w:t>
            </w:r>
            <w:proofErr w:type="spellStart"/>
            <w:r w:rsidR="008C08C9">
              <w:rPr>
                <w:rFonts w:eastAsia="Times New Roman" w:cs="Times New Roman"/>
                <w:color w:val="0000FF"/>
                <w:sz w:val="20"/>
                <w:szCs w:val="20"/>
              </w:rPr>
              <w:t>Extracranial</w:t>
            </w:r>
            <w:proofErr w:type="spellEnd"/>
            <w:r w:rsidR="008C08C9">
              <w:rPr>
                <w:rFonts w:eastAsia="Times New Roman" w:cs="Times New Roman"/>
                <w:color w:val="0000FF"/>
                <w:sz w:val="20"/>
                <w:szCs w:val="20"/>
              </w:rPr>
              <w:t xml:space="preserve"> procedures</w:t>
            </w:r>
            <w:r w:rsidR="00A7072F">
              <w:rPr>
                <w:rFonts w:eastAsia="Times New Roman" w:cs="Times New Roman"/>
                <w:color w:val="0000FF"/>
                <w:sz w:val="20"/>
                <w:szCs w:val="20"/>
              </w:rPr>
              <w:t>)</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0.9741</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0.0522</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348.0728</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289"/>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MDRG </w:t>
            </w:r>
          </w:p>
        </w:tc>
        <w:tc>
          <w:tcPr>
            <w:tcW w:w="2452" w:type="dxa"/>
            <w:tcBorders>
              <w:top w:val="single" w:sz="4" w:space="0" w:color="auto"/>
              <w:left w:val="nil"/>
              <w:bottom w:val="nil"/>
              <w:right w:val="single" w:sz="4" w:space="0" w:color="auto"/>
            </w:tcBorders>
            <w:noWrap/>
            <w:vAlign w:val="bottom"/>
            <w:hideMark/>
          </w:tcPr>
          <w:p w:rsidR="00A7072F" w:rsidRDefault="00491EC0" w:rsidP="008C08C9">
            <w:pPr>
              <w:spacing w:after="0" w:line="240" w:lineRule="auto"/>
              <w:rPr>
                <w:rFonts w:eastAsia="Times New Roman" w:cs="Times New Roman"/>
                <w:color w:val="0000FF"/>
                <w:sz w:val="20"/>
                <w:szCs w:val="20"/>
              </w:rPr>
            </w:pPr>
            <w:r>
              <w:rPr>
                <w:rFonts w:eastAsia="Times New Roman" w:cs="Times New Roman"/>
                <w:color w:val="0000FF"/>
                <w:sz w:val="20"/>
                <w:szCs w:val="20"/>
              </w:rPr>
              <w:t>0</w:t>
            </w:r>
            <w:r w:rsidR="00A7072F">
              <w:rPr>
                <w:rFonts w:eastAsia="Times New Roman" w:cs="Times New Roman"/>
                <w:color w:val="0000FF"/>
                <w:sz w:val="20"/>
                <w:szCs w:val="20"/>
              </w:rPr>
              <w:t>601 (</w:t>
            </w:r>
            <w:r w:rsidR="008C08C9">
              <w:rPr>
                <w:rFonts w:eastAsia="Times New Roman" w:cs="Times New Roman"/>
                <w:color w:val="0000FF"/>
                <w:sz w:val="20"/>
                <w:szCs w:val="20"/>
              </w:rPr>
              <w:t>Stomach, esophageal and duodenal procedures</w:t>
            </w:r>
            <w:r w:rsidR="00A7072F">
              <w:rPr>
                <w:rFonts w:eastAsia="Times New Roman" w:cs="Times New Roman"/>
                <w:color w:val="0000FF"/>
                <w:sz w:val="20"/>
                <w:szCs w:val="20"/>
              </w:rPr>
              <w:t>)</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2.3299</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0.0407</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3273.561</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289"/>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MDRG </w:t>
            </w:r>
          </w:p>
        </w:tc>
        <w:tc>
          <w:tcPr>
            <w:tcW w:w="2452" w:type="dxa"/>
            <w:tcBorders>
              <w:top w:val="single" w:sz="4" w:space="0" w:color="auto"/>
              <w:left w:val="nil"/>
              <w:bottom w:val="nil"/>
              <w:right w:val="single" w:sz="4" w:space="0" w:color="auto"/>
            </w:tcBorders>
            <w:noWrap/>
            <w:vAlign w:val="bottom"/>
            <w:hideMark/>
          </w:tcPr>
          <w:p w:rsidR="00A7072F" w:rsidRDefault="00491EC0">
            <w:pPr>
              <w:spacing w:after="0" w:line="240" w:lineRule="auto"/>
              <w:rPr>
                <w:rFonts w:eastAsia="Times New Roman" w:cs="Times New Roman"/>
                <w:color w:val="0000FF"/>
                <w:sz w:val="20"/>
                <w:szCs w:val="20"/>
              </w:rPr>
            </w:pPr>
            <w:r>
              <w:rPr>
                <w:rFonts w:eastAsia="Times New Roman" w:cs="Times New Roman"/>
                <w:color w:val="0000FF"/>
                <w:sz w:val="20"/>
                <w:szCs w:val="20"/>
              </w:rPr>
              <w:t>0</w:t>
            </w:r>
            <w:r w:rsidR="00A7072F">
              <w:rPr>
                <w:rFonts w:eastAsia="Times New Roman" w:cs="Times New Roman"/>
                <w:color w:val="0000FF"/>
                <w:sz w:val="20"/>
                <w:szCs w:val="20"/>
              </w:rPr>
              <w:t>602 (Major small &amp; large bowel procedures)</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2.1975</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0.0298</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5419.596</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289"/>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MDRG </w:t>
            </w:r>
          </w:p>
        </w:tc>
        <w:tc>
          <w:tcPr>
            <w:tcW w:w="2452" w:type="dxa"/>
            <w:tcBorders>
              <w:top w:val="single" w:sz="4" w:space="0" w:color="auto"/>
              <w:left w:val="nil"/>
              <w:bottom w:val="nil"/>
              <w:right w:val="single" w:sz="4" w:space="0" w:color="auto"/>
            </w:tcBorders>
            <w:noWrap/>
            <w:vAlign w:val="bottom"/>
            <w:hideMark/>
          </w:tcPr>
          <w:p w:rsidR="00A7072F" w:rsidRDefault="00491EC0">
            <w:pPr>
              <w:spacing w:after="0" w:line="240" w:lineRule="auto"/>
              <w:rPr>
                <w:rFonts w:eastAsia="Times New Roman" w:cs="Times New Roman"/>
                <w:color w:val="0000FF"/>
                <w:sz w:val="20"/>
                <w:szCs w:val="20"/>
              </w:rPr>
            </w:pPr>
            <w:r>
              <w:rPr>
                <w:rFonts w:eastAsia="Times New Roman" w:cs="Times New Roman"/>
                <w:color w:val="0000FF"/>
                <w:sz w:val="20"/>
                <w:szCs w:val="20"/>
              </w:rPr>
              <w:t>0</w:t>
            </w:r>
            <w:r w:rsidR="00A7072F">
              <w:rPr>
                <w:rFonts w:eastAsia="Times New Roman" w:cs="Times New Roman"/>
                <w:color w:val="0000FF"/>
                <w:sz w:val="20"/>
                <w:szCs w:val="20"/>
              </w:rPr>
              <w:t>603 (Rectal resection)</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1.8112</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0.0674</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722.0724</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289"/>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MDRG </w:t>
            </w:r>
          </w:p>
        </w:tc>
        <w:tc>
          <w:tcPr>
            <w:tcW w:w="2452" w:type="dxa"/>
            <w:tcBorders>
              <w:top w:val="single" w:sz="4" w:space="0" w:color="auto"/>
              <w:left w:val="nil"/>
              <w:bottom w:val="nil"/>
              <w:right w:val="single" w:sz="4" w:space="0" w:color="auto"/>
            </w:tcBorders>
            <w:noWrap/>
            <w:vAlign w:val="bottom"/>
            <w:hideMark/>
          </w:tcPr>
          <w:p w:rsidR="00A7072F" w:rsidRDefault="00491EC0">
            <w:pPr>
              <w:spacing w:after="0" w:line="240" w:lineRule="auto"/>
              <w:rPr>
                <w:rFonts w:eastAsia="Times New Roman" w:cs="Times New Roman"/>
                <w:color w:val="0000FF"/>
                <w:sz w:val="20"/>
                <w:szCs w:val="20"/>
              </w:rPr>
            </w:pPr>
            <w:r>
              <w:rPr>
                <w:rFonts w:eastAsia="Times New Roman" w:cs="Times New Roman"/>
                <w:color w:val="0000FF"/>
                <w:sz w:val="20"/>
                <w:szCs w:val="20"/>
              </w:rPr>
              <w:t>0</w:t>
            </w:r>
            <w:r w:rsidR="00A7072F">
              <w:rPr>
                <w:rFonts w:eastAsia="Times New Roman" w:cs="Times New Roman"/>
                <w:color w:val="0000FF"/>
                <w:sz w:val="20"/>
                <w:szCs w:val="20"/>
              </w:rPr>
              <w:t xml:space="preserve">604 (Peritoneal </w:t>
            </w:r>
            <w:proofErr w:type="spellStart"/>
            <w:r w:rsidR="00A7072F">
              <w:rPr>
                <w:rFonts w:eastAsia="Times New Roman" w:cs="Times New Roman"/>
                <w:color w:val="0000FF"/>
                <w:sz w:val="20"/>
                <w:szCs w:val="20"/>
              </w:rPr>
              <w:t>adhesiolysis</w:t>
            </w:r>
            <w:proofErr w:type="spellEnd"/>
            <w:r w:rsidR="00A7072F">
              <w:rPr>
                <w:rFonts w:eastAsia="Times New Roman" w:cs="Times New Roman"/>
                <w:color w:val="0000FF"/>
                <w:sz w:val="20"/>
                <w:szCs w:val="20"/>
              </w:rPr>
              <w:t>)</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2.2343</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0.0508</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1932.304</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289"/>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MDRG </w:t>
            </w:r>
          </w:p>
        </w:tc>
        <w:tc>
          <w:tcPr>
            <w:tcW w:w="2452" w:type="dxa"/>
            <w:tcBorders>
              <w:top w:val="single" w:sz="4" w:space="0" w:color="auto"/>
              <w:left w:val="nil"/>
              <w:bottom w:val="nil"/>
              <w:right w:val="single" w:sz="4" w:space="0" w:color="auto"/>
            </w:tcBorders>
            <w:noWrap/>
            <w:vAlign w:val="bottom"/>
            <w:hideMark/>
          </w:tcPr>
          <w:p w:rsidR="00A7072F" w:rsidRDefault="00491EC0">
            <w:pPr>
              <w:spacing w:after="0" w:line="240" w:lineRule="auto"/>
              <w:rPr>
                <w:rFonts w:eastAsia="Times New Roman" w:cs="Times New Roman"/>
                <w:color w:val="0000FF"/>
                <w:sz w:val="20"/>
                <w:szCs w:val="20"/>
              </w:rPr>
            </w:pPr>
            <w:r>
              <w:rPr>
                <w:rFonts w:eastAsia="Times New Roman" w:cs="Times New Roman"/>
                <w:color w:val="0000FF"/>
                <w:sz w:val="20"/>
                <w:szCs w:val="20"/>
              </w:rPr>
              <w:t>0</w:t>
            </w:r>
            <w:r w:rsidR="00A7072F">
              <w:rPr>
                <w:rFonts w:eastAsia="Times New Roman" w:cs="Times New Roman"/>
                <w:color w:val="0000FF"/>
                <w:sz w:val="20"/>
                <w:szCs w:val="20"/>
              </w:rPr>
              <w:t>607 (Minor small &amp; large bowel procedure)</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1.1637</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0.0972</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143.2061</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MDRG </w:t>
            </w:r>
          </w:p>
        </w:tc>
        <w:tc>
          <w:tcPr>
            <w:tcW w:w="2452" w:type="dxa"/>
            <w:tcBorders>
              <w:top w:val="single" w:sz="4" w:space="0" w:color="auto"/>
              <w:left w:val="nil"/>
              <w:bottom w:val="nil"/>
              <w:right w:val="single" w:sz="4" w:space="0" w:color="auto"/>
            </w:tcBorders>
            <w:noWrap/>
            <w:vAlign w:val="bottom"/>
            <w:hideMark/>
          </w:tcPr>
          <w:p w:rsidR="00A7072F" w:rsidRDefault="00491EC0">
            <w:pPr>
              <w:spacing w:after="0" w:line="240" w:lineRule="auto"/>
              <w:rPr>
                <w:rFonts w:eastAsia="Times New Roman" w:cs="Times New Roman"/>
                <w:color w:val="0000FF"/>
                <w:sz w:val="20"/>
                <w:szCs w:val="20"/>
              </w:rPr>
            </w:pPr>
            <w:r>
              <w:rPr>
                <w:rFonts w:eastAsia="Times New Roman" w:cs="Times New Roman"/>
                <w:color w:val="0000FF"/>
                <w:sz w:val="20"/>
                <w:szCs w:val="20"/>
              </w:rPr>
              <w:t>0</w:t>
            </w:r>
            <w:r w:rsidR="00A7072F">
              <w:rPr>
                <w:rFonts w:eastAsia="Times New Roman" w:cs="Times New Roman"/>
                <w:color w:val="0000FF"/>
                <w:sz w:val="20"/>
                <w:szCs w:val="20"/>
              </w:rPr>
              <w:t>610 (Hernia procedures except inguinal &amp; femoral)</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1.8178</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0.0502</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1313.029</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MDRG </w:t>
            </w:r>
          </w:p>
        </w:tc>
        <w:tc>
          <w:tcPr>
            <w:tcW w:w="2452" w:type="dxa"/>
            <w:tcBorders>
              <w:top w:val="single" w:sz="4" w:space="0" w:color="auto"/>
              <w:left w:val="nil"/>
              <w:bottom w:val="nil"/>
              <w:right w:val="single" w:sz="4" w:space="0" w:color="auto"/>
            </w:tcBorders>
            <w:noWrap/>
            <w:vAlign w:val="bottom"/>
            <w:hideMark/>
          </w:tcPr>
          <w:p w:rsidR="00A7072F" w:rsidRDefault="00491EC0">
            <w:pPr>
              <w:spacing w:after="0" w:line="240" w:lineRule="auto"/>
              <w:rPr>
                <w:rFonts w:eastAsia="Times New Roman" w:cs="Times New Roman"/>
                <w:color w:val="0000FF"/>
                <w:sz w:val="20"/>
                <w:szCs w:val="20"/>
              </w:rPr>
            </w:pPr>
            <w:r>
              <w:rPr>
                <w:rFonts w:eastAsia="Times New Roman" w:cs="Times New Roman"/>
                <w:color w:val="0000FF"/>
                <w:sz w:val="20"/>
                <w:szCs w:val="20"/>
              </w:rPr>
              <w:t>0</w:t>
            </w:r>
            <w:r w:rsidR="00A7072F">
              <w:rPr>
                <w:rFonts w:eastAsia="Times New Roman" w:cs="Times New Roman"/>
                <w:color w:val="0000FF"/>
                <w:sz w:val="20"/>
                <w:szCs w:val="20"/>
              </w:rPr>
              <w:t>611 (Other digestive system O.R. procedure)</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1.6977</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0.0932</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331.5738</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MDRG </w:t>
            </w:r>
          </w:p>
        </w:tc>
        <w:tc>
          <w:tcPr>
            <w:tcW w:w="2452" w:type="dxa"/>
            <w:tcBorders>
              <w:top w:val="single" w:sz="4" w:space="0" w:color="auto"/>
              <w:left w:val="nil"/>
              <w:bottom w:val="nil"/>
              <w:right w:val="single" w:sz="4" w:space="0" w:color="auto"/>
            </w:tcBorders>
            <w:noWrap/>
            <w:vAlign w:val="bottom"/>
            <w:hideMark/>
          </w:tcPr>
          <w:p w:rsidR="00A7072F" w:rsidRDefault="00491EC0">
            <w:pPr>
              <w:spacing w:after="0" w:line="240" w:lineRule="auto"/>
              <w:rPr>
                <w:rFonts w:eastAsia="Times New Roman" w:cs="Times New Roman"/>
                <w:color w:val="0000FF"/>
                <w:sz w:val="20"/>
                <w:szCs w:val="20"/>
              </w:rPr>
            </w:pPr>
            <w:r>
              <w:rPr>
                <w:rFonts w:eastAsia="Times New Roman" w:cs="Times New Roman"/>
                <w:color w:val="0000FF"/>
                <w:sz w:val="20"/>
                <w:szCs w:val="20"/>
              </w:rPr>
              <w:t>0</w:t>
            </w:r>
            <w:r w:rsidR="00A7072F">
              <w:rPr>
                <w:rFonts w:eastAsia="Times New Roman" w:cs="Times New Roman"/>
                <w:color w:val="0000FF"/>
                <w:sz w:val="20"/>
                <w:szCs w:val="20"/>
              </w:rPr>
              <w:t>701 (Pancreas, liver &amp; shunt procedures)</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2.7725</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0.0426</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4237.112</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MDRG </w:t>
            </w:r>
          </w:p>
        </w:tc>
        <w:tc>
          <w:tcPr>
            <w:tcW w:w="2452" w:type="dxa"/>
            <w:tcBorders>
              <w:top w:val="single" w:sz="4" w:space="0" w:color="auto"/>
              <w:left w:val="nil"/>
              <w:bottom w:val="nil"/>
              <w:right w:val="single" w:sz="4" w:space="0" w:color="auto"/>
            </w:tcBorders>
            <w:noWrap/>
            <w:vAlign w:val="bottom"/>
            <w:hideMark/>
          </w:tcPr>
          <w:p w:rsidR="00A7072F" w:rsidRDefault="00491EC0">
            <w:pPr>
              <w:spacing w:after="0" w:line="240" w:lineRule="auto"/>
              <w:rPr>
                <w:rFonts w:eastAsia="Times New Roman" w:cs="Times New Roman"/>
                <w:color w:val="0000FF"/>
                <w:sz w:val="20"/>
                <w:szCs w:val="20"/>
              </w:rPr>
            </w:pPr>
            <w:r>
              <w:rPr>
                <w:rFonts w:eastAsia="Times New Roman" w:cs="Times New Roman"/>
                <w:color w:val="0000FF"/>
                <w:sz w:val="20"/>
                <w:szCs w:val="20"/>
              </w:rPr>
              <w:t>0</w:t>
            </w:r>
            <w:r w:rsidR="00A7072F">
              <w:rPr>
                <w:rFonts w:eastAsia="Times New Roman" w:cs="Times New Roman"/>
                <w:color w:val="0000FF"/>
                <w:sz w:val="20"/>
                <w:szCs w:val="20"/>
              </w:rPr>
              <w:t>704 (Cholecystectomy except by laparoscope)</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1.8862</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0.088</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458.9453</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MDRG </w:t>
            </w:r>
          </w:p>
        </w:tc>
        <w:tc>
          <w:tcPr>
            <w:tcW w:w="2452" w:type="dxa"/>
            <w:tcBorders>
              <w:top w:val="single" w:sz="4" w:space="0" w:color="auto"/>
              <w:left w:val="nil"/>
              <w:bottom w:val="nil"/>
              <w:right w:val="single" w:sz="4" w:space="0" w:color="auto"/>
            </w:tcBorders>
            <w:noWrap/>
            <w:vAlign w:val="bottom"/>
            <w:hideMark/>
          </w:tcPr>
          <w:p w:rsidR="00A7072F" w:rsidRDefault="00491EC0">
            <w:pPr>
              <w:spacing w:after="0" w:line="240" w:lineRule="auto"/>
              <w:rPr>
                <w:rFonts w:eastAsia="Times New Roman" w:cs="Times New Roman"/>
                <w:color w:val="0000FF"/>
                <w:sz w:val="20"/>
                <w:szCs w:val="20"/>
              </w:rPr>
            </w:pPr>
            <w:r>
              <w:rPr>
                <w:rFonts w:eastAsia="Times New Roman" w:cs="Times New Roman"/>
                <w:color w:val="0000FF"/>
                <w:sz w:val="20"/>
                <w:szCs w:val="20"/>
              </w:rPr>
              <w:t>0</w:t>
            </w:r>
            <w:r w:rsidR="00A7072F">
              <w:rPr>
                <w:rFonts w:eastAsia="Times New Roman" w:cs="Times New Roman"/>
                <w:color w:val="0000FF"/>
                <w:sz w:val="20"/>
                <w:szCs w:val="20"/>
              </w:rPr>
              <w:t>705 (Laparoscopic cholecystectomy)</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1.6337</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0.0594</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755.4209</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MDRG </w:t>
            </w:r>
          </w:p>
        </w:tc>
        <w:tc>
          <w:tcPr>
            <w:tcW w:w="2452" w:type="dxa"/>
            <w:tcBorders>
              <w:top w:val="single" w:sz="4" w:space="0" w:color="auto"/>
              <w:left w:val="nil"/>
              <w:bottom w:val="nil"/>
              <w:right w:val="single" w:sz="4" w:space="0" w:color="auto"/>
            </w:tcBorders>
            <w:noWrap/>
            <w:vAlign w:val="bottom"/>
            <w:hideMark/>
          </w:tcPr>
          <w:p w:rsidR="00A7072F" w:rsidRDefault="00491EC0">
            <w:pPr>
              <w:spacing w:after="0" w:line="240" w:lineRule="auto"/>
              <w:rPr>
                <w:rFonts w:eastAsia="Times New Roman" w:cs="Times New Roman"/>
                <w:color w:val="0000FF"/>
                <w:sz w:val="20"/>
                <w:szCs w:val="20"/>
              </w:rPr>
            </w:pPr>
            <w:r>
              <w:rPr>
                <w:rFonts w:eastAsia="Times New Roman" w:cs="Times New Roman"/>
                <w:color w:val="0000FF"/>
                <w:sz w:val="20"/>
                <w:szCs w:val="20"/>
              </w:rPr>
              <w:t>0</w:t>
            </w:r>
            <w:r w:rsidR="00A7072F">
              <w:rPr>
                <w:rFonts w:eastAsia="Times New Roman" w:cs="Times New Roman"/>
                <w:color w:val="0000FF"/>
                <w:sz w:val="20"/>
                <w:szCs w:val="20"/>
              </w:rPr>
              <w:t>801 (Combined anterior/posterior spinal fusion)</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2.4814</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0.0515</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2320.099</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MDRG </w:t>
            </w:r>
          </w:p>
        </w:tc>
        <w:tc>
          <w:tcPr>
            <w:tcW w:w="2452" w:type="dxa"/>
            <w:tcBorders>
              <w:top w:val="single" w:sz="4" w:space="0" w:color="auto"/>
              <w:left w:val="nil"/>
              <w:bottom w:val="nil"/>
              <w:right w:val="single" w:sz="4" w:space="0" w:color="auto"/>
            </w:tcBorders>
            <w:noWrap/>
            <w:vAlign w:val="bottom"/>
            <w:hideMark/>
          </w:tcPr>
          <w:p w:rsidR="00A7072F" w:rsidRDefault="00491EC0">
            <w:pPr>
              <w:spacing w:after="0" w:line="240" w:lineRule="auto"/>
              <w:rPr>
                <w:rFonts w:eastAsia="Times New Roman" w:cs="Times New Roman"/>
                <w:color w:val="0000FF"/>
                <w:sz w:val="20"/>
                <w:szCs w:val="20"/>
              </w:rPr>
            </w:pPr>
            <w:r>
              <w:rPr>
                <w:rFonts w:eastAsia="Times New Roman" w:cs="Times New Roman"/>
                <w:color w:val="0000FF"/>
                <w:sz w:val="20"/>
                <w:szCs w:val="20"/>
              </w:rPr>
              <w:t>0</w:t>
            </w:r>
            <w:r w:rsidR="00A7072F">
              <w:rPr>
                <w:rFonts w:eastAsia="Times New Roman" w:cs="Times New Roman"/>
                <w:color w:val="0000FF"/>
                <w:sz w:val="20"/>
                <w:szCs w:val="20"/>
              </w:rPr>
              <w:t xml:space="preserve">802 (Spinal fusion </w:t>
            </w:r>
            <w:proofErr w:type="spellStart"/>
            <w:r w:rsidR="00A7072F">
              <w:rPr>
                <w:rFonts w:eastAsia="Times New Roman" w:cs="Times New Roman"/>
                <w:color w:val="0000FF"/>
                <w:sz w:val="20"/>
                <w:szCs w:val="20"/>
              </w:rPr>
              <w:t>exc</w:t>
            </w:r>
            <w:proofErr w:type="spellEnd"/>
            <w:r w:rsidR="00A7072F">
              <w:rPr>
                <w:rFonts w:eastAsia="Times New Roman" w:cs="Times New Roman"/>
                <w:color w:val="0000FF"/>
                <w:sz w:val="20"/>
                <w:szCs w:val="20"/>
              </w:rPr>
              <w:t xml:space="preserve"> </w:t>
            </w:r>
            <w:proofErr w:type="spellStart"/>
            <w:r w:rsidR="00A7072F">
              <w:rPr>
                <w:rFonts w:eastAsia="Times New Roman" w:cs="Times New Roman"/>
                <w:color w:val="0000FF"/>
                <w:sz w:val="20"/>
                <w:szCs w:val="20"/>
              </w:rPr>
              <w:t>cerv</w:t>
            </w:r>
            <w:proofErr w:type="spellEnd"/>
            <w:r w:rsidR="00A7072F">
              <w:rPr>
                <w:rFonts w:eastAsia="Times New Roman" w:cs="Times New Roman"/>
                <w:color w:val="0000FF"/>
                <w:sz w:val="20"/>
                <w:szCs w:val="20"/>
              </w:rPr>
              <w:t xml:space="preserve"> with curvature of the </w:t>
            </w:r>
            <w:r w:rsidR="00A7072F">
              <w:rPr>
                <w:rFonts w:eastAsia="Times New Roman" w:cs="Times New Roman"/>
                <w:color w:val="0000FF"/>
                <w:sz w:val="20"/>
                <w:szCs w:val="20"/>
              </w:rPr>
              <w:lastRenderedPageBreak/>
              <w:t xml:space="preserve">spine or </w:t>
            </w:r>
            <w:proofErr w:type="spellStart"/>
            <w:r w:rsidR="00A7072F">
              <w:rPr>
                <w:rFonts w:eastAsia="Times New Roman" w:cs="Times New Roman"/>
                <w:color w:val="0000FF"/>
                <w:sz w:val="20"/>
                <w:szCs w:val="20"/>
              </w:rPr>
              <w:t>malig</w:t>
            </w:r>
            <w:proofErr w:type="spellEnd"/>
            <w:r w:rsidR="00A7072F">
              <w:rPr>
                <w:rFonts w:eastAsia="Times New Roman" w:cs="Times New Roman"/>
                <w:color w:val="0000FF"/>
                <w:sz w:val="20"/>
                <w:szCs w:val="20"/>
              </w:rPr>
              <w:t>)</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lastRenderedPageBreak/>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2.666</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0.0593</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2017.985</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lastRenderedPageBreak/>
              <w:t xml:space="preserve">MDRG </w:t>
            </w:r>
          </w:p>
        </w:tc>
        <w:tc>
          <w:tcPr>
            <w:tcW w:w="2452" w:type="dxa"/>
            <w:tcBorders>
              <w:top w:val="single" w:sz="4" w:space="0" w:color="auto"/>
              <w:left w:val="nil"/>
              <w:bottom w:val="nil"/>
              <w:right w:val="single" w:sz="4" w:space="0" w:color="auto"/>
            </w:tcBorders>
            <w:noWrap/>
            <w:vAlign w:val="bottom"/>
            <w:hideMark/>
          </w:tcPr>
          <w:p w:rsidR="00A7072F" w:rsidRDefault="00491EC0">
            <w:pPr>
              <w:spacing w:after="0" w:line="240" w:lineRule="auto"/>
              <w:rPr>
                <w:rFonts w:eastAsia="Times New Roman" w:cs="Times New Roman"/>
                <w:color w:val="0000FF"/>
                <w:sz w:val="20"/>
                <w:szCs w:val="20"/>
              </w:rPr>
            </w:pPr>
            <w:r>
              <w:rPr>
                <w:rFonts w:eastAsia="Times New Roman" w:cs="Times New Roman"/>
                <w:color w:val="0000FF"/>
                <w:sz w:val="20"/>
                <w:szCs w:val="20"/>
              </w:rPr>
              <w:t>0</w:t>
            </w:r>
            <w:r w:rsidR="00A7072F">
              <w:rPr>
                <w:rFonts w:eastAsia="Times New Roman" w:cs="Times New Roman"/>
                <w:color w:val="0000FF"/>
                <w:sz w:val="20"/>
                <w:szCs w:val="20"/>
              </w:rPr>
              <w:t>803 (Spinal fusion except cervical)</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0.9189</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0.0411</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499.2148</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MDRG </w:t>
            </w:r>
          </w:p>
        </w:tc>
        <w:tc>
          <w:tcPr>
            <w:tcW w:w="2452" w:type="dxa"/>
            <w:tcBorders>
              <w:top w:val="single" w:sz="4" w:space="0" w:color="auto"/>
              <w:left w:val="nil"/>
              <w:bottom w:val="nil"/>
              <w:right w:val="single" w:sz="4" w:space="0" w:color="auto"/>
            </w:tcBorders>
            <w:noWrap/>
            <w:vAlign w:val="bottom"/>
            <w:hideMark/>
          </w:tcPr>
          <w:p w:rsidR="00A7072F" w:rsidRDefault="00491EC0">
            <w:pPr>
              <w:spacing w:after="0" w:line="240" w:lineRule="auto"/>
              <w:rPr>
                <w:rFonts w:eastAsia="Times New Roman" w:cs="Times New Roman"/>
                <w:color w:val="0000FF"/>
                <w:sz w:val="20"/>
                <w:szCs w:val="20"/>
              </w:rPr>
            </w:pPr>
            <w:r>
              <w:rPr>
                <w:rFonts w:eastAsia="Times New Roman" w:cs="Times New Roman"/>
                <w:color w:val="0000FF"/>
                <w:sz w:val="20"/>
                <w:szCs w:val="20"/>
              </w:rPr>
              <w:t>0</w:t>
            </w:r>
            <w:r w:rsidR="00A7072F">
              <w:rPr>
                <w:rFonts w:eastAsia="Times New Roman" w:cs="Times New Roman"/>
                <w:color w:val="0000FF"/>
                <w:sz w:val="20"/>
                <w:szCs w:val="20"/>
              </w:rPr>
              <w:t>805 (</w:t>
            </w:r>
            <w:proofErr w:type="spellStart"/>
            <w:r w:rsidR="00A7072F">
              <w:rPr>
                <w:rFonts w:eastAsia="Times New Roman" w:cs="Times New Roman"/>
                <w:color w:val="0000FF"/>
                <w:sz w:val="20"/>
                <w:szCs w:val="20"/>
              </w:rPr>
              <w:t>Wnd</w:t>
            </w:r>
            <w:proofErr w:type="spellEnd"/>
            <w:r w:rsidR="00A7072F">
              <w:rPr>
                <w:rFonts w:eastAsia="Times New Roman" w:cs="Times New Roman"/>
                <w:color w:val="0000FF"/>
                <w:sz w:val="20"/>
                <w:szCs w:val="20"/>
              </w:rPr>
              <w:t xml:space="preserve"> </w:t>
            </w:r>
            <w:proofErr w:type="spellStart"/>
            <w:r w:rsidR="00A7072F">
              <w:rPr>
                <w:rFonts w:eastAsia="Times New Roman" w:cs="Times New Roman"/>
                <w:color w:val="0000FF"/>
                <w:sz w:val="20"/>
                <w:szCs w:val="20"/>
              </w:rPr>
              <w:t>debrid</w:t>
            </w:r>
            <w:proofErr w:type="spellEnd"/>
            <w:r w:rsidR="00A7072F">
              <w:rPr>
                <w:rFonts w:eastAsia="Times New Roman" w:cs="Times New Roman"/>
                <w:color w:val="0000FF"/>
                <w:sz w:val="20"/>
                <w:szCs w:val="20"/>
              </w:rPr>
              <w:t xml:space="preserve"> &amp; </w:t>
            </w:r>
            <w:proofErr w:type="spellStart"/>
            <w:r w:rsidR="00A7072F">
              <w:rPr>
                <w:rFonts w:eastAsia="Times New Roman" w:cs="Times New Roman"/>
                <w:color w:val="0000FF"/>
                <w:sz w:val="20"/>
                <w:szCs w:val="20"/>
              </w:rPr>
              <w:t>skn</w:t>
            </w:r>
            <w:proofErr w:type="spellEnd"/>
            <w:r w:rsidR="00A7072F">
              <w:rPr>
                <w:rFonts w:eastAsia="Times New Roman" w:cs="Times New Roman"/>
                <w:color w:val="0000FF"/>
                <w:sz w:val="20"/>
                <w:szCs w:val="20"/>
              </w:rPr>
              <w:t xml:space="preserve"> </w:t>
            </w:r>
            <w:proofErr w:type="spellStart"/>
            <w:r w:rsidR="00A7072F">
              <w:rPr>
                <w:rFonts w:eastAsia="Times New Roman" w:cs="Times New Roman"/>
                <w:color w:val="0000FF"/>
                <w:sz w:val="20"/>
                <w:szCs w:val="20"/>
              </w:rPr>
              <w:t>grft</w:t>
            </w:r>
            <w:proofErr w:type="spellEnd"/>
            <w:r w:rsidR="00A7072F">
              <w:rPr>
                <w:rFonts w:eastAsia="Times New Roman" w:cs="Times New Roman"/>
                <w:color w:val="0000FF"/>
                <w:sz w:val="20"/>
                <w:szCs w:val="20"/>
              </w:rPr>
              <w:t xml:space="preserve"> except </w:t>
            </w:r>
            <w:proofErr w:type="spellStart"/>
            <w:r w:rsidR="00A7072F">
              <w:rPr>
                <w:rFonts w:eastAsia="Times New Roman" w:cs="Times New Roman"/>
                <w:color w:val="0000FF"/>
                <w:sz w:val="20"/>
                <w:szCs w:val="20"/>
              </w:rPr>
              <w:t>hand,for</w:t>
            </w:r>
            <w:proofErr w:type="spellEnd"/>
            <w:r w:rsidR="00A7072F">
              <w:rPr>
                <w:rFonts w:eastAsia="Times New Roman" w:cs="Times New Roman"/>
                <w:color w:val="0000FF"/>
                <w:sz w:val="20"/>
                <w:szCs w:val="20"/>
              </w:rPr>
              <w:t xml:space="preserve"> </w:t>
            </w:r>
            <w:proofErr w:type="spellStart"/>
            <w:r w:rsidR="00A7072F">
              <w:rPr>
                <w:rFonts w:eastAsia="Times New Roman" w:cs="Times New Roman"/>
                <w:color w:val="0000FF"/>
                <w:sz w:val="20"/>
                <w:szCs w:val="20"/>
              </w:rPr>
              <w:t>muscskelet</w:t>
            </w:r>
            <w:proofErr w:type="spellEnd"/>
            <w:r w:rsidR="00A7072F">
              <w:rPr>
                <w:rFonts w:eastAsia="Times New Roman" w:cs="Times New Roman"/>
                <w:color w:val="0000FF"/>
                <w:sz w:val="20"/>
                <w:szCs w:val="20"/>
              </w:rPr>
              <w:t xml:space="preserve"> &amp; conn </w:t>
            </w:r>
            <w:proofErr w:type="spellStart"/>
            <w:r w:rsidR="00A7072F">
              <w:rPr>
                <w:rFonts w:eastAsia="Times New Roman" w:cs="Times New Roman"/>
                <w:color w:val="0000FF"/>
                <w:sz w:val="20"/>
                <w:szCs w:val="20"/>
              </w:rPr>
              <w:t>tiss</w:t>
            </w:r>
            <w:proofErr w:type="spellEnd"/>
            <w:r w:rsidR="00A7072F">
              <w:rPr>
                <w:rFonts w:eastAsia="Times New Roman" w:cs="Times New Roman"/>
                <w:color w:val="0000FF"/>
                <w:sz w:val="20"/>
                <w:szCs w:val="20"/>
              </w:rPr>
              <w:t xml:space="preserve"> dis)</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1.2956</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0.0806</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258.4443</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MDRG </w:t>
            </w:r>
          </w:p>
        </w:tc>
        <w:tc>
          <w:tcPr>
            <w:tcW w:w="2452" w:type="dxa"/>
            <w:tcBorders>
              <w:top w:val="single" w:sz="4" w:space="0" w:color="auto"/>
              <w:left w:val="nil"/>
              <w:bottom w:val="nil"/>
              <w:right w:val="single" w:sz="4" w:space="0" w:color="auto"/>
            </w:tcBorders>
            <w:noWrap/>
            <w:vAlign w:val="bottom"/>
            <w:hideMark/>
          </w:tcPr>
          <w:p w:rsidR="00A7072F" w:rsidRDefault="00491EC0">
            <w:pPr>
              <w:spacing w:after="0" w:line="240" w:lineRule="auto"/>
              <w:rPr>
                <w:rFonts w:eastAsia="Times New Roman" w:cs="Times New Roman"/>
                <w:color w:val="0000FF"/>
                <w:sz w:val="20"/>
                <w:szCs w:val="20"/>
              </w:rPr>
            </w:pPr>
            <w:r>
              <w:rPr>
                <w:rFonts w:eastAsia="Times New Roman" w:cs="Times New Roman"/>
                <w:color w:val="0000FF"/>
                <w:sz w:val="20"/>
                <w:szCs w:val="20"/>
              </w:rPr>
              <w:t>0</w:t>
            </w:r>
            <w:r w:rsidR="00A7072F">
              <w:rPr>
                <w:rFonts w:eastAsia="Times New Roman" w:cs="Times New Roman"/>
                <w:color w:val="0000FF"/>
                <w:sz w:val="20"/>
                <w:szCs w:val="20"/>
              </w:rPr>
              <w:t>806 (Revision of hip or knee replacement)</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0.5284</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0.0631</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70.0342</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MDRG </w:t>
            </w:r>
          </w:p>
        </w:tc>
        <w:tc>
          <w:tcPr>
            <w:tcW w:w="2452" w:type="dxa"/>
            <w:tcBorders>
              <w:top w:val="single" w:sz="4" w:space="0" w:color="auto"/>
              <w:left w:val="nil"/>
              <w:bottom w:val="nil"/>
              <w:right w:val="single" w:sz="4" w:space="0" w:color="auto"/>
            </w:tcBorders>
            <w:noWrap/>
            <w:vAlign w:val="bottom"/>
            <w:hideMark/>
          </w:tcPr>
          <w:p w:rsidR="00A7072F" w:rsidRDefault="00491EC0">
            <w:pPr>
              <w:spacing w:after="0" w:line="240" w:lineRule="auto"/>
              <w:rPr>
                <w:rFonts w:eastAsia="Times New Roman" w:cs="Times New Roman"/>
                <w:color w:val="0000FF"/>
                <w:sz w:val="20"/>
                <w:szCs w:val="20"/>
              </w:rPr>
            </w:pPr>
            <w:r>
              <w:rPr>
                <w:rFonts w:eastAsia="Times New Roman" w:cs="Times New Roman"/>
                <w:color w:val="0000FF"/>
                <w:sz w:val="20"/>
                <w:szCs w:val="20"/>
              </w:rPr>
              <w:t>0</w:t>
            </w:r>
            <w:r w:rsidR="00A7072F">
              <w:rPr>
                <w:rFonts w:eastAsia="Times New Roman" w:cs="Times New Roman"/>
                <w:color w:val="0000FF"/>
                <w:sz w:val="20"/>
                <w:szCs w:val="20"/>
              </w:rPr>
              <w:t>808 (Cervical spinal fusion)</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0.9732</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0.0481</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409.3519</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MDRG </w:t>
            </w:r>
          </w:p>
        </w:tc>
        <w:tc>
          <w:tcPr>
            <w:tcW w:w="2452" w:type="dxa"/>
            <w:tcBorders>
              <w:top w:val="single" w:sz="4" w:space="0" w:color="auto"/>
              <w:left w:val="nil"/>
              <w:bottom w:val="nil"/>
              <w:right w:val="single" w:sz="4" w:space="0" w:color="auto"/>
            </w:tcBorders>
            <w:noWrap/>
            <w:vAlign w:val="bottom"/>
            <w:hideMark/>
          </w:tcPr>
          <w:p w:rsidR="00A7072F" w:rsidRDefault="00491EC0">
            <w:pPr>
              <w:spacing w:after="0" w:line="240" w:lineRule="auto"/>
              <w:rPr>
                <w:rFonts w:eastAsia="Times New Roman" w:cs="Times New Roman"/>
                <w:color w:val="0000FF"/>
                <w:sz w:val="20"/>
                <w:szCs w:val="20"/>
              </w:rPr>
            </w:pPr>
            <w:r>
              <w:rPr>
                <w:rFonts w:eastAsia="Times New Roman" w:cs="Times New Roman"/>
                <w:color w:val="0000FF"/>
                <w:sz w:val="20"/>
                <w:szCs w:val="20"/>
              </w:rPr>
              <w:t>0</w:t>
            </w:r>
            <w:r w:rsidR="00A7072F">
              <w:rPr>
                <w:rFonts w:eastAsia="Times New Roman" w:cs="Times New Roman"/>
                <w:color w:val="0000FF"/>
                <w:sz w:val="20"/>
                <w:szCs w:val="20"/>
              </w:rPr>
              <w:t>811 (Hip &amp; femur procedures except major joint)</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0.9684</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0.0893</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117.6223</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MDRG </w:t>
            </w:r>
          </w:p>
        </w:tc>
        <w:tc>
          <w:tcPr>
            <w:tcW w:w="2452" w:type="dxa"/>
            <w:tcBorders>
              <w:top w:val="single" w:sz="4" w:space="0" w:color="auto"/>
              <w:left w:val="nil"/>
              <w:bottom w:val="nil"/>
              <w:right w:val="single" w:sz="4" w:space="0" w:color="auto"/>
            </w:tcBorders>
            <w:noWrap/>
            <w:vAlign w:val="bottom"/>
            <w:hideMark/>
          </w:tcPr>
          <w:p w:rsidR="00A7072F" w:rsidRDefault="00491EC0">
            <w:pPr>
              <w:spacing w:after="0" w:line="240" w:lineRule="auto"/>
              <w:rPr>
                <w:rFonts w:eastAsia="Times New Roman" w:cs="Times New Roman"/>
                <w:color w:val="0000FF"/>
                <w:sz w:val="20"/>
                <w:szCs w:val="20"/>
              </w:rPr>
            </w:pPr>
            <w:r>
              <w:rPr>
                <w:rFonts w:eastAsia="Times New Roman" w:cs="Times New Roman"/>
                <w:color w:val="0000FF"/>
                <w:sz w:val="20"/>
                <w:szCs w:val="20"/>
              </w:rPr>
              <w:t>0</w:t>
            </w:r>
            <w:r w:rsidR="00A7072F">
              <w:rPr>
                <w:rFonts w:eastAsia="Times New Roman" w:cs="Times New Roman"/>
                <w:color w:val="0000FF"/>
                <w:sz w:val="20"/>
                <w:szCs w:val="20"/>
              </w:rPr>
              <w:t>815 (Back &amp; neck procedures except spinal fusion)</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0.1616</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0.0644</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6.2962</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0.0121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MDRG </w:t>
            </w:r>
          </w:p>
        </w:tc>
        <w:tc>
          <w:tcPr>
            <w:tcW w:w="2452" w:type="dxa"/>
            <w:tcBorders>
              <w:top w:val="single" w:sz="4" w:space="0" w:color="auto"/>
              <w:left w:val="nil"/>
              <w:bottom w:val="nil"/>
              <w:right w:val="single" w:sz="4" w:space="0" w:color="auto"/>
            </w:tcBorders>
            <w:noWrap/>
            <w:vAlign w:val="bottom"/>
            <w:hideMark/>
          </w:tcPr>
          <w:p w:rsidR="00A7072F" w:rsidRDefault="00491EC0">
            <w:pPr>
              <w:spacing w:after="0" w:line="240" w:lineRule="auto"/>
              <w:rPr>
                <w:rFonts w:eastAsia="Times New Roman" w:cs="Times New Roman"/>
                <w:color w:val="0000FF"/>
                <w:sz w:val="20"/>
                <w:szCs w:val="20"/>
              </w:rPr>
            </w:pPr>
            <w:r>
              <w:rPr>
                <w:rFonts w:eastAsia="Times New Roman" w:cs="Times New Roman"/>
                <w:color w:val="0000FF"/>
                <w:sz w:val="20"/>
                <w:szCs w:val="20"/>
              </w:rPr>
              <w:t>0</w:t>
            </w:r>
            <w:r w:rsidR="00A7072F">
              <w:rPr>
                <w:rFonts w:eastAsia="Times New Roman" w:cs="Times New Roman"/>
                <w:color w:val="0000FF"/>
                <w:sz w:val="20"/>
                <w:szCs w:val="20"/>
              </w:rPr>
              <w:t xml:space="preserve">826 (Other </w:t>
            </w:r>
            <w:proofErr w:type="spellStart"/>
            <w:r w:rsidR="00A7072F">
              <w:rPr>
                <w:rFonts w:eastAsia="Times New Roman" w:cs="Times New Roman"/>
                <w:color w:val="0000FF"/>
                <w:sz w:val="20"/>
                <w:szCs w:val="20"/>
              </w:rPr>
              <w:t>musculoskelet</w:t>
            </w:r>
            <w:proofErr w:type="spellEnd"/>
            <w:r w:rsidR="00A7072F">
              <w:rPr>
                <w:rFonts w:eastAsia="Times New Roman" w:cs="Times New Roman"/>
                <w:color w:val="0000FF"/>
                <w:sz w:val="20"/>
                <w:szCs w:val="20"/>
              </w:rPr>
              <w:t xml:space="preserve"> sys &amp; conn </w:t>
            </w:r>
            <w:proofErr w:type="spellStart"/>
            <w:r w:rsidR="00A7072F">
              <w:rPr>
                <w:rFonts w:eastAsia="Times New Roman" w:cs="Times New Roman"/>
                <w:color w:val="0000FF"/>
                <w:sz w:val="20"/>
                <w:szCs w:val="20"/>
              </w:rPr>
              <w:t>tiss</w:t>
            </w:r>
            <w:proofErr w:type="spellEnd"/>
            <w:r w:rsidR="00A7072F">
              <w:rPr>
                <w:rFonts w:eastAsia="Times New Roman" w:cs="Times New Roman"/>
                <w:color w:val="0000FF"/>
                <w:sz w:val="20"/>
                <w:szCs w:val="20"/>
              </w:rPr>
              <w:t xml:space="preserve"> O.R. </w:t>
            </w:r>
            <w:proofErr w:type="spellStart"/>
            <w:r w:rsidR="00A7072F">
              <w:rPr>
                <w:rFonts w:eastAsia="Times New Roman" w:cs="Times New Roman"/>
                <w:color w:val="0000FF"/>
                <w:sz w:val="20"/>
                <w:szCs w:val="20"/>
              </w:rPr>
              <w:t>proc</w:t>
            </w:r>
            <w:proofErr w:type="spellEnd"/>
            <w:r w:rsidR="00A7072F">
              <w:rPr>
                <w:rFonts w:eastAsia="Times New Roman" w:cs="Times New Roman"/>
                <w:color w:val="0000FF"/>
                <w:sz w:val="20"/>
                <w:szCs w:val="20"/>
              </w:rPr>
              <w:t>)</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1.0538</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0.1036</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103.4876</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MDRG </w:t>
            </w:r>
          </w:p>
        </w:tc>
        <w:tc>
          <w:tcPr>
            <w:tcW w:w="2452" w:type="dxa"/>
            <w:tcBorders>
              <w:top w:val="single" w:sz="4" w:space="0" w:color="auto"/>
              <w:left w:val="nil"/>
              <w:bottom w:val="nil"/>
              <w:right w:val="single" w:sz="4" w:space="0" w:color="auto"/>
            </w:tcBorders>
            <w:noWrap/>
            <w:vAlign w:val="bottom"/>
            <w:hideMark/>
          </w:tcPr>
          <w:p w:rsidR="00A7072F" w:rsidRDefault="00491EC0">
            <w:pPr>
              <w:spacing w:after="0" w:line="240" w:lineRule="auto"/>
              <w:rPr>
                <w:rFonts w:eastAsia="Times New Roman" w:cs="Times New Roman"/>
                <w:color w:val="0000FF"/>
                <w:sz w:val="20"/>
                <w:szCs w:val="20"/>
              </w:rPr>
            </w:pPr>
            <w:r>
              <w:rPr>
                <w:rFonts w:eastAsia="Times New Roman" w:cs="Times New Roman"/>
                <w:color w:val="0000FF"/>
                <w:sz w:val="20"/>
                <w:szCs w:val="20"/>
              </w:rPr>
              <w:t>0</w:t>
            </w:r>
            <w:r w:rsidR="00A7072F">
              <w:rPr>
                <w:rFonts w:eastAsia="Times New Roman" w:cs="Times New Roman"/>
                <w:color w:val="0000FF"/>
                <w:sz w:val="20"/>
                <w:szCs w:val="20"/>
              </w:rPr>
              <w:t xml:space="preserve">901 (Skin graft &amp;/or </w:t>
            </w:r>
            <w:proofErr w:type="spellStart"/>
            <w:r w:rsidR="00A7072F">
              <w:rPr>
                <w:rFonts w:eastAsia="Times New Roman" w:cs="Times New Roman"/>
                <w:color w:val="0000FF"/>
                <w:sz w:val="20"/>
                <w:szCs w:val="20"/>
              </w:rPr>
              <w:t>debrid</w:t>
            </w:r>
            <w:proofErr w:type="spellEnd"/>
            <w:r w:rsidR="00A7072F">
              <w:rPr>
                <w:rFonts w:eastAsia="Times New Roman" w:cs="Times New Roman"/>
                <w:color w:val="0000FF"/>
                <w:sz w:val="20"/>
                <w:szCs w:val="20"/>
              </w:rPr>
              <w:t xml:space="preserve"> for </w:t>
            </w:r>
            <w:proofErr w:type="spellStart"/>
            <w:r w:rsidR="00A7072F">
              <w:rPr>
                <w:rFonts w:eastAsia="Times New Roman" w:cs="Times New Roman"/>
                <w:color w:val="0000FF"/>
                <w:sz w:val="20"/>
                <w:szCs w:val="20"/>
              </w:rPr>
              <w:t>skn</w:t>
            </w:r>
            <w:proofErr w:type="spellEnd"/>
            <w:r w:rsidR="00A7072F">
              <w:rPr>
                <w:rFonts w:eastAsia="Times New Roman" w:cs="Times New Roman"/>
                <w:color w:val="0000FF"/>
                <w:sz w:val="20"/>
                <w:szCs w:val="20"/>
              </w:rPr>
              <w:t xml:space="preserve"> ulcer or cellulitis)</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0.5061</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0.133</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14.48</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MDRG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eastAsia="Times New Roman" w:cs="Times New Roman"/>
                <w:color w:val="0000FF"/>
                <w:sz w:val="20"/>
                <w:szCs w:val="20"/>
              </w:rPr>
            </w:pPr>
            <w:r>
              <w:rPr>
                <w:rFonts w:eastAsia="Times New Roman" w:cs="Times New Roman"/>
                <w:color w:val="0000FF"/>
                <w:sz w:val="20"/>
                <w:szCs w:val="20"/>
              </w:rPr>
              <w:t>1001 (Adrenal &amp; pituitary procedures)</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2.0593</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0.0907</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515.3908</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MDRG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eastAsia="Times New Roman" w:cs="Times New Roman"/>
                <w:color w:val="0000FF"/>
                <w:sz w:val="20"/>
                <w:szCs w:val="20"/>
              </w:rPr>
            </w:pPr>
            <w:r>
              <w:rPr>
                <w:rFonts w:eastAsia="Times New Roman" w:cs="Times New Roman"/>
                <w:color w:val="0000FF"/>
                <w:sz w:val="20"/>
                <w:szCs w:val="20"/>
              </w:rPr>
              <w:t>1003 (O.R. procedures for obesity)</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1.2429</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0.0534</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541.4608</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MDRG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eastAsia="Times New Roman" w:cs="Times New Roman"/>
                <w:color w:val="0000FF"/>
                <w:sz w:val="20"/>
                <w:szCs w:val="20"/>
              </w:rPr>
            </w:pPr>
            <w:r>
              <w:rPr>
                <w:rFonts w:eastAsia="Times New Roman" w:cs="Times New Roman"/>
                <w:color w:val="0000FF"/>
                <w:sz w:val="20"/>
                <w:szCs w:val="20"/>
              </w:rPr>
              <w:t>1102 (Major bladder procedures)</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2.49</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0.0576</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1870.985</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MDRG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eastAsia="Times New Roman" w:cs="Times New Roman"/>
                <w:color w:val="0000FF"/>
                <w:sz w:val="20"/>
                <w:szCs w:val="20"/>
              </w:rPr>
            </w:pPr>
            <w:r>
              <w:rPr>
                <w:rFonts w:eastAsia="Times New Roman" w:cs="Times New Roman"/>
                <w:color w:val="0000FF"/>
                <w:sz w:val="20"/>
                <w:szCs w:val="20"/>
              </w:rPr>
              <w:t>1103 (Kidney and ureter procedures for neoplasm)</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2.0637</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0.0442</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2179.321</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MDRG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eastAsia="Times New Roman" w:cs="Times New Roman"/>
                <w:color w:val="0000FF"/>
                <w:sz w:val="20"/>
                <w:szCs w:val="20"/>
              </w:rPr>
            </w:pPr>
            <w:r>
              <w:rPr>
                <w:rFonts w:eastAsia="Times New Roman" w:cs="Times New Roman"/>
                <w:color w:val="0000FF"/>
                <w:sz w:val="20"/>
                <w:szCs w:val="20"/>
              </w:rPr>
              <w:t>1104 (Kidney and ureter procedures for non-neoplasm)</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1.4308</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0.067</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455.8709</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MDRG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eastAsia="Times New Roman" w:cs="Times New Roman"/>
                <w:color w:val="0000FF"/>
                <w:sz w:val="20"/>
                <w:szCs w:val="20"/>
              </w:rPr>
            </w:pPr>
            <w:r>
              <w:rPr>
                <w:rFonts w:eastAsia="Times New Roman" w:cs="Times New Roman"/>
                <w:color w:val="0000FF"/>
                <w:sz w:val="20"/>
                <w:szCs w:val="20"/>
              </w:rPr>
              <w:t>1201 (Major male pelvic procedures)</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0.4423</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0.0825</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28.7466</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MDRG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eastAsia="Times New Roman" w:cs="Times New Roman"/>
                <w:color w:val="0000FF"/>
                <w:sz w:val="20"/>
                <w:szCs w:val="20"/>
              </w:rPr>
            </w:pPr>
            <w:r>
              <w:rPr>
                <w:rFonts w:eastAsia="Times New Roman" w:cs="Times New Roman"/>
                <w:color w:val="0000FF"/>
                <w:sz w:val="20"/>
                <w:szCs w:val="20"/>
              </w:rPr>
              <w:t xml:space="preserve">1302 (Uterine &amp; adnexa </w:t>
            </w:r>
            <w:proofErr w:type="spellStart"/>
            <w:r>
              <w:rPr>
                <w:rFonts w:eastAsia="Times New Roman" w:cs="Times New Roman"/>
                <w:color w:val="0000FF"/>
                <w:sz w:val="20"/>
                <w:szCs w:val="20"/>
              </w:rPr>
              <w:t>proc</w:t>
            </w:r>
            <w:proofErr w:type="spellEnd"/>
            <w:r>
              <w:rPr>
                <w:rFonts w:eastAsia="Times New Roman" w:cs="Times New Roman"/>
                <w:color w:val="0000FF"/>
                <w:sz w:val="20"/>
                <w:szCs w:val="20"/>
              </w:rPr>
              <w:t xml:space="preserve"> for ovarian or adnexal malignancy)</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2.3016</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0.0743</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959.3047</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MDRG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eastAsia="Times New Roman" w:cs="Times New Roman"/>
                <w:color w:val="0000FF"/>
                <w:sz w:val="20"/>
                <w:szCs w:val="20"/>
              </w:rPr>
            </w:pPr>
            <w:r>
              <w:rPr>
                <w:rFonts w:eastAsia="Times New Roman" w:cs="Times New Roman"/>
                <w:color w:val="0000FF"/>
                <w:sz w:val="20"/>
                <w:szCs w:val="20"/>
              </w:rPr>
              <w:t xml:space="preserve">1303 (Uterine &amp; adnexa </w:t>
            </w:r>
            <w:proofErr w:type="spellStart"/>
            <w:r>
              <w:rPr>
                <w:rFonts w:eastAsia="Times New Roman" w:cs="Times New Roman"/>
                <w:color w:val="0000FF"/>
                <w:sz w:val="20"/>
                <w:szCs w:val="20"/>
              </w:rPr>
              <w:t>proc</w:t>
            </w:r>
            <w:proofErr w:type="spellEnd"/>
            <w:r>
              <w:rPr>
                <w:rFonts w:eastAsia="Times New Roman" w:cs="Times New Roman"/>
                <w:color w:val="0000FF"/>
                <w:sz w:val="20"/>
                <w:szCs w:val="20"/>
              </w:rPr>
              <w:t xml:space="preserve"> for non-ovarian/adnexal </w:t>
            </w:r>
            <w:proofErr w:type="spellStart"/>
            <w:r>
              <w:rPr>
                <w:rFonts w:eastAsia="Times New Roman" w:cs="Times New Roman"/>
                <w:color w:val="0000FF"/>
                <w:sz w:val="20"/>
                <w:szCs w:val="20"/>
              </w:rPr>
              <w:t>malig</w:t>
            </w:r>
            <w:proofErr w:type="spellEnd"/>
            <w:r>
              <w:rPr>
                <w:rFonts w:eastAsia="Times New Roman" w:cs="Times New Roman"/>
                <w:color w:val="0000FF"/>
                <w:sz w:val="20"/>
                <w:szCs w:val="20"/>
              </w:rPr>
              <w:t>)</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1.5214</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0.0696</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478.1155</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MDRG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eastAsia="Times New Roman" w:cs="Times New Roman"/>
                <w:color w:val="0000FF"/>
                <w:sz w:val="20"/>
                <w:szCs w:val="20"/>
              </w:rPr>
            </w:pPr>
            <w:r>
              <w:rPr>
                <w:rFonts w:eastAsia="Times New Roman" w:cs="Times New Roman"/>
                <w:color w:val="0000FF"/>
                <w:sz w:val="20"/>
                <w:szCs w:val="20"/>
              </w:rPr>
              <w:t xml:space="preserve">1304 (Uterine &amp; adnexa </w:t>
            </w:r>
            <w:proofErr w:type="spellStart"/>
            <w:r>
              <w:rPr>
                <w:rFonts w:eastAsia="Times New Roman" w:cs="Times New Roman"/>
                <w:color w:val="0000FF"/>
                <w:sz w:val="20"/>
                <w:szCs w:val="20"/>
              </w:rPr>
              <w:t>proc</w:t>
            </w:r>
            <w:proofErr w:type="spellEnd"/>
            <w:r>
              <w:rPr>
                <w:rFonts w:eastAsia="Times New Roman" w:cs="Times New Roman"/>
                <w:color w:val="0000FF"/>
                <w:sz w:val="20"/>
                <w:szCs w:val="20"/>
              </w:rPr>
              <w:t xml:space="preserve"> for non-malignancy)</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0.5288</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0.0538</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96.5929</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MDRG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eastAsia="Times New Roman" w:cs="Times New Roman"/>
                <w:color w:val="0000FF"/>
                <w:sz w:val="20"/>
                <w:szCs w:val="20"/>
              </w:rPr>
            </w:pPr>
            <w:r>
              <w:rPr>
                <w:rFonts w:eastAsia="Times New Roman" w:cs="Times New Roman"/>
                <w:color w:val="0000FF"/>
                <w:sz w:val="20"/>
                <w:szCs w:val="20"/>
              </w:rPr>
              <w:t>1707 (Lymphoma &amp; leukemia w major O.R. procedure)</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1.8312</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0.1046</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306.6969</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MDRG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eastAsia="Times New Roman" w:cs="Times New Roman"/>
                <w:color w:val="0000FF"/>
                <w:sz w:val="20"/>
                <w:szCs w:val="20"/>
              </w:rPr>
            </w:pPr>
            <w:r>
              <w:rPr>
                <w:rFonts w:eastAsia="Times New Roman" w:cs="Times New Roman"/>
                <w:color w:val="0000FF"/>
                <w:sz w:val="20"/>
                <w:szCs w:val="20"/>
              </w:rPr>
              <w:t>1709 (</w:t>
            </w:r>
            <w:proofErr w:type="spellStart"/>
            <w:r>
              <w:rPr>
                <w:rFonts w:eastAsia="Times New Roman" w:cs="Times New Roman"/>
                <w:color w:val="0000FF"/>
                <w:sz w:val="20"/>
                <w:szCs w:val="20"/>
              </w:rPr>
              <w:t>Myeloprolif</w:t>
            </w:r>
            <w:proofErr w:type="spellEnd"/>
            <w:r>
              <w:rPr>
                <w:rFonts w:eastAsia="Times New Roman" w:cs="Times New Roman"/>
                <w:color w:val="0000FF"/>
                <w:sz w:val="20"/>
                <w:szCs w:val="20"/>
              </w:rPr>
              <w:t xml:space="preserve"> </w:t>
            </w:r>
            <w:proofErr w:type="spellStart"/>
            <w:r>
              <w:rPr>
                <w:rFonts w:eastAsia="Times New Roman" w:cs="Times New Roman"/>
                <w:color w:val="0000FF"/>
                <w:sz w:val="20"/>
                <w:szCs w:val="20"/>
              </w:rPr>
              <w:t>disord</w:t>
            </w:r>
            <w:proofErr w:type="spellEnd"/>
            <w:r>
              <w:rPr>
                <w:rFonts w:eastAsia="Times New Roman" w:cs="Times New Roman"/>
                <w:color w:val="0000FF"/>
                <w:sz w:val="20"/>
                <w:szCs w:val="20"/>
              </w:rPr>
              <w:t xml:space="preserve"> or poorly diff </w:t>
            </w:r>
            <w:proofErr w:type="spellStart"/>
            <w:r>
              <w:rPr>
                <w:rFonts w:eastAsia="Times New Roman" w:cs="Times New Roman"/>
                <w:color w:val="0000FF"/>
                <w:sz w:val="20"/>
                <w:szCs w:val="20"/>
              </w:rPr>
              <w:t>neopl</w:t>
            </w:r>
            <w:proofErr w:type="spellEnd"/>
            <w:r>
              <w:rPr>
                <w:rFonts w:eastAsia="Times New Roman" w:cs="Times New Roman"/>
                <w:color w:val="0000FF"/>
                <w:sz w:val="20"/>
                <w:szCs w:val="20"/>
              </w:rPr>
              <w:t>)</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2.682</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0.0845</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1007.069</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MDRG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eastAsia="Times New Roman" w:cs="Times New Roman"/>
                <w:color w:val="0000FF"/>
                <w:sz w:val="20"/>
                <w:szCs w:val="20"/>
              </w:rPr>
            </w:pPr>
            <w:r>
              <w:rPr>
                <w:rFonts w:eastAsia="Times New Roman" w:cs="Times New Roman"/>
                <w:color w:val="0000FF"/>
                <w:sz w:val="20"/>
                <w:szCs w:val="20"/>
              </w:rPr>
              <w:t>1801 (Infectious &amp; parasitic diseases w O.R. procedure)</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2.8455</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0.0571</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2480.56</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MDRG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eastAsia="Times New Roman" w:cs="Times New Roman"/>
                <w:color w:val="0000FF"/>
                <w:sz w:val="20"/>
                <w:szCs w:val="20"/>
              </w:rPr>
            </w:pPr>
            <w:r>
              <w:rPr>
                <w:rFonts w:eastAsia="Times New Roman" w:cs="Times New Roman"/>
                <w:color w:val="0000FF"/>
                <w:sz w:val="20"/>
                <w:szCs w:val="20"/>
              </w:rPr>
              <w:t xml:space="preserve">1802 (Postoperative or post-traumatic infections </w:t>
            </w:r>
            <w:r>
              <w:rPr>
                <w:rFonts w:eastAsia="Times New Roman" w:cs="Times New Roman"/>
                <w:color w:val="0000FF"/>
                <w:sz w:val="20"/>
                <w:szCs w:val="20"/>
              </w:rPr>
              <w:lastRenderedPageBreak/>
              <w:t>w O.R. procedure)</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lastRenderedPageBreak/>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1.288</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0.0901</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204.3979</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lastRenderedPageBreak/>
              <w:t xml:space="preserve">MDRG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eastAsia="Times New Roman" w:cs="Times New Roman"/>
                <w:color w:val="0000FF"/>
                <w:sz w:val="20"/>
                <w:szCs w:val="20"/>
              </w:rPr>
            </w:pPr>
            <w:r>
              <w:rPr>
                <w:rFonts w:eastAsia="Times New Roman" w:cs="Times New Roman"/>
                <w:color w:val="0000FF"/>
                <w:sz w:val="20"/>
                <w:szCs w:val="20"/>
              </w:rPr>
              <w:t>2104 (Other O.R. procedures for injuries)</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2.0326</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0.0591</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1181.796</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MDRG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eastAsia="Times New Roman" w:cs="Times New Roman"/>
                <w:color w:val="0000FF"/>
                <w:sz w:val="20"/>
                <w:szCs w:val="20"/>
              </w:rPr>
            </w:pPr>
            <w:r>
              <w:rPr>
                <w:rFonts w:eastAsia="Times New Roman" w:cs="Times New Roman"/>
                <w:color w:val="0000FF"/>
                <w:sz w:val="20"/>
                <w:szCs w:val="20"/>
              </w:rPr>
              <w:t>7702 (Liver transplant and/or intestinal transplant)</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3.8775</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0.1031</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1415.537</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MDC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eastAsia="Times New Roman" w:cs="Times New Roman"/>
                <w:color w:val="0000FF"/>
                <w:sz w:val="20"/>
                <w:szCs w:val="20"/>
              </w:rPr>
            </w:pPr>
            <w:r>
              <w:rPr>
                <w:rFonts w:eastAsia="Times New Roman" w:cs="Times New Roman"/>
                <w:color w:val="0000FF"/>
                <w:sz w:val="20"/>
                <w:szCs w:val="20"/>
              </w:rPr>
              <w:t>1 (Nervous System)</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1.8757</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0.0468</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1607.784</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MDC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eastAsia="Times New Roman" w:cs="Times New Roman"/>
                <w:color w:val="0000FF"/>
                <w:sz w:val="20"/>
                <w:szCs w:val="20"/>
              </w:rPr>
            </w:pPr>
            <w:r>
              <w:rPr>
                <w:rFonts w:eastAsia="Times New Roman" w:cs="Times New Roman"/>
                <w:color w:val="0000FF"/>
                <w:sz w:val="20"/>
                <w:szCs w:val="20"/>
              </w:rPr>
              <w:t>3 (Ear, Nose, Mouth And Throat)</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2.2641</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0.0792</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817.4957</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MDC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eastAsia="Times New Roman" w:cs="Times New Roman"/>
                <w:color w:val="0000FF"/>
                <w:sz w:val="20"/>
                <w:szCs w:val="20"/>
              </w:rPr>
            </w:pPr>
            <w:r>
              <w:rPr>
                <w:rFonts w:eastAsia="Times New Roman" w:cs="Times New Roman"/>
                <w:color w:val="0000FF"/>
                <w:sz w:val="20"/>
                <w:szCs w:val="20"/>
              </w:rPr>
              <w:t>6 (Digestive System)</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2.5916</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0.046</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3168.34</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MDC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eastAsia="Times New Roman" w:cs="Times New Roman"/>
                <w:color w:val="0000FF"/>
                <w:sz w:val="20"/>
                <w:szCs w:val="20"/>
              </w:rPr>
            </w:pPr>
            <w:r>
              <w:rPr>
                <w:rFonts w:eastAsia="Times New Roman" w:cs="Times New Roman"/>
                <w:color w:val="0000FF"/>
                <w:sz w:val="20"/>
                <w:szCs w:val="20"/>
              </w:rPr>
              <w:t>7 (Hepatobiliary System And Pancreas)</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2.8634</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0.0651</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1936.527</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MDC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eastAsia="Times New Roman" w:cs="Times New Roman"/>
                <w:color w:val="0000FF"/>
                <w:sz w:val="20"/>
                <w:szCs w:val="20"/>
              </w:rPr>
            </w:pPr>
            <w:r>
              <w:rPr>
                <w:rFonts w:eastAsia="Times New Roman" w:cs="Times New Roman"/>
                <w:color w:val="0000FF"/>
                <w:sz w:val="20"/>
                <w:szCs w:val="20"/>
              </w:rPr>
              <w:t>8 (Musculoskeletal System And Connective Tissue)</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0.8563</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0.0375</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522.6962</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MDC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eastAsia="Times New Roman" w:cs="Times New Roman"/>
                <w:color w:val="0000FF"/>
                <w:sz w:val="20"/>
                <w:szCs w:val="20"/>
              </w:rPr>
            </w:pPr>
            <w:r>
              <w:rPr>
                <w:rFonts w:eastAsia="Times New Roman" w:cs="Times New Roman"/>
                <w:color w:val="0000FF"/>
                <w:sz w:val="20"/>
                <w:szCs w:val="20"/>
              </w:rPr>
              <w:t>10 (Endocrine, Nutritional And Metabolic System)</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1.3299</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0.0544</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596.9845</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MDC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eastAsia="Times New Roman" w:cs="Times New Roman"/>
                <w:color w:val="0000FF"/>
                <w:sz w:val="20"/>
                <w:szCs w:val="20"/>
              </w:rPr>
            </w:pPr>
            <w:r>
              <w:rPr>
                <w:rFonts w:eastAsia="Times New Roman" w:cs="Times New Roman"/>
                <w:color w:val="0000FF"/>
                <w:sz w:val="20"/>
                <w:szCs w:val="20"/>
              </w:rPr>
              <w:t>11 (Kidney And Urinary Tract)</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1.5527</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0.0503</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953.9225</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MDC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eastAsia="Times New Roman" w:cs="Times New Roman"/>
                <w:color w:val="0000FF"/>
                <w:sz w:val="20"/>
                <w:szCs w:val="20"/>
              </w:rPr>
            </w:pPr>
            <w:r>
              <w:rPr>
                <w:rFonts w:eastAsia="Times New Roman" w:cs="Times New Roman"/>
                <w:color w:val="0000FF"/>
                <w:sz w:val="20"/>
                <w:szCs w:val="20"/>
              </w:rPr>
              <w:t>12 (Male Reproductive System)</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0.3592</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0.1052</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11.6537</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0.0006</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MDC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eastAsia="Times New Roman" w:cs="Times New Roman"/>
                <w:color w:val="0000FF"/>
                <w:sz w:val="20"/>
                <w:szCs w:val="20"/>
              </w:rPr>
            </w:pPr>
            <w:r>
              <w:rPr>
                <w:rFonts w:eastAsia="Times New Roman" w:cs="Times New Roman"/>
                <w:color w:val="0000FF"/>
                <w:sz w:val="20"/>
                <w:szCs w:val="20"/>
              </w:rPr>
              <w:t>13 (Female Reproductive System)</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1.3185</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0.0629</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438.9994</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MDC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eastAsia="Times New Roman" w:cs="Times New Roman"/>
                <w:color w:val="0000FF"/>
                <w:sz w:val="20"/>
                <w:szCs w:val="20"/>
              </w:rPr>
            </w:pPr>
            <w:r>
              <w:rPr>
                <w:rFonts w:eastAsia="Times New Roman" w:cs="Times New Roman"/>
                <w:color w:val="0000FF"/>
                <w:sz w:val="20"/>
                <w:szCs w:val="20"/>
              </w:rPr>
              <w:t>16 (Blood and Blood Forming Organs and Immunological Disorders)</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1.9596</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0.1043</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353.3095</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MDC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eastAsia="Times New Roman" w:cs="Times New Roman"/>
                <w:color w:val="0000FF"/>
                <w:sz w:val="20"/>
                <w:szCs w:val="20"/>
              </w:rPr>
            </w:pPr>
            <w:r>
              <w:rPr>
                <w:rFonts w:eastAsia="Times New Roman" w:cs="Times New Roman"/>
                <w:color w:val="0000FF"/>
                <w:sz w:val="20"/>
                <w:szCs w:val="20"/>
              </w:rPr>
              <w:t>17 (</w:t>
            </w:r>
            <w:proofErr w:type="spellStart"/>
            <w:r>
              <w:rPr>
                <w:rFonts w:eastAsia="Times New Roman" w:cs="Times New Roman"/>
                <w:color w:val="0000FF"/>
                <w:sz w:val="20"/>
                <w:szCs w:val="20"/>
              </w:rPr>
              <w:t>Myeloproliferative</w:t>
            </w:r>
            <w:proofErr w:type="spellEnd"/>
            <w:r>
              <w:rPr>
                <w:rFonts w:eastAsia="Times New Roman" w:cs="Times New Roman"/>
                <w:color w:val="0000FF"/>
                <w:sz w:val="20"/>
                <w:szCs w:val="20"/>
              </w:rPr>
              <w:t xml:space="preserve"> DDs (Poorly Differentiated Neoplasms))</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2.0473</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0.1001</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418.2338</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MDC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eastAsia="Times New Roman" w:cs="Times New Roman"/>
                <w:color w:val="0000FF"/>
                <w:sz w:val="20"/>
                <w:szCs w:val="20"/>
              </w:rPr>
            </w:pPr>
            <w:r>
              <w:rPr>
                <w:rFonts w:eastAsia="Times New Roman" w:cs="Times New Roman"/>
                <w:color w:val="0000FF"/>
                <w:sz w:val="20"/>
                <w:szCs w:val="20"/>
              </w:rPr>
              <w:t>21 (Injuries, Poison And Toxic Effect of Drugs)</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1.7082</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0.0902</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358.3698</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MDC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eastAsia="Times New Roman" w:cs="Times New Roman"/>
                <w:color w:val="0000FF"/>
                <w:sz w:val="20"/>
                <w:szCs w:val="20"/>
              </w:rPr>
            </w:pPr>
            <w:r>
              <w:rPr>
                <w:rFonts w:eastAsia="Times New Roman" w:cs="Times New Roman"/>
                <w:color w:val="0000FF"/>
                <w:sz w:val="20"/>
                <w:szCs w:val="20"/>
              </w:rPr>
              <w:t xml:space="preserve">Other </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0.8192</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0.0532</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236.7204</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TRNSFER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eastAsia="Times New Roman" w:cs="Times New Roman"/>
                <w:color w:val="0000FF"/>
                <w:sz w:val="20"/>
                <w:szCs w:val="20"/>
              </w:rPr>
            </w:pPr>
            <w:r>
              <w:rPr>
                <w:color w:val="0000FF"/>
                <w:sz w:val="20"/>
                <w:szCs w:val="20"/>
                <w:shd w:val="clear" w:color="auto" w:fill="FFFFFF"/>
              </w:rPr>
              <w:t>Transfer-in</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0.5841</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0.0443</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173.4995</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NOPOUB04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eastAsia="Times New Roman" w:cs="Times New Roman"/>
                <w:color w:val="0000FF"/>
                <w:sz w:val="20"/>
                <w:szCs w:val="20"/>
              </w:rPr>
            </w:pPr>
            <w:r>
              <w:rPr>
                <w:color w:val="0000FF"/>
                <w:sz w:val="20"/>
                <w:szCs w:val="20"/>
                <w:shd w:val="clear" w:color="auto" w:fill="FFFFFF"/>
              </w:rPr>
              <w:t>Point-of-Origin Data Not Available</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-0.1203</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0.0288</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17.4369</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NOPRDAY </w:t>
            </w:r>
          </w:p>
        </w:tc>
        <w:tc>
          <w:tcPr>
            <w:tcW w:w="2452" w:type="dxa"/>
            <w:tcBorders>
              <w:top w:val="single" w:sz="4" w:space="0" w:color="auto"/>
              <w:left w:val="nil"/>
              <w:bottom w:val="nil"/>
              <w:right w:val="single" w:sz="4" w:space="0" w:color="auto"/>
            </w:tcBorders>
            <w:noWrap/>
            <w:vAlign w:val="bottom"/>
            <w:hideMark/>
          </w:tcPr>
          <w:p w:rsidR="00A7072F" w:rsidRDefault="00A7072F">
            <w:pPr>
              <w:spacing w:after="0" w:line="240" w:lineRule="auto"/>
              <w:rPr>
                <w:rFonts w:eastAsia="Times New Roman" w:cs="Times New Roman"/>
                <w:color w:val="0000FF"/>
                <w:sz w:val="20"/>
                <w:szCs w:val="20"/>
              </w:rPr>
            </w:pPr>
            <w:r>
              <w:rPr>
                <w:color w:val="0000FF"/>
                <w:sz w:val="20"/>
                <w:szCs w:val="20"/>
                <w:shd w:val="clear" w:color="auto" w:fill="FFFFFF"/>
              </w:rPr>
              <w:t>Procedure Days Data Not Available</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-0.7914</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0.084</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88.7464</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COMORB </w:t>
            </w:r>
          </w:p>
        </w:tc>
        <w:tc>
          <w:tcPr>
            <w:tcW w:w="2452" w:type="dxa"/>
            <w:tcBorders>
              <w:top w:val="single" w:sz="4" w:space="0" w:color="auto"/>
              <w:left w:val="nil"/>
              <w:bottom w:val="nil"/>
              <w:right w:val="single" w:sz="4" w:space="0" w:color="auto"/>
            </w:tcBorders>
            <w:noWrap/>
            <w:vAlign w:val="center"/>
            <w:hideMark/>
          </w:tcPr>
          <w:p w:rsidR="00A7072F" w:rsidRDefault="00A7072F">
            <w:pPr>
              <w:spacing w:after="0" w:line="240" w:lineRule="auto"/>
              <w:rPr>
                <w:rFonts w:eastAsia="Times New Roman" w:cs="Times New Roman"/>
                <w:color w:val="0000FF"/>
                <w:sz w:val="20"/>
                <w:szCs w:val="20"/>
              </w:rPr>
            </w:pPr>
            <w:r>
              <w:rPr>
                <w:rFonts w:eastAsia="Times New Roman" w:cs="Times New Roman"/>
                <w:color w:val="0000FF"/>
                <w:sz w:val="20"/>
                <w:szCs w:val="20"/>
              </w:rPr>
              <w:t>Congestive heart failure</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0.8024</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0.0232</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1199.62</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COMORB </w:t>
            </w:r>
          </w:p>
        </w:tc>
        <w:tc>
          <w:tcPr>
            <w:tcW w:w="2452" w:type="dxa"/>
            <w:tcBorders>
              <w:top w:val="single" w:sz="4" w:space="0" w:color="auto"/>
              <w:left w:val="nil"/>
              <w:bottom w:val="nil"/>
              <w:right w:val="single" w:sz="4" w:space="0" w:color="auto"/>
            </w:tcBorders>
            <w:noWrap/>
            <w:vAlign w:val="center"/>
            <w:hideMark/>
          </w:tcPr>
          <w:p w:rsidR="00A7072F" w:rsidRDefault="00A7072F">
            <w:pPr>
              <w:spacing w:after="0" w:line="240" w:lineRule="auto"/>
              <w:rPr>
                <w:rFonts w:eastAsia="Times New Roman" w:cs="Times New Roman"/>
                <w:color w:val="0000FF"/>
                <w:sz w:val="20"/>
                <w:szCs w:val="20"/>
              </w:rPr>
            </w:pPr>
            <w:proofErr w:type="spellStart"/>
            <w:r>
              <w:rPr>
                <w:rFonts w:eastAsia="Times New Roman" w:cs="Times New Roman"/>
                <w:color w:val="0000FF"/>
                <w:sz w:val="20"/>
                <w:szCs w:val="20"/>
              </w:rPr>
              <w:t>Valvular</w:t>
            </w:r>
            <w:proofErr w:type="spellEnd"/>
            <w:r>
              <w:rPr>
                <w:rFonts w:eastAsia="Times New Roman" w:cs="Times New Roman"/>
                <w:color w:val="0000FF"/>
                <w:sz w:val="20"/>
                <w:szCs w:val="20"/>
              </w:rPr>
              <w:t xml:space="preserve"> disease</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0.1924</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0.029</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43.9669</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COMORB </w:t>
            </w:r>
          </w:p>
        </w:tc>
        <w:tc>
          <w:tcPr>
            <w:tcW w:w="2452" w:type="dxa"/>
            <w:tcBorders>
              <w:top w:val="single" w:sz="4" w:space="0" w:color="auto"/>
              <w:left w:val="nil"/>
              <w:bottom w:val="nil"/>
              <w:right w:val="single" w:sz="4" w:space="0" w:color="auto"/>
            </w:tcBorders>
            <w:noWrap/>
            <w:vAlign w:val="center"/>
            <w:hideMark/>
          </w:tcPr>
          <w:p w:rsidR="00A7072F" w:rsidRDefault="00A7072F">
            <w:pPr>
              <w:spacing w:after="0" w:line="240" w:lineRule="auto"/>
              <w:rPr>
                <w:rFonts w:eastAsia="Times New Roman" w:cs="Times New Roman"/>
                <w:color w:val="0000FF"/>
                <w:sz w:val="20"/>
                <w:szCs w:val="20"/>
              </w:rPr>
            </w:pPr>
            <w:r>
              <w:rPr>
                <w:rFonts w:eastAsia="Times New Roman" w:cs="Times New Roman"/>
                <w:color w:val="0000FF"/>
                <w:sz w:val="20"/>
                <w:szCs w:val="20"/>
              </w:rPr>
              <w:t>Pulmonary circulation disorder</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0.8854</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0.0353</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628.5042</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COMORB </w:t>
            </w:r>
          </w:p>
        </w:tc>
        <w:tc>
          <w:tcPr>
            <w:tcW w:w="2452" w:type="dxa"/>
            <w:tcBorders>
              <w:top w:val="single" w:sz="4" w:space="0" w:color="auto"/>
              <w:left w:val="nil"/>
              <w:bottom w:val="nil"/>
              <w:right w:val="single" w:sz="4" w:space="0" w:color="auto"/>
            </w:tcBorders>
            <w:noWrap/>
            <w:vAlign w:val="center"/>
            <w:hideMark/>
          </w:tcPr>
          <w:p w:rsidR="00A7072F" w:rsidRDefault="008C08C9">
            <w:pPr>
              <w:spacing w:after="0" w:line="240" w:lineRule="auto"/>
              <w:rPr>
                <w:rFonts w:eastAsia="Times New Roman" w:cs="Times New Roman"/>
                <w:color w:val="0000FF"/>
                <w:sz w:val="20"/>
                <w:szCs w:val="20"/>
              </w:rPr>
            </w:pPr>
            <w:r>
              <w:rPr>
                <w:rFonts w:eastAsia="Times New Roman" w:cs="Times New Roman"/>
                <w:color w:val="0000FF"/>
                <w:sz w:val="20"/>
                <w:szCs w:val="20"/>
              </w:rPr>
              <w:t>Hypertension, complicated</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0.0328</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0.0149</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4.841</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0.0278</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COMORB </w:t>
            </w:r>
          </w:p>
        </w:tc>
        <w:tc>
          <w:tcPr>
            <w:tcW w:w="2452" w:type="dxa"/>
            <w:tcBorders>
              <w:top w:val="single" w:sz="4" w:space="0" w:color="auto"/>
              <w:left w:val="nil"/>
              <w:bottom w:val="nil"/>
              <w:right w:val="single" w:sz="4" w:space="0" w:color="auto"/>
            </w:tcBorders>
            <w:noWrap/>
            <w:vAlign w:val="center"/>
            <w:hideMark/>
          </w:tcPr>
          <w:p w:rsidR="00A7072F" w:rsidRDefault="00A7072F">
            <w:pPr>
              <w:spacing w:after="0" w:line="240" w:lineRule="auto"/>
              <w:rPr>
                <w:rFonts w:eastAsia="Times New Roman" w:cs="Times New Roman"/>
                <w:color w:val="0000FF"/>
                <w:sz w:val="20"/>
                <w:szCs w:val="20"/>
              </w:rPr>
            </w:pPr>
            <w:r>
              <w:rPr>
                <w:rFonts w:eastAsia="Times New Roman" w:cs="Times New Roman"/>
                <w:color w:val="0000FF"/>
                <w:sz w:val="20"/>
                <w:szCs w:val="20"/>
              </w:rPr>
              <w:t>Paralysis</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0.8995</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0.0397</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513.285</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COMORB </w:t>
            </w:r>
          </w:p>
        </w:tc>
        <w:tc>
          <w:tcPr>
            <w:tcW w:w="2452" w:type="dxa"/>
            <w:tcBorders>
              <w:top w:val="single" w:sz="4" w:space="0" w:color="auto"/>
              <w:left w:val="nil"/>
              <w:bottom w:val="nil"/>
              <w:right w:val="single" w:sz="4" w:space="0" w:color="auto"/>
            </w:tcBorders>
            <w:noWrap/>
            <w:vAlign w:val="center"/>
            <w:hideMark/>
          </w:tcPr>
          <w:p w:rsidR="00A7072F" w:rsidRDefault="00A7072F">
            <w:pPr>
              <w:spacing w:after="0" w:line="240" w:lineRule="auto"/>
              <w:rPr>
                <w:rFonts w:eastAsia="Times New Roman" w:cs="Times New Roman"/>
                <w:color w:val="0000FF"/>
                <w:sz w:val="20"/>
                <w:szCs w:val="20"/>
              </w:rPr>
            </w:pPr>
            <w:r>
              <w:rPr>
                <w:rFonts w:eastAsia="Times New Roman" w:cs="Times New Roman"/>
                <w:color w:val="0000FF"/>
                <w:sz w:val="20"/>
                <w:szCs w:val="20"/>
              </w:rPr>
              <w:t>Other neurological</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0.4728</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0.0292</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261.7143</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COMORB </w:t>
            </w:r>
          </w:p>
        </w:tc>
        <w:tc>
          <w:tcPr>
            <w:tcW w:w="2452" w:type="dxa"/>
            <w:tcBorders>
              <w:top w:val="single" w:sz="4" w:space="0" w:color="auto"/>
              <w:left w:val="nil"/>
              <w:bottom w:val="nil"/>
              <w:right w:val="single" w:sz="4" w:space="0" w:color="auto"/>
            </w:tcBorders>
            <w:noWrap/>
            <w:vAlign w:val="center"/>
            <w:hideMark/>
          </w:tcPr>
          <w:p w:rsidR="00A7072F" w:rsidRDefault="00A7072F">
            <w:pPr>
              <w:spacing w:after="0" w:line="240" w:lineRule="auto"/>
              <w:rPr>
                <w:rFonts w:eastAsia="Times New Roman" w:cs="Times New Roman"/>
                <w:color w:val="0000FF"/>
                <w:sz w:val="20"/>
                <w:szCs w:val="20"/>
              </w:rPr>
            </w:pPr>
            <w:r>
              <w:rPr>
                <w:rFonts w:eastAsia="Times New Roman" w:cs="Times New Roman"/>
                <w:color w:val="0000FF"/>
                <w:sz w:val="20"/>
                <w:szCs w:val="20"/>
              </w:rPr>
              <w:t>Chronic pulmonary disease</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0.597</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0.0152</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1545.452</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COMORB </w:t>
            </w:r>
          </w:p>
        </w:tc>
        <w:tc>
          <w:tcPr>
            <w:tcW w:w="2452" w:type="dxa"/>
            <w:tcBorders>
              <w:top w:val="single" w:sz="4" w:space="0" w:color="auto"/>
              <w:left w:val="nil"/>
              <w:bottom w:val="nil"/>
              <w:right w:val="single" w:sz="4" w:space="0" w:color="auto"/>
            </w:tcBorders>
            <w:noWrap/>
            <w:vAlign w:val="center"/>
            <w:hideMark/>
          </w:tcPr>
          <w:p w:rsidR="00A7072F" w:rsidRDefault="00A7072F">
            <w:pPr>
              <w:spacing w:after="0" w:line="240" w:lineRule="auto"/>
              <w:rPr>
                <w:rFonts w:eastAsia="Times New Roman" w:cs="Times New Roman"/>
                <w:color w:val="0000FF"/>
                <w:sz w:val="20"/>
                <w:szCs w:val="20"/>
              </w:rPr>
            </w:pPr>
            <w:r>
              <w:rPr>
                <w:rFonts w:eastAsia="Times New Roman" w:cs="Times New Roman"/>
                <w:color w:val="0000FF"/>
                <w:sz w:val="20"/>
                <w:szCs w:val="20"/>
              </w:rPr>
              <w:t>Diabetes w/o chronic complications</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0.121</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0.0163</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55.3057</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COMORB </w:t>
            </w:r>
          </w:p>
        </w:tc>
        <w:tc>
          <w:tcPr>
            <w:tcW w:w="2452" w:type="dxa"/>
            <w:tcBorders>
              <w:top w:val="single" w:sz="4" w:space="0" w:color="auto"/>
              <w:left w:val="nil"/>
              <w:bottom w:val="nil"/>
              <w:right w:val="single" w:sz="4" w:space="0" w:color="auto"/>
            </w:tcBorders>
            <w:noWrap/>
            <w:vAlign w:val="center"/>
            <w:hideMark/>
          </w:tcPr>
          <w:p w:rsidR="00A7072F" w:rsidRDefault="00A7072F">
            <w:pPr>
              <w:spacing w:after="0" w:line="240" w:lineRule="auto"/>
              <w:rPr>
                <w:rFonts w:eastAsia="Times New Roman" w:cs="Times New Roman"/>
                <w:color w:val="0000FF"/>
                <w:sz w:val="20"/>
                <w:szCs w:val="20"/>
              </w:rPr>
            </w:pPr>
            <w:r>
              <w:rPr>
                <w:rFonts w:eastAsia="Times New Roman" w:cs="Times New Roman"/>
                <w:color w:val="0000FF"/>
                <w:sz w:val="20"/>
                <w:szCs w:val="20"/>
              </w:rPr>
              <w:t>Hypothyroidism</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0.0138</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0.0199</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0.4813</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0.4879</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COMORB </w:t>
            </w:r>
          </w:p>
        </w:tc>
        <w:tc>
          <w:tcPr>
            <w:tcW w:w="2452" w:type="dxa"/>
            <w:tcBorders>
              <w:top w:val="single" w:sz="4" w:space="0" w:color="auto"/>
              <w:left w:val="nil"/>
              <w:bottom w:val="nil"/>
              <w:right w:val="single" w:sz="4" w:space="0" w:color="auto"/>
            </w:tcBorders>
            <w:noWrap/>
            <w:vAlign w:val="center"/>
            <w:hideMark/>
          </w:tcPr>
          <w:p w:rsidR="00A7072F" w:rsidRDefault="00A7072F">
            <w:pPr>
              <w:spacing w:after="0" w:line="240" w:lineRule="auto"/>
              <w:rPr>
                <w:rFonts w:eastAsia="Times New Roman" w:cs="Times New Roman"/>
                <w:color w:val="0000FF"/>
                <w:sz w:val="20"/>
                <w:szCs w:val="20"/>
              </w:rPr>
            </w:pPr>
            <w:r>
              <w:rPr>
                <w:rFonts w:eastAsia="Times New Roman" w:cs="Times New Roman"/>
                <w:color w:val="0000FF"/>
                <w:sz w:val="20"/>
                <w:szCs w:val="20"/>
              </w:rPr>
              <w:t>Renal failure</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0.5589</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0.021</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708.0756</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lastRenderedPageBreak/>
              <w:t xml:space="preserve">COMORB </w:t>
            </w:r>
          </w:p>
        </w:tc>
        <w:tc>
          <w:tcPr>
            <w:tcW w:w="2452" w:type="dxa"/>
            <w:tcBorders>
              <w:top w:val="single" w:sz="4" w:space="0" w:color="auto"/>
              <w:left w:val="nil"/>
              <w:bottom w:val="nil"/>
              <w:right w:val="single" w:sz="4" w:space="0" w:color="auto"/>
            </w:tcBorders>
            <w:noWrap/>
            <w:vAlign w:val="center"/>
            <w:hideMark/>
          </w:tcPr>
          <w:p w:rsidR="00A7072F" w:rsidRDefault="00A7072F">
            <w:pPr>
              <w:spacing w:after="0" w:line="240" w:lineRule="auto"/>
              <w:rPr>
                <w:rFonts w:eastAsia="Times New Roman" w:cs="Times New Roman"/>
                <w:color w:val="0000FF"/>
                <w:sz w:val="20"/>
                <w:szCs w:val="20"/>
              </w:rPr>
            </w:pPr>
            <w:r>
              <w:rPr>
                <w:rFonts w:eastAsia="Times New Roman" w:cs="Times New Roman"/>
                <w:color w:val="0000FF"/>
                <w:sz w:val="20"/>
                <w:szCs w:val="20"/>
              </w:rPr>
              <w:t>Liver disease</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0.351</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0.0351</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100.1625</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COMORB </w:t>
            </w:r>
          </w:p>
        </w:tc>
        <w:tc>
          <w:tcPr>
            <w:tcW w:w="2452" w:type="dxa"/>
            <w:tcBorders>
              <w:top w:val="single" w:sz="4" w:space="0" w:color="auto"/>
              <w:left w:val="nil"/>
              <w:bottom w:val="nil"/>
              <w:right w:val="single" w:sz="4" w:space="0" w:color="auto"/>
            </w:tcBorders>
            <w:noWrap/>
            <w:vAlign w:val="center"/>
            <w:hideMark/>
          </w:tcPr>
          <w:p w:rsidR="00A7072F" w:rsidRDefault="00A7072F">
            <w:pPr>
              <w:spacing w:after="0" w:line="240" w:lineRule="auto"/>
              <w:rPr>
                <w:rFonts w:eastAsia="Times New Roman" w:cs="Times New Roman"/>
                <w:color w:val="0000FF"/>
                <w:sz w:val="20"/>
                <w:szCs w:val="20"/>
              </w:rPr>
            </w:pPr>
            <w:r>
              <w:rPr>
                <w:rFonts w:eastAsia="Times New Roman" w:cs="Times New Roman"/>
                <w:color w:val="0000FF"/>
                <w:sz w:val="20"/>
                <w:szCs w:val="20"/>
              </w:rPr>
              <w:t>Metastatic cancer</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0.3755</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0.0283</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175.9504</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COMORB </w:t>
            </w:r>
          </w:p>
        </w:tc>
        <w:tc>
          <w:tcPr>
            <w:tcW w:w="2452" w:type="dxa"/>
            <w:tcBorders>
              <w:top w:val="single" w:sz="4" w:space="0" w:color="auto"/>
              <w:left w:val="nil"/>
              <w:bottom w:val="nil"/>
              <w:right w:val="single" w:sz="4" w:space="0" w:color="auto"/>
            </w:tcBorders>
            <w:noWrap/>
            <w:vAlign w:val="center"/>
            <w:hideMark/>
          </w:tcPr>
          <w:p w:rsidR="00A7072F" w:rsidRDefault="00A7072F">
            <w:pPr>
              <w:spacing w:after="0" w:line="240" w:lineRule="auto"/>
              <w:rPr>
                <w:rFonts w:eastAsia="Times New Roman" w:cs="Times New Roman"/>
                <w:color w:val="0000FF"/>
                <w:sz w:val="20"/>
                <w:szCs w:val="20"/>
              </w:rPr>
            </w:pPr>
            <w:r>
              <w:rPr>
                <w:rFonts w:eastAsia="Times New Roman" w:cs="Times New Roman"/>
                <w:color w:val="0000FF"/>
                <w:sz w:val="20"/>
                <w:szCs w:val="20"/>
              </w:rPr>
              <w:t>Obesity</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0.6708</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0.0163</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1696.335</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COMORB </w:t>
            </w:r>
          </w:p>
        </w:tc>
        <w:tc>
          <w:tcPr>
            <w:tcW w:w="2452" w:type="dxa"/>
            <w:tcBorders>
              <w:top w:val="single" w:sz="4" w:space="0" w:color="auto"/>
              <w:left w:val="nil"/>
              <w:bottom w:val="nil"/>
              <w:right w:val="single" w:sz="4" w:space="0" w:color="auto"/>
            </w:tcBorders>
            <w:noWrap/>
            <w:vAlign w:val="center"/>
            <w:hideMark/>
          </w:tcPr>
          <w:p w:rsidR="00A7072F" w:rsidRDefault="00A7072F">
            <w:pPr>
              <w:spacing w:after="0" w:line="240" w:lineRule="auto"/>
              <w:rPr>
                <w:rFonts w:eastAsia="Times New Roman" w:cs="Times New Roman"/>
                <w:color w:val="0000FF"/>
                <w:sz w:val="20"/>
                <w:szCs w:val="20"/>
              </w:rPr>
            </w:pPr>
            <w:r>
              <w:rPr>
                <w:rFonts w:eastAsia="Times New Roman" w:cs="Times New Roman"/>
                <w:color w:val="0000FF"/>
                <w:sz w:val="20"/>
                <w:szCs w:val="20"/>
              </w:rPr>
              <w:t>Weight loss</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1.1501</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0.0265</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1877.708</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COMORB </w:t>
            </w:r>
          </w:p>
        </w:tc>
        <w:tc>
          <w:tcPr>
            <w:tcW w:w="2452" w:type="dxa"/>
            <w:tcBorders>
              <w:top w:val="single" w:sz="4" w:space="0" w:color="auto"/>
              <w:left w:val="nil"/>
              <w:bottom w:val="nil"/>
              <w:right w:val="single" w:sz="4" w:space="0" w:color="auto"/>
            </w:tcBorders>
            <w:noWrap/>
            <w:vAlign w:val="center"/>
            <w:hideMark/>
          </w:tcPr>
          <w:p w:rsidR="00A7072F" w:rsidRDefault="00A7072F">
            <w:pPr>
              <w:spacing w:after="0" w:line="240" w:lineRule="auto"/>
              <w:rPr>
                <w:rFonts w:eastAsia="Times New Roman" w:cs="Times New Roman"/>
                <w:color w:val="0000FF"/>
                <w:sz w:val="20"/>
                <w:szCs w:val="20"/>
              </w:rPr>
            </w:pPr>
            <w:r>
              <w:rPr>
                <w:rFonts w:eastAsia="Times New Roman" w:cs="Times New Roman"/>
                <w:color w:val="0000FF"/>
                <w:sz w:val="20"/>
                <w:szCs w:val="20"/>
              </w:rPr>
              <w:t>Deficiency anemias</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0.205</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0.0201</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104.3966</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nil"/>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COMORB </w:t>
            </w:r>
          </w:p>
        </w:tc>
        <w:tc>
          <w:tcPr>
            <w:tcW w:w="2452" w:type="dxa"/>
            <w:tcBorders>
              <w:top w:val="single" w:sz="4" w:space="0" w:color="auto"/>
              <w:left w:val="nil"/>
              <w:bottom w:val="nil"/>
              <w:right w:val="single" w:sz="4" w:space="0" w:color="auto"/>
            </w:tcBorders>
            <w:noWrap/>
            <w:vAlign w:val="center"/>
            <w:hideMark/>
          </w:tcPr>
          <w:p w:rsidR="00A7072F" w:rsidRDefault="00A7072F">
            <w:pPr>
              <w:spacing w:after="0" w:line="240" w:lineRule="auto"/>
              <w:rPr>
                <w:rFonts w:eastAsia="Times New Roman" w:cs="Times New Roman"/>
                <w:color w:val="0000FF"/>
                <w:sz w:val="20"/>
                <w:szCs w:val="20"/>
              </w:rPr>
            </w:pPr>
            <w:r>
              <w:rPr>
                <w:rFonts w:eastAsia="Times New Roman" w:cs="Times New Roman"/>
                <w:color w:val="0000FF"/>
                <w:sz w:val="20"/>
                <w:szCs w:val="20"/>
              </w:rPr>
              <w:t xml:space="preserve">Alcohol abuse </w:t>
            </w:r>
          </w:p>
        </w:tc>
        <w:tc>
          <w:tcPr>
            <w:tcW w:w="433"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0.7638</w:t>
            </w:r>
          </w:p>
        </w:tc>
        <w:tc>
          <w:tcPr>
            <w:tcW w:w="1419"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0.0378</w:t>
            </w:r>
          </w:p>
        </w:tc>
        <w:tc>
          <w:tcPr>
            <w:tcW w:w="1607"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407.9529</w:t>
            </w:r>
          </w:p>
        </w:tc>
        <w:tc>
          <w:tcPr>
            <w:tcW w:w="1478" w:type="dxa"/>
            <w:tcBorders>
              <w:top w:val="single" w:sz="4" w:space="0" w:color="auto"/>
              <w:left w:val="nil"/>
              <w:bottom w:val="nil"/>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1152" w:type="dxa"/>
            <w:tcBorders>
              <w:top w:val="single" w:sz="4" w:space="0" w:color="auto"/>
              <w:left w:val="single" w:sz="4" w:space="0" w:color="auto"/>
              <w:bottom w:val="single" w:sz="4" w:space="0" w:color="auto"/>
              <w:right w:val="single" w:sz="4" w:space="0" w:color="auto"/>
            </w:tcBorders>
            <w:noWrap/>
            <w:vAlign w:val="bottom"/>
            <w:hideMark/>
          </w:tcPr>
          <w:p w:rsidR="00A7072F" w:rsidRDefault="00A7072F">
            <w:pPr>
              <w:spacing w:after="0" w:line="240" w:lineRule="auto"/>
              <w:rPr>
                <w:rFonts w:ascii="Calibri" w:eastAsia="Times New Roman" w:hAnsi="Calibri" w:cs="Times New Roman"/>
                <w:color w:val="0000FF"/>
                <w:sz w:val="20"/>
              </w:rPr>
            </w:pPr>
            <w:r>
              <w:rPr>
                <w:rFonts w:ascii="Calibri" w:eastAsia="Times New Roman" w:hAnsi="Calibri" w:cs="Times New Roman"/>
                <w:color w:val="0000FF"/>
                <w:sz w:val="20"/>
              </w:rPr>
              <w:t xml:space="preserve">COMORB </w:t>
            </w:r>
          </w:p>
        </w:tc>
        <w:tc>
          <w:tcPr>
            <w:tcW w:w="2452" w:type="dxa"/>
            <w:tcBorders>
              <w:top w:val="single" w:sz="4" w:space="0" w:color="auto"/>
              <w:left w:val="nil"/>
              <w:bottom w:val="single" w:sz="4" w:space="0" w:color="auto"/>
              <w:right w:val="single" w:sz="4" w:space="0" w:color="auto"/>
            </w:tcBorders>
            <w:noWrap/>
            <w:vAlign w:val="center"/>
            <w:hideMark/>
          </w:tcPr>
          <w:p w:rsidR="00A7072F" w:rsidRDefault="00A7072F">
            <w:pPr>
              <w:spacing w:after="0" w:line="240" w:lineRule="auto"/>
              <w:rPr>
                <w:rFonts w:eastAsia="Times New Roman" w:cs="Times New Roman"/>
                <w:color w:val="0000FF"/>
                <w:sz w:val="20"/>
                <w:szCs w:val="20"/>
              </w:rPr>
            </w:pPr>
            <w:r>
              <w:rPr>
                <w:rFonts w:eastAsia="Times New Roman" w:cs="Times New Roman"/>
                <w:color w:val="0000FF"/>
                <w:sz w:val="20"/>
                <w:szCs w:val="20"/>
              </w:rPr>
              <w:t>Drug abuse</w:t>
            </w:r>
          </w:p>
        </w:tc>
        <w:tc>
          <w:tcPr>
            <w:tcW w:w="433" w:type="dxa"/>
            <w:tcBorders>
              <w:top w:val="single" w:sz="4" w:space="0" w:color="auto"/>
              <w:left w:val="nil"/>
              <w:bottom w:val="single" w:sz="4" w:space="0" w:color="auto"/>
              <w:right w:val="single" w:sz="4" w:space="0" w:color="auto"/>
            </w:tcBorders>
            <w:noWrap/>
            <w:vAlign w:val="bottom"/>
            <w:hideMark/>
          </w:tcPr>
          <w:p w:rsidR="00A7072F" w:rsidRDefault="00A7072F">
            <w:pPr>
              <w:spacing w:after="0" w:line="240" w:lineRule="auto"/>
              <w:jc w:val="right"/>
              <w:rPr>
                <w:rFonts w:eastAsia="Times New Roman" w:cs="Times New Roman"/>
                <w:color w:val="0000FF"/>
                <w:sz w:val="20"/>
                <w:szCs w:val="20"/>
              </w:rPr>
            </w:pPr>
            <w:r>
              <w:rPr>
                <w:rFonts w:eastAsia="Times New Roman" w:cs="Times New Roman"/>
                <w:color w:val="0000FF"/>
                <w:sz w:val="20"/>
                <w:szCs w:val="20"/>
              </w:rPr>
              <w:t>1</w:t>
            </w:r>
          </w:p>
        </w:tc>
        <w:tc>
          <w:tcPr>
            <w:tcW w:w="942" w:type="dxa"/>
            <w:tcBorders>
              <w:top w:val="single" w:sz="4" w:space="0" w:color="auto"/>
              <w:left w:val="nil"/>
              <w:bottom w:val="single" w:sz="4" w:space="0" w:color="auto"/>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0.3551</w:t>
            </w:r>
          </w:p>
        </w:tc>
        <w:tc>
          <w:tcPr>
            <w:tcW w:w="1419" w:type="dxa"/>
            <w:tcBorders>
              <w:top w:val="single" w:sz="4" w:space="0" w:color="auto"/>
              <w:left w:val="nil"/>
              <w:bottom w:val="single" w:sz="4" w:space="0" w:color="auto"/>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0.057</w:t>
            </w:r>
          </w:p>
        </w:tc>
        <w:tc>
          <w:tcPr>
            <w:tcW w:w="1607" w:type="dxa"/>
            <w:tcBorders>
              <w:top w:val="single" w:sz="4" w:space="0" w:color="auto"/>
              <w:left w:val="nil"/>
              <w:bottom w:val="single" w:sz="4" w:space="0" w:color="auto"/>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38.7766</w:t>
            </w:r>
          </w:p>
        </w:tc>
        <w:tc>
          <w:tcPr>
            <w:tcW w:w="1478" w:type="dxa"/>
            <w:tcBorders>
              <w:top w:val="single" w:sz="4" w:space="0" w:color="auto"/>
              <w:left w:val="nil"/>
              <w:bottom w:val="single" w:sz="4" w:space="0" w:color="auto"/>
              <w:right w:val="single" w:sz="4" w:space="0" w:color="auto"/>
            </w:tcBorders>
            <w:noWrap/>
            <w:vAlign w:val="bottom"/>
            <w:hideMark/>
          </w:tcPr>
          <w:p w:rsidR="00A7072F" w:rsidRDefault="00A7072F">
            <w:pPr>
              <w:spacing w:after="0" w:line="240" w:lineRule="auto"/>
              <w:jc w:val="right"/>
              <w:rPr>
                <w:rFonts w:ascii="Calibri" w:eastAsia="Times New Roman" w:hAnsi="Calibri" w:cs="Times New Roman"/>
                <w:color w:val="0000FF"/>
                <w:sz w:val="20"/>
              </w:rPr>
            </w:pPr>
            <w:r>
              <w:rPr>
                <w:rFonts w:ascii="Calibri" w:eastAsia="Times New Roman" w:hAnsi="Calibri" w:cs="Times New Roman"/>
                <w:color w:val="0000FF"/>
                <w:sz w:val="20"/>
              </w:rPr>
              <w:t>&lt;.0001</w:t>
            </w:r>
          </w:p>
        </w:tc>
      </w:tr>
      <w:tr w:rsidR="00A7072F" w:rsidTr="00A7072F">
        <w:trPr>
          <w:trHeight w:val="300"/>
        </w:trPr>
        <w:tc>
          <w:tcPr>
            <w:tcW w:w="3604" w:type="dxa"/>
            <w:gridSpan w:val="2"/>
            <w:noWrap/>
            <w:vAlign w:val="bottom"/>
            <w:hideMark/>
          </w:tcPr>
          <w:p w:rsidR="00A7072F" w:rsidRDefault="00A7072F">
            <w:pPr>
              <w:spacing w:after="0" w:line="240" w:lineRule="auto"/>
              <w:rPr>
                <w:rFonts w:ascii="Calibri" w:eastAsia="Times New Roman" w:hAnsi="Calibri" w:cs="Times New Roman"/>
                <w:color w:val="0000FF"/>
              </w:rPr>
            </w:pPr>
            <w:r>
              <w:rPr>
                <w:rFonts w:ascii="Calibri" w:eastAsia="Times New Roman" w:hAnsi="Calibri" w:cs="Times New Roman"/>
                <w:color w:val="0000FF"/>
              </w:rPr>
              <w:t>c-statistic=0.821</w:t>
            </w:r>
          </w:p>
        </w:tc>
        <w:tc>
          <w:tcPr>
            <w:tcW w:w="433" w:type="dxa"/>
            <w:noWrap/>
            <w:vAlign w:val="bottom"/>
            <w:hideMark/>
          </w:tcPr>
          <w:p w:rsidR="00A7072F" w:rsidRDefault="00A7072F">
            <w:pPr>
              <w:spacing w:after="0"/>
              <w:rPr>
                <w:rFonts w:eastAsiaTheme="minorHAnsi" w:cs="Times New Roman"/>
              </w:rPr>
            </w:pPr>
          </w:p>
        </w:tc>
        <w:tc>
          <w:tcPr>
            <w:tcW w:w="942" w:type="dxa"/>
            <w:noWrap/>
            <w:vAlign w:val="bottom"/>
            <w:hideMark/>
          </w:tcPr>
          <w:p w:rsidR="00A7072F" w:rsidRDefault="00A7072F">
            <w:pPr>
              <w:spacing w:after="0"/>
              <w:rPr>
                <w:rFonts w:eastAsiaTheme="minorHAnsi" w:cs="Times New Roman"/>
              </w:rPr>
            </w:pPr>
          </w:p>
        </w:tc>
        <w:tc>
          <w:tcPr>
            <w:tcW w:w="1419" w:type="dxa"/>
            <w:noWrap/>
            <w:vAlign w:val="bottom"/>
            <w:hideMark/>
          </w:tcPr>
          <w:p w:rsidR="00A7072F" w:rsidRDefault="00A7072F">
            <w:pPr>
              <w:spacing w:after="0"/>
              <w:rPr>
                <w:rFonts w:eastAsiaTheme="minorHAnsi" w:cs="Times New Roman"/>
              </w:rPr>
            </w:pPr>
          </w:p>
        </w:tc>
        <w:tc>
          <w:tcPr>
            <w:tcW w:w="1607" w:type="dxa"/>
            <w:noWrap/>
            <w:vAlign w:val="bottom"/>
            <w:hideMark/>
          </w:tcPr>
          <w:p w:rsidR="00A7072F" w:rsidRDefault="00A7072F">
            <w:pPr>
              <w:spacing w:after="0"/>
              <w:rPr>
                <w:rFonts w:eastAsiaTheme="minorHAnsi" w:cs="Times New Roman"/>
              </w:rPr>
            </w:pPr>
          </w:p>
        </w:tc>
        <w:tc>
          <w:tcPr>
            <w:tcW w:w="1478" w:type="dxa"/>
            <w:noWrap/>
            <w:vAlign w:val="bottom"/>
            <w:hideMark/>
          </w:tcPr>
          <w:p w:rsidR="00A7072F" w:rsidRDefault="00A7072F">
            <w:pPr>
              <w:spacing w:after="0"/>
              <w:rPr>
                <w:rFonts w:eastAsiaTheme="minorHAnsi" w:cs="Times New Roman"/>
              </w:rPr>
            </w:pPr>
          </w:p>
        </w:tc>
      </w:tr>
    </w:tbl>
    <w:p w:rsidR="00001D73" w:rsidRPr="00001D73" w:rsidRDefault="00001D73" w:rsidP="00001D73">
      <w:pPr>
        <w:autoSpaceDE w:val="0"/>
        <w:autoSpaceDN w:val="0"/>
        <w:adjustRightInd w:val="0"/>
        <w:spacing w:after="0" w:line="240" w:lineRule="auto"/>
        <w:rPr>
          <w:rFonts w:cstheme="minorHAnsi"/>
          <w:b/>
          <w:bCs/>
        </w:rPr>
      </w:pPr>
    </w:p>
    <w:p w:rsidR="00137487" w:rsidRPr="00137487" w:rsidRDefault="00E1508F" w:rsidP="00137487">
      <w:pPr>
        <w:spacing w:after="120" w:line="240" w:lineRule="auto"/>
        <w:rPr>
          <w:rFonts w:cstheme="minorHAnsi"/>
          <w:color w:val="0000FF"/>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proofErr w:type="gramStart"/>
      <w:r w:rsidR="00092566" w:rsidRPr="00A25024">
        <w:rPr>
          <w:rFonts w:cstheme="minorHAnsi"/>
          <w:bCs/>
        </w:rPr>
        <w:t>)</w:t>
      </w:r>
      <w:proofErr w:type="gramEnd"/>
      <w:r w:rsidR="00092566" w:rsidRPr="00A25024">
        <w:rPr>
          <w:rFonts w:cstheme="minorHAnsi"/>
          <w:bCs/>
        </w:rPr>
        <w:br/>
      </w:r>
      <w:r w:rsidR="00137487" w:rsidRPr="00137487">
        <w:rPr>
          <w:rFonts w:cstheme="minorHAnsi"/>
          <w:color w:val="0000FF"/>
        </w:rPr>
        <w:t>This analysis evaluates how strongly the risk adjustment model is associated with the event of interest (i.e. hospitalization for dehydration).  The measure of discrimination, how well the risk adjustment model distinguishes events from non-events, is the c-statistic.   The c-statistic is computed by assigning each observation a predicted probability of the outcome from the risk-adjustment model based on the value of the observations covariates from the risk-adjustment model.  Two copies of the dataset are sorted, first from highest to lowest predicted probability and second from lowest to highest predicted probability. This creates a set of pairs of observations. Pairs that consist of one event and one non-event (discordant pairs) are kept and concordant pairs are discarded. The c-statistic is a measure of the proportion of discordant pairs of observations for which the observation with the event had a higher predicted probability from the risk-adjustment model than the non-e</w:t>
      </w:r>
      <w:r w:rsidR="00137487" w:rsidRPr="008C08C9">
        <w:rPr>
          <w:rFonts w:cstheme="minorHAnsi"/>
          <w:color w:val="0000FF"/>
        </w:rPr>
        <w:t xml:space="preserve">vent. </w:t>
      </w:r>
      <w:r w:rsidR="00FE0A62" w:rsidRPr="008C08C9">
        <w:rPr>
          <w:rFonts w:ascii="Calibri" w:hAnsi="Calibri" w:cs="Calibri"/>
          <w:color w:val="0000FF"/>
        </w:rPr>
        <w:t xml:space="preserve">C-statistics above 0.70 and below 0.80 have moderate discrimination. Above 0.80 the discrimination is high. </w:t>
      </w:r>
      <w:r w:rsidR="00137487" w:rsidRPr="008C08C9">
        <w:rPr>
          <w:rFonts w:cstheme="minorHAnsi"/>
          <w:color w:val="0000FF"/>
        </w:rPr>
        <w:t>We did not employ common “goodness of fit” tests because these tests tend to not be informative wit</w:t>
      </w:r>
      <w:r w:rsidR="00137487" w:rsidRPr="00137487">
        <w:rPr>
          <w:rFonts w:cstheme="minorHAnsi"/>
          <w:color w:val="0000FF"/>
        </w:rPr>
        <w:t>h large samples.</w:t>
      </w:r>
    </w:p>
    <w:p w:rsidR="00092566" w:rsidRPr="00137487" w:rsidRDefault="00137487" w:rsidP="00137487">
      <w:pPr>
        <w:pStyle w:val="Default"/>
        <w:rPr>
          <w:rFonts w:asciiTheme="minorHAnsi" w:hAnsiTheme="minorHAnsi" w:cstheme="minorHAnsi"/>
          <w:bCs/>
          <w:color w:val="0000FF"/>
          <w:sz w:val="22"/>
          <w:szCs w:val="22"/>
        </w:rPr>
      </w:pPr>
      <w:r w:rsidRPr="00137487">
        <w:rPr>
          <w:rFonts w:asciiTheme="minorHAnsi" w:hAnsiTheme="minorHAnsi" w:cstheme="minorHAnsi"/>
          <w:color w:val="0000FF"/>
          <w:sz w:val="22"/>
          <w:szCs w:val="22"/>
        </w:rPr>
        <w:t xml:space="preserve">We also evaluated the calibration of the risk adjustment model by evaluating how closely observed and predicted rates compare across </w:t>
      </w:r>
      <w:proofErr w:type="spellStart"/>
      <w:r w:rsidRPr="00137487">
        <w:rPr>
          <w:rFonts w:asciiTheme="minorHAnsi" w:hAnsiTheme="minorHAnsi" w:cstheme="minorHAnsi"/>
          <w:color w:val="0000FF"/>
          <w:sz w:val="22"/>
          <w:szCs w:val="22"/>
        </w:rPr>
        <w:t>deciles</w:t>
      </w:r>
      <w:proofErr w:type="spellEnd"/>
      <w:r w:rsidRPr="00137487">
        <w:rPr>
          <w:rFonts w:asciiTheme="minorHAnsi" w:hAnsiTheme="minorHAnsi" w:cstheme="minorHAnsi"/>
          <w:color w:val="0000FF"/>
          <w:sz w:val="22"/>
          <w:szCs w:val="22"/>
        </w:rPr>
        <w:t xml:space="preserve"> of the predicted rate.  This analysis splits the sample into </w:t>
      </w:r>
      <w:proofErr w:type="spellStart"/>
      <w:r w:rsidRPr="00137487">
        <w:rPr>
          <w:rFonts w:asciiTheme="minorHAnsi" w:hAnsiTheme="minorHAnsi" w:cstheme="minorHAnsi"/>
          <w:color w:val="0000FF"/>
          <w:sz w:val="22"/>
          <w:szCs w:val="22"/>
        </w:rPr>
        <w:t>deciles</w:t>
      </w:r>
      <w:proofErr w:type="spellEnd"/>
      <w:r w:rsidRPr="00137487">
        <w:rPr>
          <w:rFonts w:asciiTheme="minorHAnsi" w:hAnsiTheme="minorHAnsi" w:cstheme="minorHAnsi"/>
          <w:color w:val="0000FF"/>
          <w:sz w:val="22"/>
          <w:szCs w:val="22"/>
        </w:rPr>
        <w:t xml:space="preserve"> based on predicted rates, and then compares these rates with the observed rates for the population in each </w:t>
      </w:r>
      <w:proofErr w:type="spellStart"/>
      <w:r w:rsidRPr="00137487">
        <w:rPr>
          <w:rFonts w:asciiTheme="minorHAnsi" w:hAnsiTheme="minorHAnsi" w:cstheme="minorHAnsi"/>
          <w:color w:val="0000FF"/>
          <w:sz w:val="22"/>
          <w:szCs w:val="22"/>
        </w:rPr>
        <w:t>decile</w:t>
      </w:r>
      <w:proofErr w:type="spellEnd"/>
      <w:r w:rsidRPr="00137487">
        <w:rPr>
          <w:rFonts w:asciiTheme="minorHAnsi" w:hAnsiTheme="minorHAnsi" w:cstheme="minorHAnsi"/>
          <w:color w:val="0000FF"/>
          <w:sz w:val="22"/>
          <w:szCs w:val="22"/>
        </w:rPr>
        <w:t>. A well calibrated model, or one that does not over or under-estimate risk, will have comparable observed and predicted rates across the risk spectrum.</w:t>
      </w:r>
      <w:r w:rsidRPr="00137487">
        <w:rPr>
          <w:rFonts w:asciiTheme="minorHAnsi" w:hAnsiTheme="minorHAnsi" w:cstheme="minorHAnsi"/>
          <w:bCs/>
          <w:color w:val="0000FF"/>
          <w:sz w:val="22"/>
          <w:szCs w:val="22"/>
        </w:rPr>
        <w:br/>
      </w:r>
    </w:p>
    <w:p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rsidR="00743E46" w:rsidRDefault="00743E46" w:rsidP="00092566">
      <w:pPr>
        <w:autoSpaceDE w:val="0"/>
        <w:autoSpaceDN w:val="0"/>
        <w:adjustRightInd w:val="0"/>
        <w:spacing w:after="0" w:line="240" w:lineRule="auto"/>
        <w:rPr>
          <w:rFonts w:cstheme="minorHAnsi"/>
          <w:b/>
          <w:bCs/>
        </w:rPr>
      </w:pPr>
    </w:p>
    <w:p w:rsidR="00137487" w:rsidRDefault="00743E46" w:rsidP="00137487">
      <w:pPr>
        <w:autoSpaceDE w:val="0"/>
        <w:autoSpaceDN w:val="0"/>
        <w:adjustRightInd w:val="0"/>
        <w:spacing w:after="0" w:line="240" w:lineRule="auto"/>
        <w:rPr>
          <w:rFonts w:cstheme="minorHAnsi"/>
          <w:b/>
          <w:bCs/>
          <w:color w:val="0000FF"/>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rsidR="00AF279A" w:rsidRPr="00137487" w:rsidRDefault="00051F3E" w:rsidP="006C63BD">
      <w:pPr>
        <w:autoSpaceDE w:val="0"/>
        <w:autoSpaceDN w:val="0"/>
        <w:adjustRightInd w:val="0"/>
        <w:spacing w:after="0" w:line="240" w:lineRule="auto"/>
        <w:ind w:left="90"/>
        <w:rPr>
          <w:rFonts w:cstheme="minorHAnsi"/>
          <w:b/>
          <w:bCs/>
          <w:color w:val="0000FF"/>
        </w:rPr>
      </w:pPr>
      <w:proofErr w:type="gramStart"/>
      <w:r>
        <w:rPr>
          <w:rFonts w:cstheme="minorHAnsi"/>
          <w:b/>
          <w:bCs/>
          <w:color w:val="0000FF"/>
        </w:rPr>
        <w:t>Table 4</w:t>
      </w:r>
      <w:r w:rsidR="00137487" w:rsidRPr="00137487">
        <w:rPr>
          <w:rFonts w:cstheme="minorHAnsi"/>
          <w:b/>
          <w:bCs/>
          <w:color w:val="0000FF"/>
        </w:rPr>
        <w:t>.</w:t>
      </w:r>
      <w:proofErr w:type="gramEnd"/>
      <w:r w:rsidR="00137487" w:rsidRPr="00137487">
        <w:rPr>
          <w:rFonts w:cstheme="minorHAnsi"/>
          <w:b/>
          <w:bCs/>
          <w:color w:val="0000FF"/>
        </w:rPr>
        <w:t xml:space="preserve"> Risk adjustment Model Discrimination and Calibration</w:t>
      </w:r>
      <w:r w:rsidR="006C63BD">
        <w:rPr>
          <w:rFonts w:cstheme="minorHAnsi"/>
          <w:b/>
          <w:bCs/>
          <w:color w:val="0000FF"/>
        </w:rPr>
        <w:t xml:space="preserve"> </w:t>
      </w:r>
      <w:r w:rsidR="00AF279A">
        <w:rPr>
          <w:rFonts w:cstheme="minorHAnsi"/>
          <w:b/>
          <w:bCs/>
          <w:color w:val="0000FF"/>
        </w:rPr>
        <w:t xml:space="preserve">PSI 11 Postoperative Respiratory Failure Rate </w:t>
      </w:r>
    </w:p>
    <w:tbl>
      <w:tblPr>
        <w:tblW w:w="8804" w:type="dxa"/>
        <w:tblInd w:w="106" w:type="dxa"/>
        <w:tblLayout w:type="fixed"/>
        <w:tblCellMar>
          <w:left w:w="0" w:type="dxa"/>
          <w:right w:w="0" w:type="dxa"/>
        </w:tblCellMar>
        <w:tblLook w:val="01E0" w:firstRow="1" w:lastRow="1" w:firstColumn="1" w:lastColumn="1" w:noHBand="0" w:noVBand="0"/>
      </w:tblPr>
      <w:tblGrid>
        <w:gridCol w:w="2324"/>
        <w:gridCol w:w="2736"/>
        <w:gridCol w:w="2214"/>
        <w:gridCol w:w="1530"/>
      </w:tblGrid>
      <w:tr w:rsidR="00137487" w:rsidRPr="00137487" w:rsidTr="00DB31EF">
        <w:trPr>
          <w:trHeight w:hRule="exact" w:val="469"/>
        </w:trPr>
        <w:tc>
          <w:tcPr>
            <w:tcW w:w="2324" w:type="dxa"/>
            <w:tcBorders>
              <w:top w:val="single" w:sz="5" w:space="0" w:color="000000"/>
              <w:left w:val="nil"/>
              <w:bottom w:val="single" w:sz="5" w:space="0" w:color="000000"/>
              <w:right w:val="nil"/>
            </w:tcBorders>
            <w:shd w:val="clear" w:color="auto" w:fill="D9D9D9" w:themeFill="background1" w:themeFillShade="D9"/>
          </w:tcPr>
          <w:p w:rsidR="00137487" w:rsidRPr="00137487" w:rsidRDefault="00E11DCE" w:rsidP="00BA31DA">
            <w:pPr>
              <w:pStyle w:val="TableParagraph"/>
              <w:ind w:left="108" w:right="694"/>
              <w:rPr>
                <w:rFonts w:eastAsia="Times New Roman" w:cstheme="minorHAnsi"/>
                <w:color w:val="0000FF"/>
                <w:sz w:val="20"/>
                <w:szCs w:val="20"/>
              </w:rPr>
            </w:pPr>
            <w:proofErr w:type="spellStart"/>
            <w:r>
              <w:rPr>
                <w:rFonts w:cstheme="minorHAnsi"/>
                <w:b/>
                <w:color w:val="0000FF"/>
                <w:sz w:val="20"/>
                <w:szCs w:val="20"/>
              </w:rPr>
              <w:t>Decile</w:t>
            </w:r>
            <w:proofErr w:type="spellEnd"/>
            <w:r>
              <w:rPr>
                <w:rFonts w:cstheme="minorHAnsi"/>
                <w:b/>
                <w:color w:val="0000FF"/>
                <w:sz w:val="20"/>
                <w:szCs w:val="20"/>
              </w:rPr>
              <w:t xml:space="preserve"> based on Predicted Rates</w:t>
            </w:r>
          </w:p>
        </w:tc>
        <w:tc>
          <w:tcPr>
            <w:tcW w:w="2736" w:type="dxa"/>
            <w:tcBorders>
              <w:top w:val="single" w:sz="5" w:space="0" w:color="000000"/>
              <w:left w:val="nil"/>
              <w:bottom w:val="single" w:sz="5" w:space="0" w:color="000000"/>
              <w:right w:val="nil"/>
            </w:tcBorders>
            <w:shd w:val="clear" w:color="auto" w:fill="D9D9D9" w:themeFill="background1" w:themeFillShade="D9"/>
          </w:tcPr>
          <w:p w:rsidR="00137487" w:rsidRPr="00137487" w:rsidRDefault="00137487" w:rsidP="00BA31DA">
            <w:pPr>
              <w:pStyle w:val="TableParagraph"/>
              <w:spacing w:line="228" w:lineRule="exact"/>
              <w:ind w:left="8"/>
              <w:rPr>
                <w:rFonts w:eastAsia="Times New Roman" w:cstheme="minorHAnsi"/>
                <w:color w:val="0000FF"/>
                <w:sz w:val="20"/>
                <w:szCs w:val="20"/>
              </w:rPr>
            </w:pPr>
            <w:r w:rsidRPr="00137487">
              <w:rPr>
                <w:rFonts w:cstheme="minorHAnsi"/>
                <w:b/>
                <w:color w:val="0000FF"/>
                <w:sz w:val="20"/>
                <w:szCs w:val="20"/>
              </w:rPr>
              <w:t xml:space="preserve">Number of </w:t>
            </w:r>
            <w:r w:rsidR="00B97FD0">
              <w:rPr>
                <w:rFonts w:cstheme="minorHAnsi"/>
                <w:b/>
                <w:color w:val="0000FF"/>
                <w:sz w:val="20"/>
                <w:szCs w:val="20"/>
              </w:rPr>
              <w:t>Discharges</w:t>
            </w:r>
            <w:r w:rsidR="00B97FD0" w:rsidRPr="00137487">
              <w:rPr>
                <w:rFonts w:eastAsia="Times New Roman" w:cstheme="minorHAnsi"/>
                <w:color w:val="0000FF"/>
                <w:sz w:val="20"/>
                <w:szCs w:val="20"/>
              </w:rPr>
              <w:t xml:space="preserve"> </w:t>
            </w:r>
          </w:p>
          <w:p w:rsidR="00137487" w:rsidRPr="00137487" w:rsidRDefault="00137487" w:rsidP="00BA31DA">
            <w:pPr>
              <w:pStyle w:val="TableParagraph"/>
              <w:spacing w:line="228" w:lineRule="exact"/>
              <w:ind w:left="8"/>
              <w:rPr>
                <w:rFonts w:eastAsia="Times New Roman" w:cstheme="minorHAnsi"/>
                <w:color w:val="0000FF"/>
                <w:sz w:val="20"/>
                <w:szCs w:val="20"/>
              </w:rPr>
            </w:pPr>
            <w:r w:rsidRPr="00137487">
              <w:rPr>
                <w:rFonts w:cstheme="minorHAnsi"/>
                <w:b/>
                <w:color w:val="0000FF"/>
                <w:sz w:val="20"/>
                <w:szCs w:val="20"/>
              </w:rPr>
              <w:t xml:space="preserve">per </w:t>
            </w:r>
            <w:proofErr w:type="spellStart"/>
            <w:r w:rsidRPr="00137487">
              <w:rPr>
                <w:rFonts w:cstheme="minorHAnsi"/>
                <w:b/>
                <w:color w:val="0000FF"/>
                <w:sz w:val="20"/>
                <w:szCs w:val="20"/>
              </w:rPr>
              <w:t>Decile</w:t>
            </w:r>
            <w:proofErr w:type="spellEnd"/>
          </w:p>
        </w:tc>
        <w:tc>
          <w:tcPr>
            <w:tcW w:w="2214" w:type="dxa"/>
            <w:tcBorders>
              <w:top w:val="single" w:sz="5" w:space="0" w:color="000000"/>
              <w:left w:val="nil"/>
              <w:bottom w:val="single" w:sz="5" w:space="0" w:color="000000"/>
              <w:right w:val="nil"/>
            </w:tcBorders>
            <w:shd w:val="clear" w:color="auto" w:fill="D9D9D9" w:themeFill="background1" w:themeFillShade="D9"/>
          </w:tcPr>
          <w:p w:rsidR="00137487" w:rsidRPr="00137487" w:rsidRDefault="00137487" w:rsidP="00BA31DA">
            <w:pPr>
              <w:pStyle w:val="TableParagraph"/>
              <w:spacing w:line="228" w:lineRule="exact"/>
              <w:ind w:right="1"/>
              <w:rPr>
                <w:rFonts w:eastAsia="Times New Roman" w:cstheme="minorHAnsi"/>
                <w:color w:val="0000FF"/>
                <w:sz w:val="20"/>
                <w:szCs w:val="20"/>
              </w:rPr>
            </w:pPr>
            <w:r w:rsidRPr="00137487">
              <w:rPr>
                <w:rFonts w:cstheme="minorHAnsi"/>
                <w:b/>
                <w:color w:val="0000FF"/>
                <w:sz w:val="20"/>
                <w:szCs w:val="20"/>
              </w:rPr>
              <w:t>Predicted</w:t>
            </w:r>
            <w:r w:rsidRPr="00137487">
              <w:rPr>
                <w:rFonts w:eastAsia="Times New Roman" w:cstheme="minorHAnsi"/>
                <w:color w:val="0000FF"/>
                <w:sz w:val="20"/>
                <w:szCs w:val="20"/>
              </w:rPr>
              <w:t xml:space="preserve"> </w:t>
            </w:r>
            <w:r w:rsidRPr="00137487">
              <w:rPr>
                <w:rFonts w:cstheme="minorHAnsi"/>
                <w:b/>
                <w:color w:val="0000FF"/>
                <w:sz w:val="20"/>
                <w:szCs w:val="20"/>
              </w:rPr>
              <w:t>Rate</w:t>
            </w:r>
          </w:p>
        </w:tc>
        <w:tc>
          <w:tcPr>
            <w:tcW w:w="1530" w:type="dxa"/>
            <w:tcBorders>
              <w:top w:val="single" w:sz="5" w:space="0" w:color="000000"/>
              <w:left w:val="nil"/>
              <w:bottom w:val="single" w:sz="5" w:space="0" w:color="000000"/>
              <w:right w:val="nil"/>
            </w:tcBorders>
            <w:shd w:val="clear" w:color="auto" w:fill="D9D9D9" w:themeFill="background1" w:themeFillShade="D9"/>
          </w:tcPr>
          <w:p w:rsidR="00137487" w:rsidRPr="00137487" w:rsidRDefault="00137487" w:rsidP="00BA31DA">
            <w:pPr>
              <w:pStyle w:val="TableParagraph"/>
              <w:tabs>
                <w:tab w:val="left" w:pos="1620"/>
              </w:tabs>
              <w:spacing w:line="228" w:lineRule="exact"/>
              <w:ind w:right="180"/>
              <w:rPr>
                <w:rFonts w:eastAsia="Times New Roman" w:cstheme="minorHAnsi"/>
                <w:color w:val="0000FF"/>
                <w:sz w:val="20"/>
                <w:szCs w:val="20"/>
              </w:rPr>
            </w:pPr>
            <w:r w:rsidRPr="00137487">
              <w:rPr>
                <w:rFonts w:cstheme="minorHAnsi"/>
                <w:b/>
                <w:color w:val="0000FF"/>
                <w:w w:val="95"/>
                <w:sz w:val="20"/>
                <w:szCs w:val="20"/>
              </w:rPr>
              <w:t>Observed</w:t>
            </w:r>
            <w:r w:rsidRPr="00137487">
              <w:rPr>
                <w:rFonts w:eastAsia="Times New Roman" w:cstheme="minorHAnsi"/>
                <w:color w:val="0000FF"/>
                <w:sz w:val="20"/>
                <w:szCs w:val="20"/>
              </w:rPr>
              <w:t xml:space="preserve"> </w:t>
            </w:r>
            <w:r w:rsidRPr="00137487">
              <w:rPr>
                <w:rFonts w:cstheme="minorHAnsi"/>
                <w:b/>
                <w:color w:val="0000FF"/>
                <w:w w:val="95"/>
                <w:sz w:val="20"/>
                <w:szCs w:val="20"/>
              </w:rPr>
              <w:t>Rate</w:t>
            </w:r>
          </w:p>
        </w:tc>
      </w:tr>
      <w:tr w:rsidR="00137487" w:rsidRPr="00137487" w:rsidTr="00BA31DA">
        <w:trPr>
          <w:trHeight w:hRule="exact" w:val="340"/>
        </w:trPr>
        <w:tc>
          <w:tcPr>
            <w:tcW w:w="2324" w:type="dxa"/>
            <w:tcBorders>
              <w:top w:val="single" w:sz="5" w:space="0" w:color="000000"/>
              <w:left w:val="nil"/>
              <w:bottom w:val="nil"/>
              <w:right w:val="nil"/>
            </w:tcBorders>
            <w:vAlign w:val="bottom"/>
          </w:tcPr>
          <w:p w:rsidR="00137487" w:rsidRPr="00137487" w:rsidRDefault="00137487" w:rsidP="00BA31DA">
            <w:pPr>
              <w:rPr>
                <w:rFonts w:cstheme="minorHAnsi"/>
                <w:color w:val="0000FF"/>
              </w:rPr>
            </w:pPr>
            <w:r w:rsidRPr="00137487">
              <w:rPr>
                <w:rFonts w:cstheme="minorHAnsi"/>
                <w:color w:val="0000FF"/>
              </w:rPr>
              <w:t>1</w:t>
            </w:r>
          </w:p>
        </w:tc>
        <w:tc>
          <w:tcPr>
            <w:tcW w:w="2736" w:type="dxa"/>
            <w:tcBorders>
              <w:top w:val="single" w:sz="5" w:space="0" w:color="000000"/>
              <w:left w:val="nil"/>
              <w:bottom w:val="nil"/>
              <w:right w:val="nil"/>
            </w:tcBorders>
            <w:vAlign w:val="bottom"/>
          </w:tcPr>
          <w:p w:rsidR="00137487" w:rsidRPr="00137487" w:rsidRDefault="00137487" w:rsidP="00BA31DA">
            <w:pPr>
              <w:spacing w:after="0"/>
              <w:rPr>
                <w:rFonts w:cstheme="minorHAnsi"/>
                <w:color w:val="0000FF"/>
              </w:rPr>
            </w:pPr>
            <w:r w:rsidRPr="00137487">
              <w:rPr>
                <w:rFonts w:cstheme="minorHAnsi"/>
                <w:color w:val="0000FF"/>
              </w:rPr>
              <w:t>238,563</w:t>
            </w:r>
          </w:p>
        </w:tc>
        <w:tc>
          <w:tcPr>
            <w:tcW w:w="2214" w:type="dxa"/>
            <w:tcBorders>
              <w:top w:val="single" w:sz="5" w:space="0" w:color="000000"/>
              <w:left w:val="nil"/>
              <w:bottom w:val="nil"/>
              <w:right w:val="nil"/>
            </w:tcBorders>
            <w:vAlign w:val="bottom"/>
          </w:tcPr>
          <w:p w:rsidR="00137487" w:rsidRPr="00137487" w:rsidRDefault="00137487" w:rsidP="00BA31DA">
            <w:pPr>
              <w:spacing w:after="0"/>
              <w:rPr>
                <w:rFonts w:cstheme="minorHAnsi"/>
                <w:color w:val="0000FF"/>
              </w:rPr>
            </w:pPr>
            <w:r w:rsidRPr="00137487">
              <w:rPr>
                <w:rFonts w:cstheme="minorHAnsi"/>
                <w:color w:val="0000FF"/>
              </w:rPr>
              <w:t>0.001427</w:t>
            </w:r>
          </w:p>
        </w:tc>
        <w:tc>
          <w:tcPr>
            <w:tcW w:w="1530" w:type="dxa"/>
            <w:tcBorders>
              <w:top w:val="single" w:sz="5" w:space="0" w:color="000000"/>
              <w:left w:val="nil"/>
              <w:bottom w:val="nil"/>
              <w:right w:val="nil"/>
            </w:tcBorders>
            <w:vAlign w:val="bottom"/>
          </w:tcPr>
          <w:p w:rsidR="00137487" w:rsidRPr="00137487" w:rsidRDefault="00137487" w:rsidP="00BA31DA">
            <w:pPr>
              <w:spacing w:after="0"/>
              <w:rPr>
                <w:rFonts w:cstheme="minorHAnsi"/>
                <w:color w:val="0000FF"/>
              </w:rPr>
            </w:pPr>
            <w:r w:rsidRPr="00137487">
              <w:rPr>
                <w:rFonts w:cstheme="minorHAnsi"/>
                <w:color w:val="0000FF"/>
              </w:rPr>
              <w:t>0.000801</w:t>
            </w:r>
          </w:p>
        </w:tc>
      </w:tr>
      <w:tr w:rsidR="00137487" w:rsidRPr="00137487" w:rsidTr="00BA31DA">
        <w:trPr>
          <w:trHeight w:hRule="exact" w:val="300"/>
        </w:trPr>
        <w:tc>
          <w:tcPr>
            <w:tcW w:w="2324" w:type="dxa"/>
            <w:tcBorders>
              <w:top w:val="nil"/>
              <w:left w:val="nil"/>
              <w:bottom w:val="nil"/>
              <w:right w:val="nil"/>
            </w:tcBorders>
            <w:vAlign w:val="bottom"/>
          </w:tcPr>
          <w:p w:rsidR="00137487" w:rsidRPr="00137487" w:rsidRDefault="00137487" w:rsidP="00BA31DA">
            <w:pPr>
              <w:rPr>
                <w:rFonts w:cstheme="minorHAnsi"/>
                <w:color w:val="0000FF"/>
              </w:rPr>
            </w:pPr>
            <w:r w:rsidRPr="00137487">
              <w:rPr>
                <w:rFonts w:cstheme="minorHAnsi"/>
                <w:color w:val="0000FF"/>
              </w:rPr>
              <w:t>2</w:t>
            </w:r>
          </w:p>
        </w:tc>
        <w:tc>
          <w:tcPr>
            <w:tcW w:w="2736" w:type="dxa"/>
            <w:tcBorders>
              <w:top w:val="nil"/>
              <w:left w:val="nil"/>
              <w:bottom w:val="nil"/>
              <w:right w:val="nil"/>
            </w:tcBorders>
            <w:vAlign w:val="bottom"/>
          </w:tcPr>
          <w:p w:rsidR="00137487" w:rsidRPr="00137487" w:rsidRDefault="00137487" w:rsidP="00BA31DA">
            <w:pPr>
              <w:spacing w:after="0"/>
              <w:rPr>
                <w:rFonts w:cstheme="minorHAnsi"/>
                <w:color w:val="0000FF"/>
              </w:rPr>
            </w:pPr>
            <w:r w:rsidRPr="00137487">
              <w:rPr>
                <w:rFonts w:cstheme="minorHAnsi"/>
                <w:color w:val="0000FF"/>
              </w:rPr>
              <w:t>238,563</w:t>
            </w:r>
          </w:p>
        </w:tc>
        <w:tc>
          <w:tcPr>
            <w:tcW w:w="2214" w:type="dxa"/>
            <w:tcBorders>
              <w:top w:val="nil"/>
              <w:left w:val="nil"/>
              <w:bottom w:val="nil"/>
              <w:right w:val="nil"/>
            </w:tcBorders>
            <w:vAlign w:val="bottom"/>
          </w:tcPr>
          <w:p w:rsidR="00137487" w:rsidRPr="00137487" w:rsidRDefault="00137487" w:rsidP="00BA31DA">
            <w:pPr>
              <w:spacing w:after="0"/>
              <w:rPr>
                <w:rFonts w:cstheme="minorHAnsi"/>
                <w:color w:val="0000FF"/>
              </w:rPr>
            </w:pPr>
            <w:r w:rsidRPr="00137487">
              <w:rPr>
                <w:rFonts w:cstheme="minorHAnsi"/>
                <w:color w:val="0000FF"/>
              </w:rPr>
              <w:t>0.001943</w:t>
            </w:r>
          </w:p>
        </w:tc>
        <w:tc>
          <w:tcPr>
            <w:tcW w:w="1530" w:type="dxa"/>
            <w:tcBorders>
              <w:top w:val="nil"/>
              <w:left w:val="nil"/>
              <w:bottom w:val="nil"/>
              <w:right w:val="nil"/>
            </w:tcBorders>
            <w:vAlign w:val="bottom"/>
          </w:tcPr>
          <w:p w:rsidR="00137487" w:rsidRPr="00137487" w:rsidRDefault="00137487" w:rsidP="00BA31DA">
            <w:pPr>
              <w:spacing w:after="0"/>
              <w:rPr>
                <w:rFonts w:cstheme="minorHAnsi"/>
                <w:color w:val="0000FF"/>
              </w:rPr>
            </w:pPr>
            <w:r w:rsidRPr="00137487">
              <w:rPr>
                <w:rFonts w:cstheme="minorHAnsi"/>
                <w:color w:val="0000FF"/>
              </w:rPr>
              <w:t>0.001237</w:t>
            </w:r>
          </w:p>
        </w:tc>
      </w:tr>
      <w:tr w:rsidR="00137487" w:rsidRPr="00137487" w:rsidTr="00BA31DA">
        <w:trPr>
          <w:trHeight w:hRule="exact" w:val="300"/>
        </w:trPr>
        <w:tc>
          <w:tcPr>
            <w:tcW w:w="2324" w:type="dxa"/>
            <w:tcBorders>
              <w:top w:val="nil"/>
              <w:left w:val="nil"/>
              <w:bottom w:val="nil"/>
              <w:right w:val="nil"/>
            </w:tcBorders>
            <w:vAlign w:val="bottom"/>
          </w:tcPr>
          <w:p w:rsidR="00137487" w:rsidRPr="00137487" w:rsidRDefault="00137487" w:rsidP="00BA31DA">
            <w:pPr>
              <w:rPr>
                <w:rFonts w:cstheme="minorHAnsi"/>
                <w:color w:val="0000FF"/>
              </w:rPr>
            </w:pPr>
            <w:r w:rsidRPr="00137487">
              <w:rPr>
                <w:rFonts w:cstheme="minorHAnsi"/>
                <w:color w:val="0000FF"/>
              </w:rPr>
              <w:t>3</w:t>
            </w:r>
          </w:p>
        </w:tc>
        <w:tc>
          <w:tcPr>
            <w:tcW w:w="2736" w:type="dxa"/>
            <w:tcBorders>
              <w:top w:val="nil"/>
              <w:left w:val="nil"/>
              <w:bottom w:val="nil"/>
              <w:right w:val="nil"/>
            </w:tcBorders>
            <w:vAlign w:val="bottom"/>
          </w:tcPr>
          <w:p w:rsidR="00137487" w:rsidRPr="00137487" w:rsidRDefault="00137487" w:rsidP="00BA31DA">
            <w:pPr>
              <w:spacing w:after="0"/>
              <w:rPr>
                <w:rFonts w:cstheme="minorHAnsi"/>
                <w:color w:val="0000FF"/>
              </w:rPr>
            </w:pPr>
            <w:r w:rsidRPr="00137487">
              <w:rPr>
                <w:rFonts w:cstheme="minorHAnsi"/>
                <w:color w:val="0000FF"/>
              </w:rPr>
              <w:t>238,563</w:t>
            </w:r>
          </w:p>
        </w:tc>
        <w:tc>
          <w:tcPr>
            <w:tcW w:w="2214" w:type="dxa"/>
            <w:tcBorders>
              <w:top w:val="nil"/>
              <w:left w:val="nil"/>
              <w:bottom w:val="nil"/>
              <w:right w:val="nil"/>
            </w:tcBorders>
            <w:vAlign w:val="bottom"/>
          </w:tcPr>
          <w:p w:rsidR="00137487" w:rsidRPr="00137487" w:rsidRDefault="00137487" w:rsidP="00BA31DA">
            <w:pPr>
              <w:spacing w:after="0"/>
              <w:rPr>
                <w:rFonts w:cstheme="minorHAnsi"/>
                <w:color w:val="0000FF"/>
              </w:rPr>
            </w:pPr>
            <w:r w:rsidRPr="00137487">
              <w:rPr>
                <w:rFonts w:cstheme="minorHAnsi"/>
                <w:color w:val="0000FF"/>
              </w:rPr>
              <w:t>0.002454</w:t>
            </w:r>
          </w:p>
        </w:tc>
        <w:tc>
          <w:tcPr>
            <w:tcW w:w="1530" w:type="dxa"/>
            <w:tcBorders>
              <w:top w:val="nil"/>
              <w:left w:val="nil"/>
              <w:bottom w:val="nil"/>
              <w:right w:val="nil"/>
            </w:tcBorders>
            <w:vAlign w:val="bottom"/>
          </w:tcPr>
          <w:p w:rsidR="00137487" w:rsidRPr="00137487" w:rsidRDefault="00137487" w:rsidP="00BA31DA">
            <w:pPr>
              <w:spacing w:after="0"/>
              <w:rPr>
                <w:rFonts w:cstheme="minorHAnsi"/>
                <w:color w:val="0000FF"/>
              </w:rPr>
            </w:pPr>
            <w:r w:rsidRPr="00137487">
              <w:rPr>
                <w:rFonts w:cstheme="minorHAnsi"/>
                <w:color w:val="0000FF"/>
              </w:rPr>
              <w:t>0.001660</w:t>
            </w:r>
          </w:p>
        </w:tc>
      </w:tr>
      <w:tr w:rsidR="00137487" w:rsidRPr="00137487" w:rsidTr="00BA31DA">
        <w:trPr>
          <w:trHeight w:hRule="exact" w:val="300"/>
        </w:trPr>
        <w:tc>
          <w:tcPr>
            <w:tcW w:w="2324" w:type="dxa"/>
            <w:tcBorders>
              <w:top w:val="nil"/>
              <w:left w:val="nil"/>
              <w:bottom w:val="nil"/>
              <w:right w:val="nil"/>
            </w:tcBorders>
            <w:vAlign w:val="bottom"/>
          </w:tcPr>
          <w:p w:rsidR="00137487" w:rsidRPr="00137487" w:rsidRDefault="00137487" w:rsidP="00BA31DA">
            <w:pPr>
              <w:rPr>
                <w:rFonts w:cstheme="minorHAnsi"/>
                <w:color w:val="0000FF"/>
              </w:rPr>
            </w:pPr>
            <w:r w:rsidRPr="00137487">
              <w:rPr>
                <w:rFonts w:cstheme="minorHAnsi"/>
                <w:color w:val="0000FF"/>
              </w:rPr>
              <w:t>4</w:t>
            </w:r>
          </w:p>
        </w:tc>
        <w:tc>
          <w:tcPr>
            <w:tcW w:w="2736" w:type="dxa"/>
            <w:tcBorders>
              <w:top w:val="nil"/>
              <w:left w:val="nil"/>
              <w:bottom w:val="nil"/>
              <w:right w:val="nil"/>
            </w:tcBorders>
            <w:vAlign w:val="bottom"/>
          </w:tcPr>
          <w:p w:rsidR="00137487" w:rsidRPr="00137487" w:rsidRDefault="00137487" w:rsidP="00BA31DA">
            <w:pPr>
              <w:spacing w:after="0"/>
              <w:rPr>
                <w:rFonts w:cstheme="minorHAnsi"/>
                <w:color w:val="0000FF"/>
              </w:rPr>
            </w:pPr>
            <w:r w:rsidRPr="00137487">
              <w:rPr>
                <w:rFonts w:cstheme="minorHAnsi"/>
                <w:color w:val="0000FF"/>
              </w:rPr>
              <w:t>238,563</w:t>
            </w:r>
          </w:p>
        </w:tc>
        <w:tc>
          <w:tcPr>
            <w:tcW w:w="2214" w:type="dxa"/>
            <w:tcBorders>
              <w:top w:val="nil"/>
              <w:left w:val="nil"/>
              <w:bottom w:val="nil"/>
              <w:right w:val="nil"/>
            </w:tcBorders>
            <w:vAlign w:val="bottom"/>
          </w:tcPr>
          <w:p w:rsidR="00137487" w:rsidRPr="00137487" w:rsidRDefault="00137487" w:rsidP="00BA31DA">
            <w:pPr>
              <w:spacing w:after="0"/>
              <w:rPr>
                <w:rFonts w:cstheme="minorHAnsi"/>
                <w:color w:val="0000FF"/>
              </w:rPr>
            </w:pPr>
            <w:r w:rsidRPr="00137487">
              <w:rPr>
                <w:rFonts w:cstheme="minorHAnsi"/>
                <w:color w:val="0000FF"/>
              </w:rPr>
              <w:t>0.003114</w:t>
            </w:r>
          </w:p>
        </w:tc>
        <w:tc>
          <w:tcPr>
            <w:tcW w:w="1530" w:type="dxa"/>
            <w:tcBorders>
              <w:top w:val="nil"/>
              <w:left w:val="nil"/>
              <w:bottom w:val="nil"/>
              <w:right w:val="nil"/>
            </w:tcBorders>
            <w:vAlign w:val="bottom"/>
          </w:tcPr>
          <w:p w:rsidR="00137487" w:rsidRPr="00137487" w:rsidRDefault="00137487" w:rsidP="00BA31DA">
            <w:pPr>
              <w:spacing w:after="0"/>
              <w:rPr>
                <w:rFonts w:cstheme="minorHAnsi"/>
                <w:color w:val="0000FF"/>
              </w:rPr>
            </w:pPr>
            <w:r w:rsidRPr="00137487">
              <w:rPr>
                <w:rFonts w:cstheme="minorHAnsi"/>
                <w:color w:val="0000FF"/>
              </w:rPr>
              <w:t>0.002540</w:t>
            </w:r>
          </w:p>
        </w:tc>
      </w:tr>
      <w:tr w:rsidR="00137487" w:rsidRPr="00137487" w:rsidTr="00BA31DA">
        <w:trPr>
          <w:trHeight w:hRule="exact" w:val="300"/>
        </w:trPr>
        <w:tc>
          <w:tcPr>
            <w:tcW w:w="2324" w:type="dxa"/>
            <w:tcBorders>
              <w:top w:val="nil"/>
              <w:left w:val="nil"/>
              <w:bottom w:val="nil"/>
              <w:right w:val="nil"/>
            </w:tcBorders>
            <w:vAlign w:val="bottom"/>
          </w:tcPr>
          <w:p w:rsidR="00137487" w:rsidRPr="00137487" w:rsidRDefault="00137487" w:rsidP="00BA31DA">
            <w:pPr>
              <w:rPr>
                <w:rFonts w:cstheme="minorHAnsi"/>
                <w:color w:val="0000FF"/>
              </w:rPr>
            </w:pPr>
            <w:r w:rsidRPr="00137487">
              <w:rPr>
                <w:rFonts w:cstheme="minorHAnsi"/>
                <w:color w:val="0000FF"/>
              </w:rPr>
              <w:t>5</w:t>
            </w:r>
          </w:p>
        </w:tc>
        <w:tc>
          <w:tcPr>
            <w:tcW w:w="2736" w:type="dxa"/>
            <w:tcBorders>
              <w:top w:val="nil"/>
              <w:left w:val="nil"/>
              <w:bottom w:val="nil"/>
              <w:right w:val="nil"/>
            </w:tcBorders>
            <w:vAlign w:val="bottom"/>
          </w:tcPr>
          <w:p w:rsidR="00137487" w:rsidRPr="00137487" w:rsidRDefault="00137487" w:rsidP="00BA31DA">
            <w:pPr>
              <w:spacing w:after="0"/>
              <w:rPr>
                <w:rFonts w:cstheme="minorHAnsi"/>
                <w:color w:val="0000FF"/>
              </w:rPr>
            </w:pPr>
            <w:r w:rsidRPr="00137487">
              <w:rPr>
                <w:rFonts w:cstheme="minorHAnsi"/>
                <w:color w:val="0000FF"/>
              </w:rPr>
              <w:t>238,563</w:t>
            </w:r>
          </w:p>
        </w:tc>
        <w:tc>
          <w:tcPr>
            <w:tcW w:w="2214" w:type="dxa"/>
            <w:tcBorders>
              <w:top w:val="nil"/>
              <w:left w:val="nil"/>
              <w:bottom w:val="nil"/>
              <w:right w:val="nil"/>
            </w:tcBorders>
            <w:vAlign w:val="bottom"/>
          </w:tcPr>
          <w:p w:rsidR="00137487" w:rsidRPr="00137487" w:rsidRDefault="00137487" w:rsidP="00BA31DA">
            <w:pPr>
              <w:spacing w:after="0"/>
              <w:rPr>
                <w:rFonts w:cstheme="minorHAnsi"/>
                <w:color w:val="0000FF"/>
              </w:rPr>
            </w:pPr>
            <w:r w:rsidRPr="00137487">
              <w:rPr>
                <w:rFonts w:cstheme="minorHAnsi"/>
                <w:color w:val="0000FF"/>
              </w:rPr>
              <w:t>0.003945</w:t>
            </w:r>
          </w:p>
        </w:tc>
        <w:tc>
          <w:tcPr>
            <w:tcW w:w="1530" w:type="dxa"/>
            <w:tcBorders>
              <w:top w:val="nil"/>
              <w:left w:val="nil"/>
              <w:bottom w:val="nil"/>
              <w:right w:val="nil"/>
            </w:tcBorders>
            <w:vAlign w:val="bottom"/>
          </w:tcPr>
          <w:p w:rsidR="00137487" w:rsidRPr="00137487" w:rsidRDefault="00137487" w:rsidP="00BA31DA">
            <w:pPr>
              <w:spacing w:after="0"/>
              <w:rPr>
                <w:rFonts w:cstheme="minorHAnsi"/>
                <w:color w:val="0000FF"/>
              </w:rPr>
            </w:pPr>
            <w:r w:rsidRPr="00137487">
              <w:rPr>
                <w:rFonts w:cstheme="minorHAnsi"/>
                <w:color w:val="0000FF"/>
              </w:rPr>
              <w:t>0.003584</w:t>
            </w:r>
          </w:p>
        </w:tc>
      </w:tr>
      <w:tr w:rsidR="00137487" w:rsidRPr="00137487" w:rsidTr="00BA31DA">
        <w:trPr>
          <w:trHeight w:hRule="exact" w:val="300"/>
        </w:trPr>
        <w:tc>
          <w:tcPr>
            <w:tcW w:w="2324" w:type="dxa"/>
            <w:tcBorders>
              <w:top w:val="nil"/>
              <w:left w:val="nil"/>
              <w:bottom w:val="nil"/>
              <w:right w:val="nil"/>
            </w:tcBorders>
            <w:vAlign w:val="bottom"/>
          </w:tcPr>
          <w:p w:rsidR="00137487" w:rsidRPr="00137487" w:rsidRDefault="00137487" w:rsidP="00BA31DA">
            <w:pPr>
              <w:rPr>
                <w:rFonts w:cstheme="minorHAnsi"/>
                <w:color w:val="0000FF"/>
              </w:rPr>
            </w:pPr>
            <w:r w:rsidRPr="00137487">
              <w:rPr>
                <w:rFonts w:cstheme="minorHAnsi"/>
                <w:color w:val="0000FF"/>
              </w:rPr>
              <w:lastRenderedPageBreak/>
              <w:t>6</w:t>
            </w:r>
          </w:p>
        </w:tc>
        <w:tc>
          <w:tcPr>
            <w:tcW w:w="2736" w:type="dxa"/>
            <w:tcBorders>
              <w:top w:val="nil"/>
              <w:left w:val="nil"/>
              <w:bottom w:val="nil"/>
              <w:right w:val="nil"/>
            </w:tcBorders>
            <w:vAlign w:val="bottom"/>
          </w:tcPr>
          <w:p w:rsidR="00137487" w:rsidRPr="00137487" w:rsidRDefault="00137487" w:rsidP="00BA31DA">
            <w:pPr>
              <w:spacing w:after="0"/>
              <w:rPr>
                <w:rFonts w:cstheme="minorHAnsi"/>
                <w:color w:val="0000FF"/>
              </w:rPr>
            </w:pPr>
            <w:r w:rsidRPr="00137487">
              <w:rPr>
                <w:rFonts w:cstheme="minorHAnsi"/>
                <w:color w:val="0000FF"/>
              </w:rPr>
              <w:t>238,564</w:t>
            </w:r>
          </w:p>
        </w:tc>
        <w:tc>
          <w:tcPr>
            <w:tcW w:w="2214" w:type="dxa"/>
            <w:tcBorders>
              <w:top w:val="nil"/>
              <w:left w:val="nil"/>
              <w:bottom w:val="nil"/>
              <w:right w:val="nil"/>
            </w:tcBorders>
            <w:vAlign w:val="bottom"/>
          </w:tcPr>
          <w:p w:rsidR="00137487" w:rsidRPr="00137487" w:rsidRDefault="00137487" w:rsidP="00BA31DA">
            <w:pPr>
              <w:spacing w:after="0"/>
              <w:rPr>
                <w:rFonts w:cstheme="minorHAnsi"/>
                <w:color w:val="0000FF"/>
              </w:rPr>
            </w:pPr>
            <w:r w:rsidRPr="00137487">
              <w:rPr>
                <w:rFonts w:cstheme="minorHAnsi"/>
                <w:color w:val="0000FF"/>
              </w:rPr>
              <w:t>0.005077</w:t>
            </w:r>
          </w:p>
        </w:tc>
        <w:tc>
          <w:tcPr>
            <w:tcW w:w="1530" w:type="dxa"/>
            <w:tcBorders>
              <w:top w:val="nil"/>
              <w:left w:val="nil"/>
              <w:bottom w:val="nil"/>
              <w:right w:val="nil"/>
            </w:tcBorders>
            <w:vAlign w:val="bottom"/>
          </w:tcPr>
          <w:p w:rsidR="00137487" w:rsidRPr="00137487" w:rsidRDefault="00137487" w:rsidP="00BA31DA">
            <w:pPr>
              <w:spacing w:after="0"/>
              <w:rPr>
                <w:rFonts w:cstheme="minorHAnsi"/>
                <w:color w:val="0000FF"/>
              </w:rPr>
            </w:pPr>
            <w:r w:rsidRPr="00137487">
              <w:rPr>
                <w:rFonts w:cstheme="minorHAnsi"/>
                <w:color w:val="0000FF"/>
              </w:rPr>
              <w:t>0.004854</w:t>
            </w:r>
          </w:p>
        </w:tc>
      </w:tr>
      <w:tr w:rsidR="00137487" w:rsidRPr="00137487" w:rsidTr="00BA31DA">
        <w:trPr>
          <w:trHeight w:hRule="exact" w:val="300"/>
        </w:trPr>
        <w:tc>
          <w:tcPr>
            <w:tcW w:w="2324" w:type="dxa"/>
            <w:tcBorders>
              <w:top w:val="nil"/>
              <w:left w:val="nil"/>
              <w:bottom w:val="nil"/>
              <w:right w:val="nil"/>
            </w:tcBorders>
            <w:vAlign w:val="bottom"/>
          </w:tcPr>
          <w:p w:rsidR="00137487" w:rsidRPr="00137487" w:rsidRDefault="00137487" w:rsidP="00BA31DA">
            <w:pPr>
              <w:rPr>
                <w:rFonts w:cstheme="minorHAnsi"/>
                <w:color w:val="0000FF"/>
              </w:rPr>
            </w:pPr>
            <w:r w:rsidRPr="00137487">
              <w:rPr>
                <w:rFonts w:cstheme="minorHAnsi"/>
                <w:color w:val="0000FF"/>
              </w:rPr>
              <w:t>7</w:t>
            </w:r>
          </w:p>
        </w:tc>
        <w:tc>
          <w:tcPr>
            <w:tcW w:w="2736" w:type="dxa"/>
            <w:tcBorders>
              <w:top w:val="nil"/>
              <w:left w:val="nil"/>
              <w:bottom w:val="nil"/>
              <w:right w:val="nil"/>
            </w:tcBorders>
            <w:vAlign w:val="bottom"/>
          </w:tcPr>
          <w:p w:rsidR="00137487" w:rsidRPr="00137487" w:rsidRDefault="00137487" w:rsidP="00BA31DA">
            <w:pPr>
              <w:spacing w:after="0"/>
              <w:rPr>
                <w:rFonts w:cstheme="minorHAnsi"/>
                <w:color w:val="0000FF"/>
              </w:rPr>
            </w:pPr>
            <w:r w:rsidRPr="00137487">
              <w:rPr>
                <w:rFonts w:cstheme="minorHAnsi"/>
                <w:color w:val="0000FF"/>
              </w:rPr>
              <w:t>238,563</w:t>
            </w:r>
          </w:p>
        </w:tc>
        <w:tc>
          <w:tcPr>
            <w:tcW w:w="2214" w:type="dxa"/>
            <w:tcBorders>
              <w:top w:val="nil"/>
              <w:left w:val="nil"/>
              <w:bottom w:val="nil"/>
              <w:right w:val="nil"/>
            </w:tcBorders>
            <w:vAlign w:val="bottom"/>
          </w:tcPr>
          <w:p w:rsidR="00137487" w:rsidRPr="00137487" w:rsidRDefault="00137487" w:rsidP="00BA31DA">
            <w:pPr>
              <w:spacing w:after="0"/>
              <w:rPr>
                <w:rFonts w:cstheme="minorHAnsi"/>
                <w:color w:val="0000FF"/>
              </w:rPr>
            </w:pPr>
            <w:r w:rsidRPr="00137487">
              <w:rPr>
                <w:rFonts w:cstheme="minorHAnsi"/>
                <w:color w:val="0000FF"/>
              </w:rPr>
              <w:t>0.006921</w:t>
            </w:r>
          </w:p>
        </w:tc>
        <w:tc>
          <w:tcPr>
            <w:tcW w:w="1530" w:type="dxa"/>
            <w:tcBorders>
              <w:top w:val="nil"/>
              <w:left w:val="nil"/>
              <w:bottom w:val="nil"/>
              <w:right w:val="nil"/>
            </w:tcBorders>
            <w:vAlign w:val="bottom"/>
          </w:tcPr>
          <w:p w:rsidR="00137487" w:rsidRPr="00137487" w:rsidRDefault="00137487" w:rsidP="00BA31DA">
            <w:pPr>
              <w:spacing w:after="0"/>
              <w:rPr>
                <w:rFonts w:cstheme="minorHAnsi"/>
                <w:color w:val="0000FF"/>
              </w:rPr>
            </w:pPr>
            <w:r w:rsidRPr="00137487">
              <w:rPr>
                <w:rFonts w:cstheme="minorHAnsi"/>
                <w:color w:val="0000FF"/>
              </w:rPr>
              <w:t>0.006895</w:t>
            </w:r>
          </w:p>
        </w:tc>
      </w:tr>
      <w:tr w:rsidR="00137487" w:rsidRPr="00137487" w:rsidTr="00BA31DA">
        <w:trPr>
          <w:trHeight w:hRule="exact" w:val="300"/>
        </w:trPr>
        <w:tc>
          <w:tcPr>
            <w:tcW w:w="2324" w:type="dxa"/>
            <w:tcBorders>
              <w:top w:val="nil"/>
              <w:left w:val="nil"/>
              <w:bottom w:val="nil"/>
              <w:right w:val="nil"/>
            </w:tcBorders>
            <w:vAlign w:val="bottom"/>
          </w:tcPr>
          <w:p w:rsidR="00137487" w:rsidRPr="00137487" w:rsidRDefault="00137487" w:rsidP="00BA31DA">
            <w:pPr>
              <w:rPr>
                <w:rFonts w:cstheme="minorHAnsi"/>
                <w:color w:val="0000FF"/>
              </w:rPr>
            </w:pPr>
            <w:r w:rsidRPr="00137487">
              <w:rPr>
                <w:rFonts w:cstheme="minorHAnsi"/>
                <w:color w:val="0000FF"/>
              </w:rPr>
              <w:t>8</w:t>
            </w:r>
          </w:p>
        </w:tc>
        <w:tc>
          <w:tcPr>
            <w:tcW w:w="2736" w:type="dxa"/>
            <w:tcBorders>
              <w:top w:val="nil"/>
              <w:left w:val="nil"/>
              <w:bottom w:val="nil"/>
              <w:right w:val="nil"/>
            </w:tcBorders>
            <w:vAlign w:val="bottom"/>
          </w:tcPr>
          <w:p w:rsidR="00137487" w:rsidRPr="00137487" w:rsidRDefault="00137487" w:rsidP="00BA31DA">
            <w:pPr>
              <w:spacing w:after="0"/>
              <w:rPr>
                <w:rFonts w:cstheme="minorHAnsi"/>
                <w:color w:val="0000FF"/>
              </w:rPr>
            </w:pPr>
            <w:r w:rsidRPr="00137487">
              <w:rPr>
                <w:rFonts w:cstheme="minorHAnsi"/>
                <w:color w:val="0000FF"/>
              </w:rPr>
              <w:t>238,563</w:t>
            </w:r>
          </w:p>
        </w:tc>
        <w:tc>
          <w:tcPr>
            <w:tcW w:w="2214" w:type="dxa"/>
            <w:tcBorders>
              <w:top w:val="nil"/>
              <w:left w:val="nil"/>
              <w:bottom w:val="nil"/>
              <w:right w:val="nil"/>
            </w:tcBorders>
            <w:vAlign w:val="bottom"/>
          </w:tcPr>
          <w:p w:rsidR="00137487" w:rsidRPr="00137487" w:rsidRDefault="00137487" w:rsidP="00BA31DA">
            <w:pPr>
              <w:spacing w:after="0"/>
              <w:rPr>
                <w:rFonts w:cstheme="minorHAnsi"/>
                <w:color w:val="0000FF"/>
              </w:rPr>
            </w:pPr>
            <w:r w:rsidRPr="00137487">
              <w:rPr>
                <w:rFonts w:cstheme="minorHAnsi"/>
                <w:color w:val="0000FF"/>
              </w:rPr>
              <w:t>0.010352</w:t>
            </w:r>
          </w:p>
        </w:tc>
        <w:tc>
          <w:tcPr>
            <w:tcW w:w="1530" w:type="dxa"/>
            <w:tcBorders>
              <w:top w:val="nil"/>
              <w:left w:val="nil"/>
              <w:bottom w:val="nil"/>
              <w:right w:val="nil"/>
            </w:tcBorders>
            <w:vAlign w:val="bottom"/>
          </w:tcPr>
          <w:p w:rsidR="00137487" w:rsidRPr="00137487" w:rsidRDefault="00137487" w:rsidP="00BA31DA">
            <w:pPr>
              <w:spacing w:after="0"/>
              <w:rPr>
                <w:rFonts w:cstheme="minorHAnsi"/>
                <w:color w:val="0000FF"/>
              </w:rPr>
            </w:pPr>
            <w:r w:rsidRPr="00137487">
              <w:rPr>
                <w:rFonts w:cstheme="minorHAnsi"/>
                <w:color w:val="0000FF"/>
              </w:rPr>
              <w:t>0.010999</w:t>
            </w:r>
          </w:p>
        </w:tc>
      </w:tr>
      <w:tr w:rsidR="00137487" w:rsidRPr="00137487" w:rsidTr="00BA31DA">
        <w:trPr>
          <w:trHeight w:hRule="exact" w:val="300"/>
        </w:trPr>
        <w:tc>
          <w:tcPr>
            <w:tcW w:w="2324" w:type="dxa"/>
            <w:tcBorders>
              <w:top w:val="nil"/>
              <w:left w:val="nil"/>
              <w:bottom w:val="nil"/>
              <w:right w:val="nil"/>
            </w:tcBorders>
            <w:vAlign w:val="bottom"/>
          </w:tcPr>
          <w:p w:rsidR="00137487" w:rsidRPr="00137487" w:rsidRDefault="00137487" w:rsidP="00BA31DA">
            <w:pPr>
              <w:rPr>
                <w:rFonts w:cstheme="minorHAnsi"/>
                <w:color w:val="0000FF"/>
              </w:rPr>
            </w:pPr>
            <w:r w:rsidRPr="00137487">
              <w:rPr>
                <w:rFonts w:cstheme="minorHAnsi"/>
                <w:color w:val="0000FF"/>
              </w:rPr>
              <w:t>9</w:t>
            </w:r>
          </w:p>
        </w:tc>
        <w:tc>
          <w:tcPr>
            <w:tcW w:w="2736" w:type="dxa"/>
            <w:tcBorders>
              <w:top w:val="nil"/>
              <w:left w:val="nil"/>
              <w:bottom w:val="nil"/>
              <w:right w:val="nil"/>
            </w:tcBorders>
            <w:vAlign w:val="bottom"/>
          </w:tcPr>
          <w:p w:rsidR="00137487" w:rsidRPr="00137487" w:rsidRDefault="00137487" w:rsidP="00BA31DA">
            <w:pPr>
              <w:spacing w:after="0"/>
              <w:rPr>
                <w:rFonts w:cstheme="minorHAnsi"/>
                <w:color w:val="0000FF"/>
              </w:rPr>
            </w:pPr>
            <w:r w:rsidRPr="00137487">
              <w:rPr>
                <w:rFonts w:cstheme="minorHAnsi"/>
                <w:color w:val="0000FF"/>
              </w:rPr>
              <w:t>238,563</w:t>
            </w:r>
          </w:p>
        </w:tc>
        <w:tc>
          <w:tcPr>
            <w:tcW w:w="2214" w:type="dxa"/>
            <w:tcBorders>
              <w:top w:val="nil"/>
              <w:left w:val="nil"/>
              <w:bottom w:val="nil"/>
              <w:right w:val="nil"/>
            </w:tcBorders>
            <w:vAlign w:val="bottom"/>
          </w:tcPr>
          <w:p w:rsidR="00137487" w:rsidRPr="00137487" w:rsidRDefault="00137487" w:rsidP="00BA31DA">
            <w:pPr>
              <w:spacing w:after="0"/>
              <w:rPr>
                <w:rFonts w:cstheme="minorHAnsi"/>
                <w:color w:val="0000FF"/>
              </w:rPr>
            </w:pPr>
            <w:r w:rsidRPr="00137487">
              <w:rPr>
                <w:rFonts w:cstheme="minorHAnsi"/>
                <w:color w:val="0000FF"/>
              </w:rPr>
              <w:t>0.016864</w:t>
            </w:r>
          </w:p>
        </w:tc>
        <w:tc>
          <w:tcPr>
            <w:tcW w:w="1530" w:type="dxa"/>
            <w:tcBorders>
              <w:top w:val="nil"/>
              <w:left w:val="nil"/>
              <w:bottom w:val="nil"/>
              <w:right w:val="nil"/>
            </w:tcBorders>
            <w:vAlign w:val="bottom"/>
          </w:tcPr>
          <w:p w:rsidR="00137487" w:rsidRPr="00137487" w:rsidRDefault="00137487" w:rsidP="00BA31DA">
            <w:pPr>
              <w:spacing w:after="0"/>
              <w:rPr>
                <w:rFonts w:cstheme="minorHAnsi"/>
                <w:color w:val="0000FF"/>
              </w:rPr>
            </w:pPr>
            <w:r w:rsidRPr="00137487">
              <w:rPr>
                <w:rFonts w:cstheme="minorHAnsi"/>
                <w:color w:val="0000FF"/>
              </w:rPr>
              <w:t>0.018268</w:t>
            </w:r>
          </w:p>
        </w:tc>
      </w:tr>
      <w:tr w:rsidR="00137487" w:rsidRPr="00137487" w:rsidTr="00BA31DA">
        <w:trPr>
          <w:trHeight w:hRule="exact" w:val="269"/>
        </w:trPr>
        <w:tc>
          <w:tcPr>
            <w:tcW w:w="2324" w:type="dxa"/>
            <w:tcBorders>
              <w:top w:val="nil"/>
              <w:left w:val="nil"/>
              <w:bottom w:val="single" w:sz="5" w:space="0" w:color="000000"/>
              <w:right w:val="nil"/>
            </w:tcBorders>
            <w:vAlign w:val="bottom"/>
          </w:tcPr>
          <w:p w:rsidR="00137487" w:rsidRPr="00137487" w:rsidRDefault="00137487" w:rsidP="00BA31DA">
            <w:pPr>
              <w:rPr>
                <w:rFonts w:cstheme="minorHAnsi"/>
                <w:color w:val="0000FF"/>
              </w:rPr>
            </w:pPr>
            <w:r w:rsidRPr="00137487">
              <w:rPr>
                <w:rFonts w:cstheme="minorHAnsi"/>
                <w:color w:val="0000FF"/>
              </w:rPr>
              <w:t>10</w:t>
            </w:r>
          </w:p>
        </w:tc>
        <w:tc>
          <w:tcPr>
            <w:tcW w:w="2736" w:type="dxa"/>
            <w:tcBorders>
              <w:top w:val="nil"/>
              <w:left w:val="nil"/>
              <w:bottom w:val="single" w:sz="5" w:space="0" w:color="000000"/>
              <w:right w:val="nil"/>
            </w:tcBorders>
            <w:vAlign w:val="bottom"/>
          </w:tcPr>
          <w:p w:rsidR="00137487" w:rsidRPr="00137487" w:rsidRDefault="00137487" w:rsidP="00BA31DA">
            <w:pPr>
              <w:spacing w:after="0"/>
              <w:rPr>
                <w:rFonts w:cstheme="minorHAnsi"/>
                <w:color w:val="0000FF"/>
              </w:rPr>
            </w:pPr>
            <w:r w:rsidRPr="00137487">
              <w:rPr>
                <w:rFonts w:cstheme="minorHAnsi"/>
                <w:color w:val="0000FF"/>
              </w:rPr>
              <w:t>238,563</w:t>
            </w:r>
          </w:p>
        </w:tc>
        <w:tc>
          <w:tcPr>
            <w:tcW w:w="2214" w:type="dxa"/>
            <w:tcBorders>
              <w:top w:val="nil"/>
              <w:left w:val="nil"/>
              <w:bottom w:val="single" w:sz="5" w:space="0" w:color="000000"/>
              <w:right w:val="nil"/>
            </w:tcBorders>
            <w:vAlign w:val="bottom"/>
          </w:tcPr>
          <w:p w:rsidR="00137487" w:rsidRPr="00137487" w:rsidRDefault="00137487" w:rsidP="00BA31DA">
            <w:pPr>
              <w:spacing w:after="0"/>
              <w:rPr>
                <w:rFonts w:cstheme="minorHAnsi"/>
                <w:color w:val="0000FF"/>
              </w:rPr>
            </w:pPr>
            <w:r w:rsidRPr="00137487">
              <w:rPr>
                <w:rFonts w:cstheme="minorHAnsi"/>
                <w:color w:val="0000FF"/>
              </w:rPr>
              <w:t>0.048781</w:t>
            </w:r>
          </w:p>
        </w:tc>
        <w:tc>
          <w:tcPr>
            <w:tcW w:w="1530" w:type="dxa"/>
            <w:tcBorders>
              <w:top w:val="nil"/>
              <w:left w:val="nil"/>
              <w:bottom w:val="single" w:sz="5" w:space="0" w:color="000000"/>
              <w:right w:val="nil"/>
            </w:tcBorders>
            <w:vAlign w:val="bottom"/>
          </w:tcPr>
          <w:p w:rsidR="00137487" w:rsidRPr="00137487" w:rsidRDefault="00137487" w:rsidP="00BA31DA">
            <w:pPr>
              <w:spacing w:after="0"/>
              <w:rPr>
                <w:rFonts w:cstheme="minorHAnsi"/>
                <w:color w:val="0000FF"/>
              </w:rPr>
            </w:pPr>
            <w:r w:rsidRPr="00137487">
              <w:rPr>
                <w:rFonts w:cstheme="minorHAnsi"/>
                <w:color w:val="0000FF"/>
              </w:rPr>
              <w:t>0.050041</w:t>
            </w:r>
          </w:p>
        </w:tc>
      </w:tr>
      <w:tr w:rsidR="00137487" w:rsidRPr="00137487" w:rsidTr="00BA31DA">
        <w:trPr>
          <w:trHeight w:hRule="exact" w:val="312"/>
        </w:trPr>
        <w:tc>
          <w:tcPr>
            <w:tcW w:w="2324" w:type="dxa"/>
            <w:tcBorders>
              <w:top w:val="single" w:sz="5" w:space="0" w:color="000000"/>
              <w:left w:val="nil"/>
              <w:bottom w:val="single" w:sz="5" w:space="0" w:color="000000"/>
              <w:right w:val="nil"/>
            </w:tcBorders>
            <w:vAlign w:val="bottom"/>
          </w:tcPr>
          <w:p w:rsidR="00137487" w:rsidRPr="00137487" w:rsidRDefault="00137487" w:rsidP="00BA31DA">
            <w:pPr>
              <w:rPr>
                <w:rFonts w:cstheme="minorHAnsi"/>
                <w:color w:val="0000FF"/>
              </w:rPr>
            </w:pPr>
            <w:r w:rsidRPr="00137487">
              <w:rPr>
                <w:rFonts w:cstheme="minorHAnsi"/>
                <w:color w:val="0000FF"/>
              </w:rPr>
              <w:t>C-Statistic</w:t>
            </w:r>
          </w:p>
        </w:tc>
        <w:tc>
          <w:tcPr>
            <w:tcW w:w="2736" w:type="dxa"/>
            <w:tcBorders>
              <w:top w:val="single" w:sz="5" w:space="0" w:color="000000"/>
              <w:left w:val="nil"/>
              <w:bottom w:val="single" w:sz="5" w:space="0" w:color="000000"/>
              <w:right w:val="nil"/>
            </w:tcBorders>
            <w:vAlign w:val="bottom"/>
          </w:tcPr>
          <w:p w:rsidR="00137487" w:rsidRPr="00137487" w:rsidRDefault="00137487" w:rsidP="00BA31DA">
            <w:pPr>
              <w:spacing w:after="0"/>
              <w:rPr>
                <w:rFonts w:cstheme="minorHAnsi"/>
                <w:color w:val="0000FF"/>
              </w:rPr>
            </w:pPr>
            <w:r w:rsidRPr="00137487">
              <w:rPr>
                <w:rFonts w:cstheme="minorHAnsi"/>
                <w:color w:val="0000FF"/>
              </w:rPr>
              <w:t>0.8211</w:t>
            </w:r>
          </w:p>
        </w:tc>
        <w:tc>
          <w:tcPr>
            <w:tcW w:w="2214" w:type="dxa"/>
            <w:tcBorders>
              <w:top w:val="single" w:sz="5" w:space="0" w:color="000000"/>
              <w:left w:val="nil"/>
              <w:bottom w:val="single" w:sz="5" w:space="0" w:color="000000"/>
              <w:right w:val="nil"/>
            </w:tcBorders>
            <w:vAlign w:val="bottom"/>
          </w:tcPr>
          <w:p w:rsidR="00137487" w:rsidRPr="00137487" w:rsidRDefault="00137487" w:rsidP="00BA31DA">
            <w:pPr>
              <w:spacing w:after="0"/>
              <w:rPr>
                <w:rFonts w:cstheme="minorHAnsi"/>
                <w:color w:val="0000FF"/>
              </w:rPr>
            </w:pPr>
            <w:r w:rsidRPr="00137487">
              <w:rPr>
                <w:rFonts w:cstheme="minorHAnsi"/>
                <w:color w:val="0000FF"/>
              </w:rPr>
              <w:t> </w:t>
            </w:r>
          </w:p>
        </w:tc>
        <w:tc>
          <w:tcPr>
            <w:tcW w:w="1530" w:type="dxa"/>
            <w:tcBorders>
              <w:top w:val="single" w:sz="5" w:space="0" w:color="000000"/>
              <w:left w:val="nil"/>
              <w:bottom w:val="single" w:sz="5" w:space="0" w:color="000000"/>
              <w:right w:val="nil"/>
            </w:tcBorders>
            <w:vAlign w:val="bottom"/>
          </w:tcPr>
          <w:p w:rsidR="00137487" w:rsidRPr="00137487" w:rsidRDefault="00137487" w:rsidP="00BA31DA">
            <w:pPr>
              <w:spacing w:after="0"/>
              <w:rPr>
                <w:rFonts w:cstheme="minorHAnsi"/>
                <w:color w:val="0000FF"/>
              </w:rPr>
            </w:pPr>
            <w:r w:rsidRPr="00137487">
              <w:rPr>
                <w:rFonts w:cstheme="minorHAnsi"/>
                <w:color w:val="0000FF"/>
              </w:rPr>
              <w:t> </w:t>
            </w:r>
          </w:p>
        </w:tc>
      </w:tr>
    </w:tbl>
    <w:p w:rsidR="00137487" w:rsidRPr="00137487" w:rsidRDefault="00137487" w:rsidP="00DB31EF">
      <w:pPr>
        <w:spacing w:line="239" w:lineRule="auto"/>
        <w:ind w:right="340"/>
        <w:rPr>
          <w:rFonts w:eastAsia="Times New Roman" w:cstheme="minorHAnsi"/>
          <w:color w:val="0000FF"/>
        </w:rPr>
      </w:pPr>
      <w:r w:rsidRPr="00137487">
        <w:rPr>
          <w:rFonts w:cstheme="minorHAnsi"/>
          <w:color w:val="0000FF"/>
        </w:rPr>
        <w:t>Source: HCUP State Inpatient Databases (SID). Healthcare Cost and Utilization Project (HCUP). 2012. Agency for</w:t>
      </w:r>
      <w:r w:rsidRPr="00137487">
        <w:rPr>
          <w:rFonts w:cstheme="minorHAnsi"/>
          <w:color w:val="0000FF"/>
          <w:w w:val="99"/>
        </w:rPr>
        <w:t xml:space="preserve"> </w:t>
      </w:r>
      <w:r w:rsidRPr="00137487">
        <w:rPr>
          <w:rFonts w:cstheme="minorHAnsi"/>
          <w:color w:val="0000FF"/>
        </w:rPr>
        <w:t xml:space="preserve">Healthcare Research and Quality, Rockville, MD. </w:t>
      </w:r>
      <w:hyperlink r:id="rId16">
        <w:r w:rsidRPr="00137487">
          <w:rPr>
            <w:rFonts w:cstheme="minorHAnsi"/>
            <w:color w:val="0000FF"/>
            <w:u w:val="single" w:color="043C66"/>
          </w:rPr>
          <w:t>www.hcup-us.ahrq.gov/sidoverview.jsp</w:t>
        </w:r>
        <w:r w:rsidRPr="00137487">
          <w:rPr>
            <w:rFonts w:cstheme="minorHAnsi"/>
            <w:color w:val="0000FF"/>
          </w:rPr>
          <w:t>.</w:t>
        </w:r>
      </w:hyperlink>
      <w:r w:rsidRPr="00137487">
        <w:rPr>
          <w:rFonts w:cstheme="minorHAnsi"/>
          <w:color w:val="0000FF"/>
        </w:rPr>
        <w:t xml:space="preserve"> (AHRQ QI Software</w:t>
      </w:r>
      <w:r w:rsidRPr="00137487">
        <w:rPr>
          <w:rFonts w:cstheme="minorHAnsi"/>
          <w:color w:val="0000FF"/>
          <w:w w:val="99"/>
        </w:rPr>
        <w:t xml:space="preserve"> </w:t>
      </w:r>
      <w:r w:rsidRPr="00137487">
        <w:rPr>
          <w:rFonts w:cstheme="minorHAnsi"/>
          <w:color w:val="0000FF"/>
        </w:rPr>
        <w:t>Version 5.0)</w:t>
      </w:r>
    </w:p>
    <w:p w:rsidR="00001D73" w:rsidRPr="00001D73" w:rsidRDefault="00001D73" w:rsidP="00092566">
      <w:pPr>
        <w:autoSpaceDE w:val="0"/>
        <w:autoSpaceDN w:val="0"/>
        <w:adjustRightInd w:val="0"/>
        <w:spacing w:after="0" w:line="240" w:lineRule="auto"/>
        <w:rPr>
          <w:rFonts w:cstheme="minorHAnsi"/>
          <w:b/>
          <w:bCs/>
        </w:rPr>
      </w:pPr>
    </w:p>
    <w:p w:rsidR="00001D73" w:rsidRDefault="00743E46" w:rsidP="00092566">
      <w:pPr>
        <w:autoSpaceDE w:val="0"/>
        <w:autoSpaceDN w:val="0"/>
        <w:adjustRightInd w:val="0"/>
        <w:spacing w:after="0" w:line="240" w:lineRule="auto"/>
        <w:rPr>
          <w:rStyle w:val="FormTextChar"/>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 xml:space="preserve">e.g., </w:t>
      </w:r>
      <w:proofErr w:type="spellStart"/>
      <w:r w:rsidR="003605B4" w:rsidRPr="003605B4">
        <w:rPr>
          <w:rFonts w:cstheme="minorHAnsi"/>
          <w:bCs/>
          <w:i/>
        </w:rPr>
        <w:t>Hosmer-Lemeshow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sidR="00137487">
        <w:rPr>
          <w:rStyle w:val="FormTextChar"/>
        </w:rPr>
        <w:t>See 2b4.6 (Table</w:t>
      </w:r>
      <w:r w:rsidR="00726DFC">
        <w:rPr>
          <w:rStyle w:val="FormTextChar"/>
        </w:rPr>
        <w:t xml:space="preserve"> 4</w:t>
      </w:r>
      <w:r w:rsidR="00137487" w:rsidRPr="00CF3770">
        <w:rPr>
          <w:rStyle w:val="FormTextChar"/>
        </w:rPr>
        <w:t>)</w:t>
      </w:r>
    </w:p>
    <w:p w:rsidR="00137487" w:rsidRDefault="00137487" w:rsidP="00092566">
      <w:pPr>
        <w:autoSpaceDE w:val="0"/>
        <w:autoSpaceDN w:val="0"/>
        <w:adjustRightInd w:val="0"/>
        <w:spacing w:after="0" w:line="240" w:lineRule="auto"/>
        <w:rPr>
          <w:rFonts w:cstheme="minorHAnsi"/>
          <w:b/>
          <w:bCs/>
        </w:rPr>
      </w:pPr>
    </w:p>
    <w:p w:rsidR="00743E46" w:rsidRDefault="00743E46" w:rsidP="00092566">
      <w:pPr>
        <w:autoSpaceDE w:val="0"/>
        <w:autoSpaceDN w:val="0"/>
        <w:adjustRightInd w:val="0"/>
        <w:spacing w:after="0" w:line="240" w:lineRule="auto"/>
        <w:rPr>
          <w:rFonts w:cstheme="minorHAnsi"/>
          <w:b/>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 xml:space="preserve">Risk Model Calibration – Risk </w:t>
      </w:r>
      <w:proofErr w:type="spellStart"/>
      <w:r w:rsidR="00092566" w:rsidRPr="00A25024">
        <w:rPr>
          <w:rFonts w:cstheme="minorHAnsi"/>
          <w:b/>
          <w:bCs/>
        </w:rPr>
        <w:t>decile</w:t>
      </w:r>
      <w:proofErr w:type="spellEnd"/>
      <w:r w:rsidR="00092566" w:rsidRPr="00A25024">
        <w:rPr>
          <w:rFonts w:cstheme="minorHAnsi"/>
          <w:b/>
          <w:bCs/>
        </w:rPr>
        <w:t xml:space="preserve"> plots or calibration curves</w:t>
      </w:r>
      <w:proofErr w:type="gramStart"/>
      <w:r w:rsidR="00092566" w:rsidRPr="00A25024">
        <w:rPr>
          <w:rFonts w:cstheme="minorHAnsi"/>
          <w:bCs/>
        </w:rPr>
        <w:t>:</w:t>
      </w:r>
      <w:proofErr w:type="gramEnd"/>
      <w:r w:rsidR="00092566" w:rsidRPr="00A25024">
        <w:rPr>
          <w:rFonts w:cstheme="minorHAnsi"/>
          <w:bCs/>
        </w:rPr>
        <w:br/>
      </w:r>
      <w:r w:rsidR="00137487">
        <w:rPr>
          <w:rStyle w:val="FormTextChar"/>
        </w:rPr>
        <w:t>See 2b4.6 (Table</w:t>
      </w:r>
      <w:r w:rsidR="00726DFC">
        <w:rPr>
          <w:rStyle w:val="FormTextChar"/>
        </w:rPr>
        <w:t>4</w:t>
      </w:r>
      <w:r w:rsidR="00137487" w:rsidRPr="00CF3770">
        <w:rPr>
          <w:rStyle w:val="FormTextChar"/>
        </w:rPr>
        <w:t>)</w:t>
      </w:r>
      <w:r w:rsidR="00092566" w:rsidRPr="00A25024">
        <w:rPr>
          <w:rFonts w:cstheme="minorHAnsi"/>
        </w:rPr>
        <w:br/>
      </w:r>
    </w:p>
    <w:p w:rsidR="00092566" w:rsidRPr="00A25024" w:rsidRDefault="00743E46" w:rsidP="00092566">
      <w:pPr>
        <w:autoSpaceDE w:val="0"/>
        <w:autoSpaceDN w:val="0"/>
        <w:adjustRightInd w:val="0"/>
        <w:spacing w:after="0" w:line="240" w:lineRule="auto"/>
        <w:rPr>
          <w:rFonts w:cstheme="minorHAnsi"/>
          <w:bCs/>
        </w:rPr>
      </w:pPr>
      <w:bookmarkStart w:id="13" w:name="question2b49"/>
      <w:bookmarkEnd w:id="13"/>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rsidR="00092566" w:rsidRPr="00137487" w:rsidRDefault="00137487" w:rsidP="00137487">
      <w:pPr>
        <w:rPr>
          <w:rFonts w:cstheme="minorHAnsi"/>
          <w:bCs/>
          <w:color w:val="0000FF"/>
        </w:rPr>
      </w:pPr>
      <w:r>
        <w:rPr>
          <w:rFonts w:cstheme="minorHAnsi"/>
          <w:bCs/>
          <w:color w:val="0000FF"/>
        </w:rPr>
        <w:t>Not applicable</w:t>
      </w:r>
    </w:p>
    <w:p w:rsidR="00092566" w:rsidRPr="00137487" w:rsidRDefault="00743E46" w:rsidP="00092566">
      <w:pPr>
        <w:autoSpaceDE w:val="0"/>
        <w:autoSpaceDN w:val="0"/>
        <w:adjustRightInd w:val="0"/>
        <w:spacing w:after="0" w:line="240" w:lineRule="auto"/>
        <w:rPr>
          <w:rFonts w:cstheme="minorHAnsi"/>
          <w:bCs/>
          <w:color w:val="0000FF"/>
        </w:rPr>
      </w:pPr>
      <w:r>
        <w:rPr>
          <w:rFonts w:cstheme="minorHAnsi"/>
          <w:b/>
          <w:bCs/>
        </w:rPr>
        <w:t>2b4.10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r w:rsidR="00092566" w:rsidRPr="00A25024">
        <w:rPr>
          <w:rFonts w:cstheme="minorHAnsi"/>
          <w:bCs/>
        </w:rPr>
        <w:br/>
      </w:r>
      <w:r w:rsidR="00CB4CC6">
        <w:rPr>
          <w:rFonts w:cstheme="minorHAnsi"/>
          <w:bCs/>
          <w:color w:val="0000FF"/>
        </w:rPr>
        <w:t>A model that is well calibrated</w:t>
      </w:r>
      <w:r w:rsidR="00137487" w:rsidRPr="00137487">
        <w:rPr>
          <w:rFonts w:cstheme="minorHAnsi"/>
          <w:bCs/>
          <w:color w:val="0000FF"/>
        </w:rPr>
        <w:t xml:space="preserve"> will have observed values similar to predicted values across the pr</w:t>
      </w:r>
      <w:r w:rsidR="00CB4CC6">
        <w:rPr>
          <w:rFonts w:cstheme="minorHAnsi"/>
          <w:bCs/>
          <w:color w:val="0000FF"/>
        </w:rPr>
        <w:t xml:space="preserve">edicted value </w:t>
      </w:r>
      <w:proofErr w:type="spellStart"/>
      <w:r w:rsidR="00CB4CC6">
        <w:rPr>
          <w:rFonts w:cstheme="minorHAnsi"/>
          <w:bCs/>
          <w:color w:val="0000FF"/>
        </w:rPr>
        <w:t>deciles</w:t>
      </w:r>
      <w:proofErr w:type="spellEnd"/>
      <w:r w:rsidR="00CB4CC6">
        <w:rPr>
          <w:rFonts w:cstheme="minorHAnsi"/>
          <w:bCs/>
          <w:color w:val="0000FF"/>
        </w:rPr>
        <w:t xml:space="preserve">.  This indicator is well calibrated and </w:t>
      </w:r>
      <w:r w:rsidR="00AE4C16">
        <w:rPr>
          <w:rFonts w:cstheme="minorHAnsi"/>
          <w:bCs/>
          <w:color w:val="0000FF"/>
        </w:rPr>
        <w:t xml:space="preserve">has good </w:t>
      </w:r>
      <w:r w:rsidR="00CB4CC6">
        <w:rPr>
          <w:rFonts w:cstheme="minorHAnsi"/>
          <w:bCs/>
          <w:color w:val="0000FF"/>
        </w:rPr>
        <w:t>discrimination</w:t>
      </w:r>
      <w:r w:rsidR="00B97FD0">
        <w:rPr>
          <w:rFonts w:cstheme="minorHAnsi"/>
          <w:bCs/>
          <w:color w:val="0000FF"/>
        </w:rPr>
        <w:t xml:space="preserve">, as the differences between observed and predicted values across the </w:t>
      </w:r>
      <w:proofErr w:type="spellStart"/>
      <w:r w:rsidR="00B97FD0">
        <w:rPr>
          <w:rFonts w:cstheme="minorHAnsi"/>
          <w:bCs/>
          <w:color w:val="0000FF"/>
        </w:rPr>
        <w:t>deciles</w:t>
      </w:r>
      <w:proofErr w:type="spellEnd"/>
      <w:r w:rsidR="00B97FD0">
        <w:rPr>
          <w:rFonts w:cstheme="minorHAnsi"/>
          <w:bCs/>
          <w:color w:val="0000FF"/>
        </w:rPr>
        <w:t xml:space="preserve"> </w:t>
      </w:r>
      <w:r w:rsidR="008C08C9">
        <w:rPr>
          <w:rFonts w:cstheme="minorHAnsi"/>
          <w:bCs/>
          <w:color w:val="0000FF"/>
        </w:rPr>
        <w:t xml:space="preserve">are </w:t>
      </w:r>
      <w:proofErr w:type="gramStart"/>
      <w:r w:rsidR="008C08C9">
        <w:rPr>
          <w:rFonts w:cstheme="minorHAnsi"/>
          <w:bCs/>
          <w:color w:val="0000FF"/>
        </w:rPr>
        <w:t>under</w:t>
      </w:r>
      <w:proofErr w:type="gramEnd"/>
      <w:r w:rsidR="008C08C9">
        <w:rPr>
          <w:rFonts w:cstheme="minorHAnsi"/>
          <w:bCs/>
          <w:color w:val="0000FF"/>
        </w:rPr>
        <w:t xml:space="preserve"> 10% for hospitals with rates at the median or above</w:t>
      </w:r>
      <w:r w:rsidR="00CB4CC6">
        <w:rPr>
          <w:rFonts w:cstheme="minorHAnsi"/>
          <w:bCs/>
          <w:color w:val="0000FF"/>
        </w:rPr>
        <w:t>.</w:t>
      </w:r>
      <w:r w:rsidR="008C08C9">
        <w:rPr>
          <w:rFonts w:cstheme="minorHAnsi"/>
          <w:bCs/>
          <w:color w:val="0000FF"/>
        </w:rPr>
        <w:t xml:space="preserve"> For hospitals with low predicted rates the relative differences between observed and predicted values is greater, primarily due to the very small observe rates. </w:t>
      </w:r>
    </w:p>
    <w:p w:rsidR="00092566" w:rsidRPr="00A25024" w:rsidRDefault="00092566" w:rsidP="00092566">
      <w:pPr>
        <w:spacing w:after="0" w:line="240" w:lineRule="auto"/>
        <w:rPr>
          <w:rFonts w:cstheme="minorHAnsi"/>
        </w:rPr>
      </w:pPr>
    </w:p>
    <w:p w:rsidR="00021170" w:rsidRPr="009B1A15"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rsidR="003755CB" w:rsidRDefault="003755CB" w:rsidP="00D61410">
      <w:pPr>
        <w:autoSpaceDE w:val="0"/>
        <w:autoSpaceDN w:val="0"/>
        <w:adjustRightInd w:val="0"/>
        <w:spacing w:after="0" w:line="240" w:lineRule="auto"/>
        <w:rPr>
          <w:rFonts w:cstheme="minorHAnsi"/>
          <w:b/>
          <w:bCs/>
        </w:rPr>
      </w:pPr>
    </w:p>
    <w:p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rsidR="00D61410" w:rsidRPr="00A25024" w:rsidRDefault="00D61410" w:rsidP="00D61410">
      <w:pPr>
        <w:autoSpaceDE w:val="0"/>
        <w:autoSpaceDN w:val="0"/>
        <w:adjustRightInd w:val="0"/>
        <w:spacing w:after="0" w:line="240" w:lineRule="auto"/>
        <w:rPr>
          <w:rFonts w:cstheme="minorHAnsi"/>
          <w:b/>
          <w:bCs/>
        </w:rPr>
      </w:pPr>
      <w:bookmarkStart w:id="14" w:name="section2b5"/>
      <w:bookmarkEnd w:id="14"/>
      <w:r w:rsidRPr="00A25024">
        <w:rPr>
          <w:rFonts w:cstheme="minorHAnsi"/>
          <w:b/>
          <w:bCs/>
        </w:rPr>
        <w:t>2b5. IDENTIFICATION OF STATISTICALLY SIGNIFICANT &amp; MEANINGFUL DIFFERENCES IN PERFORMANCE</w:t>
      </w:r>
    </w:p>
    <w:p w:rsidR="002C288F" w:rsidRPr="002C288F" w:rsidRDefault="00D61410" w:rsidP="002C288F">
      <w:pPr>
        <w:autoSpaceDE w:val="0"/>
        <w:autoSpaceDN w:val="0"/>
        <w:adjustRightInd w:val="0"/>
        <w:spacing w:after="0" w:line="240" w:lineRule="auto"/>
        <w:rPr>
          <w:rFonts w:cstheme="minorHAnsi"/>
          <w:color w:val="0000FF"/>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r>
      <w:proofErr w:type="gramStart"/>
      <w:r w:rsidR="002C288F" w:rsidRPr="002C288F">
        <w:rPr>
          <w:rFonts w:cstheme="minorHAnsi"/>
          <w:color w:val="0000FF"/>
        </w:rPr>
        <w:t>This</w:t>
      </w:r>
      <w:proofErr w:type="gramEnd"/>
      <w:r w:rsidR="002C288F" w:rsidRPr="002C288F">
        <w:rPr>
          <w:rFonts w:cstheme="minorHAnsi"/>
          <w:color w:val="0000FF"/>
        </w:rPr>
        <w:t xml:space="preserve"> analysis assesses the probability that an area is higher or lower than a benchmark or threshold, given hospital size. It reflects whether the indicator can discriminate the best performing hospitals from the lower performing hospitals. </w:t>
      </w:r>
    </w:p>
    <w:p w:rsidR="002C288F" w:rsidRPr="002C288F" w:rsidRDefault="002C288F" w:rsidP="002C288F">
      <w:pPr>
        <w:autoSpaceDE w:val="0"/>
        <w:autoSpaceDN w:val="0"/>
        <w:adjustRightInd w:val="0"/>
        <w:spacing w:after="0" w:line="240" w:lineRule="auto"/>
        <w:rPr>
          <w:rFonts w:cstheme="minorHAnsi"/>
          <w:color w:val="0000FF"/>
        </w:rPr>
      </w:pPr>
    </w:p>
    <w:p w:rsidR="002C288F" w:rsidRPr="002C288F" w:rsidRDefault="002C288F" w:rsidP="002C288F">
      <w:pPr>
        <w:autoSpaceDE w:val="0"/>
        <w:autoSpaceDN w:val="0"/>
        <w:adjustRightInd w:val="0"/>
        <w:spacing w:after="0" w:line="240" w:lineRule="auto"/>
        <w:rPr>
          <w:rFonts w:cstheme="minorHAnsi"/>
          <w:color w:val="0000FF"/>
        </w:rPr>
      </w:pPr>
      <w:r w:rsidRPr="002C288F">
        <w:rPr>
          <w:rFonts w:cstheme="minorHAnsi"/>
          <w:color w:val="0000FF"/>
        </w:rPr>
        <w:t>For this analysis, “benchmark” refers to the smoothed indicator rate based on the 20</w:t>
      </w:r>
      <w:r w:rsidRPr="002C288F">
        <w:rPr>
          <w:rFonts w:cstheme="minorHAnsi"/>
          <w:color w:val="0000FF"/>
          <w:vertAlign w:val="superscript"/>
        </w:rPr>
        <w:t>th</w:t>
      </w:r>
      <w:r w:rsidRPr="002C288F">
        <w:rPr>
          <w:rFonts w:cstheme="minorHAnsi"/>
          <w:color w:val="0000FF"/>
        </w:rPr>
        <w:t xml:space="preserve"> percentile of the reference population (i.e., 20% of hospitals have a lower mortality rate or better performance</w:t>
      </w:r>
      <w:proofErr w:type="gramStart"/>
      <w:r w:rsidRPr="002C288F">
        <w:rPr>
          <w:rFonts w:cstheme="minorHAnsi"/>
          <w:color w:val="0000FF"/>
        </w:rPr>
        <w:t>) .</w:t>
      </w:r>
      <w:proofErr w:type="gramEnd"/>
      <w:r w:rsidRPr="002C288F">
        <w:rPr>
          <w:rFonts w:cstheme="minorHAnsi"/>
          <w:color w:val="0000FF"/>
        </w:rPr>
        <w:t xml:space="preserve"> “Threshold” refers to the indicator rate based on the 80</w:t>
      </w:r>
      <w:r w:rsidRPr="002C288F">
        <w:rPr>
          <w:rFonts w:cstheme="minorHAnsi"/>
          <w:color w:val="0000FF"/>
          <w:vertAlign w:val="superscript"/>
        </w:rPr>
        <w:t>th</w:t>
      </w:r>
      <w:r w:rsidRPr="002C288F">
        <w:rPr>
          <w:rFonts w:cstheme="minorHAnsi"/>
          <w:color w:val="0000FF"/>
        </w:rPr>
        <w:t xml:space="preserve"> percentile (i.e., 80% have lower mortality or better performance). </w:t>
      </w:r>
    </w:p>
    <w:p w:rsidR="002C288F" w:rsidRPr="002C288F" w:rsidRDefault="002C288F" w:rsidP="002C288F">
      <w:pPr>
        <w:autoSpaceDE w:val="0"/>
        <w:autoSpaceDN w:val="0"/>
        <w:adjustRightInd w:val="0"/>
        <w:spacing w:after="0" w:line="240" w:lineRule="auto"/>
        <w:rPr>
          <w:rFonts w:cstheme="minorHAnsi"/>
          <w:color w:val="0000FF"/>
        </w:rPr>
      </w:pPr>
    </w:p>
    <w:p w:rsidR="002C288F" w:rsidRPr="002C288F" w:rsidRDefault="002C288F" w:rsidP="002C288F">
      <w:pPr>
        <w:autoSpaceDE w:val="0"/>
        <w:autoSpaceDN w:val="0"/>
        <w:adjustRightInd w:val="0"/>
        <w:spacing w:after="0" w:line="240" w:lineRule="auto"/>
        <w:rPr>
          <w:rFonts w:cstheme="minorHAnsi"/>
          <w:color w:val="0000FF"/>
        </w:rPr>
      </w:pPr>
      <w:r w:rsidRPr="002C288F">
        <w:rPr>
          <w:rFonts w:cstheme="minorHAnsi"/>
          <w:color w:val="0000FF"/>
        </w:rPr>
        <w:t xml:space="preserve">The analysis is reported by size </w:t>
      </w:r>
      <w:proofErr w:type="spellStart"/>
      <w:r w:rsidRPr="002C288F">
        <w:rPr>
          <w:rFonts w:cstheme="minorHAnsi"/>
          <w:color w:val="0000FF"/>
        </w:rPr>
        <w:t>decile</w:t>
      </w:r>
      <w:proofErr w:type="spellEnd"/>
      <w:r w:rsidRPr="002C288F">
        <w:rPr>
          <w:rFonts w:cstheme="minorHAnsi"/>
          <w:color w:val="0000FF"/>
        </w:rPr>
        <w:t>, based on the denominator cases, demonstrating performance across hospitals of various sizes.  Each hospital is assumed to have an underlying distribution of smoothed rates that follows a Gamma distribution.  The parameters of a Gamma distribution are shape and scale.  For each hospital the shape is calculated as ((smoothed rate</w:t>
      </w:r>
      <w:proofErr w:type="gramStart"/>
      <w:r w:rsidRPr="002C288F">
        <w:rPr>
          <w:rFonts w:cstheme="minorHAnsi"/>
          <w:color w:val="0000FF"/>
        </w:rPr>
        <w:t>)</w:t>
      </w:r>
      <w:r w:rsidRPr="002C288F">
        <w:rPr>
          <w:rFonts w:cstheme="minorHAnsi"/>
          <w:color w:val="0000FF"/>
          <w:vertAlign w:val="superscript"/>
        </w:rPr>
        <w:t>2</w:t>
      </w:r>
      <w:proofErr w:type="gramEnd"/>
      <w:r w:rsidRPr="002C288F">
        <w:rPr>
          <w:rFonts w:cstheme="minorHAnsi"/>
          <w:color w:val="0000FF"/>
          <w:vertAlign w:val="subscript"/>
        </w:rPr>
        <w:t xml:space="preserve"> </w:t>
      </w:r>
      <w:r w:rsidRPr="002C288F">
        <w:rPr>
          <w:rFonts w:cstheme="minorHAnsi"/>
          <w:color w:val="0000FF"/>
        </w:rPr>
        <w:t>/ smoothed rate variance), and the scale is calculated as (smoothed rate variance / smoothed rate).  The smoothed rate variance (aka posterior variance) is calculated as the signal variance – (reliability weight * signal variance).   The reliability weight is calculated as (signal variance / (signal variance + noise variance)).  Hospitals are ranked by size and grouped into 10 equal categories of size (</w:t>
      </w:r>
      <w:proofErr w:type="spellStart"/>
      <w:r w:rsidRPr="002C288F">
        <w:rPr>
          <w:rFonts w:cstheme="minorHAnsi"/>
          <w:color w:val="0000FF"/>
        </w:rPr>
        <w:t>deciles</w:t>
      </w:r>
      <w:proofErr w:type="spellEnd"/>
      <w:r w:rsidRPr="002C288F">
        <w:rPr>
          <w:rFonts w:cstheme="minorHAnsi"/>
          <w:color w:val="0000FF"/>
        </w:rPr>
        <w:t xml:space="preserve">).  The Benchmark and Threshold are compared to the Gamma distribution of the smoothed rates for each hospital to determine if the hospital rate is better or worse than the Benchmark and Threshold rates with 95% probability.  </w:t>
      </w:r>
      <w:r w:rsidR="00EA4F77">
        <w:rPr>
          <w:rFonts w:cstheme="minorHAnsi"/>
          <w:color w:val="0000FF"/>
        </w:rPr>
        <w:t xml:space="preserve">This provides a 95% confidence interval for the Benchmark and Threshold rate. </w:t>
      </w:r>
      <w:r w:rsidRPr="002C288F">
        <w:rPr>
          <w:rFonts w:cstheme="minorHAnsi"/>
          <w:color w:val="0000FF"/>
        </w:rPr>
        <w:t xml:space="preserve"> </w:t>
      </w:r>
    </w:p>
    <w:p w:rsidR="002C288F" w:rsidRPr="002C288F" w:rsidRDefault="002C288F" w:rsidP="002C288F">
      <w:pPr>
        <w:autoSpaceDE w:val="0"/>
        <w:autoSpaceDN w:val="0"/>
        <w:adjustRightInd w:val="0"/>
        <w:spacing w:after="0" w:line="240" w:lineRule="auto"/>
        <w:rPr>
          <w:rFonts w:cstheme="minorHAnsi"/>
          <w:color w:val="0000FF"/>
        </w:rPr>
      </w:pPr>
    </w:p>
    <w:p w:rsidR="002C288F" w:rsidRPr="002C288F" w:rsidRDefault="00EA4F77" w:rsidP="002C288F">
      <w:pPr>
        <w:autoSpaceDE w:val="0"/>
        <w:autoSpaceDN w:val="0"/>
        <w:adjustRightInd w:val="0"/>
        <w:spacing w:after="0" w:line="240" w:lineRule="auto"/>
        <w:rPr>
          <w:rFonts w:cstheme="minorHAnsi"/>
          <w:color w:val="0000FF"/>
        </w:rPr>
      </w:pPr>
      <w:r>
        <w:rPr>
          <w:rFonts w:cstheme="minorHAnsi"/>
          <w:color w:val="0000FF"/>
        </w:rPr>
        <w:t xml:space="preserve">Table 5 reports </w:t>
      </w:r>
      <w:r w:rsidR="002C288F" w:rsidRPr="002C288F">
        <w:rPr>
          <w:rFonts w:cstheme="minorHAnsi"/>
          <w:color w:val="0000FF"/>
        </w:rPr>
        <w:t xml:space="preserve">the proportion of hospitals above and below the Benchmark and Threshold rates. </w:t>
      </w:r>
      <w:r w:rsidR="003976F3">
        <w:rPr>
          <w:rFonts w:cstheme="minorHAnsi"/>
          <w:color w:val="0000FF"/>
        </w:rPr>
        <w:t xml:space="preserve">The analyses are reported overall and for </w:t>
      </w:r>
      <w:proofErr w:type="spellStart"/>
      <w:r w:rsidR="003976F3">
        <w:rPr>
          <w:rFonts w:cstheme="minorHAnsi"/>
          <w:color w:val="0000FF"/>
        </w:rPr>
        <w:t>deciles</w:t>
      </w:r>
      <w:proofErr w:type="spellEnd"/>
      <w:r w:rsidR="003976F3">
        <w:rPr>
          <w:rFonts w:cstheme="minorHAnsi"/>
          <w:color w:val="0000FF"/>
        </w:rPr>
        <w:t xml:space="preserve"> based on hospital size.</w:t>
      </w:r>
      <w:r w:rsidR="00F11B99">
        <w:rPr>
          <w:rFonts w:cstheme="minorHAnsi"/>
          <w:color w:val="0000FF"/>
        </w:rPr>
        <w:t xml:space="preserve"> </w:t>
      </w:r>
      <w:r w:rsidR="000B73FC">
        <w:rPr>
          <w:rFonts w:cstheme="minorHAnsi"/>
          <w:color w:val="0000FF"/>
        </w:rPr>
        <w:t>T</w:t>
      </w:r>
      <w:r w:rsidR="003976F3">
        <w:rPr>
          <w:rFonts w:cstheme="minorHAnsi"/>
          <w:color w:val="0000FF"/>
        </w:rPr>
        <w:t xml:space="preserve">he proportion of hospitals not </w:t>
      </w:r>
      <w:r w:rsidR="007128AF">
        <w:rPr>
          <w:rFonts w:cstheme="minorHAnsi"/>
          <w:color w:val="0000FF"/>
        </w:rPr>
        <w:t>classified as either better or worse have rates that fall within the 95% confidence interval</w:t>
      </w:r>
      <w:r w:rsidR="002C288F" w:rsidRPr="002C288F">
        <w:rPr>
          <w:rFonts w:cstheme="minorHAnsi"/>
          <w:color w:val="0000FF"/>
        </w:rPr>
        <w:t xml:space="preserve">. </w:t>
      </w:r>
    </w:p>
    <w:p w:rsidR="00D61410" w:rsidRPr="00A25024" w:rsidRDefault="00D61410" w:rsidP="00D61410">
      <w:pPr>
        <w:autoSpaceDE w:val="0"/>
        <w:autoSpaceDN w:val="0"/>
        <w:adjustRightInd w:val="0"/>
        <w:spacing w:after="0" w:line="240" w:lineRule="auto"/>
        <w:rPr>
          <w:rFonts w:cstheme="minorHAnsi"/>
          <w:bCs/>
        </w:rPr>
      </w:pPr>
    </w:p>
    <w:p w:rsidR="00137487" w:rsidRDefault="00D61410" w:rsidP="00137487">
      <w:pPr>
        <w:pStyle w:val="BodyText"/>
        <w:rPr>
          <w:rFonts w:asciiTheme="minorHAnsi" w:hAnsiTheme="minorHAnsi" w:cstheme="minorHAnsi"/>
          <w:b/>
          <w:color w:val="0000FF"/>
          <w:sz w:val="20"/>
          <w:szCs w:val="20"/>
        </w:rPr>
      </w:pPr>
      <w:r>
        <w:rPr>
          <w:rFonts w:cstheme="minorHAnsi"/>
          <w:b/>
          <w:bCs/>
        </w:rPr>
        <w:t xml:space="preserve">2b5.2. </w:t>
      </w:r>
      <w:proofErr w:type="gramStart"/>
      <w:r w:rsidRPr="00A25024">
        <w:rPr>
          <w:rFonts w:cstheme="minorHAnsi"/>
          <w:b/>
          <w:bCs/>
        </w:rPr>
        <w:t>What</w:t>
      </w:r>
      <w:proofErr w:type="gramEnd"/>
      <w:r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p>
    <w:p w:rsidR="00AF279A" w:rsidRPr="00DB31EF" w:rsidRDefault="00137487" w:rsidP="006C63BD">
      <w:pPr>
        <w:pStyle w:val="BodyText"/>
        <w:ind w:left="-90"/>
        <w:rPr>
          <w:rFonts w:asciiTheme="minorHAnsi" w:hAnsiTheme="minorHAnsi" w:cstheme="minorHAnsi"/>
          <w:b/>
          <w:color w:val="0000FF"/>
        </w:rPr>
      </w:pPr>
      <w:proofErr w:type="gramStart"/>
      <w:r w:rsidRPr="00DB31EF">
        <w:rPr>
          <w:rFonts w:asciiTheme="minorHAnsi" w:hAnsiTheme="minorHAnsi" w:cstheme="minorHAnsi"/>
          <w:b/>
          <w:color w:val="0000FF"/>
        </w:rPr>
        <w:t>Table 5.</w:t>
      </w:r>
      <w:proofErr w:type="gramEnd"/>
      <w:r w:rsidRPr="00DB31EF">
        <w:rPr>
          <w:rFonts w:asciiTheme="minorHAnsi" w:hAnsiTheme="minorHAnsi" w:cstheme="minorHAnsi"/>
          <w:b/>
          <w:color w:val="0000FF"/>
        </w:rPr>
        <w:t xml:space="preserve"> Performance Categories by Hospital Size </w:t>
      </w:r>
      <w:proofErr w:type="spellStart"/>
      <w:r w:rsidRPr="00DB31EF">
        <w:rPr>
          <w:rFonts w:asciiTheme="minorHAnsi" w:hAnsiTheme="minorHAnsi" w:cstheme="minorHAnsi"/>
          <w:b/>
          <w:color w:val="0000FF"/>
        </w:rPr>
        <w:t>Decile</w:t>
      </w:r>
      <w:proofErr w:type="spellEnd"/>
      <w:r w:rsidR="006C63BD">
        <w:rPr>
          <w:rFonts w:asciiTheme="minorHAnsi" w:hAnsiTheme="minorHAnsi" w:cstheme="minorHAnsi"/>
          <w:b/>
          <w:color w:val="0000FF"/>
        </w:rPr>
        <w:t xml:space="preserve"> </w:t>
      </w:r>
      <w:r w:rsidR="00AF279A" w:rsidRPr="00DB31EF">
        <w:rPr>
          <w:rFonts w:asciiTheme="minorHAnsi" w:hAnsiTheme="minorHAnsi" w:cstheme="minorHAnsi"/>
          <w:b/>
          <w:color w:val="0000FF"/>
        </w:rPr>
        <w:t>PSI 11 Postoperative Respiratory Failure Rate</w:t>
      </w:r>
    </w:p>
    <w:tbl>
      <w:tblPr>
        <w:tblW w:w="9483" w:type="dxa"/>
        <w:tblInd w:w="93" w:type="dxa"/>
        <w:tblLayout w:type="fixed"/>
        <w:tblLook w:val="04A0" w:firstRow="1" w:lastRow="0" w:firstColumn="1" w:lastColumn="0" w:noHBand="0" w:noVBand="1"/>
      </w:tblPr>
      <w:tblGrid>
        <w:gridCol w:w="784"/>
        <w:gridCol w:w="941"/>
        <w:gridCol w:w="1260"/>
        <w:gridCol w:w="1080"/>
        <w:gridCol w:w="1080"/>
        <w:gridCol w:w="1170"/>
        <w:gridCol w:w="1080"/>
        <w:gridCol w:w="991"/>
        <w:gridCol w:w="1097"/>
      </w:tblGrid>
      <w:tr w:rsidR="000B73FC" w:rsidRPr="00993D92" w:rsidTr="000B73FC">
        <w:trPr>
          <w:trHeight w:val="300"/>
        </w:trPr>
        <w:tc>
          <w:tcPr>
            <w:tcW w:w="784" w:type="dxa"/>
            <w:tcBorders>
              <w:top w:val="single" w:sz="8" w:space="0" w:color="auto"/>
              <w:left w:val="single" w:sz="8" w:space="0" w:color="auto"/>
              <w:right w:val="nil"/>
            </w:tcBorders>
            <w:shd w:val="clear" w:color="000000" w:fill="C0C0C0"/>
            <w:noWrap/>
            <w:vAlign w:val="bottom"/>
            <w:hideMark/>
          </w:tcPr>
          <w:p w:rsidR="000B73FC" w:rsidRPr="00993D92" w:rsidRDefault="000B73FC" w:rsidP="000B73FC">
            <w:pPr>
              <w:spacing w:after="0" w:line="240" w:lineRule="auto"/>
              <w:jc w:val="center"/>
              <w:rPr>
                <w:rFonts w:ascii="Calibri" w:eastAsia="Times New Roman" w:hAnsi="Calibri" w:cs="Times New Roman"/>
                <w:color w:val="000000"/>
              </w:rPr>
            </w:pPr>
          </w:p>
        </w:tc>
        <w:tc>
          <w:tcPr>
            <w:tcW w:w="941" w:type="dxa"/>
            <w:tcBorders>
              <w:top w:val="single" w:sz="8" w:space="0" w:color="auto"/>
              <w:left w:val="nil"/>
              <w:right w:val="nil"/>
            </w:tcBorders>
            <w:shd w:val="clear" w:color="000000" w:fill="C0C0C0"/>
            <w:noWrap/>
            <w:vAlign w:val="center"/>
            <w:hideMark/>
          </w:tcPr>
          <w:p w:rsidR="000B73FC" w:rsidRPr="00993D92" w:rsidRDefault="000B73FC" w:rsidP="000B73FC">
            <w:pPr>
              <w:spacing w:after="0" w:line="240" w:lineRule="auto"/>
              <w:jc w:val="center"/>
              <w:rPr>
                <w:rFonts w:ascii="Calibri" w:eastAsia="Times New Roman" w:hAnsi="Calibri" w:cs="Times New Roman"/>
                <w:b/>
                <w:bCs/>
                <w:color w:val="0000FF"/>
              </w:rPr>
            </w:pPr>
          </w:p>
        </w:tc>
        <w:tc>
          <w:tcPr>
            <w:tcW w:w="1260" w:type="dxa"/>
            <w:tcBorders>
              <w:top w:val="single" w:sz="8" w:space="0" w:color="auto"/>
              <w:left w:val="nil"/>
              <w:right w:val="nil"/>
            </w:tcBorders>
            <w:shd w:val="clear" w:color="000000" w:fill="C0C0C0"/>
            <w:noWrap/>
            <w:vAlign w:val="center"/>
            <w:hideMark/>
          </w:tcPr>
          <w:p w:rsidR="000B73FC" w:rsidRPr="00993D92" w:rsidRDefault="000B73FC" w:rsidP="000B73FC">
            <w:pPr>
              <w:spacing w:after="0" w:line="240" w:lineRule="auto"/>
              <w:jc w:val="center"/>
              <w:rPr>
                <w:rFonts w:ascii="Calibri" w:eastAsia="Times New Roman" w:hAnsi="Calibri" w:cs="Times New Roman"/>
                <w:b/>
                <w:bCs/>
                <w:color w:val="0000FF"/>
              </w:rPr>
            </w:pPr>
          </w:p>
        </w:tc>
        <w:tc>
          <w:tcPr>
            <w:tcW w:w="3330" w:type="dxa"/>
            <w:gridSpan w:val="3"/>
            <w:tcBorders>
              <w:top w:val="single" w:sz="8" w:space="0" w:color="auto"/>
              <w:left w:val="single" w:sz="8" w:space="0" w:color="auto"/>
              <w:right w:val="nil"/>
            </w:tcBorders>
            <w:shd w:val="clear" w:color="000000" w:fill="C0C0C0"/>
            <w:noWrap/>
            <w:vAlign w:val="center"/>
            <w:hideMark/>
          </w:tcPr>
          <w:p w:rsidR="000B73FC" w:rsidRPr="00993D92" w:rsidRDefault="000B73FC" w:rsidP="000B73FC">
            <w:pPr>
              <w:spacing w:after="0" w:line="240" w:lineRule="auto"/>
              <w:jc w:val="center"/>
              <w:rPr>
                <w:rFonts w:ascii="Calibri" w:eastAsia="Times New Roman" w:hAnsi="Calibri" w:cs="Times New Roman"/>
                <w:b/>
                <w:bCs/>
                <w:color w:val="0000FF"/>
              </w:rPr>
            </w:pPr>
            <w:r w:rsidRPr="00993D92">
              <w:rPr>
                <w:rFonts w:ascii="Calibri" w:eastAsia="Times New Roman" w:hAnsi="Calibri" w:cs="Times New Roman"/>
                <w:b/>
                <w:bCs/>
                <w:color w:val="0000FF"/>
              </w:rPr>
              <w:t>Benchmark</w:t>
            </w:r>
          </w:p>
        </w:tc>
        <w:tc>
          <w:tcPr>
            <w:tcW w:w="3168" w:type="dxa"/>
            <w:gridSpan w:val="3"/>
            <w:tcBorders>
              <w:top w:val="single" w:sz="8" w:space="0" w:color="auto"/>
              <w:left w:val="single" w:sz="8" w:space="0" w:color="auto"/>
              <w:right w:val="single" w:sz="8" w:space="0" w:color="auto"/>
            </w:tcBorders>
            <w:shd w:val="clear" w:color="000000" w:fill="C0C0C0"/>
            <w:noWrap/>
            <w:vAlign w:val="center"/>
            <w:hideMark/>
          </w:tcPr>
          <w:p w:rsidR="000B73FC" w:rsidRPr="00993D92" w:rsidRDefault="000B73FC" w:rsidP="000B73FC">
            <w:pPr>
              <w:spacing w:after="0" w:line="240" w:lineRule="auto"/>
              <w:jc w:val="center"/>
              <w:rPr>
                <w:rFonts w:ascii="Calibri" w:eastAsia="Times New Roman" w:hAnsi="Calibri" w:cs="Times New Roman"/>
                <w:color w:val="000000"/>
              </w:rPr>
            </w:pPr>
            <w:r w:rsidRPr="00993D92">
              <w:rPr>
                <w:rFonts w:ascii="Calibri" w:eastAsia="Times New Roman" w:hAnsi="Calibri" w:cs="Times New Roman"/>
                <w:b/>
                <w:bCs/>
                <w:color w:val="0000FF"/>
              </w:rPr>
              <w:t>Threshold</w:t>
            </w:r>
          </w:p>
        </w:tc>
      </w:tr>
      <w:tr w:rsidR="000B73FC" w:rsidRPr="000B73FC" w:rsidTr="000B73FC">
        <w:trPr>
          <w:trHeight w:val="40"/>
        </w:trPr>
        <w:tc>
          <w:tcPr>
            <w:tcW w:w="784" w:type="dxa"/>
            <w:tcBorders>
              <w:left w:val="single" w:sz="8" w:space="0" w:color="auto"/>
              <w:bottom w:val="single" w:sz="8" w:space="0" w:color="000000"/>
              <w:right w:val="nil"/>
            </w:tcBorders>
            <w:shd w:val="clear" w:color="000000" w:fill="C0C0C0"/>
            <w:vAlign w:val="center"/>
            <w:hideMark/>
          </w:tcPr>
          <w:p w:rsidR="000B73FC" w:rsidRPr="00993D92" w:rsidRDefault="000B73FC" w:rsidP="00993D92">
            <w:pPr>
              <w:spacing w:after="0" w:line="240" w:lineRule="auto"/>
              <w:rPr>
                <w:rFonts w:ascii="Calibri" w:eastAsia="Times New Roman" w:hAnsi="Calibri" w:cs="Times New Roman"/>
                <w:b/>
                <w:bCs/>
                <w:color w:val="0000FF"/>
                <w:sz w:val="16"/>
                <w:szCs w:val="16"/>
              </w:rPr>
            </w:pPr>
            <w:r w:rsidRPr="00993D92">
              <w:rPr>
                <w:rFonts w:ascii="Calibri" w:eastAsia="Times New Roman" w:hAnsi="Calibri" w:cs="Times New Roman"/>
                <w:b/>
                <w:bCs/>
                <w:color w:val="0000FF"/>
                <w:sz w:val="16"/>
                <w:szCs w:val="16"/>
              </w:rPr>
              <w:t xml:space="preserve">Size </w:t>
            </w:r>
            <w:proofErr w:type="spellStart"/>
            <w:r w:rsidRPr="00993D92">
              <w:rPr>
                <w:rFonts w:ascii="Calibri" w:eastAsia="Times New Roman" w:hAnsi="Calibri" w:cs="Times New Roman"/>
                <w:b/>
                <w:bCs/>
                <w:color w:val="0000FF"/>
                <w:sz w:val="16"/>
                <w:szCs w:val="16"/>
              </w:rPr>
              <w:t>Decile</w:t>
            </w:r>
            <w:proofErr w:type="spellEnd"/>
          </w:p>
        </w:tc>
        <w:tc>
          <w:tcPr>
            <w:tcW w:w="941" w:type="dxa"/>
            <w:tcBorders>
              <w:left w:val="nil"/>
              <w:bottom w:val="single" w:sz="8" w:space="0" w:color="000000"/>
              <w:right w:val="nil"/>
            </w:tcBorders>
            <w:shd w:val="clear" w:color="000000" w:fill="C0C0C0"/>
            <w:vAlign w:val="center"/>
            <w:hideMark/>
          </w:tcPr>
          <w:p w:rsidR="000B73FC" w:rsidRPr="00993D92" w:rsidRDefault="000B73FC" w:rsidP="00993D92">
            <w:pPr>
              <w:spacing w:after="0" w:line="240" w:lineRule="auto"/>
              <w:rPr>
                <w:rFonts w:ascii="Calibri" w:eastAsia="Times New Roman" w:hAnsi="Calibri" w:cs="Times New Roman"/>
                <w:b/>
                <w:bCs/>
                <w:color w:val="0000FF"/>
                <w:sz w:val="16"/>
                <w:szCs w:val="16"/>
              </w:rPr>
            </w:pPr>
            <w:r w:rsidRPr="00993D92">
              <w:rPr>
                <w:rFonts w:ascii="Calibri" w:eastAsia="Times New Roman" w:hAnsi="Calibri" w:cs="Times New Roman"/>
                <w:b/>
                <w:bCs/>
                <w:color w:val="0000FF"/>
                <w:sz w:val="16"/>
                <w:szCs w:val="16"/>
              </w:rPr>
              <w:t>Number of Hospitals</w:t>
            </w:r>
          </w:p>
        </w:tc>
        <w:tc>
          <w:tcPr>
            <w:tcW w:w="1260" w:type="dxa"/>
            <w:tcBorders>
              <w:left w:val="nil"/>
              <w:bottom w:val="single" w:sz="8" w:space="0" w:color="auto"/>
              <w:right w:val="nil"/>
            </w:tcBorders>
            <w:shd w:val="clear" w:color="000000" w:fill="C0C0C0"/>
            <w:vAlign w:val="center"/>
            <w:hideMark/>
          </w:tcPr>
          <w:p w:rsidR="000B73FC" w:rsidRPr="00993D92" w:rsidRDefault="000B73FC" w:rsidP="000B73FC">
            <w:pPr>
              <w:spacing w:after="100" w:afterAutospacing="1" w:line="240" w:lineRule="auto"/>
              <w:rPr>
                <w:rFonts w:ascii="Calibri" w:eastAsia="Times New Roman" w:hAnsi="Calibri" w:cs="Times New Roman"/>
                <w:b/>
                <w:bCs/>
                <w:color w:val="0000FF"/>
                <w:sz w:val="16"/>
                <w:szCs w:val="16"/>
              </w:rPr>
            </w:pPr>
            <w:r w:rsidRPr="00993D92">
              <w:rPr>
                <w:rFonts w:ascii="Calibri" w:eastAsia="Times New Roman" w:hAnsi="Calibri" w:cs="Times New Roman"/>
                <w:b/>
                <w:bCs/>
                <w:color w:val="0000FF"/>
                <w:sz w:val="16"/>
                <w:szCs w:val="16"/>
              </w:rPr>
              <w:t>Average Number of Denominator</w:t>
            </w:r>
            <w:r>
              <w:rPr>
                <w:rFonts w:ascii="Calibri" w:eastAsia="Times New Roman" w:hAnsi="Calibri" w:cs="Times New Roman"/>
                <w:b/>
                <w:bCs/>
                <w:color w:val="0000FF"/>
                <w:sz w:val="16"/>
                <w:szCs w:val="16"/>
              </w:rPr>
              <w:t xml:space="preserve"> </w:t>
            </w:r>
            <w:r w:rsidRPr="00993D92">
              <w:rPr>
                <w:rFonts w:ascii="Calibri" w:eastAsia="Times New Roman" w:hAnsi="Calibri" w:cs="Times New Roman"/>
                <w:b/>
                <w:bCs/>
                <w:color w:val="0000FF"/>
                <w:sz w:val="16"/>
                <w:szCs w:val="16"/>
              </w:rPr>
              <w:t>Discharges Per Hospital</w:t>
            </w:r>
          </w:p>
        </w:tc>
        <w:tc>
          <w:tcPr>
            <w:tcW w:w="1080" w:type="dxa"/>
            <w:tcBorders>
              <w:left w:val="single" w:sz="8" w:space="0" w:color="auto"/>
              <w:bottom w:val="single" w:sz="8" w:space="0" w:color="000000"/>
              <w:right w:val="nil"/>
            </w:tcBorders>
            <w:shd w:val="clear" w:color="000000" w:fill="C0C0C0"/>
            <w:vAlign w:val="center"/>
            <w:hideMark/>
          </w:tcPr>
          <w:p w:rsidR="000B73FC" w:rsidRPr="00993D92" w:rsidRDefault="000B73FC" w:rsidP="00993D92">
            <w:pPr>
              <w:spacing w:after="0" w:line="240" w:lineRule="auto"/>
              <w:rPr>
                <w:rFonts w:ascii="Calibri" w:eastAsia="Times New Roman" w:hAnsi="Calibri" w:cs="Times New Roman"/>
                <w:b/>
                <w:bCs/>
                <w:color w:val="0000FF"/>
                <w:sz w:val="16"/>
                <w:szCs w:val="16"/>
              </w:rPr>
            </w:pPr>
            <w:r w:rsidRPr="00993D92">
              <w:rPr>
                <w:rFonts w:ascii="Calibri" w:eastAsia="Times New Roman" w:hAnsi="Calibri" w:cs="Times New Roman"/>
                <w:b/>
                <w:bCs/>
                <w:color w:val="0000FF"/>
                <w:sz w:val="16"/>
                <w:szCs w:val="16"/>
              </w:rPr>
              <w:t>Proportion Better</w:t>
            </w:r>
          </w:p>
        </w:tc>
        <w:tc>
          <w:tcPr>
            <w:tcW w:w="1080" w:type="dxa"/>
            <w:tcBorders>
              <w:left w:val="nil"/>
              <w:bottom w:val="single" w:sz="8" w:space="0" w:color="000000"/>
              <w:right w:val="nil"/>
            </w:tcBorders>
            <w:shd w:val="clear" w:color="000000" w:fill="C0C0C0"/>
            <w:vAlign w:val="center"/>
            <w:hideMark/>
          </w:tcPr>
          <w:p w:rsidR="000B73FC" w:rsidRPr="00993D92" w:rsidRDefault="000B73FC" w:rsidP="00993D92">
            <w:pPr>
              <w:spacing w:after="0" w:line="240" w:lineRule="auto"/>
              <w:rPr>
                <w:rFonts w:ascii="Calibri" w:eastAsia="Times New Roman" w:hAnsi="Calibri" w:cs="Times New Roman"/>
                <w:b/>
                <w:bCs/>
                <w:color w:val="0000FF"/>
                <w:sz w:val="16"/>
                <w:szCs w:val="16"/>
              </w:rPr>
            </w:pPr>
            <w:r w:rsidRPr="00993D92">
              <w:rPr>
                <w:rFonts w:ascii="Calibri" w:eastAsia="Times New Roman" w:hAnsi="Calibri" w:cs="Times New Roman"/>
                <w:b/>
                <w:bCs/>
                <w:color w:val="0000FF"/>
                <w:sz w:val="16"/>
                <w:szCs w:val="16"/>
              </w:rPr>
              <w:t>Proportion Worse</w:t>
            </w:r>
          </w:p>
        </w:tc>
        <w:tc>
          <w:tcPr>
            <w:tcW w:w="1170" w:type="dxa"/>
            <w:tcBorders>
              <w:left w:val="nil"/>
              <w:bottom w:val="single" w:sz="8" w:space="0" w:color="000000"/>
              <w:right w:val="nil"/>
            </w:tcBorders>
            <w:shd w:val="clear" w:color="000000" w:fill="C0C0C0"/>
            <w:vAlign w:val="center"/>
            <w:hideMark/>
          </w:tcPr>
          <w:p w:rsidR="000B73FC" w:rsidRPr="00993D92" w:rsidRDefault="000B73FC" w:rsidP="00993D92">
            <w:pPr>
              <w:spacing w:after="0" w:line="240" w:lineRule="auto"/>
              <w:rPr>
                <w:rFonts w:ascii="Calibri" w:eastAsia="Times New Roman" w:hAnsi="Calibri" w:cs="Times New Roman"/>
                <w:b/>
                <w:bCs/>
                <w:color w:val="0000FF"/>
                <w:sz w:val="16"/>
                <w:szCs w:val="16"/>
              </w:rPr>
            </w:pPr>
            <w:r w:rsidRPr="00993D92">
              <w:rPr>
                <w:rFonts w:ascii="Calibri" w:eastAsia="Times New Roman" w:hAnsi="Calibri" w:cs="Times New Roman"/>
                <w:b/>
                <w:bCs/>
                <w:color w:val="0000FF"/>
                <w:sz w:val="16"/>
                <w:szCs w:val="16"/>
              </w:rPr>
              <w:t xml:space="preserve">Proportion Unclassified </w:t>
            </w:r>
          </w:p>
        </w:tc>
        <w:tc>
          <w:tcPr>
            <w:tcW w:w="1080" w:type="dxa"/>
            <w:tcBorders>
              <w:left w:val="single" w:sz="8" w:space="0" w:color="auto"/>
              <w:bottom w:val="single" w:sz="8" w:space="0" w:color="000000"/>
              <w:right w:val="nil"/>
            </w:tcBorders>
            <w:shd w:val="clear" w:color="000000" w:fill="C0C0C0"/>
            <w:vAlign w:val="center"/>
            <w:hideMark/>
          </w:tcPr>
          <w:p w:rsidR="000B73FC" w:rsidRPr="00993D92" w:rsidRDefault="000B73FC" w:rsidP="00993D92">
            <w:pPr>
              <w:spacing w:after="0" w:line="240" w:lineRule="auto"/>
              <w:rPr>
                <w:rFonts w:ascii="Calibri" w:eastAsia="Times New Roman" w:hAnsi="Calibri" w:cs="Times New Roman"/>
                <w:b/>
                <w:bCs/>
                <w:color w:val="0000FF"/>
                <w:sz w:val="16"/>
                <w:szCs w:val="16"/>
              </w:rPr>
            </w:pPr>
            <w:r w:rsidRPr="00993D92">
              <w:rPr>
                <w:rFonts w:ascii="Calibri" w:eastAsia="Times New Roman" w:hAnsi="Calibri" w:cs="Times New Roman"/>
                <w:b/>
                <w:bCs/>
                <w:color w:val="0000FF"/>
                <w:sz w:val="16"/>
                <w:szCs w:val="16"/>
              </w:rPr>
              <w:t>Proportion Better</w:t>
            </w:r>
          </w:p>
        </w:tc>
        <w:tc>
          <w:tcPr>
            <w:tcW w:w="991" w:type="dxa"/>
            <w:tcBorders>
              <w:left w:val="nil"/>
              <w:bottom w:val="single" w:sz="8" w:space="0" w:color="000000"/>
              <w:right w:val="nil"/>
            </w:tcBorders>
            <w:shd w:val="clear" w:color="000000" w:fill="C0C0C0"/>
            <w:vAlign w:val="center"/>
            <w:hideMark/>
          </w:tcPr>
          <w:p w:rsidR="000B73FC" w:rsidRPr="00993D92" w:rsidRDefault="000B73FC" w:rsidP="00993D92">
            <w:pPr>
              <w:spacing w:after="0" w:line="240" w:lineRule="auto"/>
              <w:rPr>
                <w:rFonts w:ascii="Calibri" w:eastAsia="Times New Roman" w:hAnsi="Calibri" w:cs="Times New Roman"/>
                <w:b/>
                <w:bCs/>
                <w:color w:val="0000FF"/>
                <w:sz w:val="16"/>
                <w:szCs w:val="16"/>
              </w:rPr>
            </w:pPr>
            <w:r w:rsidRPr="00993D92">
              <w:rPr>
                <w:rFonts w:ascii="Calibri" w:eastAsia="Times New Roman" w:hAnsi="Calibri" w:cs="Times New Roman"/>
                <w:b/>
                <w:bCs/>
                <w:color w:val="0000FF"/>
                <w:sz w:val="16"/>
                <w:szCs w:val="16"/>
              </w:rPr>
              <w:t>Proportion Worse</w:t>
            </w:r>
          </w:p>
        </w:tc>
        <w:tc>
          <w:tcPr>
            <w:tcW w:w="1097" w:type="dxa"/>
            <w:tcBorders>
              <w:left w:val="nil"/>
              <w:bottom w:val="single" w:sz="8" w:space="0" w:color="000000"/>
              <w:right w:val="single" w:sz="8" w:space="0" w:color="auto"/>
            </w:tcBorders>
            <w:shd w:val="clear" w:color="000000" w:fill="C0C0C0"/>
            <w:vAlign w:val="center"/>
            <w:hideMark/>
          </w:tcPr>
          <w:p w:rsidR="000B73FC" w:rsidRPr="00993D92" w:rsidRDefault="000B73FC" w:rsidP="00993D92">
            <w:pPr>
              <w:spacing w:after="0" w:line="240" w:lineRule="auto"/>
              <w:rPr>
                <w:rFonts w:ascii="Calibri" w:eastAsia="Times New Roman" w:hAnsi="Calibri" w:cs="Times New Roman"/>
                <w:b/>
                <w:bCs/>
                <w:color w:val="0000FF"/>
                <w:sz w:val="16"/>
                <w:szCs w:val="16"/>
              </w:rPr>
            </w:pPr>
            <w:r w:rsidRPr="00993D92">
              <w:rPr>
                <w:rFonts w:ascii="Calibri" w:eastAsia="Times New Roman" w:hAnsi="Calibri" w:cs="Times New Roman"/>
                <w:b/>
                <w:bCs/>
                <w:color w:val="0000FF"/>
                <w:sz w:val="16"/>
                <w:szCs w:val="16"/>
              </w:rPr>
              <w:t xml:space="preserve">Proportion Unclassified </w:t>
            </w:r>
          </w:p>
        </w:tc>
      </w:tr>
      <w:tr w:rsidR="000B73FC" w:rsidRPr="00993D92" w:rsidTr="000B73FC">
        <w:trPr>
          <w:trHeight w:val="288"/>
        </w:trPr>
        <w:tc>
          <w:tcPr>
            <w:tcW w:w="784" w:type="dxa"/>
            <w:tcBorders>
              <w:top w:val="nil"/>
              <w:left w:val="single" w:sz="8" w:space="0" w:color="auto"/>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1</w:t>
            </w:r>
          </w:p>
        </w:tc>
        <w:tc>
          <w:tcPr>
            <w:tcW w:w="941"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262</w:t>
            </w:r>
          </w:p>
        </w:tc>
        <w:tc>
          <w:tcPr>
            <w:tcW w:w="1260" w:type="dxa"/>
            <w:tcBorders>
              <w:top w:val="single" w:sz="8" w:space="0" w:color="auto"/>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10.8</w:t>
            </w:r>
          </w:p>
        </w:tc>
        <w:tc>
          <w:tcPr>
            <w:tcW w:w="1080" w:type="dxa"/>
            <w:tcBorders>
              <w:top w:val="nil"/>
              <w:left w:val="single" w:sz="8" w:space="0" w:color="auto"/>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w:t>
            </w:r>
          </w:p>
        </w:tc>
        <w:tc>
          <w:tcPr>
            <w:tcW w:w="1080"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0.0687</w:t>
            </w:r>
          </w:p>
        </w:tc>
        <w:tc>
          <w:tcPr>
            <w:tcW w:w="1170"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0.9313</w:t>
            </w:r>
          </w:p>
        </w:tc>
        <w:tc>
          <w:tcPr>
            <w:tcW w:w="1080" w:type="dxa"/>
            <w:tcBorders>
              <w:top w:val="nil"/>
              <w:left w:val="single" w:sz="8" w:space="0" w:color="auto"/>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0.271</w:t>
            </w:r>
          </w:p>
        </w:tc>
        <w:tc>
          <w:tcPr>
            <w:tcW w:w="991"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0.0534</w:t>
            </w:r>
          </w:p>
        </w:tc>
        <w:tc>
          <w:tcPr>
            <w:tcW w:w="1097" w:type="dxa"/>
            <w:tcBorders>
              <w:top w:val="nil"/>
              <w:left w:val="nil"/>
              <w:bottom w:val="nil"/>
              <w:right w:val="single" w:sz="8" w:space="0" w:color="auto"/>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0.6756</w:t>
            </w:r>
          </w:p>
        </w:tc>
      </w:tr>
      <w:tr w:rsidR="000B73FC" w:rsidRPr="00993D92" w:rsidTr="000B73FC">
        <w:trPr>
          <w:trHeight w:val="288"/>
        </w:trPr>
        <w:tc>
          <w:tcPr>
            <w:tcW w:w="784" w:type="dxa"/>
            <w:tcBorders>
              <w:top w:val="nil"/>
              <w:left w:val="single" w:sz="8" w:space="0" w:color="auto"/>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2</w:t>
            </w:r>
          </w:p>
        </w:tc>
        <w:tc>
          <w:tcPr>
            <w:tcW w:w="941"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262</w:t>
            </w:r>
          </w:p>
        </w:tc>
        <w:tc>
          <w:tcPr>
            <w:tcW w:w="1260"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49.2</w:t>
            </w:r>
          </w:p>
        </w:tc>
        <w:tc>
          <w:tcPr>
            <w:tcW w:w="1080" w:type="dxa"/>
            <w:tcBorders>
              <w:top w:val="nil"/>
              <w:left w:val="single" w:sz="8" w:space="0" w:color="auto"/>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0.313</w:t>
            </w:r>
          </w:p>
        </w:tc>
        <w:tc>
          <w:tcPr>
            <w:tcW w:w="1080"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0.2481</w:t>
            </w:r>
          </w:p>
        </w:tc>
        <w:tc>
          <w:tcPr>
            <w:tcW w:w="1170"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0.4389</w:t>
            </w:r>
          </w:p>
        </w:tc>
        <w:tc>
          <w:tcPr>
            <w:tcW w:w="1080" w:type="dxa"/>
            <w:tcBorders>
              <w:top w:val="nil"/>
              <w:left w:val="single" w:sz="8" w:space="0" w:color="auto"/>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0.8015</w:t>
            </w:r>
          </w:p>
        </w:tc>
        <w:tc>
          <w:tcPr>
            <w:tcW w:w="991"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0.1336</w:t>
            </w:r>
          </w:p>
        </w:tc>
        <w:tc>
          <w:tcPr>
            <w:tcW w:w="1097" w:type="dxa"/>
            <w:tcBorders>
              <w:top w:val="nil"/>
              <w:left w:val="nil"/>
              <w:bottom w:val="nil"/>
              <w:right w:val="single" w:sz="8" w:space="0" w:color="auto"/>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0.0649</w:t>
            </w:r>
          </w:p>
        </w:tc>
      </w:tr>
      <w:tr w:rsidR="000B73FC" w:rsidRPr="00993D92" w:rsidTr="000B73FC">
        <w:trPr>
          <w:trHeight w:val="288"/>
        </w:trPr>
        <w:tc>
          <w:tcPr>
            <w:tcW w:w="784" w:type="dxa"/>
            <w:tcBorders>
              <w:top w:val="nil"/>
              <w:left w:val="single" w:sz="8" w:space="0" w:color="auto"/>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3</w:t>
            </w:r>
          </w:p>
        </w:tc>
        <w:tc>
          <w:tcPr>
            <w:tcW w:w="941"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262</w:t>
            </w:r>
          </w:p>
        </w:tc>
        <w:tc>
          <w:tcPr>
            <w:tcW w:w="1260"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116.5</w:t>
            </w:r>
          </w:p>
        </w:tc>
        <w:tc>
          <w:tcPr>
            <w:tcW w:w="1080" w:type="dxa"/>
            <w:tcBorders>
              <w:top w:val="nil"/>
              <w:left w:val="single" w:sz="8" w:space="0" w:color="auto"/>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0.5534</w:t>
            </w:r>
          </w:p>
        </w:tc>
        <w:tc>
          <w:tcPr>
            <w:tcW w:w="1080"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0.4084</w:t>
            </w:r>
          </w:p>
        </w:tc>
        <w:tc>
          <w:tcPr>
            <w:tcW w:w="1170"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0.0382</w:t>
            </w:r>
          </w:p>
        </w:tc>
        <w:tc>
          <w:tcPr>
            <w:tcW w:w="1080" w:type="dxa"/>
            <w:tcBorders>
              <w:top w:val="nil"/>
              <w:left w:val="single" w:sz="8" w:space="0" w:color="auto"/>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0.7824</w:t>
            </w:r>
          </w:p>
        </w:tc>
        <w:tc>
          <w:tcPr>
            <w:tcW w:w="991"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0.1603</w:t>
            </w:r>
          </w:p>
        </w:tc>
        <w:tc>
          <w:tcPr>
            <w:tcW w:w="1097" w:type="dxa"/>
            <w:tcBorders>
              <w:top w:val="nil"/>
              <w:left w:val="nil"/>
              <w:bottom w:val="nil"/>
              <w:right w:val="single" w:sz="8" w:space="0" w:color="auto"/>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0.0573</w:t>
            </w:r>
          </w:p>
        </w:tc>
      </w:tr>
      <w:tr w:rsidR="000B73FC" w:rsidRPr="00993D92" w:rsidTr="000B73FC">
        <w:trPr>
          <w:trHeight w:val="288"/>
        </w:trPr>
        <w:tc>
          <w:tcPr>
            <w:tcW w:w="784" w:type="dxa"/>
            <w:tcBorders>
              <w:top w:val="nil"/>
              <w:left w:val="single" w:sz="8" w:space="0" w:color="auto"/>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4</w:t>
            </w:r>
          </w:p>
        </w:tc>
        <w:tc>
          <w:tcPr>
            <w:tcW w:w="941"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262</w:t>
            </w:r>
          </w:p>
        </w:tc>
        <w:tc>
          <w:tcPr>
            <w:tcW w:w="1260"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217.4</w:t>
            </w:r>
          </w:p>
        </w:tc>
        <w:tc>
          <w:tcPr>
            <w:tcW w:w="1080" w:type="dxa"/>
            <w:tcBorders>
              <w:top w:val="nil"/>
              <w:left w:val="single" w:sz="8" w:space="0" w:color="auto"/>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0.416</w:t>
            </w:r>
          </w:p>
        </w:tc>
        <w:tc>
          <w:tcPr>
            <w:tcW w:w="1080"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0.458</w:t>
            </w:r>
          </w:p>
        </w:tc>
        <w:tc>
          <w:tcPr>
            <w:tcW w:w="1170"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0.126</w:t>
            </w:r>
          </w:p>
        </w:tc>
        <w:tc>
          <w:tcPr>
            <w:tcW w:w="1080" w:type="dxa"/>
            <w:tcBorders>
              <w:top w:val="nil"/>
              <w:left w:val="single" w:sz="8" w:space="0" w:color="auto"/>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0.8511</w:t>
            </w:r>
          </w:p>
        </w:tc>
        <w:tc>
          <w:tcPr>
            <w:tcW w:w="991"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0.1221</w:t>
            </w:r>
          </w:p>
        </w:tc>
        <w:tc>
          <w:tcPr>
            <w:tcW w:w="1097" w:type="dxa"/>
            <w:tcBorders>
              <w:top w:val="nil"/>
              <w:left w:val="nil"/>
              <w:bottom w:val="nil"/>
              <w:right w:val="single" w:sz="8" w:space="0" w:color="auto"/>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0.0268</w:t>
            </w:r>
          </w:p>
        </w:tc>
      </w:tr>
      <w:tr w:rsidR="000B73FC" w:rsidRPr="00993D92" w:rsidTr="000B73FC">
        <w:trPr>
          <w:trHeight w:val="288"/>
        </w:trPr>
        <w:tc>
          <w:tcPr>
            <w:tcW w:w="784" w:type="dxa"/>
            <w:tcBorders>
              <w:top w:val="nil"/>
              <w:left w:val="single" w:sz="8" w:space="0" w:color="auto"/>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5</w:t>
            </w:r>
          </w:p>
        </w:tc>
        <w:tc>
          <w:tcPr>
            <w:tcW w:w="941"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262</w:t>
            </w:r>
          </w:p>
        </w:tc>
        <w:tc>
          <w:tcPr>
            <w:tcW w:w="1260"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365.8</w:t>
            </w:r>
          </w:p>
        </w:tc>
        <w:tc>
          <w:tcPr>
            <w:tcW w:w="1080" w:type="dxa"/>
            <w:tcBorders>
              <w:top w:val="nil"/>
              <w:left w:val="single" w:sz="8" w:space="0" w:color="auto"/>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0.3206</w:t>
            </w:r>
          </w:p>
        </w:tc>
        <w:tc>
          <w:tcPr>
            <w:tcW w:w="1080"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0.6107</w:t>
            </w:r>
          </w:p>
        </w:tc>
        <w:tc>
          <w:tcPr>
            <w:tcW w:w="1170"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0.0687</w:t>
            </w:r>
          </w:p>
        </w:tc>
        <w:tc>
          <w:tcPr>
            <w:tcW w:w="1080" w:type="dxa"/>
            <w:tcBorders>
              <w:top w:val="nil"/>
              <w:left w:val="single" w:sz="8" w:space="0" w:color="auto"/>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0.7557</w:t>
            </w:r>
          </w:p>
        </w:tc>
        <w:tc>
          <w:tcPr>
            <w:tcW w:w="991"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0.2328</w:t>
            </w:r>
          </w:p>
        </w:tc>
        <w:tc>
          <w:tcPr>
            <w:tcW w:w="1097" w:type="dxa"/>
            <w:tcBorders>
              <w:top w:val="nil"/>
              <w:left w:val="nil"/>
              <w:bottom w:val="nil"/>
              <w:right w:val="single" w:sz="8" w:space="0" w:color="auto"/>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0.0115</w:t>
            </w:r>
          </w:p>
        </w:tc>
      </w:tr>
      <w:tr w:rsidR="000B73FC" w:rsidRPr="00993D92" w:rsidTr="000B73FC">
        <w:trPr>
          <w:trHeight w:val="288"/>
        </w:trPr>
        <w:tc>
          <w:tcPr>
            <w:tcW w:w="784" w:type="dxa"/>
            <w:tcBorders>
              <w:top w:val="nil"/>
              <w:left w:val="single" w:sz="8" w:space="0" w:color="auto"/>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6</w:t>
            </w:r>
          </w:p>
        </w:tc>
        <w:tc>
          <w:tcPr>
            <w:tcW w:w="941"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263</w:t>
            </w:r>
          </w:p>
        </w:tc>
        <w:tc>
          <w:tcPr>
            <w:tcW w:w="1260"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556.9</w:t>
            </w:r>
          </w:p>
        </w:tc>
        <w:tc>
          <w:tcPr>
            <w:tcW w:w="1080" w:type="dxa"/>
            <w:tcBorders>
              <w:top w:val="nil"/>
              <w:left w:val="single" w:sz="8" w:space="0" w:color="auto"/>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0.2586</w:t>
            </w:r>
          </w:p>
        </w:tc>
        <w:tc>
          <w:tcPr>
            <w:tcW w:w="1080"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0.7072</w:t>
            </w:r>
          </w:p>
        </w:tc>
        <w:tc>
          <w:tcPr>
            <w:tcW w:w="1170"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0.0342</w:t>
            </w:r>
          </w:p>
        </w:tc>
        <w:tc>
          <w:tcPr>
            <w:tcW w:w="1080" w:type="dxa"/>
            <w:tcBorders>
              <w:top w:val="nil"/>
              <w:left w:val="single" w:sz="8" w:space="0" w:color="auto"/>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0.7262</w:t>
            </w:r>
          </w:p>
        </w:tc>
        <w:tc>
          <w:tcPr>
            <w:tcW w:w="991"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0.2281</w:t>
            </w:r>
          </w:p>
        </w:tc>
        <w:tc>
          <w:tcPr>
            <w:tcW w:w="1097" w:type="dxa"/>
            <w:tcBorders>
              <w:top w:val="nil"/>
              <w:left w:val="nil"/>
              <w:bottom w:val="nil"/>
              <w:right w:val="single" w:sz="8" w:space="0" w:color="auto"/>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0.0457</w:t>
            </w:r>
          </w:p>
        </w:tc>
      </w:tr>
      <w:tr w:rsidR="000B73FC" w:rsidRPr="00993D92" w:rsidTr="000B73FC">
        <w:trPr>
          <w:trHeight w:val="288"/>
        </w:trPr>
        <w:tc>
          <w:tcPr>
            <w:tcW w:w="784" w:type="dxa"/>
            <w:tcBorders>
              <w:top w:val="nil"/>
              <w:left w:val="single" w:sz="8" w:space="0" w:color="auto"/>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7</w:t>
            </w:r>
          </w:p>
        </w:tc>
        <w:tc>
          <w:tcPr>
            <w:tcW w:w="941"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262</w:t>
            </w:r>
          </w:p>
        </w:tc>
        <w:tc>
          <w:tcPr>
            <w:tcW w:w="1260"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820.5</w:t>
            </w:r>
          </w:p>
        </w:tc>
        <w:tc>
          <w:tcPr>
            <w:tcW w:w="1080" w:type="dxa"/>
            <w:tcBorders>
              <w:top w:val="nil"/>
              <w:left w:val="single" w:sz="8" w:space="0" w:color="auto"/>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0.2672</w:t>
            </w:r>
          </w:p>
        </w:tc>
        <w:tc>
          <w:tcPr>
            <w:tcW w:w="1080"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0.7176</w:t>
            </w:r>
          </w:p>
        </w:tc>
        <w:tc>
          <w:tcPr>
            <w:tcW w:w="1170"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0.0152</w:t>
            </w:r>
          </w:p>
        </w:tc>
        <w:tc>
          <w:tcPr>
            <w:tcW w:w="1080" w:type="dxa"/>
            <w:tcBorders>
              <w:top w:val="nil"/>
              <w:left w:val="single" w:sz="8" w:space="0" w:color="auto"/>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0.7824</w:t>
            </w:r>
          </w:p>
        </w:tc>
        <w:tc>
          <w:tcPr>
            <w:tcW w:w="991"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0.2137</w:t>
            </w:r>
          </w:p>
        </w:tc>
        <w:tc>
          <w:tcPr>
            <w:tcW w:w="1097" w:type="dxa"/>
            <w:tcBorders>
              <w:top w:val="nil"/>
              <w:left w:val="nil"/>
              <w:bottom w:val="nil"/>
              <w:right w:val="single" w:sz="8" w:space="0" w:color="auto"/>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0.0039</w:t>
            </w:r>
          </w:p>
        </w:tc>
      </w:tr>
      <w:tr w:rsidR="000B73FC" w:rsidRPr="00993D92" w:rsidTr="000B73FC">
        <w:trPr>
          <w:trHeight w:val="288"/>
        </w:trPr>
        <w:tc>
          <w:tcPr>
            <w:tcW w:w="784" w:type="dxa"/>
            <w:tcBorders>
              <w:top w:val="nil"/>
              <w:left w:val="single" w:sz="8" w:space="0" w:color="auto"/>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8</w:t>
            </w:r>
          </w:p>
        </w:tc>
        <w:tc>
          <w:tcPr>
            <w:tcW w:w="941"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262</w:t>
            </w:r>
          </w:p>
        </w:tc>
        <w:tc>
          <w:tcPr>
            <w:tcW w:w="1260"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1,237.00</w:t>
            </w:r>
          </w:p>
        </w:tc>
        <w:tc>
          <w:tcPr>
            <w:tcW w:w="1080" w:type="dxa"/>
            <w:tcBorders>
              <w:top w:val="nil"/>
              <w:left w:val="single" w:sz="8" w:space="0" w:color="auto"/>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0.2405</w:t>
            </w:r>
          </w:p>
        </w:tc>
        <w:tc>
          <w:tcPr>
            <w:tcW w:w="1080"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0.7519</w:t>
            </w:r>
          </w:p>
        </w:tc>
        <w:tc>
          <w:tcPr>
            <w:tcW w:w="1170"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0.0076</w:t>
            </w:r>
          </w:p>
        </w:tc>
        <w:tc>
          <w:tcPr>
            <w:tcW w:w="1080" w:type="dxa"/>
            <w:tcBorders>
              <w:top w:val="nil"/>
              <w:left w:val="single" w:sz="8" w:space="0" w:color="auto"/>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0.7748</w:t>
            </w:r>
          </w:p>
        </w:tc>
        <w:tc>
          <w:tcPr>
            <w:tcW w:w="991"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0.2137</w:t>
            </w:r>
          </w:p>
        </w:tc>
        <w:tc>
          <w:tcPr>
            <w:tcW w:w="1097" w:type="dxa"/>
            <w:tcBorders>
              <w:top w:val="nil"/>
              <w:left w:val="nil"/>
              <w:bottom w:val="nil"/>
              <w:right w:val="single" w:sz="8" w:space="0" w:color="auto"/>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0.0115</w:t>
            </w:r>
          </w:p>
        </w:tc>
      </w:tr>
      <w:tr w:rsidR="000B73FC" w:rsidRPr="00993D92" w:rsidTr="000B73FC">
        <w:trPr>
          <w:trHeight w:val="288"/>
        </w:trPr>
        <w:tc>
          <w:tcPr>
            <w:tcW w:w="784" w:type="dxa"/>
            <w:tcBorders>
              <w:top w:val="nil"/>
              <w:left w:val="single" w:sz="8" w:space="0" w:color="auto"/>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9</w:t>
            </w:r>
          </w:p>
        </w:tc>
        <w:tc>
          <w:tcPr>
            <w:tcW w:w="941"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262</w:t>
            </w:r>
          </w:p>
        </w:tc>
        <w:tc>
          <w:tcPr>
            <w:tcW w:w="1260"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1,900.60</w:t>
            </w:r>
          </w:p>
        </w:tc>
        <w:tc>
          <w:tcPr>
            <w:tcW w:w="1080" w:type="dxa"/>
            <w:tcBorders>
              <w:top w:val="nil"/>
              <w:left w:val="single" w:sz="8" w:space="0" w:color="auto"/>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0.1718</w:t>
            </w:r>
          </w:p>
        </w:tc>
        <w:tc>
          <w:tcPr>
            <w:tcW w:w="1080"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0.8168</w:t>
            </w:r>
          </w:p>
        </w:tc>
        <w:tc>
          <w:tcPr>
            <w:tcW w:w="1170"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0.0114</w:t>
            </w:r>
          </w:p>
        </w:tc>
        <w:tc>
          <w:tcPr>
            <w:tcW w:w="1080" w:type="dxa"/>
            <w:tcBorders>
              <w:top w:val="nil"/>
              <w:left w:val="single" w:sz="8" w:space="0" w:color="auto"/>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0.7977</w:t>
            </w:r>
          </w:p>
        </w:tc>
        <w:tc>
          <w:tcPr>
            <w:tcW w:w="991"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0.1832</w:t>
            </w:r>
          </w:p>
        </w:tc>
        <w:tc>
          <w:tcPr>
            <w:tcW w:w="1097" w:type="dxa"/>
            <w:tcBorders>
              <w:top w:val="nil"/>
              <w:left w:val="nil"/>
              <w:bottom w:val="nil"/>
              <w:right w:val="single" w:sz="8" w:space="0" w:color="auto"/>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0.0191</w:t>
            </w:r>
          </w:p>
        </w:tc>
      </w:tr>
      <w:tr w:rsidR="000B73FC" w:rsidRPr="00993D92" w:rsidTr="000B73FC">
        <w:trPr>
          <w:trHeight w:val="300"/>
        </w:trPr>
        <w:tc>
          <w:tcPr>
            <w:tcW w:w="784" w:type="dxa"/>
            <w:tcBorders>
              <w:top w:val="nil"/>
              <w:left w:val="single" w:sz="8" w:space="0" w:color="auto"/>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10</w:t>
            </w:r>
          </w:p>
        </w:tc>
        <w:tc>
          <w:tcPr>
            <w:tcW w:w="941"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262</w:t>
            </w:r>
          </w:p>
        </w:tc>
        <w:tc>
          <w:tcPr>
            <w:tcW w:w="1260"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3,828.00</w:t>
            </w:r>
          </w:p>
        </w:tc>
        <w:tc>
          <w:tcPr>
            <w:tcW w:w="1080" w:type="dxa"/>
            <w:tcBorders>
              <w:top w:val="nil"/>
              <w:left w:val="single" w:sz="8" w:space="0" w:color="auto"/>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0.1718</w:t>
            </w:r>
          </w:p>
        </w:tc>
        <w:tc>
          <w:tcPr>
            <w:tcW w:w="1080"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0.8168</w:t>
            </w:r>
          </w:p>
        </w:tc>
        <w:tc>
          <w:tcPr>
            <w:tcW w:w="1170"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0.0114</w:t>
            </w:r>
          </w:p>
        </w:tc>
        <w:tc>
          <w:tcPr>
            <w:tcW w:w="1080" w:type="dxa"/>
            <w:tcBorders>
              <w:top w:val="nil"/>
              <w:left w:val="single" w:sz="8" w:space="0" w:color="auto"/>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0.8397</w:t>
            </w:r>
          </w:p>
        </w:tc>
        <w:tc>
          <w:tcPr>
            <w:tcW w:w="991" w:type="dxa"/>
            <w:tcBorders>
              <w:top w:val="nil"/>
              <w:left w:val="nil"/>
              <w:bottom w:val="nil"/>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0.1527</w:t>
            </w:r>
          </w:p>
        </w:tc>
        <w:tc>
          <w:tcPr>
            <w:tcW w:w="1097" w:type="dxa"/>
            <w:tcBorders>
              <w:top w:val="nil"/>
              <w:left w:val="nil"/>
              <w:bottom w:val="nil"/>
              <w:right w:val="single" w:sz="8" w:space="0" w:color="auto"/>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0.0076</w:t>
            </w:r>
          </w:p>
        </w:tc>
      </w:tr>
      <w:tr w:rsidR="000B73FC" w:rsidRPr="00993D92" w:rsidTr="000B73FC">
        <w:trPr>
          <w:trHeight w:val="300"/>
        </w:trPr>
        <w:tc>
          <w:tcPr>
            <w:tcW w:w="784" w:type="dxa"/>
            <w:tcBorders>
              <w:top w:val="single" w:sz="8" w:space="0" w:color="auto"/>
              <w:left w:val="single" w:sz="8" w:space="0" w:color="auto"/>
              <w:bottom w:val="single" w:sz="8" w:space="0" w:color="auto"/>
              <w:right w:val="nil"/>
            </w:tcBorders>
            <w:shd w:val="clear" w:color="auto" w:fill="auto"/>
            <w:noWrap/>
            <w:vAlign w:val="center"/>
            <w:hideMark/>
          </w:tcPr>
          <w:p w:rsidR="00993D92" w:rsidRPr="00993D92" w:rsidRDefault="00993D92" w:rsidP="00993D92">
            <w:pPr>
              <w:spacing w:after="0" w:line="240" w:lineRule="auto"/>
              <w:rPr>
                <w:rFonts w:ascii="Calibri" w:eastAsia="Times New Roman" w:hAnsi="Calibri" w:cs="Times New Roman"/>
                <w:color w:val="0000FF"/>
                <w:sz w:val="18"/>
                <w:szCs w:val="18"/>
              </w:rPr>
            </w:pPr>
            <w:r w:rsidRPr="00993D92">
              <w:rPr>
                <w:rFonts w:ascii="Calibri" w:eastAsia="Times New Roman" w:hAnsi="Calibri" w:cs="Times New Roman"/>
                <w:color w:val="0000FF"/>
                <w:sz w:val="18"/>
                <w:szCs w:val="18"/>
              </w:rPr>
              <w:t>Overall</w:t>
            </w:r>
          </w:p>
        </w:tc>
        <w:tc>
          <w:tcPr>
            <w:tcW w:w="941" w:type="dxa"/>
            <w:tcBorders>
              <w:top w:val="single" w:sz="8" w:space="0" w:color="auto"/>
              <w:left w:val="nil"/>
              <w:bottom w:val="single" w:sz="8" w:space="0" w:color="auto"/>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2,621</w:t>
            </w:r>
          </w:p>
        </w:tc>
        <w:tc>
          <w:tcPr>
            <w:tcW w:w="1260" w:type="dxa"/>
            <w:tcBorders>
              <w:top w:val="single" w:sz="8" w:space="0" w:color="auto"/>
              <w:left w:val="nil"/>
              <w:bottom w:val="single" w:sz="8" w:space="0" w:color="auto"/>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910.2</w:t>
            </w: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0.2713</w:t>
            </w:r>
          </w:p>
        </w:tc>
        <w:tc>
          <w:tcPr>
            <w:tcW w:w="1080" w:type="dxa"/>
            <w:tcBorders>
              <w:top w:val="single" w:sz="8" w:space="0" w:color="auto"/>
              <w:left w:val="nil"/>
              <w:bottom w:val="single" w:sz="8" w:space="0" w:color="auto"/>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0.5605</w:t>
            </w:r>
          </w:p>
        </w:tc>
        <w:tc>
          <w:tcPr>
            <w:tcW w:w="1170" w:type="dxa"/>
            <w:tcBorders>
              <w:top w:val="single" w:sz="8" w:space="0" w:color="auto"/>
              <w:left w:val="nil"/>
              <w:bottom w:val="single" w:sz="8" w:space="0" w:color="auto"/>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0.1682</w:t>
            </w: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0.7383</w:t>
            </w:r>
          </w:p>
        </w:tc>
        <w:tc>
          <w:tcPr>
            <w:tcW w:w="991" w:type="dxa"/>
            <w:tcBorders>
              <w:top w:val="single" w:sz="8" w:space="0" w:color="auto"/>
              <w:left w:val="nil"/>
              <w:bottom w:val="single" w:sz="8" w:space="0" w:color="auto"/>
              <w:right w:val="nil"/>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0.1694</w:t>
            </w:r>
          </w:p>
        </w:tc>
        <w:tc>
          <w:tcPr>
            <w:tcW w:w="1097" w:type="dxa"/>
            <w:tcBorders>
              <w:top w:val="single" w:sz="8" w:space="0" w:color="auto"/>
              <w:left w:val="nil"/>
              <w:bottom w:val="single" w:sz="8" w:space="0" w:color="auto"/>
              <w:right w:val="single" w:sz="8" w:space="0" w:color="auto"/>
            </w:tcBorders>
            <w:shd w:val="clear" w:color="auto" w:fill="auto"/>
            <w:noWrap/>
            <w:vAlign w:val="center"/>
            <w:hideMark/>
          </w:tcPr>
          <w:p w:rsidR="00993D92" w:rsidRPr="00993D92" w:rsidRDefault="00993D92" w:rsidP="00993D92">
            <w:pPr>
              <w:spacing w:after="0" w:line="240" w:lineRule="auto"/>
              <w:jc w:val="right"/>
              <w:rPr>
                <w:rFonts w:ascii="Calibri" w:eastAsia="Times New Roman" w:hAnsi="Calibri" w:cs="Times New Roman"/>
                <w:color w:val="0000FF"/>
                <w:sz w:val="20"/>
                <w:szCs w:val="20"/>
              </w:rPr>
            </w:pPr>
            <w:r w:rsidRPr="00993D92">
              <w:rPr>
                <w:rFonts w:ascii="Calibri" w:eastAsia="Times New Roman" w:hAnsi="Calibri" w:cs="Times New Roman"/>
                <w:color w:val="0000FF"/>
                <w:sz w:val="20"/>
                <w:szCs w:val="20"/>
              </w:rPr>
              <w:t>0.0923</w:t>
            </w:r>
          </w:p>
        </w:tc>
      </w:tr>
    </w:tbl>
    <w:p w:rsidR="00993D92" w:rsidRPr="00DB31EF" w:rsidRDefault="000B73FC" w:rsidP="002C288F">
      <w:pPr>
        <w:ind w:left="-90" w:right="340"/>
        <w:rPr>
          <w:rFonts w:eastAsia="Times New Roman" w:cstheme="minorHAnsi"/>
          <w:color w:val="0000FF"/>
        </w:rPr>
      </w:pPr>
      <w:r w:rsidRPr="00DB31EF">
        <w:rPr>
          <w:rFonts w:cstheme="minorHAnsi"/>
          <w:color w:val="0000FF"/>
        </w:rPr>
        <w:t>Source: HCUP State Inpatient Databases (SID). Healthcare Cost and Utilization Project (HCUP). 2012. Agency for</w:t>
      </w:r>
      <w:r w:rsidRPr="00DB31EF">
        <w:rPr>
          <w:rFonts w:cstheme="minorHAnsi"/>
          <w:color w:val="0000FF"/>
          <w:w w:val="99"/>
        </w:rPr>
        <w:t xml:space="preserve"> </w:t>
      </w:r>
      <w:r w:rsidRPr="00DB31EF">
        <w:rPr>
          <w:rFonts w:cstheme="minorHAnsi"/>
          <w:color w:val="0000FF"/>
        </w:rPr>
        <w:t xml:space="preserve">Healthcare Research and Quality, Rockville, MD. </w:t>
      </w:r>
      <w:hyperlink r:id="rId17">
        <w:r w:rsidRPr="00DB31EF">
          <w:rPr>
            <w:rFonts w:cstheme="minorHAnsi"/>
            <w:color w:val="0000FF"/>
            <w:u w:val="single" w:color="043C66"/>
          </w:rPr>
          <w:t>www.hcup-us.ahrq.gov/sidoverview.jsp</w:t>
        </w:r>
        <w:r w:rsidRPr="00DB31EF">
          <w:rPr>
            <w:rFonts w:cstheme="minorHAnsi"/>
            <w:color w:val="0000FF"/>
          </w:rPr>
          <w:t>.</w:t>
        </w:r>
      </w:hyperlink>
      <w:r w:rsidRPr="00DB31EF">
        <w:rPr>
          <w:rFonts w:cstheme="minorHAnsi"/>
          <w:color w:val="0000FF"/>
        </w:rPr>
        <w:t xml:space="preserve"> (AHRQ QI Software</w:t>
      </w:r>
      <w:r w:rsidRPr="00DB31EF">
        <w:rPr>
          <w:rFonts w:cstheme="minorHAnsi"/>
          <w:color w:val="0000FF"/>
          <w:w w:val="99"/>
        </w:rPr>
        <w:t xml:space="preserve"> </w:t>
      </w:r>
      <w:r w:rsidRPr="00DB31EF">
        <w:rPr>
          <w:rFonts w:cstheme="minorHAnsi"/>
          <w:color w:val="0000FF"/>
        </w:rPr>
        <w:t>Version 5.0)</w:t>
      </w:r>
    </w:p>
    <w:p w:rsidR="00D61410" w:rsidRDefault="00D61410" w:rsidP="00D61410">
      <w:pPr>
        <w:autoSpaceDE w:val="0"/>
        <w:autoSpaceDN w:val="0"/>
        <w:adjustRightInd w:val="0"/>
        <w:spacing w:after="0" w:line="240" w:lineRule="auto"/>
        <w:rPr>
          <w:rFonts w:cstheme="minorHAnsi"/>
          <w:bCs/>
        </w:rPr>
      </w:pPr>
      <w:r>
        <w:rPr>
          <w:rFonts w:cstheme="minorHAnsi"/>
          <w:b/>
          <w:bCs/>
        </w:rPr>
        <w:t xml:space="preserve">2b5.3.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w:t>
      </w:r>
      <w:r w:rsidRPr="00A25024">
        <w:rPr>
          <w:rFonts w:cstheme="minorHAnsi"/>
          <w:b/>
          <w:bCs/>
        </w:rPr>
        <w:lastRenderedPageBreak/>
        <w:t>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p w:rsidR="00AE4C16" w:rsidRPr="00DB31EF" w:rsidRDefault="002C288F" w:rsidP="00D61410">
      <w:pPr>
        <w:autoSpaceDE w:val="0"/>
        <w:autoSpaceDN w:val="0"/>
        <w:adjustRightInd w:val="0"/>
        <w:spacing w:after="0" w:line="240" w:lineRule="auto"/>
        <w:rPr>
          <w:rFonts w:cstheme="minorHAnsi"/>
          <w:bCs/>
          <w:color w:val="0000FF"/>
        </w:rPr>
      </w:pPr>
      <w:r w:rsidRPr="00DB31EF">
        <w:rPr>
          <w:rFonts w:cstheme="minorHAnsi"/>
          <w:bCs/>
          <w:color w:val="0000FF"/>
        </w:rPr>
        <w:t xml:space="preserve">This indicator has excellent discrimination for most hospitals to identify low performing hospitals; 91% of hospitals can be classified as </w:t>
      </w:r>
      <w:proofErr w:type="gramStart"/>
      <w:r w:rsidRPr="00DB31EF">
        <w:rPr>
          <w:rFonts w:cstheme="minorHAnsi"/>
          <w:bCs/>
          <w:color w:val="0000FF"/>
        </w:rPr>
        <w:t>better or</w:t>
      </w:r>
      <w:proofErr w:type="gramEnd"/>
      <w:r w:rsidRPr="00DB31EF">
        <w:rPr>
          <w:rFonts w:cstheme="minorHAnsi"/>
          <w:bCs/>
          <w:color w:val="0000FF"/>
        </w:rPr>
        <w:t xml:space="preserve"> worse than the threshold (the percentage classified as either above or below the threshold). The indicator has good discrimination, particularly for moderate to large hospitals to identify high performing hospitals; 83% of hospitals can be classified as </w:t>
      </w:r>
      <w:proofErr w:type="gramStart"/>
      <w:r w:rsidRPr="00DB31EF">
        <w:rPr>
          <w:rFonts w:cstheme="minorHAnsi"/>
          <w:bCs/>
          <w:color w:val="0000FF"/>
        </w:rPr>
        <w:t>better or</w:t>
      </w:r>
      <w:proofErr w:type="gramEnd"/>
      <w:r w:rsidRPr="00DB31EF">
        <w:rPr>
          <w:rFonts w:cstheme="minorHAnsi"/>
          <w:bCs/>
          <w:color w:val="0000FF"/>
        </w:rPr>
        <w:t xml:space="preserve"> worse than the benchmark.</w:t>
      </w:r>
      <w:r w:rsidRPr="00DB31EF">
        <w:rPr>
          <w:rFonts w:ascii="Times New Roman" w:hAnsi="Times New Roman" w:cs="Times New Roman"/>
          <w:color w:val="0000FF"/>
          <w:sz w:val="24"/>
          <w:szCs w:val="24"/>
        </w:rPr>
        <w:t xml:space="preserve"> </w:t>
      </w:r>
      <w:r w:rsidR="00AE4C16" w:rsidRPr="00DB31EF">
        <w:rPr>
          <w:rFonts w:cstheme="minorHAnsi"/>
          <w:bCs/>
          <w:color w:val="0000FF"/>
        </w:rPr>
        <w:t xml:space="preserve"> </w:t>
      </w:r>
    </w:p>
    <w:p w:rsidR="0086464B" w:rsidRDefault="0086464B" w:rsidP="0086464B">
      <w:pPr>
        <w:spacing w:after="0" w:line="240" w:lineRule="auto"/>
        <w:rPr>
          <w:rFonts w:cstheme="minorHAnsi"/>
          <w:b/>
          <w:bCs/>
        </w:rPr>
      </w:pPr>
      <w:r>
        <w:rPr>
          <w:rFonts w:cstheme="minorHAnsi"/>
          <w:b/>
          <w:bCs/>
        </w:rPr>
        <w:t>_______________________________________</w:t>
      </w:r>
    </w:p>
    <w:p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rsidR="00567D12" w:rsidRPr="00A25024" w:rsidRDefault="00567D12" w:rsidP="00DB3627">
      <w:pPr>
        <w:autoSpaceDE w:val="0"/>
        <w:autoSpaceDN w:val="0"/>
        <w:adjustRightInd w:val="0"/>
        <w:spacing w:after="0" w:line="240" w:lineRule="auto"/>
        <w:rPr>
          <w:rFonts w:cstheme="minorHAnsi"/>
          <w:b/>
          <w:bCs/>
        </w:rPr>
      </w:pPr>
    </w:p>
    <w:p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This criterion is directed to measures with more than one set of specifications/instructions (e.g., </w:t>
      </w:r>
      <w:r w:rsidR="00947F78" w:rsidRPr="00A25024">
        <w:rPr>
          <w:rFonts w:cstheme="minorHAnsi"/>
          <w:bCs/>
          <w:i/>
        </w:rPr>
        <w:t>one</w:t>
      </w:r>
      <w:r w:rsidRPr="00A25024">
        <w:rPr>
          <w:rFonts w:cstheme="minorHAnsi"/>
          <w:bCs/>
          <w:i/>
        </w:rPr>
        <w:t xml:space="preserve"> set of </w:t>
      </w:r>
      <w:r w:rsidR="00947F78" w:rsidRPr="00A25024">
        <w:rPr>
          <w:rFonts w:cstheme="minorHAnsi"/>
          <w:bCs/>
          <w:i/>
        </w:rPr>
        <w:t>specifications for</w:t>
      </w:r>
      <w:r w:rsidRPr="00A25024">
        <w:rPr>
          <w:rFonts w:cstheme="minorHAnsi"/>
          <w:bCs/>
          <w:i/>
        </w:rPr>
        <w:t xml:space="preserve"> how to identify and compute the measure f</w:t>
      </w:r>
      <w:r w:rsidR="00947F78" w:rsidRPr="00A25024">
        <w:rPr>
          <w:rFonts w:cstheme="minorHAnsi"/>
          <w:bCs/>
          <w:i/>
        </w:rPr>
        <w:t>ro</w:t>
      </w:r>
      <w:r w:rsidRPr="00A25024">
        <w:rPr>
          <w:rFonts w:cstheme="minorHAnsi"/>
          <w:bCs/>
          <w:i/>
        </w:rPr>
        <w:t xml:space="preserve">m medical </w:t>
      </w:r>
      <w:r w:rsidR="00947F78" w:rsidRPr="00A25024">
        <w:rPr>
          <w:rFonts w:cstheme="minorHAnsi"/>
          <w:bCs/>
          <w:i/>
        </w:rPr>
        <w:t>record</w:t>
      </w:r>
      <w:r w:rsidR="000D7C84">
        <w:rPr>
          <w:rFonts w:cstheme="minorHAnsi"/>
          <w:bCs/>
          <w:i/>
        </w:rPr>
        <w:t xml:space="preserve"> abstraction</w:t>
      </w:r>
      <w:r w:rsidR="00947F78" w:rsidRPr="00A25024">
        <w:rPr>
          <w:rFonts w:cstheme="minorHAnsi"/>
          <w:bCs/>
          <w:i/>
        </w:rPr>
        <w:t xml:space="preserve"> and a different set of specifications </w:t>
      </w:r>
      <w:r w:rsidRPr="00A25024">
        <w:rPr>
          <w:rFonts w:cstheme="minorHAnsi"/>
          <w:bCs/>
          <w:i/>
        </w:rPr>
        <w:t>for claims</w:t>
      </w:r>
      <w:r w:rsidR="00840A41">
        <w:rPr>
          <w:rFonts w:cstheme="minorHAnsi"/>
          <w:bCs/>
          <w:i/>
        </w:rPr>
        <w:t xml:space="preserve"> or </w:t>
      </w:r>
      <w:proofErr w:type="spellStart"/>
      <w:r w:rsidR="00840A41">
        <w:rPr>
          <w:rFonts w:cstheme="minorHAnsi"/>
          <w:bCs/>
          <w:i/>
        </w:rPr>
        <w:t>eMeasures</w:t>
      </w:r>
      <w:proofErr w:type="spellEnd"/>
      <w:r w:rsidRPr="00A25024">
        <w:rPr>
          <w:rFonts w:cstheme="minorHAnsi"/>
          <w:bCs/>
          <w:i/>
        </w:rPr>
        <w:t xml:space="preserve">). It does not apply to measures that use more than one </w:t>
      </w:r>
      <w:r w:rsidR="00840A41">
        <w:rPr>
          <w:rFonts w:cstheme="minorHAnsi"/>
          <w:bCs/>
          <w:i/>
        </w:rPr>
        <w:t xml:space="preserve">source </w:t>
      </w:r>
      <w:r w:rsidRPr="00A25024">
        <w:rPr>
          <w:rFonts w:cstheme="minorHAnsi"/>
          <w:bCs/>
          <w:i/>
        </w:rPr>
        <w:t>of data in one set of specifications/instructions (e.g., claims data to identify the denominator and medical record abstraction for the numerator).</w:t>
      </w:r>
      <w:r w:rsidR="00127C06">
        <w:rPr>
          <w:rFonts w:cstheme="minorHAnsi"/>
          <w:bCs/>
          <w:i/>
        </w:rPr>
        <w:t xml:space="preserve"> </w:t>
      </w:r>
      <w:r w:rsidR="00D61410" w:rsidRPr="00D61410">
        <w:rPr>
          <w:rFonts w:cstheme="minorHAnsi"/>
          <w:b/>
          <w:bCs/>
          <w:i/>
        </w:rPr>
        <w:t xml:space="preserve">If comparability is not demonstrated, the </w:t>
      </w:r>
      <w:r w:rsidR="00D61410">
        <w:rPr>
          <w:rFonts w:cstheme="minorHAnsi"/>
          <w:b/>
          <w:bCs/>
          <w:i/>
        </w:rPr>
        <w:t>different specifications</w:t>
      </w:r>
      <w:r w:rsidR="00D61410" w:rsidRPr="00D61410">
        <w:rPr>
          <w:rFonts w:cstheme="minorHAnsi"/>
          <w:b/>
          <w:bCs/>
          <w:i/>
        </w:rPr>
        <w:t xml:space="preserve"> </w:t>
      </w:r>
      <w:r w:rsidR="003605B4">
        <w:rPr>
          <w:rFonts w:cstheme="minorHAnsi"/>
          <w:b/>
          <w:bCs/>
          <w:i/>
        </w:rPr>
        <w:t xml:space="preserve">should </w:t>
      </w:r>
      <w:r w:rsidR="00D61410" w:rsidRPr="00D61410">
        <w:rPr>
          <w:rFonts w:cstheme="minorHAnsi"/>
          <w:b/>
          <w:bCs/>
          <w:i/>
        </w:rPr>
        <w:t>be submitted as separate measures.</w:t>
      </w:r>
    </w:p>
    <w:p w:rsidR="000F06B5" w:rsidRPr="00A25024" w:rsidRDefault="000F06B5" w:rsidP="00DB3627">
      <w:pPr>
        <w:autoSpaceDE w:val="0"/>
        <w:autoSpaceDN w:val="0"/>
        <w:adjustRightInd w:val="0"/>
        <w:spacing w:after="0" w:line="240" w:lineRule="auto"/>
        <w:rPr>
          <w:rFonts w:cstheme="minorHAnsi"/>
          <w:bCs/>
        </w:rPr>
      </w:pPr>
    </w:p>
    <w:p w:rsidR="000F06B5" w:rsidRPr="00A25024" w:rsidRDefault="00E1508F" w:rsidP="00DB362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demonstrate </w:t>
      </w:r>
      <w:r w:rsidR="00127C06">
        <w:rPr>
          <w:rFonts w:cstheme="minorHAnsi"/>
          <w:b/>
          <w:bCs/>
        </w:rPr>
        <w:t>comparability</w:t>
      </w:r>
      <w:r w:rsidR="004B6CEE" w:rsidRPr="00A25024">
        <w:rPr>
          <w:rFonts w:cstheme="minorHAnsi"/>
          <w:b/>
          <w:bCs/>
        </w:rPr>
        <w:t xml:space="preserve"> of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proofErr w:type="gramStart"/>
      <w:r w:rsidR="000F06B5" w:rsidRPr="00A25024">
        <w:rPr>
          <w:rFonts w:cstheme="minorHAnsi"/>
          <w:bCs/>
        </w:rPr>
        <w:t>)</w:t>
      </w:r>
      <w:proofErr w:type="gramEnd"/>
      <w:r w:rsidR="000F06B5" w:rsidRPr="00A25024">
        <w:rPr>
          <w:rFonts w:cstheme="minorHAnsi"/>
          <w:bCs/>
        </w:rPr>
        <w:br/>
      </w:r>
      <w:r w:rsidR="00137487" w:rsidRPr="00137487">
        <w:rPr>
          <w:rFonts w:cstheme="minorHAnsi"/>
          <w:bCs/>
          <w:color w:val="0000FF"/>
        </w:rPr>
        <w:t>Not applicable</w:t>
      </w:r>
    </w:p>
    <w:p w:rsidR="000F06B5" w:rsidRPr="00A25024" w:rsidRDefault="000F06B5" w:rsidP="00DB3627">
      <w:pPr>
        <w:pStyle w:val="ListParagraph"/>
        <w:autoSpaceDE w:val="0"/>
        <w:autoSpaceDN w:val="0"/>
        <w:adjustRightInd w:val="0"/>
        <w:spacing w:after="0" w:line="240" w:lineRule="auto"/>
        <w:ind w:left="0"/>
        <w:rPr>
          <w:rFonts w:cstheme="minorHAnsi"/>
          <w:bCs/>
        </w:rPr>
      </w:pPr>
    </w:p>
    <w:p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137487" w:rsidRPr="00137487">
        <w:rPr>
          <w:rFonts w:cstheme="minorHAnsi"/>
          <w:bCs/>
          <w:color w:val="0000FF"/>
        </w:rPr>
        <w:t>Not applicable</w:t>
      </w:r>
    </w:p>
    <w:p w:rsidR="00E1508F" w:rsidRPr="00E1508F" w:rsidRDefault="00E1508F" w:rsidP="00E1508F">
      <w:pPr>
        <w:autoSpaceDE w:val="0"/>
        <w:autoSpaceDN w:val="0"/>
        <w:adjustRightInd w:val="0"/>
        <w:spacing w:after="0" w:line="240" w:lineRule="auto"/>
        <w:rPr>
          <w:rFonts w:cstheme="minorHAnsi"/>
          <w:bCs/>
        </w:rPr>
      </w:pPr>
    </w:p>
    <w:p w:rsidR="0079180E" w:rsidRDefault="00E1508F" w:rsidP="00DB3627">
      <w:pPr>
        <w:autoSpaceDE w:val="0"/>
        <w:autoSpaceDN w:val="0"/>
        <w:adjustRightInd w:val="0"/>
        <w:spacing w:after="0" w:line="240" w:lineRule="auto"/>
        <w:rPr>
          <w:rFonts w:cstheme="minorHAnsi"/>
          <w:bCs/>
        </w:rPr>
      </w:pPr>
      <w:r>
        <w:rPr>
          <w:rFonts w:cstheme="minorHAnsi"/>
          <w:b/>
          <w:bCs/>
        </w:rPr>
        <w:t xml:space="preserve">2b6.3.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demonstrating </w:t>
      </w:r>
      <w:r w:rsidR="002B0C3A" w:rsidRPr="00A25024">
        <w:rPr>
          <w:rFonts w:cstheme="minorHAnsi"/>
          <w:b/>
          <w:bCs/>
        </w:rPr>
        <w:t xml:space="preserve">comparability of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r w:rsidR="00A35F8F" w:rsidRPr="00DB3627">
        <w:rPr>
          <w:rFonts w:cstheme="minorHAnsi"/>
          <w:bCs/>
        </w:rPr>
        <w:br/>
      </w:r>
      <w:r w:rsidR="00137487" w:rsidRPr="00137487">
        <w:rPr>
          <w:rFonts w:cstheme="minorHAnsi"/>
          <w:bCs/>
          <w:color w:val="0000FF"/>
        </w:rPr>
        <w:t>Not applicable</w:t>
      </w:r>
    </w:p>
    <w:p w:rsidR="008F7E67" w:rsidRDefault="008F7E67" w:rsidP="008F7E67">
      <w:pPr>
        <w:spacing w:after="0" w:line="240" w:lineRule="auto"/>
        <w:rPr>
          <w:rFonts w:cstheme="minorHAnsi"/>
          <w:b/>
          <w:bCs/>
        </w:rPr>
      </w:pPr>
      <w:r>
        <w:rPr>
          <w:rFonts w:cstheme="minorHAnsi"/>
          <w:b/>
          <w:bCs/>
        </w:rPr>
        <w:t>_______________________________________</w:t>
      </w:r>
    </w:p>
    <w:p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rsidR="008F7E67" w:rsidRDefault="008F7E67" w:rsidP="008F7E67">
      <w:pPr>
        <w:autoSpaceDE w:val="0"/>
        <w:autoSpaceDN w:val="0"/>
        <w:adjustRightInd w:val="0"/>
        <w:spacing w:after="0" w:line="240" w:lineRule="auto"/>
        <w:rPr>
          <w:rFonts w:cstheme="minorHAnsi"/>
          <w:bCs/>
        </w:rPr>
      </w:pPr>
    </w:p>
    <w:p w:rsidR="008F7E67" w:rsidRPr="00A25024" w:rsidRDefault="008F7E67" w:rsidP="008F7E67">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t xml:space="preserve"> </w:t>
      </w:r>
      <w:r w:rsidR="003704D4">
        <w:rPr>
          <w:rFonts w:cstheme="minorHAnsi"/>
          <w:bCs/>
          <w:color w:val="0000FF"/>
        </w:rPr>
        <w:t xml:space="preserve">The QIs use frequently reported administrative data variables. PSI 11 excludes cases with missing age, sex, discharge quarter, discharge year, and principal diagnosis. These variables are required for indicator construction and are required of all hospital discharge records. The rate of missing data for each variable is available </w:t>
      </w:r>
      <w:r w:rsidR="00B144C5">
        <w:rPr>
          <w:rFonts w:cstheme="minorHAnsi"/>
          <w:bCs/>
          <w:color w:val="0000FF"/>
        </w:rPr>
        <w:t xml:space="preserve">by state and year </w:t>
      </w:r>
      <w:r w:rsidR="003704D4">
        <w:rPr>
          <w:rFonts w:cstheme="minorHAnsi"/>
          <w:bCs/>
          <w:color w:val="0000FF"/>
        </w:rPr>
        <w:t xml:space="preserve">from the </w:t>
      </w:r>
      <w:r w:rsidR="00B144C5">
        <w:rPr>
          <w:rFonts w:cstheme="minorHAnsi"/>
          <w:bCs/>
          <w:color w:val="0000FF"/>
        </w:rPr>
        <w:t xml:space="preserve">AHRQ </w:t>
      </w:r>
      <w:r w:rsidR="003704D4">
        <w:rPr>
          <w:rFonts w:cstheme="minorHAnsi"/>
          <w:bCs/>
          <w:color w:val="0000FF"/>
        </w:rPr>
        <w:t xml:space="preserve">HCUP </w:t>
      </w:r>
      <w:r w:rsidR="00B144C5">
        <w:rPr>
          <w:rFonts w:cstheme="minorHAnsi"/>
          <w:bCs/>
          <w:color w:val="0000FF"/>
        </w:rPr>
        <w:t>website (</w:t>
      </w:r>
      <w:r w:rsidR="00B144C5" w:rsidRPr="00B144C5">
        <w:rPr>
          <w:rFonts w:cstheme="minorHAnsi"/>
          <w:bCs/>
          <w:color w:val="0000FF"/>
        </w:rPr>
        <w:t>http://www.hcup-us.ahrq.gov/cdstats/cdstats_search.jsp</w:t>
      </w:r>
      <w:r w:rsidR="00B144C5">
        <w:rPr>
          <w:rFonts w:cstheme="minorHAnsi"/>
          <w:bCs/>
          <w:color w:val="0000FF"/>
        </w:rPr>
        <w:t>)</w:t>
      </w:r>
      <w:r w:rsidR="003704D4">
        <w:rPr>
          <w:rFonts w:cstheme="minorHAnsi"/>
          <w:bCs/>
          <w:color w:val="0000FF"/>
        </w:rPr>
        <w:t xml:space="preserve">. </w:t>
      </w:r>
    </w:p>
    <w:p w:rsidR="008F7E67" w:rsidRPr="00A25024" w:rsidRDefault="008F7E67" w:rsidP="008F7E67">
      <w:pPr>
        <w:pStyle w:val="ListParagraph"/>
        <w:autoSpaceDE w:val="0"/>
        <w:autoSpaceDN w:val="0"/>
        <w:adjustRightInd w:val="0"/>
        <w:spacing w:after="0" w:line="240" w:lineRule="auto"/>
        <w:ind w:left="0"/>
        <w:rPr>
          <w:rFonts w:cstheme="minorHAnsi"/>
          <w:bCs/>
        </w:rPr>
      </w:pPr>
    </w:p>
    <w:p w:rsidR="008F7E67" w:rsidRDefault="008F7E67" w:rsidP="008F7E67">
      <w:pPr>
        <w:autoSpaceDE w:val="0"/>
        <w:autoSpaceDN w:val="0"/>
        <w:adjustRightInd w:val="0"/>
        <w:spacing w:after="0" w:line="240" w:lineRule="auto"/>
        <w:rPr>
          <w:rFonts w:cstheme="minorHAnsi"/>
          <w:bCs/>
        </w:rPr>
      </w:pPr>
      <w:r>
        <w:rPr>
          <w:rFonts w:cstheme="minorHAnsi"/>
          <w:b/>
          <w:bCs/>
        </w:rPr>
        <w:t xml:space="preserve">2b7.2.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xml:space="preserve">, identify the approaches </w:t>
      </w:r>
      <w:r w:rsidR="00145D4F" w:rsidRPr="00FC5DE1">
        <w:rPr>
          <w:rFonts w:cstheme="minorHAnsi"/>
          <w:bCs/>
          <w:i/>
        </w:rPr>
        <w:lastRenderedPageBreak/>
        <w:t>for handling missing data that were considered and pros and cons of each</w:t>
      </w:r>
      <w:r w:rsidRPr="00A25024">
        <w:rPr>
          <w:rFonts w:cstheme="minorHAnsi"/>
          <w:bCs/>
        </w:rPr>
        <w:t>)</w:t>
      </w:r>
      <w:r w:rsidRPr="00A25024">
        <w:rPr>
          <w:rFonts w:cstheme="minorHAnsi"/>
          <w:bCs/>
        </w:rPr>
        <w:br/>
      </w:r>
      <w:r w:rsidR="00B144C5">
        <w:rPr>
          <w:rFonts w:cstheme="minorHAnsi"/>
          <w:bCs/>
          <w:color w:val="0000FF"/>
        </w:rPr>
        <w:t>For these variables, rates of missing data are typically less than 1% of the state database. It is unlikely the bias would occur from such a low rate of missing data.</w:t>
      </w:r>
    </w:p>
    <w:p w:rsidR="008F7E67" w:rsidRPr="00E1508F" w:rsidRDefault="008F7E67" w:rsidP="008F7E67">
      <w:pPr>
        <w:autoSpaceDE w:val="0"/>
        <w:autoSpaceDN w:val="0"/>
        <w:adjustRightInd w:val="0"/>
        <w:spacing w:after="0" w:line="240" w:lineRule="auto"/>
        <w:rPr>
          <w:rFonts w:cstheme="minorHAnsi"/>
          <w:bCs/>
        </w:rPr>
      </w:pPr>
    </w:p>
    <w:p w:rsidR="008B604D" w:rsidRDefault="008F7E67">
      <w:pPr>
        <w:autoSpaceDE w:val="0"/>
        <w:autoSpaceDN w:val="0"/>
        <w:adjustRightInd w:val="0"/>
        <w:spacing w:after="0" w:line="240" w:lineRule="auto"/>
        <w:rPr>
          <w:rFonts w:cstheme="minorHAnsi"/>
          <w:bCs/>
        </w:rPr>
      </w:pPr>
      <w:r>
        <w:rPr>
          <w:rFonts w:cstheme="minorHAnsi"/>
          <w:b/>
          <w:bCs/>
        </w:rPr>
        <w:t xml:space="preserve">2b7.3.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rsidR="00C30BD0" w:rsidRDefault="00B66632">
      <w:pPr>
        <w:autoSpaceDE w:val="0"/>
        <w:autoSpaceDN w:val="0"/>
        <w:adjustRightInd w:val="0"/>
        <w:spacing w:after="0" w:line="240" w:lineRule="auto"/>
        <w:rPr>
          <w:rFonts w:cstheme="minorHAnsi"/>
          <w:bCs/>
          <w:color w:val="0000FF"/>
        </w:rPr>
      </w:pPr>
      <w:r>
        <w:rPr>
          <w:rFonts w:cstheme="minorHAnsi"/>
          <w:bCs/>
          <w:color w:val="0000FF"/>
        </w:rPr>
        <w:t xml:space="preserve">Exclusion of cases for missing data is appropriate. </w:t>
      </w:r>
    </w:p>
    <w:p w:rsidR="00C30BD0" w:rsidRDefault="00C30BD0">
      <w:pPr>
        <w:autoSpaceDE w:val="0"/>
        <w:autoSpaceDN w:val="0"/>
        <w:adjustRightInd w:val="0"/>
        <w:spacing w:after="0" w:line="240" w:lineRule="auto"/>
        <w:rPr>
          <w:rFonts w:cstheme="minorHAnsi"/>
          <w:bCs/>
          <w:color w:val="0000FF"/>
        </w:rPr>
      </w:pPr>
    </w:p>
    <w:p w:rsidR="00BA053B" w:rsidRPr="005560E7" w:rsidRDefault="00BA053B">
      <w:pPr>
        <w:autoSpaceDE w:val="0"/>
        <w:autoSpaceDN w:val="0"/>
        <w:adjustRightInd w:val="0"/>
        <w:spacing w:after="0" w:line="240" w:lineRule="auto"/>
        <w:rPr>
          <w:rFonts w:cstheme="minorHAnsi"/>
          <w:bCs/>
        </w:rPr>
      </w:pPr>
    </w:p>
    <w:sectPr w:rsidR="00BA053B" w:rsidRPr="005560E7" w:rsidSect="008505D1">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589F" w:rsidRDefault="00EA589F" w:rsidP="005C73CA">
      <w:pPr>
        <w:spacing w:after="0" w:line="240" w:lineRule="auto"/>
      </w:pPr>
      <w:r>
        <w:separator/>
      </w:r>
    </w:p>
  </w:endnote>
  <w:endnote w:type="continuationSeparator" w:id="0">
    <w:p w:rsidR="00EA589F" w:rsidRDefault="00EA589F"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89F" w:rsidRDefault="00EA589F">
    <w:pPr>
      <w:pStyle w:val="Footer"/>
    </w:pPr>
    <w:r>
      <w:t xml:space="preserve">Version </w:t>
    </w:r>
    <w:proofErr w:type="gramStart"/>
    <w:r>
      <w:t>6.5  08</w:t>
    </w:r>
    <w:proofErr w:type="gramEnd"/>
    <w:r>
      <w:t>/20/13</w:t>
    </w:r>
    <w:r>
      <w:ptab w:relativeTo="margin" w:alignment="center" w:leader="none"/>
    </w:r>
    <w:r>
      <w:ptab w:relativeTo="margin" w:alignment="right" w:leader="none"/>
    </w:r>
    <w:r>
      <w:fldChar w:fldCharType="begin"/>
    </w:r>
    <w:r>
      <w:instrText xml:space="preserve"> PAGE   \* MERGEFORMAT </w:instrText>
    </w:r>
    <w:r>
      <w:fldChar w:fldCharType="separate"/>
    </w:r>
    <w:r w:rsidR="00164633">
      <w:rPr>
        <w:noProof/>
      </w:rPr>
      <w:t>10</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589F" w:rsidRDefault="00EA589F" w:rsidP="005C73CA">
      <w:pPr>
        <w:spacing w:after="0" w:line="240" w:lineRule="auto"/>
      </w:pPr>
      <w:r>
        <w:separator/>
      </w:r>
    </w:p>
  </w:footnote>
  <w:footnote w:type="continuationSeparator" w:id="0">
    <w:p w:rsidR="00EA589F" w:rsidRDefault="00EA589F" w:rsidP="005C73CA">
      <w:pPr>
        <w:spacing w:after="0" w:line="240" w:lineRule="auto"/>
      </w:pPr>
      <w:r>
        <w:continuationSeparator/>
      </w:r>
    </w:p>
  </w:footnote>
  <w:footnote w:id="1">
    <w:p w:rsidR="00EA589F" w:rsidRPr="00CF54A6" w:rsidRDefault="00EA589F" w:rsidP="00ED36D2">
      <w:pPr>
        <w:pStyle w:val="Default"/>
        <w:rPr>
          <w:rFonts w:ascii="Calibri" w:hAnsi="Calibri" w:cs="Arial"/>
          <w:color w:val="0000FF"/>
          <w:sz w:val="18"/>
          <w:szCs w:val="18"/>
        </w:rPr>
      </w:pPr>
      <w:r w:rsidRPr="00CF54A6">
        <w:rPr>
          <w:rStyle w:val="FootnoteReference"/>
          <w:rFonts w:ascii="Calibri" w:hAnsi="Calibri"/>
          <w:color w:val="0000FF"/>
          <w:sz w:val="18"/>
          <w:szCs w:val="18"/>
        </w:rPr>
        <w:footnoteRef/>
      </w:r>
      <w:r w:rsidRPr="00CF54A6">
        <w:rPr>
          <w:rFonts w:ascii="Calibri" w:hAnsi="Calibri"/>
          <w:color w:val="0000FF"/>
          <w:sz w:val="18"/>
          <w:szCs w:val="18"/>
        </w:rPr>
        <w:t xml:space="preserve"> </w:t>
      </w:r>
      <w:r w:rsidRPr="00CF54A6">
        <w:rPr>
          <w:rFonts w:ascii="Calibri" w:hAnsi="Calibri"/>
          <w:color w:val="0000FF"/>
          <w:spacing w:val="1"/>
          <w:sz w:val="18"/>
          <w:szCs w:val="18"/>
        </w:rPr>
        <w:t>P</w:t>
      </w:r>
      <w:r w:rsidRPr="00CF54A6">
        <w:rPr>
          <w:rFonts w:ascii="Calibri" w:hAnsi="Calibri"/>
          <w:color w:val="0000FF"/>
          <w:sz w:val="18"/>
          <w:szCs w:val="18"/>
        </w:rPr>
        <w:t>re</w:t>
      </w:r>
      <w:r w:rsidRPr="00CF54A6">
        <w:rPr>
          <w:rFonts w:ascii="Calibri" w:hAnsi="Calibri"/>
          <w:color w:val="0000FF"/>
          <w:spacing w:val="-2"/>
          <w:sz w:val="18"/>
          <w:szCs w:val="18"/>
        </w:rPr>
        <w:t>s</w:t>
      </w:r>
      <w:r w:rsidRPr="00CF54A6">
        <w:rPr>
          <w:rFonts w:ascii="Calibri" w:hAnsi="Calibri"/>
          <w:color w:val="0000FF"/>
          <w:sz w:val="18"/>
          <w:szCs w:val="18"/>
        </w:rPr>
        <w:t>e</w:t>
      </w:r>
      <w:r w:rsidRPr="00CF54A6">
        <w:rPr>
          <w:rFonts w:ascii="Calibri" w:hAnsi="Calibri"/>
          <w:color w:val="0000FF"/>
          <w:spacing w:val="-1"/>
          <w:sz w:val="18"/>
          <w:szCs w:val="18"/>
        </w:rPr>
        <w:t>n</w:t>
      </w:r>
      <w:r w:rsidRPr="00CF54A6">
        <w:rPr>
          <w:rFonts w:ascii="Calibri" w:hAnsi="Calibri"/>
          <w:color w:val="0000FF"/>
          <w:sz w:val="18"/>
          <w:szCs w:val="18"/>
        </w:rPr>
        <w:t>t-</w:t>
      </w:r>
      <w:r w:rsidRPr="00CF54A6">
        <w:rPr>
          <w:rFonts w:ascii="Calibri" w:hAnsi="Calibri"/>
          <w:color w:val="0000FF"/>
          <w:spacing w:val="1"/>
          <w:sz w:val="18"/>
          <w:szCs w:val="18"/>
        </w:rPr>
        <w:t>o</w:t>
      </w:r>
      <w:r w:rsidRPr="00CF54A6">
        <w:rPr>
          <w:rFonts w:ascii="Calibri" w:hAnsi="Calibri"/>
          <w:color w:val="0000FF"/>
          <w:sz w:val="18"/>
          <w:szCs w:val="18"/>
        </w:rPr>
        <w:t>n -</w:t>
      </w:r>
      <w:r w:rsidRPr="00CF54A6">
        <w:rPr>
          <w:rFonts w:ascii="Calibri" w:hAnsi="Calibri"/>
          <w:color w:val="0000FF"/>
          <w:spacing w:val="-1"/>
          <w:sz w:val="18"/>
          <w:szCs w:val="18"/>
        </w:rPr>
        <w:t>A</w:t>
      </w:r>
      <w:r w:rsidRPr="00CF54A6">
        <w:rPr>
          <w:rFonts w:ascii="Calibri" w:hAnsi="Calibri"/>
          <w:color w:val="0000FF"/>
          <w:spacing w:val="-3"/>
          <w:sz w:val="18"/>
          <w:szCs w:val="18"/>
        </w:rPr>
        <w:t>d</w:t>
      </w:r>
      <w:r w:rsidRPr="00CF54A6">
        <w:rPr>
          <w:rFonts w:ascii="Calibri" w:hAnsi="Calibri"/>
          <w:color w:val="0000FF"/>
          <w:spacing w:val="1"/>
          <w:sz w:val="18"/>
          <w:szCs w:val="18"/>
        </w:rPr>
        <w:t>m</w:t>
      </w:r>
      <w:r w:rsidRPr="00CF54A6">
        <w:rPr>
          <w:rFonts w:ascii="Calibri" w:hAnsi="Calibri"/>
          <w:color w:val="0000FF"/>
          <w:sz w:val="18"/>
          <w:szCs w:val="18"/>
        </w:rPr>
        <w:t>iss</w:t>
      </w:r>
      <w:r w:rsidRPr="00CF54A6">
        <w:rPr>
          <w:rFonts w:ascii="Calibri" w:hAnsi="Calibri"/>
          <w:color w:val="0000FF"/>
          <w:spacing w:val="-3"/>
          <w:sz w:val="18"/>
          <w:szCs w:val="18"/>
        </w:rPr>
        <w:t>i</w:t>
      </w:r>
      <w:r w:rsidRPr="00CF54A6">
        <w:rPr>
          <w:rFonts w:ascii="Calibri" w:hAnsi="Calibri"/>
          <w:color w:val="0000FF"/>
          <w:spacing w:val="1"/>
          <w:sz w:val="18"/>
          <w:szCs w:val="18"/>
        </w:rPr>
        <w:t>o</w:t>
      </w:r>
      <w:r w:rsidRPr="00CF54A6">
        <w:rPr>
          <w:rFonts w:ascii="Calibri" w:hAnsi="Calibri"/>
          <w:color w:val="0000FF"/>
          <w:sz w:val="18"/>
          <w:szCs w:val="18"/>
        </w:rPr>
        <w:t>n w</w:t>
      </w:r>
      <w:r w:rsidRPr="00CF54A6">
        <w:rPr>
          <w:rFonts w:ascii="Calibri" w:hAnsi="Calibri"/>
          <w:color w:val="0000FF"/>
          <w:spacing w:val="-3"/>
          <w:sz w:val="18"/>
          <w:szCs w:val="18"/>
        </w:rPr>
        <w:t>a</w:t>
      </w:r>
      <w:r w:rsidRPr="00CF54A6">
        <w:rPr>
          <w:rFonts w:ascii="Calibri" w:hAnsi="Calibri"/>
          <w:color w:val="0000FF"/>
          <w:sz w:val="18"/>
          <w:szCs w:val="18"/>
        </w:rPr>
        <w:t>s</w:t>
      </w:r>
      <w:r w:rsidRPr="00CF54A6">
        <w:rPr>
          <w:rFonts w:ascii="Calibri" w:hAnsi="Calibri"/>
          <w:color w:val="0000FF"/>
          <w:spacing w:val="-2"/>
          <w:sz w:val="18"/>
          <w:szCs w:val="18"/>
        </w:rPr>
        <w:t xml:space="preserve"> </w:t>
      </w:r>
      <w:r w:rsidRPr="00CF54A6">
        <w:rPr>
          <w:rFonts w:ascii="Calibri" w:hAnsi="Calibri"/>
          <w:color w:val="0000FF"/>
          <w:sz w:val="18"/>
          <w:szCs w:val="18"/>
        </w:rPr>
        <w:t>a</w:t>
      </w:r>
      <w:r w:rsidRPr="00CF54A6">
        <w:rPr>
          <w:rFonts w:ascii="Calibri" w:hAnsi="Calibri"/>
          <w:color w:val="0000FF"/>
          <w:spacing w:val="-1"/>
          <w:sz w:val="18"/>
          <w:szCs w:val="18"/>
        </w:rPr>
        <w:t>dd</w:t>
      </w:r>
      <w:r w:rsidRPr="00CF54A6">
        <w:rPr>
          <w:rFonts w:ascii="Calibri" w:hAnsi="Calibri"/>
          <w:color w:val="0000FF"/>
          <w:sz w:val="18"/>
          <w:szCs w:val="18"/>
        </w:rPr>
        <w:t>ed as</w:t>
      </w:r>
      <w:r w:rsidRPr="00CF54A6">
        <w:rPr>
          <w:rFonts w:ascii="Calibri" w:hAnsi="Calibri"/>
          <w:color w:val="0000FF"/>
          <w:spacing w:val="1"/>
          <w:sz w:val="18"/>
          <w:szCs w:val="18"/>
        </w:rPr>
        <w:t xml:space="preserve"> </w:t>
      </w:r>
      <w:r w:rsidRPr="00CF54A6">
        <w:rPr>
          <w:rFonts w:ascii="Calibri" w:hAnsi="Calibri"/>
          <w:color w:val="0000FF"/>
          <w:sz w:val="18"/>
          <w:szCs w:val="18"/>
        </w:rPr>
        <w:t xml:space="preserve">a </w:t>
      </w:r>
      <w:r w:rsidRPr="00CF54A6">
        <w:rPr>
          <w:rFonts w:ascii="Calibri" w:hAnsi="Calibri"/>
          <w:color w:val="0000FF"/>
          <w:spacing w:val="-1"/>
          <w:sz w:val="18"/>
          <w:szCs w:val="18"/>
        </w:rPr>
        <w:t>d</w:t>
      </w:r>
      <w:r w:rsidRPr="00CF54A6">
        <w:rPr>
          <w:rFonts w:ascii="Calibri" w:hAnsi="Calibri"/>
          <w:color w:val="0000FF"/>
          <w:spacing w:val="-3"/>
          <w:sz w:val="18"/>
          <w:szCs w:val="18"/>
        </w:rPr>
        <w:t>a</w:t>
      </w:r>
      <w:r w:rsidRPr="00CF54A6">
        <w:rPr>
          <w:rFonts w:ascii="Calibri" w:hAnsi="Calibri"/>
          <w:color w:val="0000FF"/>
          <w:sz w:val="18"/>
          <w:szCs w:val="18"/>
        </w:rPr>
        <w:t>ta e</w:t>
      </w:r>
      <w:r w:rsidRPr="00CF54A6">
        <w:rPr>
          <w:rFonts w:ascii="Calibri" w:hAnsi="Calibri"/>
          <w:color w:val="0000FF"/>
          <w:spacing w:val="-3"/>
          <w:sz w:val="18"/>
          <w:szCs w:val="18"/>
        </w:rPr>
        <w:t>l</w:t>
      </w:r>
      <w:r w:rsidRPr="00CF54A6">
        <w:rPr>
          <w:rFonts w:ascii="Calibri" w:hAnsi="Calibri"/>
          <w:color w:val="0000FF"/>
          <w:sz w:val="18"/>
          <w:szCs w:val="18"/>
        </w:rPr>
        <w:t>e</w:t>
      </w:r>
      <w:r w:rsidRPr="00CF54A6">
        <w:rPr>
          <w:rFonts w:ascii="Calibri" w:hAnsi="Calibri"/>
          <w:color w:val="0000FF"/>
          <w:spacing w:val="-1"/>
          <w:sz w:val="18"/>
          <w:szCs w:val="18"/>
        </w:rPr>
        <w:t>m</w:t>
      </w:r>
      <w:r w:rsidRPr="00CF54A6">
        <w:rPr>
          <w:rFonts w:ascii="Calibri" w:hAnsi="Calibri"/>
          <w:color w:val="0000FF"/>
          <w:sz w:val="18"/>
          <w:szCs w:val="18"/>
        </w:rPr>
        <w:t>e</w:t>
      </w:r>
      <w:r w:rsidRPr="00CF54A6">
        <w:rPr>
          <w:rFonts w:ascii="Calibri" w:hAnsi="Calibri"/>
          <w:color w:val="0000FF"/>
          <w:spacing w:val="-1"/>
          <w:sz w:val="18"/>
          <w:szCs w:val="18"/>
        </w:rPr>
        <w:t>n</w:t>
      </w:r>
      <w:r w:rsidRPr="00CF54A6">
        <w:rPr>
          <w:rFonts w:ascii="Calibri" w:hAnsi="Calibri"/>
          <w:color w:val="0000FF"/>
          <w:sz w:val="18"/>
          <w:szCs w:val="18"/>
        </w:rPr>
        <w:t>t</w:t>
      </w:r>
      <w:r w:rsidRPr="00CF54A6">
        <w:rPr>
          <w:rFonts w:ascii="Calibri" w:hAnsi="Calibri"/>
          <w:color w:val="0000FF"/>
          <w:spacing w:val="-1"/>
          <w:sz w:val="18"/>
          <w:szCs w:val="18"/>
        </w:rPr>
        <w:t xml:space="preserve"> </w:t>
      </w:r>
      <w:r w:rsidRPr="00CF54A6">
        <w:rPr>
          <w:rFonts w:ascii="Calibri" w:hAnsi="Calibri"/>
          <w:color w:val="0000FF"/>
          <w:spacing w:val="-2"/>
          <w:sz w:val="18"/>
          <w:szCs w:val="18"/>
        </w:rPr>
        <w:t>t</w:t>
      </w:r>
      <w:r w:rsidRPr="00CF54A6">
        <w:rPr>
          <w:rFonts w:ascii="Calibri" w:hAnsi="Calibri"/>
          <w:color w:val="0000FF"/>
          <w:sz w:val="18"/>
          <w:szCs w:val="18"/>
        </w:rPr>
        <w:t>o</w:t>
      </w:r>
      <w:r w:rsidRPr="00CF54A6">
        <w:rPr>
          <w:rFonts w:ascii="Calibri" w:hAnsi="Calibri"/>
          <w:color w:val="0000FF"/>
          <w:spacing w:val="2"/>
          <w:sz w:val="18"/>
          <w:szCs w:val="18"/>
        </w:rPr>
        <w:t xml:space="preserve"> </w:t>
      </w:r>
      <w:r w:rsidRPr="00CF54A6">
        <w:rPr>
          <w:rFonts w:ascii="Calibri" w:hAnsi="Calibri"/>
          <w:color w:val="0000FF"/>
          <w:sz w:val="18"/>
          <w:szCs w:val="18"/>
        </w:rPr>
        <w:t>t</w:t>
      </w:r>
      <w:r w:rsidRPr="00CF54A6">
        <w:rPr>
          <w:rFonts w:ascii="Calibri" w:hAnsi="Calibri"/>
          <w:color w:val="0000FF"/>
          <w:spacing w:val="-1"/>
          <w:sz w:val="18"/>
          <w:szCs w:val="18"/>
        </w:rPr>
        <w:t>h</w:t>
      </w:r>
      <w:r w:rsidRPr="00CF54A6">
        <w:rPr>
          <w:rFonts w:ascii="Calibri" w:hAnsi="Calibri"/>
          <w:color w:val="0000FF"/>
          <w:sz w:val="18"/>
          <w:szCs w:val="18"/>
        </w:rPr>
        <w:t>e</w:t>
      </w:r>
      <w:r w:rsidRPr="00CF54A6">
        <w:rPr>
          <w:rFonts w:ascii="Calibri" w:hAnsi="Calibri"/>
          <w:color w:val="0000FF"/>
          <w:spacing w:val="-1"/>
          <w:sz w:val="18"/>
          <w:szCs w:val="18"/>
        </w:rPr>
        <w:t xml:space="preserve"> un</w:t>
      </w:r>
      <w:r w:rsidRPr="00CF54A6">
        <w:rPr>
          <w:rFonts w:ascii="Calibri" w:hAnsi="Calibri"/>
          <w:color w:val="0000FF"/>
          <w:sz w:val="18"/>
          <w:szCs w:val="18"/>
        </w:rPr>
        <w:t>if</w:t>
      </w:r>
      <w:r w:rsidRPr="00CF54A6">
        <w:rPr>
          <w:rFonts w:ascii="Calibri" w:hAnsi="Calibri"/>
          <w:color w:val="0000FF"/>
          <w:spacing w:val="1"/>
          <w:sz w:val="18"/>
          <w:szCs w:val="18"/>
        </w:rPr>
        <w:t>o</w:t>
      </w:r>
      <w:r w:rsidRPr="00CF54A6">
        <w:rPr>
          <w:rFonts w:ascii="Calibri" w:hAnsi="Calibri"/>
          <w:color w:val="0000FF"/>
          <w:spacing w:val="-3"/>
          <w:sz w:val="18"/>
          <w:szCs w:val="18"/>
        </w:rPr>
        <w:t>r</w:t>
      </w:r>
      <w:r w:rsidRPr="00CF54A6">
        <w:rPr>
          <w:rFonts w:ascii="Calibri" w:hAnsi="Calibri"/>
          <w:color w:val="0000FF"/>
          <w:sz w:val="18"/>
          <w:szCs w:val="18"/>
        </w:rPr>
        <w:t>m</w:t>
      </w:r>
      <w:r w:rsidRPr="00CF54A6">
        <w:rPr>
          <w:rFonts w:ascii="Calibri" w:hAnsi="Calibri"/>
          <w:color w:val="0000FF"/>
          <w:spacing w:val="2"/>
          <w:sz w:val="18"/>
          <w:szCs w:val="18"/>
        </w:rPr>
        <w:t xml:space="preserve"> </w:t>
      </w:r>
      <w:r w:rsidRPr="00CF54A6">
        <w:rPr>
          <w:rFonts w:ascii="Calibri" w:hAnsi="Calibri"/>
          <w:color w:val="0000FF"/>
          <w:spacing w:val="-1"/>
          <w:sz w:val="18"/>
          <w:szCs w:val="18"/>
        </w:rPr>
        <w:t>b</w:t>
      </w:r>
      <w:r w:rsidRPr="00CF54A6">
        <w:rPr>
          <w:rFonts w:ascii="Calibri" w:hAnsi="Calibri"/>
          <w:color w:val="0000FF"/>
          <w:sz w:val="18"/>
          <w:szCs w:val="18"/>
        </w:rPr>
        <w:t xml:space="preserve">ill </w:t>
      </w:r>
      <w:r w:rsidRPr="00CF54A6">
        <w:rPr>
          <w:rFonts w:ascii="Calibri" w:hAnsi="Calibri"/>
          <w:color w:val="0000FF"/>
          <w:spacing w:val="-3"/>
          <w:sz w:val="18"/>
          <w:szCs w:val="18"/>
        </w:rPr>
        <w:t>f</w:t>
      </w:r>
      <w:r w:rsidRPr="00CF54A6">
        <w:rPr>
          <w:rFonts w:ascii="Calibri" w:hAnsi="Calibri"/>
          <w:color w:val="0000FF"/>
          <w:spacing w:val="1"/>
          <w:sz w:val="18"/>
          <w:szCs w:val="18"/>
        </w:rPr>
        <w:t>o</w:t>
      </w:r>
      <w:r w:rsidRPr="00CF54A6">
        <w:rPr>
          <w:rFonts w:ascii="Calibri" w:hAnsi="Calibri"/>
          <w:color w:val="0000FF"/>
          <w:spacing w:val="-3"/>
          <w:sz w:val="18"/>
          <w:szCs w:val="18"/>
        </w:rPr>
        <w:t>r</w:t>
      </w:r>
      <w:r w:rsidRPr="00CF54A6">
        <w:rPr>
          <w:rFonts w:ascii="Calibri" w:hAnsi="Calibri"/>
          <w:color w:val="0000FF"/>
          <w:sz w:val="18"/>
          <w:szCs w:val="18"/>
        </w:rPr>
        <w:t>m</w:t>
      </w:r>
      <w:r w:rsidRPr="00CF54A6">
        <w:rPr>
          <w:rFonts w:ascii="Calibri" w:hAnsi="Calibri"/>
          <w:color w:val="0000FF"/>
          <w:spacing w:val="2"/>
          <w:sz w:val="18"/>
          <w:szCs w:val="18"/>
        </w:rPr>
        <w:t xml:space="preserve"> </w:t>
      </w:r>
      <w:r w:rsidRPr="00CF54A6">
        <w:rPr>
          <w:rFonts w:ascii="Calibri" w:hAnsi="Calibri"/>
          <w:color w:val="0000FF"/>
          <w:spacing w:val="1"/>
          <w:sz w:val="18"/>
          <w:szCs w:val="18"/>
        </w:rPr>
        <w:t>(</w:t>
      </w:r>
      <w:r w:rsidRPr="00CF54A6">
        <w:rPr>
          <w:rFonts w:ascii="Calibri" w:hAnsi="Calibri"/>
          <w:color w:val="0000FF"/>
          <w:sz w:val="18"/>
          <w:szCs w:val="18"/>
        </w:rPr>
        <w:t>U</w:t>
      </w:r>
      <w:r w:rsidRPr="00CF54A6">
        <w:rPr>
          <w:rFonts w:ascii="Calibri" w:hAnsi="Calibri"/>
          <w:color w:val="0000FF"/>
          <w:spacing w:val="-2"/>
          <w:sz w:val="18"/>
          <w:szCs w:val="18"/>
        </w:rPr>
        <w:t>B</w:t>
      </w:r>
      <w:r w:rsidRPr="00CF54A6">
        <w:rPr>
          <w:rFonts w:ascii="Calibri" w:hAnsi="Calibri"/>
          <w:color w:val="0000FF"/>
          <w:sz w:val="18"/>
          <w:szCs w:val="18"/>
        </w:rPr>
        <w:t>-</w:t>
      </w:r>
      <w:r w:rsidRPr="00CF54A6">
        <w:rPr>
          <w:rFonts w:ascii="Calibri" w:hAnsi="Calibri"/>
          <w:color w:val="0000FF"/>
          <w:spacing w:val="1"/>
          <w:sz w:val="18"/>
          <w:szCs w:val="18"/>
        </w:rPr>
        <w:t>04</w:t>
      </w:r>
      <w:r w:rsidRPr="00CF54A6">
        <w:rPr>
          <w:rFonts w:ascii="Calibri" w:hAnsi="Calibri"/>
          <w:color w:val="0000FF"/>
          <w:sz w:val="18"/>
          <w:szCs w:val="18"/>
        </w:rPr>
        <w:t>)</w:t>
      </w:r>
      <w:r w:rsidRPr="00CF54A6">
        <w:rPr>
          <w:rFonts w:ascii="Calibri" w:hAnsi="Calibri"/>
          <w:color w:val="0000FF"/>
          <w:spacing w:val="-2"/>
          <w:sz w:val="18"/>
          <w:szCs w:val="18"/>
        </w:rPr>
        <w:t xml:space="preserve"> </w:t>
      </w:r>
      <w:r w:rsidRPr="00CF54A6">
        <w:rPr>
          <w:rFonts w:ascii="Calibri" w:hAnsi="Calibri"/>
          <w:color w:val="0000FF"/>
          <w:spacing w:val="1"/>
          <w:sz w:val="18"/>
          <w:szCs w:val="18"/>
        </w:rPr>
        <w:t>e</w:t>
      </w:r>
      <w:r w:rsidRPr="00CF54A6">
        <w:rPr>
          <w:rFonts w:ascii="Calibri" w:hAnsi="Calibri"/>
          <w:color w:val="0000FF"/>
          <w:sz w:val="18"/>
          <w:szCs w:val="18"/>
        </w:rPr>
        <w:t>ff</w:t>
      </w:r>
      <w:r w:rsidRPr="00CF54A6">
        <w:rPr>
          <w:rFonts w:ascii="Calibri" w:hAnsi="Calibri"/>
          <w:color w:val="0000FF"/>
          <w:spacing w:val="-2"/>
          <w:sz w:val="18"/>
          <w:szCs w:val="18"/>
        </w:rPr>
        <w:t>e</w:t>
      </w:r>
      <w:r w:rsidRPr="00CF54A6">
        <w:rPr>
          <w:rFonts w:ascii="Calibri" w:hAnsi="Calibri"/>
          <w:color w:val="0000FF"/>
          <w:sz w:val="18"/>
          <w:szCs w:val="18"/>
        </w:rPr>
        <w:t>cti</w:t>
      </w:r>
      <w:r w:rsidRPr="00CF54A6">
        <w:rPr>
          <w:rFonts w:ascii="Calibri" w:hAnsi="Calibri"/>
          <w:color w:val="0000FF"/>
          <w:spacing w:val="-1"/>
          <w:sz w:val="18"/>
          <w:szCs w:val="18"/>
        </w:rPr>
        <w:t>v</w:t>
      </w:r>
      <w:r w:rsidRPr="00CF54A6">
        <w:rPr>
          <w:rFonts w:ascii="Calibri" w:hAnsi="Calibri"/>
          <w:color w:val="0000FF"/>
          <w:sz w:val="18"/>
          <w:szCs w:val="18"/>
        </w:rPr>
        <w:t>e</w:t>
      </w:r>
      <w:r w:rsidRPr="00CF54A6">
        <w:rPr>
          <w:rFonts w:ascii="Calibri" w:hAnsi="Calibri"/>
          <w:color w:val="0000FF"/>
          <w:spacing w:val="1"/>
          <w:sz w:val="18"/>
          <w:szCs w:val="18"/>
        </w:rPr>
        <w:t xml:space="preserve"> </w:t>
      </w:r>
      <w:r w:rsidRPr="00CF54A6">
        <w:rPr>
          <w:rFonts w:ascii="Calibri" w:hAnsi="Calibri"/>
          <w:color w:val="0000FF"/>
          <w:spacing w:val="-2"/>
          <w:sz w:val="18"/>
          <w:szCs w:val="18"/>
        </w:rPr>
        <w:t>O</w:t>
      </w:r>
      <w:r w:rsidRPr="00CF54A6">
        <w:rPr>
          <w:rFonts w:ascii="Calibri" w:hAnsi="Calibri"/>
          <w:color w:val="0000FF"/>
          <w:sz w:val="18"/>
          <w:szCs w:val="18"/>
        </w:rPr>
        <w:t>c</w:t>
      </w:r>
      <w:r w:rsidRPr="00CF54A6">
        <w:rPr>
          <w:rFonts w:ascii="Calibri" w:hAnsi="Calibri"/>
          <w:color w:val="0000FF"/>
          <w:spacing w:val="-2"/>
          <w:sz w:val="18"/>
          <w:szCs w:val="18"/>
        </w:rPr>
        <w:t>t</w:t>
      </w:r>
      <w:r w:rsidRPr="00CF54A6">
        <w:rPr>
          <w:rFonts w:ascii="Calibri" w:hAnsi="Calibri"/>
          <w:color w:val="0000FF"/>
          <w:spacing w:val="1"/>
          <w:sz w:val="18"/>
          <w:szCs w:val="18"/>
        </w:rPr>
        <w:t>o</w:t>
      </w:r>
      <w:r w:rsidRPr="00CF54A6">
        <w:rPr>
          <w:rFonts w:ascii="Calibri" w:hAnsi="Calibri"/>
          <w:color w:val="0000FF"/>
          <w:spacing w:val="-1"/>
          <w:sz w:val="18"/>
          <w:szCs w:val="18"/>
        </w:rPr>
        <w:t>b</w:t>
      </w:r>
      <w:r w:rsidRPr="00CF54A6">
        <w:rPr>
          <w:rFonts w:ascii="Calibri" w:hAnsi="Calibri"/>
          <w:color w:val="0000FF"/>
          <w:spacing w:val="1"/>
          <w:sz w:val="18"/>
          <w:szCs w:val="18"/>
        </w:rPr>
        <w:t>e</w:t>
      </w:r>
      <w:r w:rsidRPr="00CF54A6">
        <w:rPr>
          <w:rFonts w:ascii="Calibri" w:hAnsi="Calibri"/>
          <w:color w:val="0000FF"/>
          <w:sz w:val="18"/>
          <w:szCs w:val="18"/>
        </w:rPr>
        <w:t xml:space="preserve">r </w:t>
      </w:r>
      <w:r w:rsidRPr="00CF54A6">
        <w:rPr>
          <w:rFonts w:ascii="Calibri" w:hAnsi="Calibri"/>
          <w:color w:val="0000FF"/>
          <w:spacing w:val="1"/>
          <w:sz w:val="18"/>
          <w:szCs w:val="18"/>
        </w:rPr>
        <w:t>1</w:t>
      </w:r>
      <w:r w:rsidRPr="00CF54A6">
        <w:rPr>
          <w:rFonts w:ascii="Calibri" w:hAnsi="Calibri"/>
          <w:color w:val="0000FF"/>
          <w:sz w:val="18"/>
          <w:szCs w:val="18"/>
        </w:rPr>
        <w:t>,</w:t>
      </w:r>
      <w:r w:rsidRPr="00CF54A6">
        <w:rPr>
          <w:rFonts w:ascii="Calibri" w:hAnsi="Calibri"/>
          <w:color w:val="0000FF"/>
          <w:spacing w:val="1"/>
          <w:sz w:val="18"/>
          <w:szCs w:val="18"/>
        </w:rPr>
        <w:t xml:space="preserve"> </w:t>
      </w:r>
      <w:r w:rsidRPr="00CF54A6">
        <w:rPr>
          <w:rFonts w:ascii="Calibri" w:hAnsi="Calibri"/>
          <w:color w:val="0000FF"/>
          <w:spacing w:val="-2"/>
          <w:sz w:val="18"/>
          <w:szCs w:val="18"/>
        </w:rPr>
        <w:t>20</w:t>
      </w:r>
      <w:r w:rsidRPr="00CF54A6">
        <w:rPr>
          <w:rFonts w:ascii="Calibri" w:hAnsi="Calibri"/>
          <w:color w:val="0000FF"/>
          <w:spacing w:val="1"/>
          <w:sz w:val="18"/>
          <w:szCs w:val="18"/>
        </w:rPr>
        <w:t>07</w:t>
      </w:r>
      <w:r w:rsidRPr="00CF54A6">
        <w:rPr>
          <w:rFonts w:ascii="Calibri" w:hAnsi="Calibri"/>
          <w:color w:val="0000FF"/>
          <w:sz w:val="18"/>
          <w:szCs w:val="18"/>
        </w:rPr>
        <w:t>,</w:t>
      </w:r>
      <w:r w:rsidRPr="00CF54A6">
        <w:rPr>
          <w:rFonts w:ascii="Calibri" w:hAnsi="Calibri"/>
          <w:color w:val="0000FF"/>
          <w:spacing w:val="-2"/>
          <w:sz w:val="18"/>
          <w:szCs w:val="18"/>
        </w:rPr>
        <w:t xml:space="preserve"> </w:t>
      </w:r>
      <w:r w:rsidRPr="00CF54A6">
        <w:rPr>
          <w:rFonts w:ascii="Calibri" w:hAnsi="Calibri"/>
          <w:color w:val="0000FF"/>
          <w:sz w:val="18"/>
          <w:szCs w:val="18"/>
        </w:rPr>
        <w:t>a</w:t>
      </w:r>
      <w:r w:rsidRPr="00CF54A6">
        <w:rPr>
          <w:rFonts w:ascii="Calibri" w:hAnsi="Calibri"/>
          <w:color w:val="0000FF"/>
          <w:spacing w:val="-1"/>
          <w:sz w:val="18"/>
          <w:szCs w:val="18"/>
        </w:rPr>
        <w:t>n</w:t>
      </w:r>
      <w:r w:rsidRPr="00CF54A6">
        <w:rPr>
          <w:rFonts w:ascii="Calibri" w:hAnsi="Calibri"/>
          <w:color w:val="0000FF"/>
          <w:sz w:val="18"/>
          <w:szCs w:val="18"/>
        </w:rPr>
        <w:t xml:space="preserve">d </w:t>
      </w:r>
      <w:r w:rsidRPr="00CF54A6">
        <w:rPr>
          <w:rFonts w:ascii="Calibri" w:hAnsi="Calibri"/>
          <w:color w:val="0000FF"/>
          <w:spacing w:val="-1"/>
          <w:sz w:val="18"/>
          <w:szCs w:val="18"/>
        </w:rPr>
        <w:t>h</w:t>
      </w:r>
      <w:r w:rsidRPr="00CF54A6">
        <w:rPr>
          <w:rFonts w:ascii="Calibri" w:hAnsi="Calibri"/>
          <w:color w:val="0000FF"/>
          <w:spacing w:val="1"/>
          <w:sz w:val="18"/>
          <w:szCs w:val="18"/>
        </w:rPr>
        <w:t>o</w:t>
      </w:r>
      <w:r w:rsidRPr="00CF54A6">
        <w:rPr>
          <w:rFonts w:ascii="Calibri" w:hAnsi="Calibri"/>
          <w:color w:val="0000FF"/>
          <w:sz w:val="18"/>
          <w:szCs w:val="18"/>
        </w:rPr>
        <w:t>s</w:t>
      </w:r>
      <w:r w:rsidRPr="00CF54A6">
        <w:rPr>
          <w:rFonts w:ascii="Calibri" w:hAnsi="Calibri"/>
          <w:color w:val="0000FF"/>
          <w:spacing w:val="-1"/>
          <w:sz w:val="18"/>
          <w:szCs w:val="18"/>
        </w:rPr>
        <w:t>p</w:t>
      </w:r>
      <w:r w:rsidRPr="00CF54A6">
        <w:rPr>
          <w:rFonts w:ascii="Calibri" w:hAnsi="Calibri"/>
          <w:color w:val="0000FF"/>
          <w:sz w:val="18"/>
          <w:szCs w:val="18"/>
        </w:rPr>
        <w:t>itals</w:t>
      </w:r>
      <w:r w:rsidRPr="00CF54A6">
        <w:rPr>
          <w:rFonts w:ascii="Calibri" w:hAnsi="Calibri"/>
          <w:color w:val="0000FF"/>
          <w:spacing w:val="-2"/>
          <w:sz w:val="18"/>
          <w:szCs w:val="18"/>
        </w:rPr>
        <w:t xml:space="preserve"> </w:t>
      </w:r>
      <w:r w:rsidRPr="00CF54A6">
        <w:rPr>
          <w:rFonts w:ascii="Calibri" w:hAnsi="Calibri"/>
          <w:color w:val="0000FF"/>
          <w:sz w:val="18"/>
          <w:szCs w:val="18"/>
        </w:rPr>
        <w:t>i</w:t>
      </w:r>
      <w:r w:rsidRPr="00CF54A6">
        <w:rPr>
          <w:rFonts w:ascii="Calibri" w:hAnsi="Calibri"/>
          <w:color w:val="0000FF"/>
          <w:spacing w:val="-1"/>
          <w:sz w:val="18"/>
          <w:szCs w:val="18"/>
        </w:rPr>
        <w:t>n</w:t>
      </w:r>
      <w:r w:rsidRPr="00CF54A6">
        <w:rPr>
          <w:rFonts w:ascii="Calibri" w:hAnsi="Calibri"/>
          <w:color w:val="0000FF"/>
          <w:sz w:val="18"/>
          <w:szCs w:val="18"/>
        </w:rPr>
        <w:t>c</w:t>
      </w:r>
      <w:r w:rsidRPr="00CF54A6">
        <w:rPr>
          <w:rFonts w:ascii="Calibri" w:hAnsi="Calibri"/>
          <w:color w:val="0000FF"/>
          <w:spacing w:val="-1"/>
          <w:sz w:val="18"/>
          <w:szCs w:val="18"/>
        </w:rPr>
        <w:t>u</w:t>
      </w:r>
      <w:r w:rsidRPr="00CF54A6">
        <w:rPr>
          <w:rFonts w:ascii="Calibri" w:hAnsi="Calibri"/>
          <w:color w:val="0000FF"/>
          <w:spacing w:val="-3"/>
          <w:sz w:val="18"/>
          <w:szCs w:val="18"/>
        </w:rPr>
        <w:t>r</w:t>
      </w:r>
      <w:r w:rsidRPr="00CF54A6">
        <w:rPr>
          <w:rFonts w:ascii="Calibri" w:hAnsi="Calibri"/>
          <w:color w:val="0000FF"/>
          <w:sz w:val="18"/>
          <w:szCs w:val="18"/>
        </w:rPr>
        <w:t>r</w:t>
      </w:r>
      <w:r w:rsidRPr="00CF54A6">
        <w:rPr>
          <w:rFonts w:ascii="Calibri" w:hAnsi="Calibri"/>
          <w:color w:val="0000FF"/>
          <w:spacing w:val="1"/>
          <w:sz w:val="18"/>
          <w:szCs w:val="18"/>
        </w:rPr>
        <w:t>e</w:t>
      </w:r>
      <w:r w:rsidRPr="00CF54A6">
        <w:rPr>
          <w:rFonts w:ascii="Calibri" w:hAnsi="Calibri"/>
          <w:color w:val="0000FF"/>
          <w:sz w:val="18"/>
          <w:szCs w:val="18"/>
        </w:rPr>
        <w:t xml:space="preserve">d a </w:t>
      </w:r>
      <w:r w:rsidRPr="00CF54A6">
        <w:rPr>
          <w:rFonts w:ascii="Calibri" w:hAnsi="Calibri"/>
          <w:color w:val="0000FF"/>
          <w:spacing w:val="-1"/>
          <w:sz w:val="18"/>
          <w:szCs w:val="18"/>
        </w:rPr>
        <w:t>p</w:t>
      </w:r>
      <w:r w:rsidRPr="00CF54A6">
        <w:rPr>
          <w:rFonts w:ascii="Calibri" w:hAnsi="Calibri"/>
          <w:color w:val="0000FF"/>
          <w:sz w:val="18"/>
          <w:szCs w:val="18"/>
        </w:rPr>
        <w:t>a</w:t>
      </w:r>
      <w:r w:rsidRPr="00CF54A6">
        <w:rPr>
          <w:rFonts w:ascii="Calibri" w:hAnsi="Calibri"/>
          <w:color w:val="0000FF"/>
          <w:spacing w:val="-2"/>
          <w:sz w:val="18"/>
          <w:szCs w:val="18"/>
        </w:rPr>
        <w:t>y</w:t>
      </w:r>
      <w:r w:rsidRPr="00CF54A6">
        <w:rPr>
          <w:rFonts w:ascii="Calibri" w:hAnsi="Calibri"/>
          <w:color w:val="0000FF"/>
          <w:spacing w:val="1"/>
          <w:sz w:val="18"/>
          <w:szCs w:val="18"/>
        </w:rPr>
        <w:t>me</w:t>
      </w:r>
      <w:r w:rsidRPr="00CF54A6">
        <w:rPr>
          <w:rFonts w:ascii="Calibri" w:hAnsi="Calibri"/>
          <w:color w:val="0000FF"/>
          <w:spacing w:val="-3"/>
          <w:sz w:val="18"/>
          <w:szCs w:val="18"/>
        </w:rPr>
        <w:t>n</w:t>
      </w:r>
      <w:r w:rsidRPr="00CF54A6">
        <w:rPr>
          <w:rFonts w:ascii="Calibri" w:hAnsi="Calibri"/>
          <w:color w:val="0000FF"/>
          <w:sz w:val="18"/>
          <w:szCs w:val="18"/>
        </w:rPr>
        <w:t>t</w:t>
      </w:r>
      <w:r w:rsidRPr="00CF54A6">
        <w:rPr>
          <w:rFonts w:ascii="Calibri" w:hAnsi="Calibri"/>
          <w:color w:val="0000FF"/>
          <w:spacing w:val="1"/>
          <w:sz w:val="18"/>
          <w:szCs w:val="18"/>
        </w:rPr>
        <w:t xml:space="preserve"> </w:t>
      </w:r>
      <w:r w:rsidRPr="00CF54A6">
        <w:rPr>
          <w:rFonts w:ascii="Calibri" w:hAnsi="Calibri"/>
          <w:color w:val="0000FF"/>
          <w:spacing w:val="-1"/>
          <w:sz w:val="18"/>
          <w:szCs w:val="18"/>
        </w:rPr>
        <w:t>p</w:t>
      </w:r>
      <w:r w:rsidRPr="00CF54A6">
        <w:rPr>
          <w:rFonts w:ascii="Calibri" w:hAnsi="Calibri"/>
          <w:color w:val="0000FF"/>
          <w:spacing w:val="1"/>
          <w:sz w:val="18"/>
          <w:szCs w:val="18"/>
        </w:rPr>
        <w:t>e</w:t>
      </w:r>
      <w:r w:rsidRPr="00CF54A6">
        <w:rPr>
          <w:rFonts w:ascii="Calibri" w:hAnsi="Calibri"/>
          <w:color w:val="0000FF"/>
          <w:spacing w:val="-1"/>
          <w:sz w:val="18"/>
          <w:szCs w:val="18"/>
        </w:rPr>
        <w:t>n</w:t>
      </w:r>
      <w:r w:rsidRPr="00CF54A6">
        <w:rPr>
          <w:rFonts w:ascii="Calibri" w:hAnsi="Calibri"/>
          <w:color w:val="0000FF"/>
          <w:sz w:val="18"/>
          <w:szCs w:val="18"/>
        </w:rPr>
        <w:t>al</w:t>
      </w:r>
      <w:r w:rsidRPr="00CF54A6">
        <w:rPr>
          <w:rFonts w:ascii="Calibri" w:hAnsi="Calibri"/>
          <w:color w:val="0000FF"/>
          <w:spacing w:val="-2"/>
          <w:sz w:val="18"/>
          <w:szCs w:val="18"/>
        </w:rPr>
        <w:t>t</w:t>
      </w:r>
      <w:r w:rsidRPr="00CF54A6">
        <w:rPr>
          <w:rFonts w:ascii="Calibri" w:hAnsi="Calibri"/>
          <w:color w:val="0000FF"/>
          <w:sz w:val="18"/>
          <w:szCs w:val="18"/>
        </w:rPr>
        <w:t>y</w:t>
      </w:r>
      <w:r w:rsidRPr="00CF54A6">
        <w:rPr>
          <w:rFonts w:ascii="Calibri" w:hAnsi="Calibri"/>
          <w:color w:val="0000FF"/>
          <w:spacing w:val="1"/>
          <w:sz w:val="18"/>
          <w:szCs w:val="18"/>
        </w:rPr>
        <w:t xml:space="preserve"> </w:t>
      </w:r>
      <w:r w:rsidRPr="00CF54A6">
        <w:rPr>
          <w:rFonts w:ascii="Calibri" w:hAnsi="Calibri"/>
          <w:color w:val="0000FF"/>
          <w:spacing w:val="-3"/>
          <w:sz w:val="18"/>
          <w:szCs w:val="18"/>
        </w:rPr>
        <w:t>f</w:t>
      </w:r>
      <w:r w:rsidRPr="00CF54A6">
        <w:rPr>
          <w:rFonts w:ascii="Calibri" w:hAnsi="Calibri"/>
          <w:color w:val="0000FF"/>
          <w:spacing w:val="1"/>
          <w:sz w:val="18"/>
          <w:szCs w:val="18"/>
        </w:rPr>
        <w:t>o</w:t>
      </w:r>
      <w:r w:rsidRPr="00CF54A6">
        <w:rPr>
          <w:rFonts w:ascii="Calibri" w:hAnsi="Calibri"/>
          <w:color w:val="0000FF"/>
          <w:sz w:val="18"/>
          <w:szCs w:val="18"/>
        </w:rPr>
        <w:t>r</w:t>
      </w:r>
      <w:r w:rsidRPr="00CF54A6">
        <w:rPr>
          <w:rFonts w:ascii="Calibri" w:hAnsi="Calibri"/>
          <w:color w:val="0000FF"/>
          <w:spacing w:val="-2"/>
          <w:sz w:val="18"/>
          <w:szCs w:val="18"/>
        </w:rPr>
        <w:t xml:space="preserve"> </w:t>
      </w:r>
      <w:r w:rsidRPr="00CF54A6">
        <w:rPr>
          <w:rFonts w:ascii="Calibri" w:hAnsi="Calibri"/>
          <w:color w:val="0000FF"/>
          <w:spacing w:val="-1"/>
          <w:sz w:val="18"/>
          <w:szCs w:val="18"/>
        </w:rPr>
        <w:t>n</w:t>
      </w:r>
      <w:r w:rsidRPr="00CF54A6">
        <w:rPr>
          <w:rFonts w:ascii="Calibri" w:hAnsi="Calibri"/>
          <w:color w:val="0000FF"/>
          <w:spacing w:val="1"/>
          <w:sz w:val="18"/>
          <w:szCs w:val="18"/>
        </w:rPr>
        <w:t>o</w:t>
      </w:r>
      <w:r w:rsidRPr="00CF54A6">
        <w:rPr>
          <w:rFonts w:ascii="Calibri" w:hAnsi="Calibri"/>
          <w:color w:val="0000FF"/>
          <w:sz w:val="18"/>
          <w:szCs w:val="18"/>
        </w:rPr>
        <w:t>t</w:t>
      </w:r>
      <w:r w:rsidRPr="00CF54A6">
        <w:rPr>
          <w:rFonts w:ascii="Calibri" w:hAnsi="Calibri"/>
          <w:color w:val="0000FF"/>
          <w:spacing w:val="1"/>
          <w:sz w:val="18"/>
          <w:szCs w:val="18"/>
        </w:rPr>
        <w:t xml:space="preserve"> </w:t>
      </w:r>
      <w:r w:rsidRPr="00CF54A6">
        <w:rPr>
          <w:rFonts w:ascii="Calibri" w:hAnsi="Calibri"/>
          <w:color w:val="0000FF"/>
          <w:sz w:val="18"/>
          <w:szCs w:val="18"/>
        </w:rPr>
        <w:t>i</w:t>
      </w:r>
      <w:r w:rsidRPr="00CF54A6">
        <w:rPr>
          <w:rFonts w:ascii="Calibri" w:hAnsi="Calibri"/>
          <w:color w:val="0000FF"/>
          <w:spacing w:val="-1"/>
          <w:sz w:val="18"/>
          <w:szCs w:val="18"/>
        </w:rPr>
        <w:t>n</w:t>
      </w:r>
      <w:r w:rsidRPr="00CF54A6">
        <w:rPr>
          <w:rFonts w:ascii="Calibri" w:hAnsi="Calibri"/>
          <w:color w:val="0000FF"/>
          <w:sz w:val="18"/>
          <w:szCs w:val="18"/>
        </w:rPr>
        <w:t>cl</w:t>
      </w:r>
      <w:r w:rsidRPr="00CF54A6">
        <w:rPr>
          <w:rFonts w:ascii="Calibri" w:hAnsi="Calibri"/>
          <w:color w:val="0000FF"/>
          <w:spacing w:val="-1"/>
          <w:sz w:val="18"/>
          <w:szCs w:val="18"/>
        </w:rPr>
        <w:t>ud</w:t>
      </w:r>
      <w:r w:rsidRPr="00CF54A6">
        <w:rPr>
          <w:rFonts w:ascii="Calibri" w:hAnsi="Calibri"/>
          <w:color w:val="0000FF"/>
          <w:sz w:val="18"/>
          <w:szCs w:val="18"/>
        </w:rPr>
        <w:t>i</w:t>
      </w:r>
      <w:r w:rsidRPr="00CF54A6">
        <w:rPr>
          <w:rFonts w:ascii="Calibri" w:hAnsi="Calibri"/>
          <w:color w:val="0000FF"/>
          <w:spacing w:val="-1"/>
          <w:sz w:val="18"/>
          <w:szCs w:val="18"/>
        </w:rPr>
        <w:t>n</w:t>
      </w:r>
      <w:r w:rsidRPr="00CF54A6">
        <w:rPr>
          <w:rFonts w:ascii="Calibri" w:hAnsi="Calibri"/>
          <w:color w:val="0000FF"/>
          <w:sz w:val="18"/>
          <w:szCs w:val="18"/>
        </w:rPr>
        <w:t xml:space="preserve">g </w:t>
      </w:r>
      <w:r w:rsidRPr="00CF54A6">
        <w:rPr>
          <w:rFonts w:ascii="Calibri" w:hAnsi="Calibri"/>
          <w:color w:val="0000FF"/>
          <w:spacing w:val="-1"/>
          <w:sz w:val="18"/>
          <w:szCs w:val="18"/>
        </w:rPr>
        <w:t>P</w:t>
      </w:r>
      <w:r w:rsidRPr="00CF54A6">
        <w:rPr>
          <w:rFonts w:ascii="Calibri" w:hAnsi="Calibri"/>
          <w:color w:val="0000FF"/>
          <w:sz w:val="18"/>
          <w:szCs w:val="18"/>
        </w:rPr>
        <w:t xml:space="preserve">OA </w:t>
      </w:r>
      <w:r w:rsidRPr="00CF54A6">
        <w:rPr>
          <w:rFonts w:ascii="Calibri" w:hAnsi="Calibri"/>
          <w:color w:val="0000FF"/>
          <w:spacing w:val="1"/>
          <w:sz w:val="18"/>
          <w:szCs w:val="18"/>
        </w:rPr>
        <w:t>o</w:t>
      </w:r>
      <w:r w:rsidRPr="00CF54A6">
        <w:rPr>
          <w:rFonts w:ascii="Calibri" w:hAnsi="Calibri"/>
          <w:color w:val="0000FF"/>
          <w:sz w:val="18"/>
          <w:szCs w:val="18"/>
        </w:rPr>
        <w:t>n</w:t>
      </w:r>
      <w:r w:rsidRPr="00CF54A6">
        <w:rPr>
          <w:rFonts w:ascii="Calibri" w:hAnsi="Calibri"/>
          <w:color w:val="0000FF"/>
          <w:spacing w:val="-3"/>
          <w:sz w:val="18"/>
          <w:szCs w:val="18"/>
        </w:rPr>
        <w:t xml:space="preserve"> </w:t>
      </w:r>
      <w:r w:rsidRPr="00CF54A6">
        <w:rPr>
          <w:rFonts w:ascii="Calibri" w:hAnsi="Calibri"/>
          <w:color w:val="0000FF"/>
          <w:spacing w:val="-2"/>
          <w:sz w:val="18"/>
          <w:szCs w:val="18"/>
        </w:rPr>
        <w:t>M</w:t>
      </w:r>
      <w:r w:rsidRPr="00CF54A6">
        <w:rPr>
          <w:rFonts w:ascii="Calibri" w:hAnsi="Calibri"/>
          <w:color w:val="0000FF"/>
          <w:spacing w:val="1"/>
          <w:sz w:val="18"/>
          <w:szCs w:val="18"/>
        </w:rPr>
        <w:t>e</w:t>
      </w:r>
      <w:r w:rsidRPr="00CF54A6">
        <w:rPr>
          <w:rFonts w:ascii="Calibri" w:hAnsi="Calibri"/>
          <w:color w:val="0000FF"/>
          <w:spacing w:val="-1"/>
          <w:sz w:val="18"/>
          <w:szCs w:val="18"/>
        </w:rPr>
        <w:t>d</w:t>
      </w:r>
      <w:r w:rsidRPr="00CF54A6">
        <w:rPr>
          <w:rFonts w:ascii="Calibri" w:hAnsi="Calibri"/>
          <w:color w:val="0000FF"/>
          <w:sz w:val="18"/>
          <w:szCs w:val="18"/>
        </w:rPr>
        <w:t>icare</w:t>
      </w:r>
      <w:r w:rsidRPr="00CF54A6">
        <w:rPr>
          <w:rFonts w:ascii="Calibri" w:hAnsi="Calibri"/>
          <w:color w:val="0000FF"/>
          <w:spacing w:val="1"/>
          <w:sz w:val="18"/>
          <w:szCs w:val="18"/>
        </w:rPr>
        <w:t xml:space="preserve"> </w:t>
      </w:r>
      <w:r w:rsidRPr="00CF54A6">
        <w:rPr>
          <w:rFonts w:ascii="Calibri" w:hAnsi="Calibri"/>
          <w:color w:val="0000FF"/>
          <w:sz w:val="18"/>
          <w:szCs w:val="18"/>
        </w:rPr>
        <w:t>r</w:t>
      </w:r>
      <w:r w:rsidRPr="00CF54A6">
        <w:rPr>
          <w:rFonts w:ascii="Calibri" w:hAnsi="Calibri"/>
          <w:color w:val="0000FF"/>
          <w:spacing w:val="-2"/>
          <w:sz w:val="18"/>
          <w:szCs w:val="18"/>
        </w:rPr>
        <w:t>e</w:t>
      </w:r>
      <w:r w:rsidRPr="00CF54A6">
        <w:rPr>
          <w:rFonts w:ascii="Calibri" w:hAnsi="Calibri"/>
          <w:color w:val="0000FF"/>
          <w:sz w:val="18"/>
          <w:szCs w:val="18"/>
        </w:rPr>
        <w:t>c</w:t>
      </w:r>
      <w:r w:rsidRPr="00CF54A6">
        <w:rPr>
          <w:rFonts w:ascii="Calibri" w:hAnsi="Calibri"/>
          <w:color w:val="0000FF"/>
          <w:spacing w:val="1"/>
          <w:sz w:val="18"/>
          <w:szCs w:val="18"/>
        </w:rPr>
        <w:t>o</w:t>
      </w:r>
      <w:r w:rsidRPr="00CF54A6">
        <w:rPr>
          <w:rFonts w:ascii="Calibri" w:hAnsi="Calibri"/>
          <w:color w:val="0000FF"/>
          <w:sz w:val="18"/>
          <w:szCs w:val="18"/>
        </w:rPr>
        <w:t>r</w:t>
      </w:r>
      <w:r w:rsidRPr="00CF54A6">
        <w:rPr>
          <w:rFonts w:ascii="Calibri" w:hAnsi="Calibri"/>
          <w:color w:val="0000FF"/>
          <w:spacing w:val="-1"/>
          <w:sz w:val="18"/>
          <w:szCs w:val="18"/>
        </w:rPr>
        <w:t>d</w:t>
      </w:r>
      <w:r w:rsidRPr="00CF54A6">
        <w:rPr>
          <w:rFonts w:ascii="Calibri" w:hAnsi="Calibri"/>
          <w:color w:val="0000FF"/>
          <w:sz w:val="18"/>
          <w:szCs w:val="18"/>
        </w:rPr>
        <w:t>s</w:t>
      </w:r>
      <w:r w:rsidRPr="00CF54A6">
        <w:rPr>
          <w:rFonts w:ascii="Calibri" w:hAnsi="Calibri"/>
          <w:color w:val="0000FF"/>
          <w:spacing w:val="-2"/>
          <w:sz w:val="18"/>
          <w:szCs w:val="18"/>
        </w:rPr>
        <w:t xml:space="preserve"> </w:t>
      </w:r>
      <w:r w:rsidRPr="00CF54A6">
        <w:rPr>
          <w:rFonts w:ascii="Calibri" w:hAnsi="Calibri"/>
          <w:color w:val="0000FF"/>
          <w:spacing w:val="-1"/>
          <w:sz w:val="18"/>
          <w:szCs w:val="18"/>
        </w:rPr>
        <w:t>b</w:t>
      </w:r>
      <w:r w:rsidRPr="00CF54A6">
        <w:rPr>
          <w:rFonts w:ascii="Calibri" w:hAnsi="Calibri"/>
          <w:color w:val="0000FF"/>
          <w:spacing w:val="1"/>
          <w:sz w:val="18"/>
          <w:szCs w:val="18"/>
        </w:rPr>
        <w:t>e</w:t>
      </w:r>
      <w:r w:rsidRPr="00CF54A6">
        <w:rPr>
          <w:rFonts w:ascii="Calibri" w:hAnsi="Calibri"/>
          <w:color w:val="0000FF"/>
          <w:spacing w:val="-1"/>
          <w:sz w:val="18"/>
          <w:szCs w:val="18"/>
        </w:rPr>
        <w:t>g</w:t>
      </w:r>
      <w:r w:rsidRPr="00CF54A6">
        <w:rPr>
          <w:rFonts w:ascii="Calibri" w:hAnsi="Calibri"/>
          <w:color w:val="0000FF"/>
          <w:sz w:val="18"/>
          <w:szCs w:val="18"/>
        </w:rPr>
        <w:t>i</w:t>
      </w:r>
      <w:r w:rsidRPr="00CF54A6">
        <w:rPr>
          <w:rFonts w:ascii="Calibri" w:hAnsi="Calibri"/>
          <w:color w:val="0000FF"/>
          <w:spacing w:val="-1"/>
          <w:sz w:val="18"/>
          <w:szCs w:val="18"/>
        </w:rPr>
        <w:t>nn</w:t>
      </w:r>
      <w:r w:rsidRPr="00CF54A6">
        <w:rPr>
          <w:rFonts w:ascii="Calibri" w:hAnsi="Calibri"/>
          <w:color w:val="0000FF"/>
          <w:sz w:val="18"/>
          <w:szCs w:val="18"/>
        </w:rPr>
        <w:t>i</w:t>
      </w:r>
      <w:r w:rsidRPr="00CF54A6">
        <w:rPr>
          <w:rFonts w:ascii="Calibri" w:hAnsi="Calibri"/>
          <w:color w:val="0000FF"/>
          <w:spacing w:val="-1"/>
          <w:sz w:val="18"/>
          <w:szCs w:val="18"/>
        </w:rPr>
        <w:t>n</w:t>
      </w:r>
      <w:r w:rsidRPr="00CF54A6">
        <w:rPr>
          <w:rFonts w:ascii="Calibri" w:hAnsi="Calibri"/>
          <w:color w:val="0000FF"/>
          <w:sz w:val="18"/>
          <w:szCs w:val="18"/>
        </w:rPr>
        <w:t>g Oct</w:t>
      </w:r>
      <w:r w:rsidRPr="00CF54A6">
        <w:rPr>
          <w:rFonts w:ascii="Calibri" w:hAnsi="Calibri"/>
          <w:color w:val="0000FF"/>
          <w:spacing w:val="1"/>
          <w:sz w:val="18"/>
          <w:szCs w:val="18"/>
        </w:rPr>
        <w:t>o</w:t>
      </w:r>
      <w:r w:rsidRPr="00CF54A6">
        <w:rPr>
          <w:rFonts w:ascii="Calibri" w:hAnsi="Calibri"/>
          <w:color w:val="0000FF"/>
          <w:spacing w:val="-3"/>
          <w:sz w:val="18"/>
          <w:szCs w:val="18"/>
        </w:rPr>
        <w:t>b</w:t>
      </w:r>
      <w:r w:rsidRPr="00CF54A6">
        <w:rPr>
          <w:rFonts w:ascii="Calibri" w:hAnsi="Calibri"/>
          <w:color w:val="0000FF"/>
          <w:spacing w:val="1"/>
          <w:sz w:val="18"/>
          <w:szCs w:val="18"/>
        </w:rPr>
        <w:t>e</w:t>
      </w:r>
      <w:r w:rsidRPr="00CF54A6">
        <w:rPr>
          <w:rFonts w:ascii="Calibri" w:hAnsi="Calibri"/>
          <w:color w:val="0000FF"/>
          <w:sz w:val="18"/>
          <w:szCs w:val="18"/>
        </w:rPr>
        <w:t>r</w:t>
      </w:r>
      <w:r w:rsidRPr="00CF54A6">
        <w:rPr>
          <w:rFonts w:ascii="Calibri" w:hAnsi="Calibri"/>
          <w:color w:val="0000FF"/>
          <w:spacing w:val="-2"/>
          <w:sz w:val="18"/>
          <w:szCs w:val="18"/>
        </w:rPr>
        <w:t xml:space="preserve"> </w:t>
      </w:r>
      <w:r w:rsidRPr="00CF54A6">
        <w:rPr>
          <w:rFonts w:ascii="Calibri" w:hAnsi="Calibri"/>
          <w:color w:val="0000FF"/>
          <w:spacing w:val="1"/>
          <w:sz w:val="18"/>
          <w:szCs w:val="18"/>
        </w:rPr>
        <w:t>1</w:t>
      </w:r>
      <w:r w:rsidRPr="00CF54A6">
        <w:rPr>
          <w:rFonts w:ascii="Calibri" w:hAnsi="Calibri"/>
          <w:color w:val="0000FF"/>
          <w:sz w:val="18"/>
          <w:szCs w:val="18"/>
        </w:rPr>
        <w:t>,</w:t>
      </w:r>
      <w:r w:rsidRPr="00CF54A6">
        <w:rPr>
          <w:rFonts w:ascii="Calibri" w:hAnsi="Calibri"/>
          <w:color w:val="0000FF"/>
          <w:spacing w:val="1"/>
          <w:sz w:val="18"/>
          <w:szCs w:val="18"/>
        </w:rPr>
        <w:t xml:space="preserve"> </w:t>
      </w:r>
      <w:r w:rsidRPr="00CF54A6">
        <w:rPr>
          <w:rFonts w:ascii="Calibri" w:hAnsi="Calibri"/>
          <w:color w:val="0000FF"/>
          <w:spacing w:val="-2"/>
          <w:sz w:val="18"/>
          <w:szCs w:val="18"/>
        </w:rPr>
        <w:t>20</w:t>
      </w:r>
      <w:r w:rsidRPr="00CF54A6">
        <w:rPr>
          <w:rFonts w:ascii="Calibri" w:hAnsi="Calibri"/>
          <w:color w:val="0000FF"/>
          <w:spacing w:val="1"/>
          <w:sz w:val="18"/>
          <w:szCs w:val="18"/>
        </w:rPr>
        <w:t>08</w:t>
      </w:r>
      <w:r w:rsidRPr="00CF54A6">
        <w:rPr>
          <w:rFonts w:ascii="Calibri" w:hAnsi="Calibri"/>
          <w:color w:val="0000FF"/>
          <w:sz w:val="18"/>
          <w:szCs w:val="18"/>
        </w:rPr>
        <w:t xml:space="preserve">. </w:t>
      </w:r>
      <w:r w:rsidRPr="00CF54A6">
        <w:rPr>
          <w:rFonts w:ascii="Calibri" w:hAnsi="Calibri"/>
          <w:color w:val="0000FF"/>
          <w:spacing w:val="-2"/>
          <w:sz w:val="18"/>
          <w:szCs w:val="18"/>
        </w:rPr>
        <w:t>E</w:t>
      </w:r>
      <w:r w:rsidRPr="00CF54A6">
        <w:rPr>
          <w:rFonts w:ascii="Calibri" w:hAnsi="Calibri"/>
          <w:color w:val="0000FF"/>
          <w:sz w:val="18"/>
          <w:szCs w:val="18"/>
        </w:rPr>
        <w:t>ach</w:t>
      </w:r>
      <w:r w:rsidRPr="00CF54A6">
        <w:rPr>
          <w:rFonts w:ascii="Calibri" w:hAnsi="Calibri"/>
          <w:color w:val="0000FF"/>
          <w:spacing w:val="-3"/>
          <w:sz w:val="18"/>
          <w:szCs w:val="18"/>
        </w:rPr>
        <w:t xml:space="preserve"> </w:t>
      </w:r>
      <w:r w:rsidRPr="00CF54A6">
        <w:rPr>
          <w:rFonts w:ascii="Calibri" w:hAnsi="Calibri"/>
          <w:color w:val="0000FF"/>
          <w:spacing w:val="1"/>
          <w:sz w:val="18"/>
          <w:szCs w:val="18"/>
        </w:rPr>
        <w:t>o</w:t>
      </w:r>
      <w:r w:rsidRPr="00CF54A6">
        <w:rPr>
          <w:rFonts w:ascii="Calibri" w:hAnsi="Calibri"/>
          <w:color w:val="0000FF"/>
          <w:sz w:val="18"/>
          <w:szCs w:val="18"/>
        </w:rPr>
        <w:t>f t</w:t>
      </w:r>
      <w:r w:rsidRPr="00CF54A6">
        <w:rPr>
          <w:rFonts w:ascii="Calibri" w:hAnsi="Calibri"/>
          <w:color w:val="0000FF"/>
          <w:spacing w:val="-3"/>
          <w:sz w:val="18"/>
          <w:szCs w:val="18"/>
        </w:rPr>
        <w:t>h</w:t>
      </w:r>
      <w:r w:rsidRPr="00CF54A6">
        <w:rPr>
          <w:rFonts w:ascii="Calibri" w:hAnsi="Calibri"/>
          <w:color w:val="0000FF"/>
          <w:sz w:val="18"/>
          <w:szCs w:val="18"/>
        </w:rPr>
        <w:t>e</w:t>
      </w:r>
      <w:r w:rsidRPr="00CF54A6">
        <w:rPr>
          <w:rFonts w:ascii="Calibri" w:hAnsi="Calibri"/>
          <w:color w:val="0000FF"/>
          <w:spacing w:val="1"/>
          <w:sz w:val="18"/>
          <w:szCs w:val="18"/>
        </w:rPr>
        <w:t xml:space="preserve"> </w:t>
      </w:r>
      <w:r w:rsidRPr="00CF54A6">
        <w:rPr>
          <w:rFonts w:ascii="Calibri" w:hAnsi="Calibri"/>
          <w:color w:val="0000FF"/>
          <w:sz w:val="18"/>
          <w:szCs w:val="18"/>
        </w:rPr>
        <w:t>s</w:t>
      </w:r>
      <w:r w:rsidRPr="00CF54A6">
        <w:rPr>
          <w:rFonts w:ascii="Calibri" w:hAnsi="Calibri"/>
          <w:color w:val="0000FF"/>
          <w:spacing w:val="-2"/>
          <w:sz w:val="18"/>
          <w:szCs w:val="18"/>
        </w:rPr>
        <w:t>e</w:t>
      </w:r>
      <w:r w:rsidRPr="00CF54A6">
        <w:rPr>
          <w:rFonts w:ascii="Calibri" w:hAnsi="Calibri"/>
          <w:color w:val="0000FF"/>
          <w:spacing w:val="1"/>
          <w:sz w:val="18"/>
          <w:szCs w:val="18"/>
        </w:rPr>
        <w:t>ve</w:t>
      </w:r>
      <w:r w:rsidRPr="00CF54A6">
        <w:rPr>
          <w:rFonts w:ascii="Calibri" w:hAnsi="Calibri"/>
          <w:color w:val="0000FF"/>
          <w:sz w:val="18"/>
          <w:szCs w:val="18"/>
        </w:rPr>
        <w:t>ral</w:t>
      </w:r>
      <w:r w:rsidRPr="00CF54A6">
        <w:rPr>
          <w:rFonts w:ascii="Calibri" w:hAnsi="Calibri"/>
          <w:color w:val="0000FF"/>
          <w:spacing w:val="-2"/>
          <w:sz w:val="18"/>
          <w:szCs w:val="18"/>
        </w:rPr>
        <w:t xml:space="preserve"> </w:t>
      </w:r>
      <w:r w:rsidRPr="00CF54A6">
        <w:rPr>
          <w:rFonts w:ascii="Calibri" w:hAnsi="Calibri"/>
          <w:color w:val="0000FF"/>
          <w:spacing w:val="-1"/>
          <w:sz w:val="18"/>
          <w:szCs w:val="18"/>
        </w:rPr>
        <w:t>d</w:t>
      </w:r>
      <w:r w:rsidRPr="00CF54A6">
        <w:rPr>
          <w:rFonts w:ascii="Calibri" w:hAnsi="Calibri"/>
          <w:color w:val="0000FF"/>
          <w:sz w:val="18"/>
          <w:szCs w:val="18"/>
        </w:rPr>
        <w:t>ia</w:t>
      </w:r>
      <w:r w:rsidRPr="00CF54A6">
        <w:rPr>
          <w:rFonts w:ascii="Calibri" w:hAnsi="Calibri"/>
          <w:color w:val="0000FF"/>
          <w:spacing w:val="-1"/>
          <w:sz w:val="18"/>
          <w:szCs w:val="18"/>
        </w:rPr>
        <w:t>gn</w:t>
      </w:r>
      <w:r w:rsidRPr="00CF54A6">
        <w:rPr>
          <w:rFonts w:ascii="Calibri" w:hAnsi="Calibri"/>
          <w:color w:val="0000FF"/>
          <w:spacing w:val="1"/>
          <w:sz w:val="18"/>
          <w:szCs w:val="18"/>
        </w:rPr>
        <w:t>o</w:t>
      </w:r>
      <w:r w:rsidRPr="00CF54A6">
        <w:rPr>
          <w:rFonts w:ascii="Calibri" w:hAnsi="Calibri"/>
          <w:color w:val="0000FF"/>
          <w:sz w:val="18"/>
          <w:szCs w:val="18"/>
        </w:rPr>
        <w:t>s</w:t>
      </w:r>
      <w:r w:rsidRPr="00CF54A6">
        <w:rPr>
          <w:rFonts w:ascii="Calibri" w:hAnsi="Calibri"/>
          <w:color w:val="0000FF"/>
          <w:spacing w:val="1"/>
          <w:sz w:val="18"/>
          <w:szCs w:val="18"/>
        </w:rPr>
        <w:t>e</w:t>
      </w:r>
      <w:r w:rsidRPr="00CF54A6">
        <w:rPr>
          <w:rFonts w:ascii="Calibri" w:hAnsi="Calibri"/>
          <w:color w:val="0000FF"/>
          <w:sz w:val="18"/>
          <w:szCs w:val="18"/>
        </w:rPr>
        <w:t>s</w:t>
      </w:r>
      <w:r w:rsidRPr="00CF54A6">
        <w:rPr>
          <w:rFonts w:ascii="Calibri" w:hAnsi="Calibri"/>
          <w:color w:val="0000FF"/>
          <w:spacing w:val="-2"/>
          <w:sz w:val="18"/>
          <w:szCs w:val="18"/>
        </w:rPr>
        <w:t xml:space="preserve"> </w:t>
      </w:r>
      <w:r w:rsidRPr="00CF54A6">
        <w:rPr>
          <w:rFonts w:ascii="Calibri" w:hAnsi="Calibri"/>
          <w:color w:val="0000FF"/>
          <w:sz w:val="18"/>
          <w:szCs w:val="18"/>
        </w:rPr>
        <w:t xml:space="preserve">in a </w:t>
      </w:r>
      <w:r w:rsidRPr="00CF54A6">
        <w:rPr>
          <w:rFonts w:ascii="Calibri" w:hAnsi="Calibri"/>
          <w:color w:val="0000FF"/>
          <w:spacing w:val="-1"/>
          <w:sz w:val="18"/>
          <w:szCs w:val="18"/>
        </w:rPr>
        <w:t>d</w:t>
      </w:r>
      <w:r w:rsidRPr="00CF54A6">
        <w:rPr>
          <w:rFonts w:ascii="Calibri" w:hAnsi="Calibri"/>
          <w:color w:val="0000FF"/>
          <w:sz w:val="18"/>
          <w:szCs w:val="18"/>
        </w:rPr>
        <w:t>i</w:t>
      </w:r>
      <w:r w:rsidRPr="00CF54A6">
        <w:rPr>
          <w:rFonts w:ascii="Calibri" w:hAnsi="Calibri"/>
          <w:color w:val="0000FF"/>
          <w:spacing w:val="-2"/>
          <w:sz w:val="18"/>
          <w:szCs w:val="18"/>
        </w:rPr>
        <w:t>s</w:t>
      </w:r>
      <w:r w:rsidRPr="00CF54A6">
        <w:rPr>
          <w:rFonts w:ascii="Calibri" w:hAnsi="Calibri"/>
          <w:color w:val="0000FF"/>
          <w:sz w:val="18"/>
          <w:szCs w:val="18"/>
        </w:rPr>
        <w:t>c</w:t>
      </w:r>
      <w:r w:rsidRPr="00CF54A6">
        <w:rPr>
          <w:rFonts w:ascii="Calibri" w:hAnsi="Calibri"/>
          <w:color w:val="0000FF"/>
          <w:spacing w:val="-1"/>
          <w:sz w:val="18"/>
          <w:szCs w:val="18"/>
        </w:rPr>
        <w:t>h</w:t>
      </w:r>
      <w:r w:rsidRPr="00CF54A6">
        <w:rPr>
          <w:rFonts w:ascii="Calibri" w:hAnsi="Calibri"/>
          <w:color w:val="0000FF"/>
          <w:sz w:val="18"/>
          <w:szCs w:val="18"/>
        </w:rPr>
        <w:t>ar</w:t>
      </w:r>
      <w:r w:rsidRPr="00CF54A6">
        <w:rPr>
          <w:rFonts w:ascii="Calibri" w:hAnsi="Calibri"/>
          <w:color w:val="0000FF"/>
          <w:spacing w:val="-1"/>
          <w:sz w:val="18"/>
          <w:szCs w:val="18"/>
        </w:rPr>
        <w:t>g</w:t>
      </w:r>
      <w:r w:rsidRPr="00CF54A6">
        <w:rPr>
          <w:rFonts w:ascii="Calibri" w:hAnsi="Calibri"/>
          <w:color w:val="0000FF"/>
          <w:sz w:val="18"/>
          <w:szCs w:val="18"/>
        </w:rPr>
        <w:t>e</w:t>
      </w:r>
      <w:r w:rsidRPr="00CF54A6">
        <w:rPr>
          <w:rFonts w:ascii="Calibri" w:hAnsi="Calibri"/>
          <w:color w:val="0000FF"/>
          <w:spacing w:val="1"/>
          <w:sz w:val="18"/>
          <w:szCs w:val="18"/>
        </w:rPr>
        <w:t xml:space="preserve"> </w:t>
      </w:r>
      <w:r w:rsidRPr="00CF54A6">
        <w:rPr>
          <w:rFonts w:ascii="Calibri" w:hAnsi="Calibri"/>
          <w:color w:val="0000FF"/>
          <w:sz w:val="18"/>
          <w:szCs w:val="18"/>
        </w:rPr>
        <w:t>r</w:t>
      </w:r>
      <w:r w:rsidRPr="00CF54A6">
        <w:rPr>
          <w:rFonts w:ascii="Calibri" w:hAnsi="Calibri"/>
          <w:color w:val="0000FF"/>
          <w:spacing w:val="1"/>
          <w:sz w:val="18"/>
          <w:szCs w:val="18"/>
        </w:rPr>
        <w:t>e</w:t>
      </w:r>
      <w:r w:rsidRPr="00CF54A6">
        <w:rPr>
          <w:rFonts w:ascii="Calibri" w:hAnsi="Calibri"/>
          <w:color w:val="0000FF"/>
          <w:spacing w:val="-2"/>
          <w:sz w:val="18"/>
          <w:szCs w:val="18"/>
        </w:rPr>
        <w:t>c</w:t>
      </w:r>
      <w:r w:rsidRPr="00CF54A6">
        <w:rPr>
          <w:rFonts w:ascii="Calibri" w:hAnsi="Calibri"/>
          <w:color w:val="0000FF"/>
          <w:spacing w:val="1"/>
          <w:sz w:val="18"/>
          <w:szCs w:val="18"/>
        </w:rPr>
        <w:t>o</w:t>
      </w:r>
      <w:r w:rsidRPr="00CF54A6">
        <w:rPr>
          <w:rFonts w:ascii="Calibri" w:hAnsi="Calibri"/>
          <w:color w:val="0000FF"/>
          <w:sz w:val="18"/>
          <w:szCs w:val="18"/>
        </w:rPr>
        <w:t xml:space="preserve">rd </w:t>
      </w:r>
      <w:r w:rsidRPr="00CF54A6">
        <w:rPr>
          <w:rFonts w:ascii="Calibri" w:hAnsi="Calibri"/>
          <w:color w:val="0000FF"/>
          <w:spacing w:val="-2"/>
          <w:sz w:val="18"/>
          <w:szCs w:val="18"/>
        </w:rPr>
        <w:t>c</w:t>
      </w:r>
      <w:r w:rsidRPr="00CF54A6">
        <w:rPr>
          <w:rFonts w:ascii="Calibri" w:hAnsi="Calibri"/>
          <w:color w:val="0000FF"/>
          <w:sz w:val="18"/>
          <w:szCs w:val="18"/>
        </w:rPr>
        <w:t xml:space="preserve">an </w:t>
      </w:r>
      <w:r w:rsidRPr="00CF54A6">
        <w:rPr>
          <w:rFonts w:ascii="Calibri" w:hAnsi="Calibri"/>
          <w:color w:val="0000FF"/>
          <w:spacing w:val="-1"/>
          <w:sz w:val="18"/>
          <w:szCs w:val="18"/>
        </w:rPr>
        <w:t>b</w:t>
      </w:r>
      <w:r w:rsidRPr="00CF54A6">
        <w:rPr>
          <w:rFonts w:ascii="Calibri" w:hAnsi="Calibri"/>
          <w:color w:val="0000FF"/>
          <w:sz w:val="18"/>
          <w:szCs w:val="18"/>
        </w:rPr>
        <w:t>e</w:t>
      </w:r>
      <w:r w:rsidRPr="00CF54A6">
        <w:rPr>
          <w:rFonts w:ascii="Calibri" w:hAnsi="Calibri"/>
          <w:color w:val="0000FF"/>
          <w:spacing w:val="1"/>
          <w:sz w:val="18"/>
          <w:szCs w:val="18"/>
        </w:rPr>
        <w:t xml:space="preserve"> </w:t>
      </w:r>
      <w:r w:rsidRPr="00CF54A6">
        <w:rPr>
          <w:rFonts w:ascii="Calibri" w:hAnsi="Calibri"/>
          <w:color w:val="0000FF"/>
          <w:sz w:val="18"/>
          <w:szCs w:val="18"/>
        </w:rPr>
        <w:t>fla</w:t>
      </w:r>
      <w:r w:rsidRPr="00CF54A6">
        <w:rPr>
          <w:rFonts w:ascii="Calibri" w:hAnsi="Calibri"/>
          <w:color w:val="0000FF"/>
          <w:spacing w:val="-1"/>
          <w:sz w:val="18"/>
          <w:szCs w:val="18"/>
        </w:rPr>
        <w:t>g</w:t>
      </w:r>
      <w:r w:rsidRPr="00CF54A6">
        <w:rPr>
          <w:rFonts w:ascii="Calibri" w:hAnsi="Calibri"/>
          <w:color w:val="0000FF"/>
          <w:spacing w:val="-3"/>
          <w:sz w:val="18"/>
          <w:szCs w:val="18"/>
        </w:rPr>
        <w:t>g</w:t>
      </w:r>
      <w:r w:rsidRPr="00CF54A6">
        <w:rPr>
          <w:rFonts w:ascii="Calibri" w:hAnsi="Calibri"/>
          <w:color w:val="0000FF"/>
          <w:spacing w:val="1"/>
          <w:sz w:val="18"/>
          <w:szCs w:val="18"/>
        </w:rPr>
        <w:t>e</w:t>
      </w:r>
      <w:r w:rsidRPr="00CF54A6">
        <w:rPr>
          <w:rFonts w:ascii="Calibri" w:hAnsi="Calibri"/>
          <w:color w:val="0000FF"/>
          <w:sz w:val="18"/>
          <w:szCs w:val="18"/>
        </w:rPr>
        <w:t>d as</w:t>
      </w:r>
      <w:r w:rsidRPr="00CF54A6">
        <w:rPr>
          <w:rFonts w:ascii="Calibri" w:hAnsi="Calibri"/>
          <w:color w:val="0000FF"/>
          <w:spacing w:val="-1"/>
          <w:sz w:val="18"/>
          <w:szCs w:val="18"/>
        </w:rPr>
        <w:t xml:space="preserve"> </w:t>
      </w:r>
      <w:r w:rsidRPr="00CF54A6">
        <w:rPr>
          <w:rFonts w:ascii="Calibri" w:hAnsi="Calibri"/>
          <w:color w:val="0000FF"/>
          <w:spacing w:val="1"/>
          <w:sz w:val="18"/>
          <w:szCs w:val="18"/>
        </w:rPr>
        <w:t>“</w:t>
      </w:r>
      <w:r w:rsidRPr="00CF54A6">
        <w:rPr>
          <w:rFonts w:ascii="Calibri" w:hAnsi="Calibri"/>
          <w:color w:val="0000FF"/>
          <w:spacing w:val="-1"/>
          <w:sz w:val="18"/>
          <w:szCs w:val="18"/>
        </w:rPr>
        <w:t>p</w:t>
      </w:r>
      <w:r w:rsidRPr="00CF54A6">
        <w:rPr>
          <w:rFonts w:ascii="Calibri" w:hAnsi="Calibri"/>
          <w:color w:val="0000FF"/>
          <w:sz w:val="18"/>
          <w:szCs w:val="18"/>
        </w:rPr>
        <w:t>rese</w:t>
      </w:r>
      <w:r w:rsidRPr="00CF54A6">
        <w:rPr>
          <w:rFonts w:ascii="Calibri" w:hAnsi="Calibri"/>
          <w:color w:val="0000FF"/>
          <w:spacing w:val="-3"/>
          <w:sz w:val="18"/>
          <w:szCs w:val="18"/>
        </w:rPr>
        <w:t>n</w:t>
      </w:r>
      <w:r w:rsidRPr="00CF54A6">
        <w:rPr>
          <w:rFonts w:ascii="Calibri" w:hAnsi="Calibri"/>
          <w:color w:val="0000FF"/>
          <w:sz w:val="18"/>
          <w:szCs w:val="18"/>
        </w:rPr>
        <w:t>t</w:t>
      </w:r>
      <w:r w:rsidRPr="00CF54A6">
        <w:rPr>
          <w:rFonts w:ascii="Calibri" w:hAnsi="Calibri"/>
          <w:color w:val="0000FF"/>
          <w:spacing w:val="1"/>
          <w:sz w:val="18"/>
          <w:szCs w:val="18"/>
        </w:rPr>
        <w:t xml:space="preserve"> </w:t>
      </w:r>
      <w:r w:rsidRPr="00CF54A6">
        <w:rPr>
          <w:rFonts w:ascii="Calibri" w:hAnsi="Calibri"/>
          <w:color w:val="0000FF"/>
          <w:sz w:val="18"/>
          <w:szCs w:val="18"/>
        </w:rPr>
        <w:t>at</w:t>
      </w:r>
      <w:r w:rsidRPr="00CF54A6">
        <w:rPr>
          <w:rFonts w:ascii="Calibri" w:hAnsi="Calibri"/>
          <w:color w:val="0000FF"/>
          <w:spacing w:val="-1"/>
          <w:sz w:val="18"/>
          <w:szCs w:val="18"/>
        </w:rPr>
        <w:t xml:space="preserve"> </w:t>
      </w:r>
      <w:r w:rsidRPr="00CF54A6">
        <w:rPr>
          <w:rFonts w:ascii="Calibri" w:hAnsi="Calibri"/>
          <w:color w:val="0000FF"/>
          <w:sz w:val="18"/>
          <w:szCs w:val="18"/>
        </w:rPr>
        <w:t>t</w:t>
      </w:r>
      <w:r w:rsidRPr="00CF54A6">
        <w:rPr>
          <w:rFonts w:ascii="Calibri" w:hAnsi="Calibri"/>
          <w:color w:val="0000FF"/>
          <w:spacing w:val="-1"/>
          <w:sz w:val="18"/>
          <w:szCs w:val="18"/>
        </w:rPr>
        <w:t>h</w:t>
      </w:r>
      <w:r w:rsidRPr="00CF54A6">
        <w:rPr>
          <w:rFonts w:ascii="Calibri" w:hAnsi="Calibri"/>
          <w:color w:val="0000FF"/>
          <w:sz w:val="18"/>
          <w:szCs w:val="18"/>
        </w:rPr>
        <w:t>e ti</w:t>
      </w:r>
      <w:r w:rsidRPr="00CF54A6">
        <w:rPr>
          <w:rFonts w:ascii="Calibri" w:hAnsi="Calibri"/>
          <w:color w:val="0000FF"/>
          <w:spacing w:val="1"/>
          <w:sz w:val="18"/>
          <w:szCs w:val="18"/>
        </w:rPr>
        <w:t>m</w:t>
      </w:r>
      <w:r w:rsidRPr="00CF54A6">
        <w:rPr>
          <w:rFonts w:ascii="Calibri" w:hAnsi="Calibri"/>
          <w:color w:val="0000FF"/>
          <w:sz w:val="18"/>
          <w:szCs w:val="18"/>
        </w:rPr>
        <w:t>e</w:t>
      </w:r>
      <w:r w:rsidRPr="00CF54A6">
        <w:rPr>
          <w:rFonts w:ascii="Calibri" w:hAnsi="Calibri"/>
          <w:color w:val="0000FF"/>
          <w:spacing w:val="-1"/>
          <w:sz w:val="18"/>
          <w:szCs w:val="18"/>
        </w:rPr>
        <w:t xml:space="preserve"> </w:t>
      </w:r>
      <w:r w:rsidRPr="00CF54A6">
        <w:rPr>
          <w:rFonts w:ascii="Calibri" w:hAnsi="Calibri"/>
          <w:color w:val="0000FF"/>
          <w:sz w:val="18"/>
          <w:szCs w:val="18"/>
        </w:rPr>
        <w:t>t</w:t>
      </w:r>
      <w:r w:rsidRPr="00CF54A6">
        <w:rPr>
          <w:rFonts w:ascii="Calibri" w:hAnsi="Calibri"/>
          <w:color w:val="0000FF"/>
          <w:spacing w:val="-1"/>
          <w:sz w:val="18"/>
          <w:szCs w:val="18"/>
        </w:rPr>
        <w:t>h</w:t>
      </w:r>
      <w:r w:rsidRPr="00CF54A6">
        <w:rPr>
          <w:rFonts w:ascii="Calibri" w:hAnsi="Calibri"/>
          <w:color w:val="0000FF"/>
          <w:sz w:val="18"/>
          <w:szCs w:val="18"/>
        </w:rPr>
        <w:t>e</w:t>
      </w:r>
      <w:r w:rsidRPr="00CF54A6">
        <w:rPr>
          <w:rFonts w:ascii="Calibri" w:hAnsi="Calibri"/>
          <w:color w:val="0000FF"/>
          <w:spacing w:val="-1"/>
          <w:sz w:val="18"/>
          <w:szCs w:val="18"/>
        </w:rPr>
        <w:t xml:space="preserve"> </w:t>
      </w:r>
      <w:r w:rsidRPr="00CF54A6">
        <w:rPr>
          <w:rFonts w:ascii="Calibri" w:hAnsi="Calibri"/>
          <w:color w:val="0000FF"/>
          <w:spacing w:val="1"/>
          <w:sz w:val="18"/>
          <w:szCs w:val="18"/>
        </w:rPr>
        <w:t>o</w:t>
      </w:r>
      <w:r w:rsidRPr="00CF54A6">
        <w:rPr>
          <w:rFonts w:ascii="Calibri" w:hAnsi="Calibri"/>
          <w:color w:val="0000FF"/>
          <w:sz w:val="18"/>
          <w:szCs w:val="18"/>
        </w:rPr>
        <w:t>r</w:t>
      </w:r>
      <w:r w:rsidRPr="00CF54A6">
        <w:rPr>
          <w:rFonts w:ascii="Calibri" w:hAnsi="Calibri"/>
          <w:color w:val="0000FF"/>
          <w:spacing w:val="-1"/>
          <w:sz w:val="18"/>
          <w:szCs w:val="18"/>
        </w:rPr>
        <w:t>d</w:t>
      </w:r>
      <w:r w:rsidRPr="00CF54A6">
        <w:rPr>
          <w:rFonts w:ascii="Calibri" w:hAnsi="Calibri"/>
          <w:color w:val="0000FF"/>
          <w:spacing w:val="1"/>
          <w:sz w:val="18"/>
          <w:szCs w:val="18"/>
        </w:rPr>
        <w:t>e</w:t>
      </w:r>
      <w:r w:rsidRPr="00CF54A6">
        <w:rPr>
          <w:rFonts w:ascii="Calibri" w:hAnsi="Calibri"/>
          <w:color w:val="0000FF"/>
          <w:sz w:val="18"/>
          <w:szCs w:val="18"/>
        </w:rPr>
        <w:t>r</w:t>
      </w:r>
      <w:r w:rsidRPr="00CF54A6">
        <w:rPr>
          <w:rFonts w:ascii="Calibri" w:hAnsi="Calibri"/>
          <w:color w:val="0000FF"/>
          <w:spacing w:val="-2"/>
          <w:sz w:val="18"/>
          <w:szCs w:val="18"/>
        </w:rPr>
        <w:t xml:space="preserve"> </w:t>
      </w:r>
      <w:r w:rsidRPr="00CF54A6">
        <w:rPr>
          <w:rFonts w:ascii="Calibri" w:hAnsi="Calibri"/>
          <w:color w:val="0000FF"/>
          <w:sz w:val="18"/>
          <w:szCs w:val="18"/>
        </w:rPr>
        <w:t>f</w:t>
      </w:r>
      <w:r w:rsidRPr="00CF54A6">
        <w:rPr>
          <w:rFonts w:ascii="Calibri" w:hAnsi="Calibri"/>
          <w:color w:val="0000FF"/>
          <w:spacing w:val="1"/>
          <w:sz w:val="18"/>
          <w:szCs w:val="18"/>
        </w:rPr>
        <w:t>o</w:t>
      </w:r>
      <w:r w:rsidRPr="00CF54A6">
        <w:rPr>
          <w:rFonts w:ascii="Calibri" w:hAnsi="Calibri"/>
          <w:color w:val="0000FF"/>
          <w:sz w:val="18"/>
          <w:szCs w:val="18"/>
        </w:rPr>
        <w:t>r</w:t>
      </w:r>
      <w:r w:rsidRPr="00CF54A6">
        <w:rPr>
          <w:rFonts w:ascii="Calibri" w:hAnsi="Calibri"/>
          <w:color w:val="0000FF"/>
          <w:spacing w:val="-2"/>
          <w:sz w:val="18"/>
          <w:szCs w:val="18"/>
        </w:rPr>
        <w:t xml:space="preserve"> </w:t>
      </w:r>
      <w:r w:rsidRPr="00CF54A6">
        <w:rPr>
          <w:rFonts w:ascii="Calibri" w:hAnsi="Calibri"/>
          <w:color w:val="0000FF"/>
          <w:sz w:val="18"/>
          <w:szCs w:val="18"/>
        </w:rPr>
        <w:t>i</w:t>
      </w:r>
      <w:r w:rsidRPr="00CF54A6">
        <w:rPr>
          <w:rFonts w:ascii="Calibri" w:hAnsi="Calibri"/>
          <w:color w:val="0000FF"/>
          <w:spacing w:val="-1"/>
          <w:sz w:val="18"/>
          <w:szCs w:val="18"/>
        </w:rPr>
        <w:t>np</w:t>
      </w:r>
      <w:r w:rsidRPr="00CF54A6">
        <w:rPr>
          <w:rFonts w:ascii="Calibri" w:hAnsi="Calibri"/>
          <w:color w:val="0000FF"/>
          <w:sz w:val="18"/>
          <w:szCs w:val="18"/>
        </w:rPr>
        <w:t>atie</w:t>
      </w:r>
      <w:r w:rsidRPr="00CF54A6">
        <w:rPr>
          <w:rFonts w:ascii="Calibri" w:hAnsi="Calibri"/>
          <w:color w:val="0000FF"/>
          <w:spacing w:val="-3"/>
          <w:sz w:val="18"/>
          <w:szCs w:val="18"/>
        </w:rPr>
        <w:t>n</w:t>
      </w:r>
      <w:r w:rsidRPr="00CF54A6">
        <w:rPr>
          <w:rFonts w:ascii="Calibri" w:hAnsi="Calibri"/>
          <w:color w:val="0000FF"/>
          <w:sz w:val="18"/>
          <w:szCs w:val="18"/>
        </w:rPr>
        <w:t>t</w:t>
      </w:r>
      <w:r w:rsidRPr="00CF54A6">
        <w:rPr>
          <w:rFonts w:ascii="Calibri" w:hAnsi="Calibri"/>
          <w:color w:val="0000FF"/>
          <w:spacing w:val="1"/>
          <w:sz w:val="18"/>
          <w:szCs w:val="18"/>
        </w:rPr>
        <w:t xml:space="preserve"> </w:t>
      </w:r>
      <w:r w:rsidRPr="00CF54A6">
        <w:rPr>
          <w:rFonts w:ascii="Calibri" w:hAnsi="Calibri"/>
          <w:color w:val="0000FF"/>
          <w:sz w:val="18"/>
          <w:szCs w:val="18"/>
        </w:rPr>
        <w:t>a</w:t>
      </w:r>
      <w:r w:rsidRPr="00CF54A6">
        <w:rPr>
          <w:rFonts w:ascii="Calibri" w:hAnsi="Calibri"/>
          <w:color w:val="0000FF"/>
          <w:spacing w:val="-1"/>
          <w:sz w:val="18"/>
          <w:szCs w:val="18"/>
        </w:rPr>
        <w:t>d</w:t>
      </w:r>
      <w:r w:rsidRPr="00CF54A6">
        <w:rPr>
          <w:rFonts w:ascii="Calibri" w:hAnsi="Calibri"/>
          <w:color w:val="0000FF"/>
          <w:spacing w:val="1"/>
          <w:sz w:val="18"/>
          <w:szCs w:val="18"/>
        </w:rPr>
        <w:t>m</w:t>
      </w:r>
      <w:r w:rsidRPr="00CF54A6">
        <w:rPr>
          <w:rFonts w:ascii="Calibri" w:hAnsi="Calibri"/>
          <w:color w:val="0000FF"/>
          <w:sz w:val="18"/>
          <w:szCs w:val="18"/>
        </w:rPr>
        <w:t>i</w:t>
      </w:r>
      <w:r w:rsidRPr="00CF54A6">
        <w:rPr>
          <w:rFonts w:ascii="Calibri" w:hAnsi="Calibri"/>
          <w:color w:val="0000FF"/>
          <w:spacing w:val="-2"/>
          <w:sz w:val="18"/>
          <w:szCs w:val="18"/>
        </w:rPr>
        <w:t>s</w:t>
      </w:r>
      <w:r w:rsidRPr="00CF54A6">
        <w:rPr>
          <w:rFonts w:ascii="Calibri" w:hAnsi="Calibri"/>
          <w:color w:val="0000FF"/>
          <w:sz w:val="18"/>
          <w:szCs w:val="18"/>
        </w:rPr>
        <w:t>si</w:t>
      </w:r>
      <w:r w:rsidRPr="00CF54A6">
        <w:rPr>
          <w:rFonts w:ascii="Calibri" w:hAnsi="Calibri"/>
          <w:color w:val="0000FF"/>
          <w:spacing w:val="1"/>
          <w:sz w:val="18"/>
          <w:szCs w:val="18"/>
        </w:rPr>
        <w:t>o</w:t>
      </w:r>
      <w:r w:rsidRPr="00CF54A6">
        <w:rPr>
          <w:rFonts w:ascii="Calibri" w:hAnsi="Calibri"/>
          <w:color w:val="0000FF"/>
          <w:sz w:val="18"/>
          <w:szCs w:val="18"/>
        </w:rPr>
        <w:t>n</w:t>
      </w:r>
      <w:r w:rsidRPr="00CF54A6">
        <w:rPr>
          <w:rFonts w:ascii="Calibri" w:hAnsi="Calibri"/>
          <w:color w:val="0000FF"/>
          <w:spacing w:val="-3"/>
          <w:sz w:val="18"/>
          <w:szCs w:val="18"/>
        </w:rPr>
        <w:t xml:space="preserve"> </w:t>
      </w:r>
      <w:r w:rsidRPr="00CF54A6">
        <w:rPr>
          <w:rFonts w:ascii="Calibri" w:hAnsi="Calibri"/>
          <w:color w:val="0000FF"/>
          <w:spacing w:val="1"/>
          <w:sz w:val="18"/>
          <w:szCs w:val="18"/>
        </w:rPr>
        <w:t>o</w:t>
      </w:r>
      <w:r w:rsidRPr="00CF54A6">
        <w:rPr>
          <w:rFonts w:ascii="Calibri" w:hAnsi="Calibri"/>
          <w:color w:val="0000FF"/>
          <w:sz w:val="18"/>
          <w:szCs w:val="18"/>
        </w:rPr>
        <w:t>cc</w:t>
      </w:r>
      <w:r w:rsidRPr="00CF54A6">
        <w:rPr>
          <w:rFonts w:ascii="Calibri" w:hAnsi="Calibri"/>
          <w:color w:val="0000FF"/>
          <w:spacing w:val="-1"/>
          <w:sz w:val="18"/>
          <w:szCs w:val="18"/>
        </w:rPr>
        <w:t>u</w:t>
      </w:r>
      <w:r w:rsidRPr="00CF54A6">
        <w:rPr>
          <w:rFonts w:ascii="Calibri" w:hAnsi="Calibri"/>
          <w:color w:val="0000FF"/>
          <w:sz w:val="18"/>
          <w:szCs w:val="18"/>
        </w:rPr>
        <w:t>r</w:t>
      </w:r>
      <w:r w:rsidRPr="00CF54A6">
        <w:rPr>
          <w:rFonts w:ascii="Calibri" w:hAnsi="Calibri"/>
          <w:color w:val="0000FF"/>
          <w:spacing w:val="-2"/>
          <w:sz w:val="18"/>
          <w:szCs w:val="18"/>
        </w:rPr>
        <w:t>s</w:t>
      </w:r>
      <w:r w:rsidRPr="00CF54A6">
        <w:rPr>
          <w:rFonts w:ascii="Calibri" w:hAnsi="Calibri"/>
          <w:color w:val="0000FF"/>
          <w:spacing w:val="9"/>
          <w:sz w:val="18"/>
          <w:szCs w:val="18"/>
        </w:rPr>
        <w:t>”</w:t>
      </w:r>
      <w:r w:rsidRPr="00CF54A6">
        <w:rPr>
          <w:rFonts w:ascii="Calibri" w:eastAsia="Times New Roman" w:hAnsi="Calibri"/>
          <w:color w:val="0000FF"/>
          <w:spacing w:val="12"/>
          <w:position w:val="11"/>
          <w:sz w:val="18"/>
          <w:szCs w:val="18"/>
        </w:rPr>
        <w:t xml:space="preserve"> </w:t>
      </w:r>
      <w:r w:rsidRPr="00CF54A6">
        <w:rPr>
          <w:rFonts w:ascii="Calibri" w:hAnsi="Calibri"/>
          <w:color w:val="0000FF"/>
          <w:spacing w:val="1"/>
          <w:sz w:val="18"/>
          <w:szCs w:val="18"/>
        </w:rPr>
        <w:t>o</w:t>
      </w:r>
      <w:r w:rsidRPr="00CF54A6">
        <w:rPr>
          <w:rFonts w:ascii="Calibri" w:hAnsi="Calibri"/>
          <w:color w:val="0000FF"/>
          <w:sz w:val="18"/>
          <w:szCs w:val="18"/>
        </w:rPr>
        <w:t xml:space="preserve">r </w:t>
      </w:r>
      <w:r w:rsidRPr="00CF54A6">
        <w:rPr>
          <w:rFonts w:ascii="Calibri" w:hAnsi="Calibri"/>
          <w:color w:val="0000FF"/>
          <w:spacing w:val="-3"/>
          <w:sz w:val="18"/>
          <w:szCs w:val="18"/>
        </w:rPr>
        <w:t>n</w:t>
      </w:r>
      <w:r w:rsidRPr="00CF54A6">
        <w:rPr>
          <w:rFonts w:ascii="Calibri" w:hAnsi="Calibri"/>
          <w:color w:val="0000FF"/>
          <w:spacing w:val="1"/>
          <w:sz w:val="18"/>
          <w:szCs w:val="18"/>
        </w:rPr>
        <w:t>o</w:t>
      </w:r>
      <w:r w:rsidRPr="00CF54A6">
        <w:rPr>
          <w:rFonts w:ascii="Calibri" w:hAnsi="Calibri"/>
          <w:color w:val="0000FF"/>
          <w:sz w:val="18"/>
          <w:szCs w:val="18"/>
        </w:rPr>
        <w:t xml:space="preserve">t (see </w:t>
      </w:r>
    </w:p>
    <w:p w:rsidR="00EA589F" w:rsidRDefault="00EA589F" w:rsidP="00ED36D2">
      <w:pPr>
        <w:pStyle w:val="FootnoteText"/>
      </w:pPr>
      <w:r w:rsidRPr="00CF54A6">
        <w:rPr>
          <w:rFonts w:ascii="Calibri" w:hAnsi="Calibri" w:cs="Arial"/>
          <w:color w:val="0000FF"/>
          <w:sz w:val="18"/>
          <w:szCs w:val="18"/>
          <w:u w:val="single"/>
        </w:rPr>
        <w:t>http://www.cdc.gov/nchs/icd/icd9cm_addenda_guidelines.htm</w:t>
      </w:r>
      <w:r w:rsidRPr="00CF54A6">
        <w:rPr>
          <w:rStyle w:val="Hyperlink"/>
          <w:rFonts w:ascii="Calibri" w:hAnsi="Calibri"/>
          <w:color w:val="0000FF"/>
          <w:sz w:val="18"/>
          <w:szCs w:val="18"/>
        </w:rPr>
        <w:t>)</w:t>
      </w:r>
      <w:r w:rsidRPr="00CF54A6">
        <w:rPr>
          <w:rFonts w:ascii="Calibri" w:hAnsi="Calibri"/>
          <w:color w:val="0000FF"/>
          <w:sz w:val="18"/>
          <w:szCs w:val="18"/>
        </w:rPr>
        <w:t>.</w:t>
      </w:r>
    </w:p>
  </w:footnote>
  <w:footnote w:id="2">
    <w:p w:rsidR="00EA589F" w:rsidRPr="00A669C3" w:rsidRDefault="00EA589F" w:rsidP="00ED36D2">
      <w:pPr>
        <w:pStyle w:val="FootnoteText"/>
        <w:rPr>
          <w:rFonts w:asciiTheme="minorHAnsi" w:hAnsiTheme="minorHAnsi" w:cstheme="minorHAnsi"/>
          <w:color w:val="0000FF"/>
        </w:rPr>
      </w:pPr>
      <w:r w:rsidRPr="00A669C3">
        <w:rPr>
          <w:rStyle w:val="FootnoteReference"/>
          <w:rFonts w:asciiTheme="minorHAnsi" w:hAnsiTheme="minorHAnsi" w:cstheme="minorHAnsi"/>
          <w:color w:val="0000FF"/>
        </w:rPr>
        <w:footnoteRef/>
      </w:r>
      <w:r w:rsidRPr="00A669C3">
        <w:rPr>
          <w:rFonts w:asciiTheme="minorHAnsi" w:hAnsiTheme="minorHAnsi" w:cstheme="minorHAnsi"/>
          <w:color w:val="0000FF"/>
        </w:rPr>
        <w:t xml:space="preserve"> See </w:t>
      </w:r>
      <w:r w:rsidRPr="00A669C3">
        <w:rPr>
          <w:rFonts w:asciiTheme="minorHAnsi" w:hAnsiTheme="minorHAnsi" w:cstheme="minorHAnsi"/>
          <w:i/>
          <w:color w:val="0000FF"/>
        </w:rPr>
        <w:t>AHRQ Quality Indicators Empirical Methods</w:t>
      </w:r>
      <w:r w:rsidRPr="00A669C3">
        <w:rPr>
          <w:rFonts w:asciiTheme="minorHAnsi" w:hAnsiTheme="minorHAnsi" w:cstheme="minorHAnsi"/>
          <w:color w:val="0000FF"/>
        </w:rPr>
        <w:t xml:space="preserve"> published on the AHRQ QI website </w:t>
      </w:r>
      <w:proofErr w:type="gramStart"/>
      <w:r w:rsidRPr="00A669C3">
        <w:rPr>
          <w:rFonts w:asciiTheme="minorHAnsi" w:hAnsiTheme="minorHAnsi" w:cstheme="minorHAnsi"/>
          <w:color w:val="0000FF"/>
        </w:rPr>
        <w:t xml:space="preserve">at  </w:t>
      </w:r>
      <w:proofErr w:type="gramEnd"/>
      <w:r w:rsidRPr="00A669C3">
        <w:rPr>
          <w:rFonts w:asciiTheme="minorHAnsi" w:hAnsiTheme="minorHAnsi" w:cstheme="minorHAnsi"/>
          <w:color w:val="0000FF"/>
        </w:rPr>
        <w:fldChar w:fldCharType="begin"/>
      </w:r>
      <w:r w:rsidRPr="00A669C3">
        <w:rPr>
          <w:rFonts w:asciiTheme="minorHAnsi" w:hAnsiTheme="minorHAnsi" w:cstheme="minorHAnsi"/>
          <w:color w:val="0000FF"/>
        </w:rPr>
        <w:instrText xml:space="preserve"> HYPERLINK "http://www.qualityindicators.ahrq.gov/Modules/Default.aspx" </w:instrText>
      </w:r>
      <w:r w:rsidRPr="00A669C3">
        <w:rPr>
          <w:rFonts w:asciiTheme="minorHAnsi" w:hAnsiTheme="minorHAnsi" w:cstheme="minorHAnsi"/>
          <w:color w:val="0000FF"/>
        </w:rPr>
        <w:fldChar w:fldCharType="separate"/>
      </w:r>
      <w:r w:rsidRPr="00A669C3">
        <w:rPr>
          <w:rStyle w:val="Hyperlink"/>
          <w:rFonts w:asciiTheme="minorHAnsi" w:hAnsiTheme="minorHAnsi" w:cstheme="minorHAnsi"/>
          <w:color w:val="0000FF"/>
        </w:rPr>
        <w:t>http://www.qualityindicators.ahrq.gov/Modules/Default.aspx</w:t>
      </w:r>
      <w:r w:rsidRPr="00A669C3">
        <w:rPr>
          <w:rFonts w:asciiTheme="minorHAnsi" w:hAnsiTheme="minorHAnsi" w:cstheme="minorHAnsi"/>
          <w:color w:val="0000FF"/>
        </w:rPr>
        <w:fldChar w:fldCharType="end"/>
      </w:r>
      <w:r w:rsidRPr="00A669C3">
        <w:rPr>
          <w:rFonts w:asciiTheme="minorHAnsi" w:hAnsiTheme="minorHAnsi" w:cstheme="minorHAnsi"/>
          <w:color w:val="0000FF"/>
        </w:rPr>
        <w:t xml:space="preserve">. A copy of the Empirical Methods Document is provided in the supplementary materials packet. </w:t>
      </w:r>
    </w:p>
  </w:footnote>
  <w:footnote w:id="3">
    <w:p w:rsidR="00EA589F" w:rsidRPr="00F60989" w:rsidRDefault="00EA589F" w:rsidP="00F60989">
      <w:pPr>
        <w:pStyle w:val="Default"/>
        <w:rPr>
          <w:rFonts w:asciiTheme="minorHAnsi" w:hAnsiTheme="minorHAnsi"/>
          <w:i/>
          <w:iCs/>
          <w:color w:val="0000FF"/>
          <w:sz w:val="20"/>
          <w:szCs w:val="20"/>
        </w:rPr>
      </w:pPr>
      <w:r w:rsidRPr="00ED36D2">
        <w:rPr>
          <w:rStyle w:val="FootnoteReference"/>
          <w:rFonts w:asciiTheme="minorHAnsi" w:hAnsiTheme="minorHAnsi"/>
          <w:color w:val="0000FF"/>
          <w:sz w:val="20"/>
          <w:szCs w:val="20"/>
        </w:rPr>
        <w:footnoteRef/>
      </w:r>
      <w:r w:rsidRPr="00ED36D2">
        <w:rPr>
          <w:rFonts w:asciiTheme="minorHAnsi" w:hAnsiTheme="minorHAnsi"/>
          <w:color w:val="0000FF"/>
          <w:sz w:val="20"/>
          <w:szCs w:val="20"/>
        </w:rPr>
        <w:t xml:space="preserve"> </w:t>
      </w:r>
      <w:r w:rsidRPr="00ED36D2">
        <w:rPr>
          <w:rFonts w:asciiTheme="minorHAnsi" w:hAnsiTheme="minorHAnsi"/>
          <w:i/>
          <w:iCs/>
          <w:color w:val="0000FF"/>
          <w:sz w:val="20"/>
          <w:szCs w:val="20"/>
        </w:rPr>
        <w:t xml:space="preserve">McClellan M &amp; </w:t>
      </w:r>
      <w:proofErr w:type="spellStart"/>
      <w:r w:rsidRPr="00ED36D2">
        <w:rPr>
          <w:rFonts w:asciiTheme="minorHAnsi" w:hAnsiTheme="minorHAnsi"/>
          <w:i/>
          <w:iCs/>
          <w:color w:val="0000FF"/>
          <w:sz w:val="20"/>
          <w:szCs w:val="20"/>
        </w:rPr>
        <w:t>Staiger</w:t>
      </w:r>
      <w:proofErr w:type="spellEnd"/>
      <w:r w:rsidRPr="00ED36D2">
        <w:rPr>
          <w:rFonts w:asciiTheme="minorHAnsi" w:hAnsiTheme="minorHAnsi"/>
          <w:i/>
          <w:iCs/>
          <w:color w:val="0000FF"/>
          <w:sz w:val="20"/>
          <w:szCs w:val="20"/>
        </w:rPr>
        <w:t xml:space="preserve"> D. (1999) </w:t>
      </w:r>
      <w:proofErr w:type="gramStart"/>
      <w:r w:rsidRPr="00ED36D2">
        <w:rPr>
          <w:rFonts w:asciiTheme="minorHAnsi" w:hAnsiTheme="minorHAnsi"/>
          <w:i/>
          <w:iCs/>
          <w:color w:val="0000FF"/>
          <w:sz w:val="20"/>
          <w:szCs w:val="20"/>
        </w:rPr>
        <w:t>The</w:t>
      </w:r>
      <w:proofErr w:type="gramEnd"/>
      <w:r w:rsidRPr="00ED36D2">
        <w:rPr>
          <w:rFonts w:asciiTheme="minorHAnsi" w:hAnsiTheme="minorHAnsi"/>
          <w:i/>
          <w:iCs/>
          <w:color w:val="0000FF"/>
          <w:sz w:val="20"/>
          <w:szCs w:val="20"/>
        </w:rPr>
        <w:t xml:space="preserve"> quality of health care providers. Cambridge, MA: National Bureau of Economic Research. </w:t>
      </w:r>
      <w:proofErr w:type="gramStart"/>
      <w:r w:rsidRPr="00ED36D2">
        <w:rPr>
          <w:rFonts w:asciiTheme="minorHAnsi" w:hAnsiTheme="minorHAnsi"/>
          <w:i/>
          <w:iCs/>
          <w:color w:val="0000FF"/>
          <w:sz w:val="20"/>
          <w:szCs w:val="20"/>
        </w:rPr>
        <w:t>NBER Working Paper #7327.</w:t>
      </w:r>
      <w:proofErr w:type="gramEnd"/>
      <w:r w:rsidRPr="00ED36D2">
        <w:rPr>
          <w:rFonts w:asciiTheme="minorHAnsi" w:hAnsiTheme="minorHAnsi"/>
          <w:i/>
          <w:iCs/>
          <w:color w:val="0000FF"/>
          <w:sz w:val="20"/>
          <w:szCs w:val="20"/>
        </w:rPr>
        <w:t xml:space="preserve"> Available at: </w:t>
      </w:r>
      <w:hyperlink r:id="rId1" w:history="1">
        <w:r w:rsidRPr="00ED36D2">
          <w:rPr>
            <w:rStyle w:val="Hyperlink"/>
            <w:rFonts w:asciiTheme="minorHAnsi" w:hAnsiTheme="minorHAnsi"/>
            <w:i/>
            <w:iCs/>
            <w:color w:val="0000FF"/>
            <w:sz w:val="20"/>
            <w:szCs w:val="20"/>
          </w:rPr>
          <w:t>http://www.nber.org/papers/w7327</w:t>
        </w:r>
      </w:hyperlink>
      <w:r w:rsidRPr="00ED36D2">
        <w:rPr>
          <w:rFonts w:asciiTheme="minorHAnsi" w:hAnsiTheme="minorHAnsi"/>
          <w:i/>
          <w:iCs/>
          <w:color w:val="0000FF"/>
          <w:sz w:val="20"/>
          <w:szCs w:val="20"/>
        </w:rPr>
        <w:t xml:space="preserve">. </w:t>
      </w:r>
    </w:p>
  </w:footnote>
  <w:footnote w:id="4">
    <w:p w:rsidR="00EA589F" w:rsidRPr="00EA7321" w:rsidRDefault="00EA589F" w:rsidP="00ED36D2">
      <w:pPr>
        <w:rPr>
          <w:rFonts w:ascii="Times New Roman" w:hAnsi="Times New Roman"/>
          <w:i/>
          <w:iCs/>
          <w:color w:val="1F497D"/>
          <w:sz w:val="18"/>
          <w:szCs w:val="18"/>
        </w:rPr>
      </w:pPr>
      <w:r w:rsidRPr="00ED36D2">
        <w:rPr>
          <w:rStyle w:val="FootnoteReference"/>
          <w:color w:val="0000FF"/>
          <w:sz w:val="20"/>
          <w:szCs w:val="20"/>
        </w:rPr>
        <w:footnoteRef/>
      </w:r>
      <w:r w:rsidRPr="00ED36D2">
        <w:rPr>
          <w:color w:val="0000FF"/>
          <w:sz w:val="20"/>
          <w:szCs w:val="20"/>
        </w:rPr>
        <w:t xml:space="preserve"> </w:t>
      </w:r>
      <w:r w:rsidRPr="00ED36D2">
        <w:rPr>
          <w:i/>
          <w:iCs/>
          <w:color w:val="0000FF"/>
          <w:sz w:val="20"/>
          <w:szCs w:val="20"/>
        </w:rPr>
        <w:t>Morris, CN (1983) Parametric Empirical Bayes Inference: Theory and Applications, Journal of the American Statistical Association, Vol. 78, No. 381 (Mar., 1983), pp. 47-55.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89F" w:rsidRPr="00105D8B" w:rsidRDefault="00EA589F"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BDC0A6F"/>
    <w:multiLevelType w:val="hybridMultilevel"/>
    <w:tmpl w:val="3174A27E"/>
    <w:lvl w:ilvl="0" w:tplc="678AA86C">
      <w:start w:val="1"/>
      <w:numFmt w:val="decimal"/>
      <w:lvlText w:val="(%1)"/>
      <w:lvlJc w:val="left"/>
      <w:pPr>
        <w:ind w:left="580" w:hanging="360"/>
      </w:pPr>
    </w:lvl>
    <w:lvl w:ilvl="1" w:tplc="04090019">
      <w:start w:val="1"/>
      <w:numFmt w:val="lowerLetter"/>
      <w:lvlText w:val="%2."/>
      <w:lvlJc w:val="left"/>
      <w:pPr>
        <w:ind w:left="1300" w:hanging="360"/>
      </w:pPr>
    </w:lvl>
    <w:lvl w:ilvl="2" w:tplc="0409001B">
      <w:start w:val="1"/>
      <w:numFmt w:val="lowerRoman"/>
      <w:lvlText w:val="%3."/>
      <w:lvlJc w:val="right"/>
      <w:pPr>
        <w:ind w:left="2020" w:hanging="180"/>
      </w:pPr>
    </w:lvl>
    <w:lvl w:ilvl="3" w:tplc="0409000F">
      <w:start w:val="1"/>
      <w:numFmt w:val="decimal"/>
      <w:lvlText w:val="%4."/>
      <w:lvlJc w:val="left"/>
      <w:pPr>
        <w:ind w:left="2740" w:hanging="360"/>
      </w:pPr>
    </w:lvl>
    <w:lvl w:ilvl="4" w:tplc="04090019">
      <w:start w:val="1"/>
      <w:numFmt w:val="lowerLetter"/>
      <w:lvlText w:val="%5."/>
      <w:lvlJc w:val="left"/>
      <w:pPr>
        <w:ind w:left="3460" w:hanging="360"/>
      </w:pPr>
    </w:lvl>
    <w:lvl w:ilvl="5" w:tplc="0409001B">
      <w:start w:val="1"/>
      <w:numFmt w:val="lowerRoman"/>
      <w:lvlText w:val="%6."/>
      <w:lvlJc w:val="right"/>
      <w:pPr>
        <w:ind w:left="4180" w:hanging="180"/>
      </w:pPr>
    </w:lvl>
    <w:lvl w:ilvl="6" w:tplc="0409000F">
      <w:start w:val="1"/>
      <w:numFmt w:val="decimal"/>
      <w:lvlText w:val="%7."/>
      <w:lvlJc w:val="left"/>
      <w:pPr>
        <w:ind w:left="4900" w:hanging="360"/>
      </w:pPr>
    </w:lvl>
    <w:lvl w:ilvl="7" w:tplc="04090019">
      <w:start w:val="1"/>
      <w:numFmt w:val="lowerLetter"/>
      <w:lvlText w:val="%8."/>
      <w:lvlJc w:val="left"/>
      <w:pPr>
        <w:ind w:left="5620" w:hanging="360"/>
      </w:pPr>
    </w:lvl>
    <w:lvl w:ilvl="8" w:tplc="0409001B">
      <w:start w:val="1"/>
      <w:numFmt w:val="lowerRoman"/>
      <w:lvlText w:val="%9."/>
      <w:lvlJc w:val="right"/>
      <w:pPr>
        <w:ind w:left="6340" w:hanging="180"/>
      </w:pPr>
    </w:lvl>
  </w:abstractNum>
  <w:abstractNum w:abstractNumId="8">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A5B1BCE"/>
    <w:multiLevelType w:val="hybridMultilevel"/>
    <w:tmpl w:val="96441E46"/>
    <w:lvl w:ilvl="0" w:tplc="220461E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5EE3B65"/>
    <w:multiLevelType w:val="hybridMultilevel"/>
    <w:tmpl w:val="7DE8A7F4"/>
    <w:lvl w:ilvl="0" w:tplc="0409000F">
      <w:start w:val="1"/>
      <w:numFmt w:val="decimal"/>
      <w:lvlText w:val="%1."/>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A1B3509"/>
    <w:multiLevelType w:val="hybridMultilevel"/>
    <w:tmpl w:val="B948A38C"/>
    <w:lvl w:ilvl="0" w:tplc="C8D89748">
      <w:start w:val="1"/>
      <w:numFmt w:val="upperLetter"/>
      <w:lvlText w:val="%1."/>
      <w:lvlJc w:val="left"/>
      <w:pPr>
        <w:ind w:left="220" w:hanging="293"/>
      </w:pPr>
      <w:rPr>
        <w:rFonts w:ascii="Times New Roman" w:eastAsia="Times New Roman" w:hAnsi="Times New Roman" w:hint="default"/>
        <w:sz w:val="24"/>
        <w:szCs w:val="24"/>
      </w:rPr>
    </w:lvl>
    <w:lvl w:ilvl="1" w:tplc="3B7C5084">
      <w:start w:val="1"/>
      <w:numFmt w:val="bullet"/>
      <w:lvlText w:val=""/>
      <w:lvlJc w:val="left"/>
      <w:pPr>
        <w:ind w:left="940" w:hanging="360"/>
      </w:pPr>
      <w:rPr>
        <w:rFonts w:ascii="Symbol" w:eastAsia="Symbol" w:hAnsi="Symbol" w:hint="default"/>
        <w:sz w:val="22"/>
        <w:szCs w:val="22"/>
      </w:rPr>
    </w:lvl>
    <w:lvl w:ilvl="2" w:tplc="365CB50A">
      <w:start w:val="1"/>
      <w:numFmt w:val="bullet"/>
      <w:lvlText w:val="•"/>
      <w:lvlJc w:val="left"/>
      <w:pPr>
        <w:ind w:left="1924" w:hanging="360"/>
      </w:pPr>
      <w:rPr>
        <w:rFonts w:hint="default"/>
      </w:rPr>
    </w:lvl>
    <w:lvl w:ilvl="3" w:tplc="BD9CBE28">
      <w:start w:val="1"/>
      <w:numFmt w:val="bullet"/>
      <w:lvlText w:val="•"/>
      <w:lvlJc w:val="left"/>
      <w:pPr>
        <w:ind w:left="2909" w:hanging="360"/>
      </w:pPr>
      <w:rPr>
        <w:rFonts w:hint="default"/>
      </w:rPr>
    </w:lvl>
    <w:lvl w:ilvl="4" w:tplc="B0CAC3FA">
      <w:start w:val="1"/>
      <w:numFmt w:val="bullet"/>
      <w:lvlText w:val="•"/>
      <w:lvlJc w:val="left"/>
      <w:pPr>
        <w:ind w:left="3893" w:hanging="360"/>
      </w:pPr>
      <w:rPr>
        <w:rFonts w:hint="default"/>
      </w:rPr>
    </w:lvl>
    <w:lvl w:ilvl="5" w:tplc="F0C66D56">
      <w:start w:val="1"/>
      <w:numFmt w:val="bullet"/>
      <w:lvlText w:val="•"/>
      <w:lvlJc w:val="left"/>
      <w:pPr>
        <w:ind w:left="4878" w:hanging="360"/>
      </w:pPr>
      <w:rPr>
        <w:rFonts w:hint="default"/>
      </w:rPr>
    </w:lvl>
    <w:lvl w:ilvl="6" w:tplc="ED1C0458">
      <w:start w:val="1"/>
      <w:numFmt w:val="bullet"/>
      <w:lvlText w:val="•"/>
      <w:lvlJc w:val="left"/>
      <w:pPr>
        <w:ind w:left="5862" w:hanging="360"/>
      </w:pPr>
      <w:rPr>
        <w:rFonts w:hint="default"/>
      </w:rPr>
    </w:lvl>
    <w:lvl w:ilvl="7" w:tplc="2510488E">
      <w:start w:val="1"/>
      <w:numFmt w:val="bullet"/>
      <w:lvlText w:val="•"/>
      <w:lvlJc w:val="left"/>
      <w:pPr>
        <w:ind w:left="6846" w:hanging="360"/>
      </w:pPr>
      <w:rPr>
        <w:rFonts w:hint="default"/>
      </w:rPr>
    </w:lvl>
    <w:lvl w:ilvl="8" w:tplc="C79AFA0A">
      <w:start w:val="1"/>
      <w:numFmt w:val="bullet"/>
      <w:lvlText w:val="•"/>
      <w:lvlJc w:val="left"/>
      <w:pPr>
        <w:ind w:left="7831" w:hanging="360"/>
      </w:pPr>
      <w:rPr>
        <w:rFonts w:hint="default"/>
      </w:rPr>
    </w:lvl>
  </w:abstractNum>
  <w:abstractNum w:abstractNumId="24">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0F5114F"/>
    <w:multiLevelType w:val="hybridMultilevel"/>
    <w:tmpl w:val="56E04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2"/>
  </w:num>
  <w:num w:numId="4">
    <w:abstractNumId w:val="5"/>
  </w:num>
  <w:num w:numId="5">
    <w:abstractNumId w:val="1"/>
  </w:num>
  <w:num w:numId="6">
    <w:abstractNumId w:val="0"/>
  </w:num>
  <w:num w:numId="7">
    <w:abstractNumId w:val="3"/>
  </w:num>
  <w:num w:numId="8">
    <w:abstractNumId w:val="21"/>
  </w:num>
  <w:num w:numId="9">
    <w:abstractNumId w:val="10"/>
  </w:num>
  <w:num w:numId="10">
    <w:abstractNumId w:val="28"/>
  </w:num>
  <w:num w:numId="11">
    <w:abstractNumId w:val="12"/>
  </w:num>
  <w:num w:numId="12">
    <w:abstractNumId w:val="26"/>
  </w:num>
  <w:num w:numId="13">
    <w:abstractNumId w:val="19"/>
  </w:num>
  <w:num w:numId="14">
    <w:abstractNumId w:val="19"/>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8"/>
  </w:num>
  <w:num w:numId="16">
    <w:abstractNumId w:val="8"/>
  </w:num>
  <w:num w:numId="17">
    <w:abstractNumId w:val="27"/>
  </w:num>
  <w:num w:numId="18">
    <w:abstractNumId w:val="24"/>
  </w:num>
  <w:num w:numId="19">
    <w:abstractNumId w:val="22"/>
  </w:num>
  <w:num w:numId="20">
    <w:abstractNumId w:val="17"/>
  </w:num>
  <w:num w:numId="21">
    <w:abstractNumId w:val="20"/>
  </w:num>
  <w:num w:numId="22">
    <w:abstractNumId w:val="16"/>
  </w:num>
  <w:num w:numId="23">
    <w:abstractNumId w:val="6"/>
  </w:num>
  <w:num w:numId="24">
    <w:abstractNumId w:val="14"/>
  </w:num>
  <w:num w:numId="25">
    <w:abstractNumId w:val="13"/>
  </w:num>
  <w:num w:numId="26">
    <w:abstractNumId w:val="29"/>
  </w:num>
  <w:num w:numId="27">
    <w:abstractNumId w:val="23"/>
  </w:num>
  <w:num w:numId="28">
    <w:abstractNumId w:val="25"/>
  </w:num>
  <w:num w:numId="29">
    <w:abstractNumId w:val="9"/>
  </w:num>
  <w:num w:numId="30">
    <w:abstractNumId w:val="15"/>
    <w:lvlOverride w:ilvl="0">
      <w:startOverride w:val="1"/>
    </w:lvlOverride>
    <w:lvlOverride w:ilvl="1"/>
    <w:lvlOverride w:ilvl="2"/>
    <w:lvlOverride w:ilvl="3"/>
    <w:lvlOverride w:ilvl="4"/>
    <w:lvlOverride w:ilvl="5"/>
    <w:lvlOverride w:ilvl="6"/>
    <w:lvlOverride w:ilvl="7"/>
    <w:lvlOverride w:ilvl="8"/>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Moves/>
  <w:doNotTrackFormatting/>
  <w:documentProtection w:edit="forms" w:enforcement="0"/>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JAMA&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z52trwzt3ewd29extfzv29d2a9ftve9fveva&quot;&gt;PSI11_141121&lt;record-ids&gt;&lt;item&gt;241&lt;/item&gt;&lt;item&gt;242&lt;/item&gt;&lt;item&gt;243&lt;/item&gt;&lt;/record-ids&gt;&lt;/item&gt;&lt;/Libraries&gt;"/>
  </w:docVars>
  <w:rsids>
    <w:rsidRoot w:val="008A403A"/>
    <w:rsid w:val="00001D73"/>
    <w:rsid w:val="00003469"/>
    <w:rsid w:val="00005E2A"/>
    <w:rsid w:val="0001094F"/>
    <w:rsid w:val="00017E73"/>
    <w:rsid w:val="00021170"/>
    <w:rsid w:val="0002128B"/>
    <w:rsid w:val="00024DFD"/>
    <w:rsid w:val="00027AB8"/>
    <w:rsid w:val="000309DD"/>
    <w:rsid w:val="00031414"/>
    <w:rsid w:val="00033038"/>
    <w:rsid w:val="00033D63"/>
    <w:rsid w:val="0003436F"/>
    <w:rsid w:val="000414E8"/>
    <w:rsid w:val="0004593A"/>
    <w:rsid w:val="000467F5"/>
    <w:rsid w:val="00050A3E"/>
    <w:rsid w:val="00051F3E"/>
    <w:rsid w:val="00052A6F"/>
    <w:rsid w:val="00053F02"/>
    <w:rsid w:val="0005612B"/>
    <w:rsid w:val="000574AB"/>
    <w:rsid w:val="0006147A"/>
    <w:rsid w:val="00074B6F"/>
    <w:rsid w:val="000775F8"/>
    <w:rsid w:val="00080CF7"/>
    <w:rsid w:val="000851B2"/>
    <w:rsid w:val="00092566"/>
    <w:rsid w:val="000968F8"/>
    <w:rsid w:val="00097012"/>
    <w:rsid w:val="000B032A"/>
    <w:rsid w:val="000B2DF7"/>
    <w:rsid w:val="000B3880"/>
    <w:rsid w:val="000B73FC"/>
    <w:rsid w:val="000D7948"/>
    <w:rsid w:val="000D7C84"/>
    <w:rsid w:val="000E4E13"/>
    <w:rsid w:val="000E78F6"/>
    <w:rsid w:val="000F034A"/>
    <w:rsid w:val="000F06B5"/>
    <w:rsid w:val="000F39E9"/>
    <w:rsid w:val="00104B45"/>
    <w:rsid w:val="00105D8B"/>
    <w:rsid w:val="0011342F"/>
    <w:rsid w:val="001202E9"/>
    <w:rsid w:val="0012454F"/>
    <w:rsid w:val="00125273"/>
    <w:rsid w:val="00125718"/>
    <w:rsid w:val="0012575E"/>
    <w:rsid w:val="00127C06"/>
    <w:rsid w:val="00137487"/>
    <w:rsid w:val="00145149"/>
    <w:rsid w:val="00145D4F"/>
    <w:rsid w:val="0014773C"/>
    <w:rsid w:val="00164633"/>
    <w:rsid w:val="0017696D"/>
    <w:rsid w:val="0018227D"/>
    <w:rsid w:val="001848FC"/>
    <w:rsid w:val="001969C5"/>
    <w:rsid w:val="001A6CDD"/>
    <w:rsid w:val="001C12EE"/>
    <w:rsid w:val="001C7B02"/>
    <w:rsid w:val="001E4DD4"/>
    <w:rsid w:val="001E69DC"/>
    <w:rsid w:val="001F169D"/>
    <w:rsid w:val="001F1ACA"/>
    <w:rsid w:val="001F1DA1"/>
    <w:rsid w:val="001F6F93"/>
    <w:rsid w:val="001F7A20"/>
    <w:rsid w:val="0021195A"/>
    <w:rsid w:val="00211B65"/>
    <w:rsid w:val="00213383"/>
    <w:rsid w:val="00220250"/>
    <w:rsid w:val="0022691B"/>
    <w:rsid w:val="00232163"/>
    <w:rsid w:val="002376F8"/>
    <w:rsid w:val="002408E4"/>
    <w:rsid w:val="00241591"/>
    <w:rsid w:val="00250B4F"/>
    <w:rsid w:val="0025762F"/>
    <w:rsid w:val="0028114D"/>
    <w:rsid w:val="0028189D"/>
    <w:rsid w:val="002851AF"/>
    <w:rsid w:val="00287649"/>
    <w:rsid w:val="00287E84"/>
    <w:rsid w:val="0029286C"/>
    <w:rsid w:val="0029300E"/>
    <w:rsid w:val="002B0C3A"/>
    <w:rsid w:val="002B2116"/>
    <w:rsid w:val="002B2D9B"/>
    <w:rsid w:val="002B47B5"/>
    <w:rsid w:val="002B5016"/>
    <w:rsid w:val="002B742C"/>
    <w:rsid w:val="002B7F4D"/>
    <w:rsid w:val="002C285C"/>
    <w:rsid w:val="002C288F"/>
    <w:rsid w:val="002C7BE4"/>
    <w:rsid w:val="002D417D"/>
    <w:rsid w:val="002D5E5D"/>
    <w:rsid w:val="002E78A0"/>
    <w:rsid w:val="002F2687"/>
    <w:rsid w:val="002F48E1"/>
    <w:rsid w:val="002F4F3B"/>
    <w:rsid w:val="003059EB"/>
    <w:rsid w:val="003116AC"/>
    <w:rsid w:val="00315567"/>
    <w:rsid w:val="00330144"/>
    <w:rsid w:val="00346245"/>
    <w:rsid w:val="00356267"/>
    <w:rsid w:val="00356BAD"/>
    <w:rsid w:val="003605B4"/>
    <w:rsid w:val="003627AC"/>
    <w:rsid w:val="00366914"/>
    <w:rsid w:val="003704D4"/>
    <w:rsid w:val="00372FE3"/>
    <w:rsid w:val="003755CB"/>
    <w:rsid w:val="00383F85"/>
    <w:rsid w:val="003976F3"/>
    <w:rsid w:val="003A306C"/>
    <w:rsid w:val="003A7DE7"/>
    <w:rsid w:val="003B1006"/>
    <w:rsid w:val="003C5F11"/>
    <w:rsid w:val="003D6401"/>
    <w:rsid w:val="003E1863"/>
    <w:rsid w:val="0041606D"/>
    <w:rsid w:val="00416962"/>
    <w:rsid w:val="004348CC"/>
    <w:rsid w:val="004658FF"/>
    <w:rsid w:val="00474ED7"/>
    <w:rsid w:val="004756E1"/>
    <w:rsid w:val="0048008A"/>
    <w:rsid w:val="00483E94"/>
    <w:rsid w:val="00484120"/>
    <w:rsid w:val="004853A0"/>
    <w:rsid w:val="00486D9C"/>
    <w:rsid w:val="00491EC0"/>
    <w:rsid w:val="00496B5F"/>
    <w:rsid w:val="004A2E10"/>
    <w:rsid w:val="004A4275"/>
    <w:rsid w:val="004B17FF"/>
    <w:rsid w:val="004B1BA0"/>
    <w:rsid w:val="004B6CEE"/>
    <w:rsid w:val="004C2443"/>
    <w:rsid w:val="004C498F"/>
    <w:rsid w:val="004C5D29"/>
    <w:rsid w:val="004C681A"/>
    <w:rsid w:val="004D4D8A"/>
    <w:rsid w:val="004E656C"/>
    <w:rsid w:val="004F68EE"/>
    <w:rsid w:val="005038D5"/>
    <w:rsid w:val="00511BA4"/>
    <w:rsid w:val="005149E7"/>
    <w:rsid w:val="005232D6"/>
    <w:rsid w:val="005333CC"/>
    <w:rsid w:val="005363F1"/>
    <w:rsid w:val="00547B3A"/>
    <w:rsid w:val="0055007C"/>
    <w:rsid w:val="00554922"/>
    <w:rsid w:val="00555282"/>
    <w:rsid w:val="005560E7"/>
    <w:rsid w:val="005612CC"/>
    <w:rsid w:val="00563029"/>
    <w:rsid w:val="00567D12"/>
    <w:rsid w:val="00576062"/>
    <w:rsid w:val="00576814"/>
    <w:rsid w:val="0059559F"/>
    <w:rsid w:val="005A49FF"/>
    <w:rsid w:val="005A4D00"/>
    <w:rsid w:val="005A7634"/>
    <w:rsid w:val="005C0447"/>
    <w:rsid w:val="005C739F"/>
    <w:rsid w:val="005C73CA"/>
    <w:rsid w:val="005D4768"/>
    <w:rsid w:val="005D6002"/>
    <w:rsid w:val="005E2CAB"/>
    <w:rsid w:val="005E429E"/>
    <w:rsid w:val="005F7BF1"/>
    <w:rsid w:val="00601ED4"/>
    <w:rsid w:val="006030BC"/>
    <w:rsid w:val="00612866"/>
    <w:rsid w:val="00616EB5"/>
    <w:rsid w:val="006269D4"/>
    <w:rsid w:val="006327D8"/>
    <w:rsid w:val="0064070A"/>
    <w:rsid w:val="00643A01"/>
    <w:rsid w:val="006452B2"/>
    <w:rsid w:val="006574D2"/>
    <w:rsid w:val="006676D4"/>
    <w:rsid w:val="00675535"/>
    <w:rsid w:val="00681359"/>
    <w:rsid w:val="00696262"/>
    <w:rsid w:val="006C3A4F"/>
    <w:rsid w:val="006C4845"/>
    <w:rsid w:val="006C63BD"/>
    <w:rsid w:val="006D6BC1"/>
    <w:rsid w:val="006E2BFC"/>
    <w:rsid w:val="006E5C57"/>
    <w:rsid w:val="006F22A5"/>
    <w:rsid w:val="006F585B"/>
    <w:rsid w:val="0070261A"/>
    <w:rsid w:val="00702C73"/>
    <w:rsid w:val="00704748"/>
    <w:rsid w:val="007051C2"/>
    <w:rsid w:val="007128AF"/>
    <w:rsid w:val="00713394"/>
    <w:rsid w:val="00724677"/>
    <w:rsid w:val="00725AC2"/>
    <w:rsid w:val="00726DFC"/>
    <w:rsid w:val="00732880"/>
    <w:rsid w:val="007416B9"/>
    <w:rsid w:val="007422FD"/>
    <w:rsid w:val="00743E46"/>
    <w:rsid w:val="00747C45"/>
    <w:rsid w:val="00756FDB"/>
    <w:rsid w:val="007629B6"/>
    <w:rsid w:val="007665BF"/>
    <w:rsid w:val="00771B2A"/>
    <w:rsid w:val="007757CE"/>
    <w:rsid w:val="00775800"/>
    <w:rsid w:val="0079180E"/>
    <w:rsid w:val="007950CC"/>
    <w:rsid w:val="0079538B"/>
    <w:rsid w:val="007961B8"/>
    <w:rsid w:val="00797624"/>
    <w:rsid w:val="007A4828"/>
    <w:rsid w:val="007B093D"/>
    <w:rsid w:val="007B2069"/>
    <w:rsid w:val="007C04A1"/>
    <w:rsid w:val="007C21FA"/>
    <w:rsid w:val="007C6C4B"/>
    <w:rsid w:val="007D4351"/>
    <w:rsid w:val="007D7019"/>
    <w:rsid w:val="007E18DB"/>
    <w:rsid w:val="007E6F1C"/>
    <w:rsid w:val="00804C69"/>
    <w:rsid w:val="00806818"/>
    <w:rsid w:val="0080711D"/>
    <w:rsid w:val="008155CD"/>
    <w:rsid w:val="00833325"/>
    <w:rsid w:val="00840A41"/>
    <w:rsid w:val="00842F3C"/>
    <w:rsid w:val="008505D1"/>
    <w:rsid w:val="00855158"/>
    <w:rsid w:val="00857EE8"/>
    <w:rsid w:val="0086464B"/>
    <w:rsid w:val="008647FC"/>
    <w:rsid w:val="00864CA8"/>
    <w:rsid w:val="00865E2D"/>
    <w:rsid w:val="00870E6C"/>
    <w:rsid w:val="00884486"/>
    <w:rsid w:val="008871A9"/>
    <w:rsid w:val="008916BA"/>
    <w:rsid w:val="00892176"/>
    <w:rsid w:val="008A1DB7"/>
    <w:rsid w:val="008A403A"/>
    <w:rsid w:val="008A4C13"/>
    <w:rsid w:val="008B604D"/>
    <w:rsid w:val="008C08C9"/>
    <w:rsid w:val="008C54A9"/>
    <w:rsid w:val="008E67C3"/>
    <w:rsid w:val="008F589F"/>
    <w:rsid w:val="008F76A9"/>
    <w:rsid w:val="008F7E67"/>
    <w:rsid w:val="00900DBF"/>
    <w:rsid w:val="009048B9"/>
    <w:rsid w:val="00904E91"/>
    <w:rsid w:val="00915886"/>
    <w:rsid w:val="009214DC"/>
    <w:rsid w:val="00927027"/>
    <w:rsid w:val="00933AF4"/>
    <w:rsid w:val="009344BA"/>
    <w:rsid w:val="00942F82"/>
    <w:rsid w:val="00947F78"/>
    <w:rsid w:val="00953234"/>
    <w:rsid w:val="00961EAF"/>
    <w:rsid w:val="0096278F"/>
    <w:rsid w:val="009726E1"/>
    <w:rsid w:val="00977591"/>
    <w:rsid w:val="00980E75"/>
    <w:rsid w:val="00993D92"/>
    <w:rsid w:val="00994BE0"/>
    <w:rsid w:val="009A25B1"/>
    <w:rsid w:val="009A4608"/>
    <w:rsid w:val="009A6528"/>
    <w:rsid w:val="009A6A57"/>
    <w:rsid w:val="009A70BF"/>
    <w:rsid w:val="009B1A15"/>
    <w:rsid w:val="009B27CE"/>
    <w:rsid w:val="009C0852"/>
    <w:rsid w:val="009C13CA"/>
    <w:rsid w:val="009C32C6"/>
    <w:rsid w:val="009C665F"/>
    <w:rsid w:val="009D3647"/>
    <w:rsid w:val="009D7E38"/>
    <w:rsid w:val="009E095B"/>
    <w:rsid w:val="009E1846"/>
    <w:rsid w:val="009E78FF"/>
    <w:rsid w:val="00A01494"/>
    <w:rsid w:val="00A22FA9"/>
    <w:rsid w:val="00A25024"/>
    <w:rsid w:val="00A35F8F"/>
    <w:rsid w:val="00A41377"/>
    <w:rsid w:val="00A4263D"/>
    <w:rsid w:val="00A509B8"/>
    <w:rsid w:val="00A52AB9"/>
    <w:rsid w:val="00A6210B"/>
    <w:rsid w:val="00A669C3"/>
    <w:rsid w:val="00A7072F"/>
    <w:rsid w:val="00A7323A"/>
    <w:rsid w:val="00A831B4"/>
    <w:rsid w:val="00A85BA0"/>
    <w:rsid w:val="00A97798"/>
    <w:rsid w:val="00AA5213"/>
    <w:rsid w:val="00AA65A6"/>
    <w:rsid w:val="00AC1D8E"/>
    <w:rsid w:val="00AC48FA"/>
    <w:rsid w:val="00AD0240"/>
    <w:rsid w:val="00AD4137"/>
    <w:rsid w:val="00AE4C16"/>
    <w:rsid w:val="00AF279A"/>
    <w:rsid w:val="00B037BA"/>
    <w:rsid w:val="00B144C5"/>
    <w:rsid w:val="00B20139"/>
    <w:rsid w:val="00B218DA"/>
    <w:rsid w:val="00B342FA"/>
    <w:rsid w:val="00B36EAC"/>
    <w:rsid w:val="00B53E8B"/>
    <w:rsid w:val="00B66632"/>
    <w:rsid w:val="00B774D2"/>
    <w:rsid w:val="00B8015A"/>
    <w:rsid w:val="00B82A57"/>
    <w:rsid w:val="00B97FD0"/>
    <w:rsid w:val="00BA053B"/>
    <w:rsid w:val="00BA31DA"/>
    <w:rsid w:val="00BB35AE"/>
    <w:rsid w:val="00BC03A1"/>
    <w:rsid w:val="00BC0D25"/>
    <w:rsid w:val="00BD2505"/>
    <w:rsid w:val="00BE592D"/>
    <w:rsid w:val="00BF52B0"/>
    <w:rsid w:val="00BF5697"/>
    <w:rsid w:val="00C14CCC"/>
    <w:rsid w:val="00C22C1C"/>
    <w:rsid w:val="00C30BD0"/>
    <w:rsid w:val="00C33F2E"/>
    <w:rsid w:val="00C33F63"/>
    <w:rsid w:val="00C34936"/>
    <w:rsid w:val="00C34C14"/>
    <w:rsid w:val="00C355B9"/>
    <w:rsid w:val="00C401C4"/>
    <w:rsid w:val="00C41680"/>
    <w:rsid w:val="00C60A25"/>
    <w:rsid w:val="00C765C5"/>
    <w:rsid w:val="00C82479"/>
    <w:rsid w:val="00C867F0"/>
    <w:rsid w:val="00CA06D8"/>
    <w:rsid w:val="00CA345A"/>
    <w:rsid w:val="00CB49FF"/>
    <w:rsid w:val="00CB4CC6"/>
    <w:rsid w:val="00CC02CF"/>
    <w:rsid w:val="00CC086A"/>
    <w:rsid w:val="00CD0F66"/>
    <w:rsid w:val="00CD364B"/>
    <w:rsid w:val="00CE23B8"/>
    <w:rsid w:val="00CE50D7"/>
    <w:rsid w:val="00CF54A6"/>
    <w:rsid w:val="00D00344"/>
    <w:rsid w:val="00D1754D"/>
    <w:rsid w:val="00D2223F"/>
    <w:rsid w:val="00D25365"/>
    <w:rsid w:val="00D274A4"/>
    <w:rsid w:val="00D277AF"/>
    <w:rsid w:val="00D31163"/>
    <w:rsid w:val="00D320B1"/>
    <w:rsid w:val="00D33AFD"/>
    <w:rsid w:val="00D36489"/>
    <w:rsid w:val="00D42195"/>
    <w:rsid w:val="00D50704"/>
    <w:rsid w:val="00D5760A"/>
    <w:rsid w:val="00D61410"/>
    <w:rsid w:val="00D8181D"/>
    <w:rsid w:val="00D9106B"/>
    <w:rsid w:val="00D968D8"/>
    <w:rsid w:val="00DA563D"/>
    <w:rsid w:val="00DA7277"/>
    <w:rsid w:val="00DB19CE"/>
    <w:rsid w:val="00DB31EF"/>
    <w:rsid w:val="00DB3627"/>
    <w:rsid w:val="00DB4724"/>
    <w:rsid w:val="00DC4746"/>
    <w:rsid w:val="00DE7149"/>
    <w:rsid w:val="00E0314C"/>
    <w:rsid w:val="00E11DCE"/>
    <w:rsid w:val="00E1508F"/>
    <w:rsid w:val="00E27240"/>
    <w:rsid w:val="00E27EDD"/>
    <w:rsid w:val="00E30584"/>
    <w:rsid w:val="00E310B9"/>
    <w:rsid w:val="00E37029"/>
    <w:rsid w:val="00E37E1B"/>
    <w:rsid w:val="00E562C0"/>
    <w:rsid w:val="00E63C53"/>
    <w:rsid w:val="00E672D6"/>
    <w:rsid w:val="00E76024"/>
    <w:rsid w:val="00E856A2"/>
    <w:rsid w:val="00E96884"/>
    <w:rsid w:val="00EA4F77"/>
    <w:rsid w:val="00EA5435"/>
    <w:rsid w:val="00EA589F"/>
    <w:rsid w:val="00EA5F47"/>
    <w:rsid w:val="00EB48CA"/>
    <w:rsid w:val="00EC79DE"/>
    <w:rsid w:val="00ED36D2"/>
    <w:rsid w:val="00ED4ACE"/>
    <w:rsid w:val="00EE4D35"/>
    <w:rsid w:val="00EF2DA7"/>
    <w:rsid w:val="00EF336A"/>
    <w:rsid w:val="00F11B99"/>
    <w:rsid w:val="00F352EE"/>
    <w:rsid w:val="00F36842"/>
    <w:rsid w:val="00F435AA"/>
    <w:rsid w:val="00F5738A"/>
    <w:rsid w:val="00F60989"/>
    <w:rsid w:val="00F612D4"/>
    <w:rsid w:val="00F77F1D"/>
    <w:rsid w:val="00F82B99"/>
    <w:rsid w:val="00F87CCB"/>
    <w:rsid w:val="00FA48C7"/>
    <w:rsid w:val="00FB73C1"/>
    <w:rsid w:val="00FE0A62"/>
    <w:rsid w:val="00FF6ED6"/>
    <w:rsid w:val="00FF7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uiPriority w:val="99"/>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semiHidden/>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semiHidden/>
    <w:rsid w:val="00145149"/>
    <w:rPr>
      <w:rFonts w:cs="Times New Roman"/>
      <w:vertAlign w:val="superscript"/>
    </w:rPr>
  </w:style>
  <w:style w:type="paragraph" w:customStyle="1" w:styleId="Default">
    <w:name w:val="Default"/>
    <w:rsid w:val="004E656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
    <w:name w:val="Table Paragraph"/>
    <w:basedOn w:val="Normal"/>
    <w:uiPriority w:val="1"/>
    <w:qFormat/>
    <w:rsid w:val="004E656C"/>
    <w:pPr>
      <w:widowControl w:val="0"/>
      <w:spacing w:after="0" w:line="240" w:lineRule="auto"/>
    </w:pPr>
    <w:rPr>
      <w:rFonts w:eastAsiaTheme="minorHAnsi"/>
    </w:rPr>
  </w:style>
  <w:style w:type="paragraph" w:styleId="BodyText">
    <w:name w:val="Body Text"/>
    <w:basedOn w:val="Normal"/>
    <w:link w:val="BodyTextChar"/>
    <w:uiPriority w:val="1"/>
    <w:qFormat/>
    <w:rsid w:val="004E656C"/>
    <w:pPr>
      <w:widowControl w:val="0"/>
      <w:spacing w:after="0" w:line="240" w:lineRule="auto"/>
      <w:ind w:left="220"/>
    </w:pPr>
    <w:rPr>
      <w:rFonts w:ascii="Times New Roman" w:eastAsia="Times New Roman" w:hAnsi="Times New Roman"/>
    </w:rPr>
  </w:style>
  <w:style w:type="character" w:customStyle="1" w:styleId="BodyTextChar">
    <w:name w:val="Body Text Char"/>
    <w:basedOn w:val="DefaultParagraphFont"/>
    <w:link w:val="BodyText"/>
    <w:uiPriority w:val="1"/>
    <w:rsid w:val="004E656C"/>
    <w:rPr>
      <w:rFonts w:ascii="Times New Roman" w:eastAsia="Times New Roman" w:hAnsi="Times New Roman"/>
    </w:rPr>
  </w:style>
  <w:style w:type="paragraph" w:customStyle="1" w:styleId="FormText">
    <w:name w:val="FormText"/>
    <w:basedOn w:val="Normal"/>
    <w:link w:val="FormTextChar"/>
    <w:qFormat/>
    <w:rsid w:val="00137487"/>
    <w:pPr>
      <w:autoSpaceDE w:val="0"/>
      <w:autoSpaceDN w:val="0"/>
      <w:adjustRightInd w:val="0"/>
      <w:spacing w:after="0" w:line="240" w:lineRule="auto"/>
    </w:pPr>
    <w:rPr>
      <w:color w:val="0000FF"/>
    </w:rPr>
  </w:style>
  <w:style w:type="character" w:customStyle="1" w:styleId="FormTextChar">
    <w:name w:val="FormText Char"/>
    <w:basedOn w:val="DefaultParagraphFont"/>
    <w:link w:val="FormText"/>
    <w:rsid w:val="00137487"/>
    <w:rPr>
      <w:color w:val="0000FF"/>
    </w:rPr>
  </w:style>
  <w:style w:type="paragraph" w:customStyle="1" w:styleId="NQFForm">
    <w:name w:val="NQFForm"/>
    <w:basedOn w:val="Normal"/>
    <w:link w:val="NQFFormChar"/>
    <w:qFormat/>
    <w:rsid w:val="00051F3E"/>
    <w:pPr>
      <w:spacing w:after="0" w:line="240" w:lineRule="auto"/>
    </w:pPr>
    <w:rPr>
      <w:rFonts w:eastAsiaTheme="minorHAnsi"/>
      <w:color w:val="0000FF"/>
    </w:rPr>
  </w:style>
  <w:style w:type="character" w:customStyle="1" w:styleId="NQFFormChar">
    <w:name w:val="NQFForm Char"/>
    <w:basedOn w:val="DefaultParagraphFont"/>
    <w:link w:val="NQFForm"/>
    <w:rsid w:val="00051F3E"/>
    <w:rPr>
      <w:rFonts w:eastAsiaTheme="minorHAnsi"/>
      <w:color w:val="0000FF"/>
    </w:rPr>
  </w:style>
  <w:style w:type="paragraph" w:customStyle="1" w:styleId="EndNoteBibliography">
    <w:name w:val="EndNote Bibliography"/>
    <w:basedOn w:val="Normal"/>
    <w:link w:val="EndNoteBibliographyChar"/>
    <w:rsid w:val="00051F3E"/>
    <w:pPr>
      <w:spacing w:after="0" w:line="240" w:lineRule="auto"/>
    </w:pPr>
    <w:rPr>
      <w:rFonts w:ascii="Calibri" w:eastAsia="Times New Roman" w:hAnsi="Calibri" w:cs="Calibri"/>
      <w:noProof/>
      <w:szCs w:val="24"/>
    </w:rPr>
  </w:style>
  <w:style w:type="character" w:customStyle="1" w:styleId="EndNoteBibliographyChar">
    <w:name w:val="EndNote Bibliography Char"/>
    <w:link w:val="EndNoteBibliography"/>
    <w:rsid w:val="00051F3E"/>
    <w:rPr>
      <w:rFonts w:ascii="Calibri" w:eastAsia="Times New Roman" w:hAnsi="Calibri" w:cs="Calibri"/>
      <w:noProof/>
      <w:szCs w:val="24"/>
    </w:rPr>
  </w:style>
  <w:style w:type="paragraph" w:customStyle="1" w:styleId="NQFMeasureStyle">
    <w:name w:val="NQF Measure Style"/>
    <w:basedOn w:val="Normal"/>
    <w:link w:val="NQFMeasureStyleChar"/>
    <w:qFormat/>
    <w:rsid w:val="009D3647"/>
    <w:pPr>
      <w:widowControl w:val="0"/>
      <w:spacing w:before="10" w:after="0" w:line="280" w:lineRule="exact"/>
      <w:ind w:left="720"/>
    </w:pPr>
    <w:rPr>
      <w:rFonts w:ascii="Calibri" w:eastAsiaTheme="minorHAnsi" w:hAnsi="Calibri"/>
      <w:color w:val="0000FF"/>
    </w:rPr>
  </w:style>
  <w:style w:type="character" w:customStyle="1" w:styleId="NQFMeasureStyleChar">
    <w:name w:val="NQF Measure Style Char"/>
    <w:basedOn w:val="DefaultParagraphFont"/>
    <w:link w:val="NQFMeasureStyle"/>
    <w:rsid w:val="009D3647"/>
    <w:rPr>
      <w:rFonts w:ascii="Calibri" w:eastAsiaTheme="minorHAnsi" w:hAnsi="Calibri"/>
      <w:color w:val="0000FF"/>
    </w:rPr>
  </w:style>
  <w:style w:type="paragraph" w:customStyle="1" w:styleId="EndNoteBibliographyTitle">
    <w:name w:val="EndNote Bibliography Title"/>
    <w:basedOn w:val="Normal"/>
    <w:link w:val="EndNoteBibliographyTitleChar"/>
    <w:rsid w:val="00C30BD0"/>
    <w:pPr>
      <w:spacing w:after="0"/>
      <w:jc w:val="center"/>
    </w:pPr>
    <w:rPr>
      <w:rFonts w:ascii="Calibri" w:hAnsi="Calibri" w:cs="Calibri"/>
      <w:noProof/>
    </w:rPr>
  </w:style>
  <w:style w:type="character" w:customStyle="1" w:styleId="EndNoteBibliographyTitleChar">
    <w:name w:val="EndNote Bibliography Title Char"/>
    <w:basedOn w:val="BodyTextChar"/>
    <w:link w:val="EndNoteBibliographyTitle"/>
    <w:rsid w:val="00C30BD0"/>
    <w:rPr>
      <w:rFonts w:ascii="Calibri" w:eastAsia="Times New Roman" w:hAnsi="Calibri" w:cs="Calibri"/>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uiPriority w:val="99"/>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semiHidden/>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semiHidden/>
    <w:rsid w:val="00145149"/>
    <w:rPr>
      <w:rFonts w:cs="Times New Roman"/>
      <w:vertAlign w:val="superscript"/>
    </w:rPr>
  </w:style>
  <w:style w:type="paragraph" w:customStyle="1" w:styleId="Default">
    <w:name w:val="Default"/>
    <w:rsid w:val="004E656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
    <w:name w:val="Table Paragraph"/>
    <w:basedOn w:val="Normal"/>
    <w:uiPriority w:val="1"/>
    <w:qFormat/>
    <w:rsid w:val="004E656C"/>
    <w:pPr>
      <w:widowControl w:val="0"/>
      <w:spacing w:after="0" w:line="240" w:lineRule="auto"/>
    </w:pPr>
    <w:rPr>
      <w:rFonts w:eastAsiaTheme="minorHAnsi"/>
    </w:rPr>
  </w:style>
  <w:style w:type="paragraph" w:styleId="BodyText">
    <w:name w:val="Body Text"/>
    <w:basedOn w:val="Normal"/>
    <w:link w:val="BodyTextChar"/>
    <w:uiPriority w:val="1"/>
    <w:qFormat/>
    <w:rsid w:val="004E656C"/>
    <w:pPr>
      <w:widowControl w:val="0"/>
      <w:spacing w:after="0" w:line="240" w:lineRule="auto"/>
      <w:ind w:left="220"/>
    </w:pPr>
    <w:rPr>
      <w:rFonts w:ascii="Times New Roman" w:eastAsia="Times New Roman" w:hAnsi="Times New Roman"/>
    </w:rPr>
  </w:style>
  <w:style w:type="character" w:customStyle="1" w:styleId="BodyTextChar">
    <w:name w:val="Body Text Char"/>
    <w:basedOn w:val="DefaultParagraphFont"/>
    <w:link w:val="BodyText"/>
    <w:uiPriority w:val="1"/>
    <w:rsid w:val="004E656C"/>
    <w:rPr>
      <w:rFonts w:ascii="Times New Roman" w:eastAsia="Times New Roman" w:hAnsi="Times New Roman"/>
    </w:rPr>
  </w:style>
  <w:style w:type="paragraph" w:customStyle="1" w:styleId="FormText">
    <w:name w:val="FormText"/>
    <w:basedOn w:val="Normal"/>
    <w:link w:val="FormTextChar"/>
    <w:qFormat/>
    <w:rsid w:val="00137487"/>
    <w:pPr>
      <w:autoSpaceDE w:val="0"/>
      <w:autoSpaceDN w:val="0"/>
      <w:adjustRightInd w:val="0"/>
      <w:spacing w:after="0" w:line="240" w:lineRule="auto"/>
    </w:pPr>
    <w:rPr>
      <w:color w:val="0000FF"/>
    </w:rPr>
  </w:style>
  <w:style w:type="character" w:customStyle="1" w:styleId="FormTextChar">
    <w:name w:val="FormText Char"/>
    <w:basedOn w:val="DefaultParagraphFont"/>
    <w:link w:val="FormText"/>
    <w:rsid w:val="00137487"/>
    <w:rPr>
      <w:color w:val="0000FF"/>
    </w:rPr>
  </w:style>
  <w:style w:type="paragraph" w:customStyle="1" w:styleId="NQFForm">
    <w:name w:val="NQFForm"/>
    <w:basedOn w:val="Normal"/>
    <w:link w:val="NQFFormChar"/>
    <w:qFormat/>
    <w:rsid w:val="00051F3E"/>
    <w:pPr>
      <w:spacing w:after="0" w:line="240" w:lineRule="auto"/>
    </w:pPr>
    <w:rPr>
      <w:rFonts w:eastAsiaTheme="minorHAnsi"/>
      <w:color w:val="0000FF"/>
    </w:rPr>
  </w:style>
  <w:style w:type="character" w:customStyle="1" w:styleId="NQFFormChar">
    <w:name w:val="NQFForm Char"/>
    <w:basedOn w:val="DefaultParagraphFont"/>
    <w:link w:val="NQFForm"/>
    <w:rsid w:val="00051F3E"/>
    <w:rPr>
      <w:rFonts w:eastAsiaTheme="minorHAnsi"/>
      <w:color w:val="0000FF"/>
    </w:rPr>
  </w:style>
  <w:style w:type="paragraph" w:customStyle="1" w:styleId="EndNoteBibliography">
    <w:name w:val="EndNote Bibliography"/>
    <w:basedOn w:val="Normal"/>
    <w:link w:val="EndNoteBibliographyChar"/>
    <w:rsid w:val="00051F3E"/>
    <w:pPr>
      <w:spacing w:after="0" w:line="240" w:lineRule="auto"/>
    </w:pPr>
    <w:rPr>
      <w:rFonts w:ascii="Calibri" w:eastAsia="Times New Roman" w:hAnsi="Calibri" w:cs="Calibri"/>
      <w:noProof/>
      <w:szCs w:val="24"/>
    </w:rPr>
  </w:style>
  <w:style w:type="character" w:customStyle="1" w:styleId="EndNoteBibliographyChar">
    <w:name w:val="EndNote Bibliography Char"/>
    <w:link w:val="EndNoteBibliography"/>
    <w:rsid w:val="00051F3E"/>
    <w:rPr>
      <w:rFonts w:ascii="Calibri" w:eastAsia="Times New Roman" w:hAnsi="Calibri" w:cs="Calibri"/>
      <w:noProof/>
      <w:szCs w:val="24"/>
    </w:rPr>
  </w:style>
  <w:style w:type="paragraph" w:customStyle="1" w:styleId="NQFMeasureStyle">
    <w:name w:val="NQF Measure Style"/>
    <w:basedOn w:val="Normal"/>
    <w:link w:val="NQFMeasureStyleChar"/>
    <w:qFormat/>
    <w:rsid w:val="009D3647"/>
    <w:pPr>
      <w:widowControl w:val="0"/>
      <w:spacing w:before="10" w:after="0" w:line="280" w:lineRule="exact"/>
      <w:ind w:left="720"/>
    </w:pPr>
    <w:rPr>
      <w:rFonts w:ascii="Calibri" w:eastAsiaTheme="minorHAnsi" w:hAnsi="Calibri"/>
      <w:color w:val="0000FF"/>
    </w:rPr>
  </w:style>
  <w:style w:type="character" w:customStyle="1" w:styleId="NQFMeasureStyleChar">
    <w:name w:val="NQF Measure Style Char"/>
    <w:basedOn w:val="DefaultParagraphFont"/>
    <w:link w:val="NQFMeasureStyle"/>
    <w:rsid w:val="009D3647"/>
    <w:rPr>
      <w:rFonts w:ascii="Calibri" w:eastAsiaTheme="minorHAnsi" w:hAnsi="Calibri"/>
      <w:color w:val="0000FF"/>
    </w:rPr>
  </w:style>
  <w:style w:type="paragraph" w:customStyle="1" w:styleId="EndNoteBibliographyTitle">
    <w:name w:val="EndNote Bibliography Title"/>
    <w:basedOn w:val="Normal"/>
    <w:link w:val="EndNoteBibliographyTitleChar"/>
    <w:rsid w:val="00C30BD0"/>
    <w:pPr>
      <w:spacing w:after="0"/>
      <w:jc w:val="center"/>
    </w:pPr>
    <w:rPr>
      <w:rFonts w:ascii="Calibri" w:hAnsi="Calibri" w:cs="Calibri"/>
      <w:noProof/>
    </w:rPr>
  </w:style>
  <w:style w:type="character" w:customStyle="1" w:styleId="EndNoteBibliographyTitleChar">
    <w:name w:val="EndNote Bibliography Title Char"/>
    <w:basedOn w:val="BodyTextChar"/>
    <w:link w:val="EndNoteBibliographyTitle"/>
    <w:rsid w:val="00C30BD0"/>
    <w:rPr>
      <w:rFonts w:ascii="Calibri" w:eastAsia="Times New Roman" w:hAnsi="Calibri" w:cs="Calibr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453755">
      <w:bodyDiv w:val="1"/>
      <w:marLeft w:val="0"/>
      <w:marRight w:val="0"/>
      <w:marTop w:val="0"/>
      <w:marBottom w:val="0"/>
      <w:divBdr>
        <w:top w:val="none" w:sz="0" w:space="0" w:color="auto"/>
        <w:left w:val="none" w:sz="0" w:space="0" w:color="auto"/>
        <w:bottom w:val="none" w:sz="0" w:space="0" w:color="auto"/>
        <w:right w:val="none" w:sz="0" w:space="0" w:color="auto"/>
      </w:divBdr>
    </w:div>
    <w:div w:id="402727545">
      <w:bodyDiv w:val="1"/>
      <w:marLeft w:val="0"/>
      <w:marRight w:val="0"/>
      <w:marTop w:val="0"/>
      <w:marBottom w:val="0"/>
      <w:divBdr>
        <w:top w:val="none" w:sz="0" w:space="0" w:color="auto"/>
        <w:left w:val="none" w:sz="0" w:space="0" w:color="auto"/>
        <w:bottom w:val="none" w:sz="0" w:space="0" w:color="auto"/>
        <w:right w:val="none" w:sz="0" w:space="0" w:color="auto"/>
      </w:divBdr>
    </w:div>
    <w:div w:id="440538237">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965740961">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952541859">
      <w:bodyDiv w:val="1"/>
      <w:marLeft w:val="0"/>
      <w:marRight w:val="0"/>
      <w:marTop w:val="0"/>
      <w:marBottom w:val="0"/>
      <w:divBdr>
        <w:top w:val="none" w:sz="0" w:space="0" w:color="auto"/>
        <w:left w:val="none" w:sz="0" w:space="0" w:color="auto"/>
        <w:bottom w:val="none" w:sz="0" w:space="0" w:color="auto"/>
        <w:right w:val="none" w:sz="0" w:space="0" w:color="auto"/>
      </w:divBdr>
    </w:div>
    <w:div w:id="198747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hcup-us.ahrq.gov"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microsoft.com/office/2007/relationships/stylesWithEffects" Target="stylesWithEffect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www.hcup-us.ahrq.gov/sidoverview.jsp" TargetMode="External"/><Relationship Id="rId2" Type="http://schemas.openxmlformats.org/officeDocument/2006/relationships/customXml" Target="../customXml/item2.xml"/><Relationship Id="rId16" Type="http://schemas.openxmlformats.org/officeDocument/2006/relationships/hyperlink" Target="http://www.hcup-us.ahrq.gov/sidoverview.js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hcup-us.ahrq.gov/sidoverview.jsp"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hcup-us.ahrq.gov/sidoverview.jsp"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nber.org/papers/w7327"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C2037"/>
    <w:rsid w:val="00127222"/>
    <w:rsid w:val="00190AF4"/>
    <w:rsid w:val="00223FA3"/>
    <w:rsid w:val="002A288F"/>
    <w:rsid w:val="002F052A"/>
    <w:rsid w:val="00350176"/>
    <w:rsid w:val="003840F0"/>
    <w:rsid w:val="003B2BED"/>
    <w:rsid w:val="00437537"/>
    <w:rsid w:val="00466832"/>
    <w:rsid w:val="004C20B8"/>
    <w:rsid w:val="0053654E"/>
    <w:rsid w:val="005467BA"/>
    <w:rsid w:val="005F25B5"/>
    <w:rsid w:val="00632A7E"/>
    <w:rsid w:val="00632AB6"/>
    <w:rsid w:val="00727A28"/>
    <w:rsid w:val="00730B33"/>
    <w:rsid w:val="00772B2A"/>
    <w:rsid w:val="007C672A"/>
    <w:rsid w:val="007D4368"/>
    <w:rsid w:val="008171EA"/>
    <w:rsid w:val="00822666"/>
    <w:rsid w:val="00823ECC"/>
    <w:rsid w:val="00866C97"/>
    <w:rsid w:val="008D7A2C"/>
    <w:rsid w:val="009017AE"/>
    <w:rsid w:val="00931A9B"/>
    <w:rsid w:val="009C542D"/>
    <w:rsid w:val="00A95183"/>
    <w:rsid w:val="00AB4AF7"/>
    <w:rsid w:val="00AD7C4F"/>
    <w:rsid w:val="00B445F5"/>
    <w:rsid w:val="00BD40CB"/>
    <w:rsid w:val="00C21064"/>
    <w:rsid w:val="00C362A2"/>
    <w:rsid w:val="00C90121"/>
    <w:rsid w:val="00CA344F"/>
    <w:rsid w:val="00D1676E"/>
    <w:rsid w:val="00DC0246"/>
    <w:rsid w:val="00E6518A"/>
    <w:rsid w:val="00EA6D15"/>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142827528D2047DF8941493C83EE21B9">
    <w:name w:val="142827528D2047DF8941493C83EE21B9"/>
    <w:rsid w:val="003B2BE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142827528D2047DF8941493C83EE21B9">
    <w:name w:val="142827528D2047DF8941493C83EE21B9"/>
    <w:rsid w:val="003B2B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60693-590D-4624-B1CF-5A2BD14ED9C5}">
  <ds:schemaRefs>
    <ds:schemaRef ds:uri="http://schemas.microsoft.com/sharepoint/v3/contenttype/forms"/>
  </ds:schemaRefs>
</ds:datastoreItem>
</file>

<file path=customXml/itemProps2.xml><?xml version="1.0" encoding="utf-8"?>
<ds:datastoreItem xmlns:ds="http://schemas.openxmlformats.org/officeDocument/2006/customXml" ds:itemID="{C28A57F0-1026-42DA-ABF9-A39CD784C5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7BB2DF5-3BEE-48E2-8237-4578E6579BF1}">
  <ds:schemaRefs>
    <ds:schemaRef ds:uri="http://purl.org/dc/elements/1.1/"/>
    <ds:schemaRef ds:uri="http://schemas.microsoft.com/office/2006/documentManagement/types"/>
    <ds:schemaRef ds:uri="http://purl.org/dc/terms/"/>
    <ds:schemaRef ds:uri="http://purl.org/dc/dcmitype/"/>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1B8BA78D-1426-4862-9E8D-DAEC6B2E6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8171</Words>
  <Characters>46577</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54639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Ellen Schultz</cp:lastModifiedBy>
  <cp:revision>2</cp:revision>
  <dcterms:created xsi:type="dcterms:W3CDTF">2015-01-14T22:26:00Z</dcterms:created>
  <dcterms:modified xsi:type="dcterms:W3CDTF">2015-01-14T22:26:00Z</dcterms:modified>
</cp:coreProperties>
</file>