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1440B">
            <w:rPr>
              <w:rStyle w:val="Style1"/>
            </w:rPr>
            <w:t>0566</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F1440B">
            <w:rPr>
              <w:rStyle w:val="Style1"/>
              <w:rFonts w:cstheme="minorHAnsi"/>
            </w:rPr>
            <w:t>Age-Related Macular Degeneration (AMD): Counseling on Antioxidant Supplement</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3-19T00:00:00Z">
            <w:dateFormat w:val="M/d/yyyy"/>
            <w:lid w:val="en-US"/>
            <w:storeMappedDataAs w:val="dateTime"/>
            <w:calendar w:val="gregorian"/>
          </w:date>
        </w:sdtPr>
        <w:sdtEndPr>
          <w:rPr>
            <w:rStyle w:val="DefaultParagraphFont"/>
            <w:noProof/>
            <w:color w:val="auto"/>
            <w:u w:val="none"/>
          </w:rPr>
        </w:sdtEndPr>
        <w:sdtContent>
          <w:r w:rsidR="00932B44">
            <w:rPr>
              <w:rStyle w:val="Style2"/>
              <w:rFonts w:cstheme="minorHAnsi"/>
            </w:rPr>
            <w:t>3/19/2015</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E23AB6"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E23AB6"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E23AB6"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E23AB6"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F1440B">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E23AB6"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E23AB6"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C122E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C122E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122E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122E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932B4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F24A39">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C122E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C122E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E23AB6"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E23AB6"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9E1846" w:rsidRDefault="009E1846" w:rsidP="00DB3627">
      <w:pPr>
        <w:autoSpaceDE w:val="0"/>
        <w:autoSpaceDN w:val="0"/>
        <w:adjustRightInd w:val="0"/>
        <w:spacing w:after="0" w:line="240" w:lineRule="auto"/>
        <w:rPr>
          <w:rFonts w:cstheme="minorHAnsi"/>
          <w:b/>
        </w:rPr>
      </w:pPr>
    </w:p>
    <w:p w:rsidR="007F6D7A" w:rsidRPr="007F6D7A" w:rsidRDefault="007F6D7A" w:rsidP="00DB3627">
      <w:pPr>
        <w:autoSpaceDE w:val="0"/>
        <w:autoSpaceDN w:val="0"/>
        <w:adjustRightInd w:val="0"/>
        <w:spacing w:after="0" w:line="240" w:lineRule="auto"/>
        <w:rPr>
          <w:rFonts w:cstheme="minorHAnsi"/>
        </w:rPr>
      </w:pPr>
      <w:r w:rsidRPr="007F6D7A">
        <w:rPr>
          <w:rFonts w:cstheme="minorHAnsi"/>
        </w:rPr>
        <w:t>Not applicable</w:t>
      </w:r>
    </w:p>
    <w:p w:rsidR="00D7504E" w:rsidRDefault="00D7504E"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5E0A61">
            <w:rPr>
              <w:rStyle w:val="Style1"/>
            </w:rPr>
            <w:t>8/23/2011 – 9/30/2011</w:t>
          </w:r>
        </w:sdtContent>
      </w:sdt>
    </w:p>
    <w:p w:rsidR="000574AB" w:rsidRDefault="000574AB" w:rsidP="00DB3627">
      <w:pPr>
        <w:autoSpaceDE w:val="0"/>
        <w:autoSpaceDN w:val="0"/>
        <w:adjustRightInd w:val="0"/>
        <w:spacing w:after="0" w:line="240" w:lineRule="auto"/>
        <w:rPr>
          <w:rFonts w:cstheme="minorHAnsi"/>
          <w:bCs/>
        </w:rPr>
      </w:pPr>
    </w:p>
    <w:p w:rsidR="00D7504E" w:rsidRDefault="00D7504E"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E23AB6"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7E5A65">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E23AB6"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7E5A65">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E23AB6"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7E5A6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E23AB6"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7E5A6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E23AB6"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E23AB6"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E23AB6"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E23AB6"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E23AB6"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E23AB6"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7364AF"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w:t>
      </w:r>
    </w:p>
    <w:p w:rsidR="007364AF" w:rsidRDefault="007364AF" w:rsidP="00DB3627">
      <w:pPr>
        <w:autoSpaceDE w:val="0"/>
        <w:autoSpaceDN w:val="0"/>
        <w:adjustRightInd w:val="0"/>
        <w:spacing w:after="0" w:line="240" w:lineRule="auto"/>
        <w:rPr>
          <w:rFonts w:cstheme="minorHAnsi"/>
          <w:bCs/>
        </w:rPr>
      </w:pPr>
    </w:p>
    <w:p w:rsidR="006B5AC6" w:rsidRPr="00FB6F6C" w:rsidRDefault="006B5AC6" w:rsidP="006B5AC6">
      <w:pPr>
        <w:autoSpaceDE w:val="0"/>
        <w:autoSpaceDN w:val="0"/>
        <w:adjustRightInd w:val="0"/>
        <w:spacing w:after="0" w:line="240" w:lineRule="auto"/>
        <w:rPr>
          <w:rFonts w:cstheme="minorHAnsi"/>
          <w:bCs/>
          <w:u w:val="single"/>
        </w:rPr>
      </w:pPr>
      <w:r w:rsidRPr="00FB6F6C">
        <w:rPr>
          <w:rFonts w:cstheme="minorHAnsi"/>
          <w:bCs/>
          <w:u w:val="single"/>
        </w:rPr>
        <w:t>Inter-</w:t>
      </w:r>
      <w:r>
        <w:rPr>
          <w:rFonts w:cstheme="minorHAnsi"/>
          <w:bCs/>
          <w:u w:val="single"/>
        </w:rPr>
        <w:t>Abstractor</w:t>
      </w:r>
      <w:r w:rsidRPr="00FB6F6C">
        <w:rPr>
          <w:rFonts w:cstheme="minorHAnsi"/>
          <w:bCs/>
          <w:u w:val="single"/>
        </w:rPr>
        <w:t xml:space="preserve"> Reliability Testing:</w:t>
      </w:r>
    </w:p>
    <w:p w:rsidR="00D7504E" w:rsidRDefault="000A1287" w:rsidP="00DB3627">
      <w:pPr>
        <w:autoSpaceDE w:val="0"/>
        <w:autoSpaceDN w:val="0"/>
        <w:adjustRightInd w:val="0"/>
        <w:spacing w:after="0" w:line="240" w:lineRule="auto"/>
        <w:rPr>
          <w:rFonts w:cstheme="minorHAnsi"/>
          <w:bCs/>
        </w:rPr>
      </w:pPr>
      <w:r>
        <w:rPr>
          <w:rFonts w:cstheme="minorHAnsi"/>
          <w:bCs/>
        </w:rPr>
        <w:t xml:space="preserve">Testing data was collected from a physician owned private practice, identified as Site B. The practice included a single ophthalmologist. Data abstracted from the patient record (gold standard) was compared to electronic queries of their EHR system and the CPT Category II codes submitted for the </w:t>
      </w:r>
      <w:r>
        <w:rPr>
          <w:rFonts w:cstheme="minorHAnsi"/>
          <w:bCs/>
        </w:rPr>
        <w:lastRenderedPageBreak/>
        <w:t xml:space="preserve">PQRS program. Site B adopted EHR technology, IO </w:t>
      </w:r>
      <w:proofErr w:type="spellStart"/>
      <w:r>
        <w:rPr>
          <w:rFonts w:cstheme="minorHAnsi"/>
          <w:bCs/>
        </w:rPr>
        <w:t>Practiceware</w:t>
      </w:r>
      <w:proofErr w:type="spellEnd"/>
      <w:r>
        <w:rPr>
          <w:rFonts w:cstheme="minorHAnsi"/>
          <w:bCs/>
        </w:rPr>
        <w:t>, in April 2009 and submitted a total of 5 PQRS measures during the 2011 and 2012 reporting periods.</w:t>
      </w:r>
    </w:p>
    <w:p w:rsidR="00D7504E" w:rsidRDefault="00D7504E" w:rsidP="00DB3627">
      <w:pPr>
        <w:autoSpaceDE w:val="0"/>
        <w:autoSpaceDN w:val="0"/>
        <w:adjustRightInd w:val="0"/>
        <w:spacing w:after="0" w:line="240" w:lineRule="auto"/>
        <w:rPr>
          <w:rFonts w:cstheme="minorHAnsi"/>
          <w:bCs/>
        </w:rPr>
      </w:pPr>
    </w:p>
    <w:p w:rsidR="00D7504E" w:rsidRDefault="00D7504E" w:rsidP="00DB3627">
      <w:pPr>
        <w:autoSpaceDE w:val="0"/>
        <w:autoSpaceDN w:val="0"/>
        <w:adjustRightInd w:val="0"/>
        <w:spacing w:after="0" w:line="240" w:lineRule="auto"/>
        <w:rPr>
          <w:rFonts w:cstheme="minorHAnsi"/>
          <w:bCs/>
        </w:rPr>
      </w:pPr>
    </w:p>
    <w:p w:rsidR="007364AF" w:rsidRDefault="007364AF" w:rsidP="00DB3627">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547"/>
        <w:gridCol w:w="1591"/>
        <w:gridCol w:w="1711"/>
        <w:gridCol w:w="1565"/>
        <w:gridCol w:w="1588"/>
        <w:gridCol w:w="1574"/>
      </w:tblGrid>
      <w:tr w:rsidR="007364AF" w:rsidTr="007364AF">
        <w:tc>
          <w:tcPr>
            <w:tcW w:w="1596" w:type="dxa"/>
          </w:tcPr>
          <w:p w:rsidR="007364AF" w:rsidRDefault="007364AF" w:rsidP="00DB3627">
            <w:pPr>
              <w:autoSpaceDE w:val="0"/>
              <w:autoSpaceDN w:val="0"/>
              <w:adjustRightInd w:val="0"/>
              <w:rPr>
                <w:rFonts w:cstheme="minorHAnsi"/>
                <w:bCs/>
              </w:rPr>
            </w:pPr>
            <w:r>
              <w:rPr>
                <w:rFonts w:cstheme="minorHAnsi"/>
                <w:bCs/>
              </w:rPr>
              <w:t>Site</w:t>
            </w:r>
          </w:p>
        </w:tc>
        <w:tc>
          <w:tcPr>
            <w:tcW w:w="1596" w:type="dxa"/>
          </w:tcPr>
          <w:p w:rsidR="007364AF" w:rsidRDefault="007364AF" w:rsidP="00DB3627">
            <w:pPr>
              <w:autoSpaceDE w:val="0"/>
              <w:autoSpaceDN w:val="0"/>
              <w:adjustRightInd w:val="0"/>
              <w:rPr>
                <w:rFonts w:cstheme="minorHAnsi"/>
                <w:bCs/>
              </w:rPr>
            </w:pPr>
            <w:r>
              <w:rPr>
                <w:rFonts w:cstheme="minorHAnsi"/>
                <w:bCs/>
              </w:rPr>
              <w:t>Demographics</w:t>
            </w:r>
          </w:p>
        </w:tc>
        <w:tc>
          <w:tcPr>
            <w:tcW w:w="1596" w:type="dxa"/>
          </w:tcPr>
          <w:p w:rsidR="007364AF" w:rsidRDefault="007364AF" w:rsidP="00DB3627">
            <w:pPr>
              <w:autoSpaceDE w:val="0"/>
              <w:autoSpaceDN w:val="0"/>
              <w:adjustRightInd w:val="0"/>
              <w:rPr>
                <w:rFonts w:cstheme="minorHAnsi"/>
                <w:bCs/>
              </w:rPr>
            </w:pPr>
            <w:r>
              <w:rPr>
                <w:rFonts w:cstheme="minorHAnsi"/>
                <w:bCs/>
              </w:rPr>
              <w:t>Number of Physicians</w:t>
            </w:r>
          </w:p>
        </w:tc>
        <w:tc>
          <w:tcPr>
            <w:tcW w:w="1596" w:type="dxa"/>
          </w:tcPr>
          <w:p w:rsidR="007364AF" w:rsidRDefault="007364AF" w:rsidP="00DB3627">
            <w:pPr>
              <w:autoSpaceDE w:val="0"/>
              <w:autoSpaceDN w:val="0"/>
              <w:adjustRightInd w:val="0"/>
              <w:rPr>
                <w:rFonts w:cstheme="minorHAnsi"/>
                <w:bCs/>
              </w:rPr>
            </w:pPr>
            <w:r>
              <w:rPr>
                <w:rFonts w:cstheme="minorHAnsi"/>
                <w:bCs/>
              </w:rPr>
              <w:t>Average Number of Patients Seen</w:t>
            </w:r>
          </w:p>
        </w:tc>
        <w:tc>
          <w:tcPr>
            <w:tcW w:w="1596" w:type="dxa"/>
          </w:tcPr>
          <w:p w:rsidR="007364AF" w:rsidRDefault="007364AF" w:rsidP="00DB3627">
            <w:pPr>
              <w:autoSpaceDE w:val="0"/>
              <w:autoSpaceDN w:val="0"/>
              <w:adjustRightInd w:val="0"/>
              <w:rPr>
                <w:rFonts w:cstheme="minorHAnsi"/>
                <w:bCs/>
              </w:rPr>
            </w:pPr>
            <w:r>
              <w:rPr>
                <w:rFonts w:cstheme="minorHAnsi"/>
                <w:bCs/>
              </w:rPr>
              <w:t>Data Source</w:t>
            </w:r>
          </w:p>
        </w:tc>
        <w:tc>
          <w:tcPr>
            <w:tcW w:w="1596" w:type="dxa"/>
          </w:tcPr>
          <w:p w:rsidR="007364AF" w:rsidRDefault="007364AF" w:rsidP="00DB3627">
            <w:pPr>
              <w:autoSpaceDE w:val="0"/>
              <w:autoSpaceDN w:val="0"/>
              <w:adjustRightInd w:val="0"/>
              <w:rPr>
                <w:rFonts w:cstheme="minorHAnsi"/>
                <w:bCs/>
              </w:rPr>
            </w:pPr>
            <w:r>
              <w:rPr>
                <w:rFonts w:cstheme="minorHAnsi"/>
                <w:bCs/>
              </w:rPr>
              <w:t>2011, 2012 PQRS Measures Submitted</w:t>
            </w:r>
          </w:p>
        </w:tc>
      </w:tr>
      <w:tr w:rsidR="007364AF" w:rsidTr="007364AF">
        <w:tc>
          <w:tcPr>
            <w:tcW w:w="1596" w:type="dxa"/>
          </w:tcPr>
          <w:p w:rsidR="007364AF" w:rsidRDefault="007364AF" w:rsidP="00DB3627">
            <w:pPr>
              <w:autoSpaceDE w:val="0"/>
              <w:autoSpaceDN w:val="0"/>
              <w:adjustRightInd w:val="0"/>
              <w:rPr>
                <w:rFonts w:cstheme="minorHAnsi"/>
                <w:bCs/>
              </w:rPr>
            </w:pPr>
            <w:r>
              <w:rPr>
                <w:rFonts w:cstheme="minorHAnsi"/>
                <w:bCs/>
              </w:rPr>
              <w:t>Site B</w:t>
            </w:r>
          </w:p>
        </w:tc>
        <w:tc>
          <w:tcPr>
            <w:tcW w:w="1596" w:type="dxa"/>
          </w:tcPr>
          <w:p w:rsidR="007364AF" w:rsidRDefault="007364AF" w:rsidP="00DB3627">
            <w:pPr>
              <w:autoSpaceDE w:val="0"/>
              <w:autoSpaceDN w:val="0"/>
              <w:adjustRightInd w:val="0"/>
              <w:rPr>
                <w:rFonts w:cstheme="minorHAnsi"/>
                <w:bCs/>
              </w:rPr>
            </w:pPr>
            <w:r>
              <w:rPr>
                <w:rFonts w:cstheme="minorHAnsi"/>
                <w:bCs/>
              </w:rPr>
              <w:t>Physician owned private practice</w:t>
            </w:r>
          </w:p>
        </w:tc>
        <w:tc>
          <w:tcPr>
            <w:tcW w:w="1596" w:type="dxa"/>
          </w:tcPr>
          <w:p w:rsidR="007364AF" w:rsidRDefault="007364AF" w:rsidP="00DB3627">
            <w:pPr>
              <w:autoSpaceDE w:val="0"/>
              <w:autoSpaceDN w:val="0"/>
              <w:adjustRightInd w:val="0"/>
              <w:rPr>
                <w:rFonts w:cstheme="minorHAnsi"/>
                <w:bCs/>
              </w:rPr>
            </w:pPr>
            <w:r>
              <w:rPr>
                <w:rFonts w:cstheme="minorHAnsi"/>
                <w:bCs/>
              </w:rPr>
              <w:t>1 Ophthalmologist</w:t>
            </w:r>
          </w:p>
        </w:tc>
        <w:tc>
          <w:tcPr>
            <w:tcW w:w="1596" w:type="dxa"/>
          </w:tcPr>
          <w:p w:rsidR="007364AF" w:rsidRDefault="007364AF" w:rsidP="00DB3627">
            <w:pPr>
              <w:autoSpaceDE w:val="0"/>
              <w:autoSpaceDN w:val="0"/>
              <w:adjustRightInd w:val="0"/>
              <w:rPr>
                <w:rFonts w:cstheme="minorHAnsi"/>
                <w:bCs/>
              </w:rPr>
            </w:pPr>
            <w:r>
              <w:rPr>
                <w:rFonts w:cstheme="minorHAnsi"/>
                <w:bCs/>
              </w:rPr>
              <w:t>530 per month</w:t>
            </w:r>
          </w:p>
        </w:tc>
        <w:tc>
          <w:tcPr>
            <w:tcW w:w="1596" w:type="dxa"/>
          </w:tcPr>
          <w:p w:rsidR="007364AF" w:rsidRDefault="007364AF" w:rsidP="00DB3627">
            <w:pPr>
              <w:autoSpaceDE w:val="0"/>
              <w:autoSpaceDN w:val="0"/>
              <w:adjustRightInd w:val="0"/>
              <w:rPr>
                <w:rFonts w:cstheme="minorHAnsi"/>
                <w:bCs/>
              </w:rPr>
            </w:pPr>
            <w:r>
              <w:rPr>
                <w:rFonts w:cstheme="minorHAnsi"/>
                <w:bCs/>
              </w:rPr>
              <w:t xml:space="preserve">IO </w:t>
            </w:r>
            <w:proofErr w:type="spellStart"/>
            <w:r>
              <w:rPr>
                <w:rFonts w:cstheme="minorHAnsi"/>
                <w:bCs/>
              </w:rPr>
              <w:t>Practiceware</w:t>
            </w:r>
            <w:proofErr w:type="spellEnd"/>
            <w:r>
              <w:rPr>
                <w:rFonts w:cstheme="minorHAnsi"/>
                <w:bCs/>
              </w:rPr>
              <w:t>, April 2009</w:t>
            </w:r>
          </w:p>
        </w:tc>
        <w:tc>
          <w:tcPr>
            <w:tcW w:w="1596" w:type="dxa"/>
          </w:tcPr>
          <w:p w:rsidR="007364AF" w:rsidRDefault="007364AF" w:rsidP="00DB3627">
            <w:pPr>
              <w:autoSpaceDE w:val="0"/>
              <w:autoSpaceDN w:val="0"/>
              <w:adjustRightInd w:val="0"/>
              <w:rPr>
                <w:rFonts w:cstheme="minorHAnsi"/>
                <w:bCs/>
              </w:rPr>
            </w:pPr>
            <w:r>
              <w:rPr>
                <w:rFonts w:cstheme="minorHAnsi"/>
                <w:bCs/>
              </w:rPr>
              <w:t>5</w:t>
            </w:r>
          </w:p>
        </w:tc>
      </w:tr>
    </w:tbl>
    <w:p w:rsidR="006B5AC6" w:rsidRPr="002F0954" w:rsidRDefault="004348CC" w:rsidP="006B5AC6">
      <w:pPr>
        <w:autoSpaceDE w:val="0"/>
        <w:autoSpaceDN w:val="0"/>
        <w:adjustRightInd w:val="0"/>
        <w:spacing w:after="0" w:line="240" w:lineRule="auto"/>
        <w:rPr>
          <w:rFonts w:cstheme="minorHAnsi"/>
          <w:bCs/>
          <w:highlight w:val="yellow"/>
          <w:u w:val="single"/>
        </w:rPr>
      </w:pPr>
      <w:r w:rsidRPr="00A25024">
        <w:rPr>
          <w:rFonts w:cstheme="minorHAnsi"/>
          <w:bCs/>
        </w:rPr>
        <w:t xml:space="preserve"> </w:t>
      </w:r>
      <w:r w:rsidRPr="00A25024">
        <w:rPr>
          <w:rFonts w:cstheme="minorHAnsi"/>
          <w:bCs/>
        </w:rPr>
        <w:br/>
      </w:r>
      <w:r w:rsidR="006B5AC6" w:rsidRPr="002F0954">
        <w:rPr>
          <w:rFonts w:cstheme="minorHAnsi"/>
          <w:bCs/>
          <w:highlight w:val="yellow"/>
          <w:u w:val="single"/>
        </w:rPr>
        <w:t xml:space="preserve">Signal-to-noise </w:t>
      </w:r>
      <w:r w:rsidR="002F0954" w:rsidRPr="002F0954">
        <w:rPr>
          <w:rFonts w:cstheme="minorHAnsi"/>
          <w:bCs/>
          <w:highlight w:val="yellow"/>
          <w:u w:val="single"/>
        </w:rPr>
        <w:t>&amp; Interquartile Range Analysis:</w:t>
      </w:r>
    </w:p>
    <w:p w:rsidR="006B5AC6" w:rsidRPr="008936E9" w:rsidRDefault="006B5AC6" w:rsidP="006B5AC6">
      <w:pPr>
        <w:autoSpaceDE w:val="0"/>
        <w:autoSpaceDN w:val="0"/>
        <w:adjustRightInd w:val="0"/>
        <w:spacing w:after="0" w:line="240" w:lineRule="auto"/>
        <w:rPr>
          <w:rFonts w:cstheme="minorHAnsi"/>
          <w:bCs/>
        </w:rPr>
      </w:pPr>
      <w:r w:rsidRPr="002F0954">
        <w:rPr>
          <w:rFonts w:cstheme="minorHAnsi"/>
          <w:bCs/>
          <w:highlight w:val="yellow"/>
        </w:rPr>
        <w:t>The American Academy of Ophthalmology analyzed data submitted by 308 ophthalmologists to the IRIS™ Registry for 2014 PQRS reporting. In 2014, the IRIS Registry acted as a ‘Qualified Registry’ for the purposes of PQRS reporting. The dataset include all submissions by all providers for the 2014 PQRS reporting year. The 308 physicians represented 172 private practices.</w:t>
      </w:r>
    </w:p>
    <w:p w:rsidR="002E78A0" w:rsidRDefault="002E78A0" w:rsidP="00DB3627">
      <w:pPr>
        <w:autoSpaceDE w:val="0"/>
        <w:autoSpaceDN w:val="0"/>
        <w:adjustRightInd w:val="0"/>
        <w:spacing w:after="0" w:line="240" w:lineRule="auto"/>
        <w:rPr>
          <w:rFonts w:cstheme="minorHAnsi"/>
          <w:bCs/>
        </w:rPr>
      </w:pPr>
    </w:p>
    <w:p w:rsidR="003D0810" w:rsidRDefault="003D0810" w:rsidP="003D0810">
      <w:pPr>
        <w:autoSpaceDE w:val="0"/>
        <w:autoSpaceDN w:val="0"/>
        <w:adjustRightInd w:val="0"/>
        <w:spacing w:after="0" w:line="240" w:lineRule="auto"/>
        <w:rPr>
          <w:rFonts w:cstheme="minorHAnsi"/>
          <w:bCs/>
          <w:u w:val="single"/>
        </w:rPr>
      </w:pPr>
      <w:r w:rsidRPr="00E97E47">
        <w:rPr>
          <w:rFonts w:cstheme="minorHAnsi"/>
          <w:bCs/>
          <w:u w:val="single"/>
        </w:rPr>
        <w:t>Face Validity Testing:</w:t>
      </w:r>
    </w:p>
    <w:p w:rsidR="003D0810" w:rsidRPr="00E97E47" w:rsidRDefault="003D0810" w:rsidP="003D0810">
      <w:pPr>
        <w:autoSpaceDE w:val="0"/>
        <w:autoSpaceDN w:val="0"/>
        <w:adjustRightInd w:val="0"/>
        <w:spacing w:after="0" w:line="240" w:lineRule="auto"/>
        <w:rPr>
          <w:rFonts w:cstheme="minorHAnsi"/>
          <w:bCs/>
        </w:rPr>
      </w:pPr>
      <w:r>
        <w:rPr>
          <w:rFonts w:cstheme="minorHAnsi"/>
          <w:bCs/>
        </w:rPr>
        <w:t>An expert panel made up of 16 ophthalmologists representing various subspecialties within the specialty reviewed the measure for face validity.  See section 2b.2 for further discussion.</w:t>
      </w:r>
    </w:p>
    <w:p w:rsidR="002B5016" w:rsidRPr="00A25024" w:rsidRDefault="002B5016" w:rsidP="00DB3627">
      <w:pPr>
        <w:autoSpaceDE w:val="0"/>
        <w:autoSpaceDN w:val="0"/>
        <w:adjustRightInd w:val="0"/>
        <w:spacing w:after="0" w:line="240" w:lineRule="auto"/>
        <w:rPr>
          <w:rFonts w:cstheme="minorHAnsi"/>
          <w:bCs/>
        </w:rPr>
      </w:pPr>
    </w:p>
    <w:p w:rsidR="00D83CD6"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rsidR="00D83CD6" w:rsidRDefault="00D83CD6" w:rsidP="00DB3627">
      <w:pPr>
        <w:autoSpaceDE w:val="0"/>
        <w:autoSpaceDN w:val="0"/>
        <w:adjustRightInd w:val="0"/>
        <w:spacing w:after="0" w:line="240" w:lineRule="auto"/>
        <w:rPr>
          <w:rFonts w:cstheme="minorHAnsi"/>
          <w:bCs/>
        </w:rPr>
      </w:pPr>
    </w:p>
    <w:p w:rsidR="006B5AC6" w:rsidRPr="00FB6F6C" w:rsidRDefault="006B5AC6" w:rsidP="006B5AC6">
      <w:pPr>
        <w:autoSpaceDE w:val="0"/>
        <w:autoSpaceDN w:val="0"/>
        <w:adjustRightInd w:val="0"/>
        <w:spacing w:after="0" w:line="240" w:lineRule="auto"/>
        <w:rPr>
          <w:rFonts w:cstheme="minorHAnsi"/>
          <w:bCs/>
          <w:u w:val="single"/>
        </w:rPr>
      </w:pPr>
      <w:r w:rsidRPr="00FB6F6C">
        <w:rPr>
          <w:rFonts w:cstheme="minorHAnsi"/>
          <w:bCs/>
          <w:u w:val="single"/>
        </w:rPr>
        <w:t>Inter-</w:t>
      </w:r>
      <w:r>
        <w:rPr>
          <w:rFonts w:cstheme="minorHAnsi"/>
          <w:bCs/>
          <w:u w:val="single"/>
        </w:rPr>
        <w:t>Abstractor</w:t>
      </w:r>
      <w:r w:rsidRPr="00FB6F6C">
        <w:rPr>
          <w:rFonts w:cstheme="minorHAnsi"/>
          <w:bCs/>
          <w:u w:val="single"/>
        </w:rPr>
        <w:t xml:space="preserve"> Reliability Testing:</w:t>
      </w:r>
    </w:p>
    <w:p w:rsidR="00D83CD6" w:rsidRDefault="00D83CD6" w:rsidP="00DB3627">
      <w:pPr>
        <w:autoSpaceDE w:val="0"/>
        <w:autoSpaceDN w:val="0"/>
        <w:adjustRightInd w:val="0"/>
        <w:spacing w:after="0" w:line="240" w:lineRule="auto"/>
        <w:rPr>
          <w:rFonts w:cstheme="minorHAnsi"/>
          <w:bCs/>
        </w:rPr>
      </w:pPr>
      <w:r>
        <w:rPr>
          <w:rFonts w:cstheme="minorHAnsi"/>
          <w:bCs/>
        </w:rPr>
        <w:t>A random sample of 150 patients was identified from the eligible population. The eligible population was identified based on patients meeting both the following criteria:</w:t>
      </w:r>
    </w:p>
    <w:p w:rsidR="00D83CD6" w:rsidRDefault="00D83CD6" w:rsidP="00DB3627">
      <w:pPr>
        <w:autoSpaceDE w:val="0"/>
        <w:autoSpaceDN w:val="0"/>
        <w:adjustRightInd w:val="0"/>
        <w:spacing w:after="0" w:line="240" w:lineRule="auto"/>
        <w:rPr>
          <w:rFonts w:cstheme="minorHAnsi"/>
          <w:bCs/>
        </w:rPr>
      </w:pPr>
    </w:p>
    <w:p w:rsidR="00D83CD6" w:rsidRPr="00D83CD6" w:rsidRDefault="00D83CD6" w:rsidP="00D83CD6">
      <w:pPr>
        <w:pStyle w:val="ListParagraph"/>
        <w:numPr>
          <w:ilvl w:val="0"/>
          <w:numId w:val="28"/>
        </w:numPr>
        <w:autoSpaceDE w:val="0"/>
        <w:autoSpaceDN w:val="0"/>
        <w:adjustRightInd w:val="0"/>
        <w:spacing w:after="0" w:line="240" w:lineRule="auto"/>
        <w:rPr>
          <w:rFonts w:cstheme="minorHAnsi"/>
          <w:bCs/>
        </w:rPr>
      </w:pPr>
      <w:r w:rsidRPr="00D83CD6">
        <w:rPr>
          <w:rFonts w:cstheme="minorHAnsi"/>
          <w:bCs/>
        </w:rPr>
        <w:t>Was diagnosed with AMD between August 23, 2011 and September 20, 2011.</w:t>
      </w:r>
    </w:p>
    <w:p w:rsidR="00D83CD6" w:rsidRPr="00D83CD6" w:rsidRDefault="00D83CD6" w:rsidP="00D83CD6">
      <w:pPr>
        <w:pStyle w:val="ListParagraph"/>
        <w:numPr>
          <w:ilvl w:val="0"/>
          <w:numId w:val="27"/>
        </w:numPr>
        <w:autoSpaceDE w:val="0"/>
        <w:autoSpaceDN w:val="0"/>
        <w:adjustRightInd w:val="0"/>
        <w:spacing w:after="0" w:line="240" w:lineRule="auto"/>
        <w:rPr>
          <w:rFonts w:cstheme="minorHAnsi"/>
          <w:bCs/>
        </w:rPr>
      </w:pPr>
      <w:r w:rsidRPr="00D83CD6">
        <w:rPr>
          <w:rFonts w:cstheme="minorHAnsi"/>
          <w:bCs/>
        </w:rPr>
        <w:t>AMD diagnosis is defined by the following ICD-9-CM Codes: 362.50, 362.51, 362.52</w:t>
      </w:r>
    </w:p>
    <w:p w:rsidR="00D83CD6" w:rsidRPr="00D83CD6" w:rsidRDefault="00D83CD6" w:rsidP="00D83CD6">
      <w:pPr>
        <w:pStyle w:val="ListParagraph"/>
        <w:numPr>
          <w:ilvl w:val="0"/>
          <w:numId w:val="27"/>
        </w:numPr>
        <w:autoSpaceDE w:val="0"/>
        <w:autoSpaceDN w:val="0"/>
        <w:adjustRightInd w:val="0"/>
        <w:spacing w:after="0" w:line="240" w:lineRule="auto"/>
        <w:rPr>
          <w:rFonts w:cstheme="minorHAnsi"/>
          <w:bCs/>
        </w:rPr>
      </w:pPr>
      <w:r w:rsidRPr="00D83CD6">
        <w:rPr>
          <w:rFonts w:cstheme="minorHAnsi"/>
          <w:bCs/>
        </w:rPr>
        <w:t>by the following CPT-4 codes: 92002, 92004, 92012, 92014, 99201, 99202, 99203, 99204, 99205, 99212, 99213, 99215, 99241, 99242, 99243, 99244, 99245, 99307, 99308, 99309, 99310, 99324, 99325, 99326, 99327, 99328, 99334, 99335, 99336, 99337</w:t>
      </w:r>
    </w:p>
    <w:p w:rsidR="006B5AC6" w:rsidRDefault="00D83CD6" w:rsidP="00D83CD6">
      <w:pPr>
        <w:pStyle w:val="ListParagraph"/>
        <w:numPr>
          <w:ilvl w:val="0"/>
          <w:numId w:val="28"/>
        </w:numPr>
        <w:autoSpaceDE w:val="0"/>
        <w:autoSpaceDN w:val="0"/>
        <w:adjustRightInd w:val="0"/>
        <w:spacing w:after="0" w:line="240" w:lineRule="auto"/>
        <w:rPr>
          <w:rFonts w:cstheme="minorHAnsi"/>
          <w:bCs/>
        </w:rPr>
      </w:pPr>
      <w:r w:rsidRPr="00D83CD6">
        <w:rPr>
          <w:rFonts w:cstheme="minorHAnsi"/>
          <w:bCs/>
        </w:rPr>
        <w:t>Patient was at least 50 years of age at the time of diagnosis</w:t>
      </w:r>
    </w:p>
    <w:p w:rsidR="006B5AC6" w:rsidRDefault="006B5AC6" w:rsidP="006B5AC6">
      <w:pPr>
        <w:autoSpaceDE w:val="0"/>
        <w:autoSpaceDN w:val="0"/>
        <w:adjustRightInd w:val="0"/>
        <w:spacing w:after="0" w:line="240" w:lineRule="auto"/>
        <w:rPr>
          <w:rFonts w:cstheme="minorHAnsi"/>
          <w:bCs/>
        </w:rPr>
      </w:pPr>
    </w:p>
    <w:p w:rsidR="006B5AC6" w:rsidRPr="002F0954" w:rsidRDefault="006B5AC6" w:rsidP="006B5AC6">
      <w:pPr>
        <w:autoSpaceDE w:val="0"/>
        <w:autoSpaceDN w:val="0"/>
        <w:adjustRightInd w:val="0"/>
        <w:spacing w:after="0" w:line="240" w:lineRule="auto"/>
        <w:rPr>
          <w:rFonts w:cstheme="minorHAnsi"/>
          <w:bCs/>
          <w:highlight w:val="yellow"/>
          <w:u w:val="single"/>
        </w:rPr>
      </w:pPr>
      <w:r w:rsidRPr="002F0954">
        <w:rPr>
          <w:rFonts w:cstheme="minorHAnsi"/>
          <w:bCs/>
          <w:highlight w:val="yellow"/>
          <w:u w:val="single"/>
        </w:rPr>
        <w:t xml:space="preserve">Signal-to-noise </w:t>
      </w:r>
      <w:r w:rsidR="002F0954" w:rsidRPr="002F0954">
        <w:rPr>
          <w:rFonts w:cstheme="minorHAnsi"/>
          <w:bCs/>
          <w:highlight w:val="yellow"/>
          <w:u w:val="single"/>
        </w:rPr>
        <w:t>&amp; Interquartile Range Analysis:</w:t>
      </w:r>
    </w:p>
    <w:p w:rsidR="006B5AC6" w:rsidRPr="002F0954" w:rsidRDefault="006B5AC6" w:rsidP="006B5AC6">
      <w:pPr>
        <w:autoSpaceDE w:val="0"/>
        <w:autoSpaceDN w:val="0"/>
        <w:adjustRightInd w:val="0"/>
        <w:spacing w:after="0" w:line="240" w:lineRule="auto"/>
        <w:rPr>
          <w:rFonts w:cstheme="minorHAnsi"/>
          <w:bCs/>
          <w:highlight w:val="yellow"/>
        </w:rPr>
      </w:pPr>
      <w:r w:rsidRPr="002F0954">
        <w:rPr>
          <w:rFonts w:cstheme="minorHAnsi"/>
          <w:bCs/>
          <w:highlight w:val="yellow"/>
        </w:rPr>
        <w:t>All data submitted by 308 ophthalmologists was included in the analysis, a total of 49,000 eligible cases. Patients were eligible for reporting when the provider confirmed the following conditions were met:</w:t>
      </w:r>
    </w:p>
    <w:p w:rsidR="006B5AC6" w:rsidRPr="002F0954" w:rsidRDefault="006B5AC6" w:rsidP="006B5AC6">
      <w:pPr>
        <w:pStyle w:val="ListParagraph"/>
        <w:numPr>
          <w:ilvl w:val="0"/>
          <w:numId w:val="29"/>
        </w:numPr>
        <w:autoSpaceDE w:val="0"/>
        <w:autoSpaceDN w:val="0"/>
        <w:adjustRightInd w:val="0"/>
        <w:spacing w:after="0" w:line="240" w:lineRule="auto"/>
        <w:rPr>
          <w:rFonts w:cstheme="minorHAnsi"/>
          <w:bCs/>
          <w:highlight w:val="yellow"/>
        </w:rPr>
      </w:pPr>
      <w:r w:rsidRPr="002F0954">
        <w:rPr>
          <w:rFonts w:cstheme="minorHAnsi"/>
          <w:bCs/>
          <w:highlight w:val="yellow"/>
        </w:rPr>
        <w:t>Diagnosis of AMD, identified by the following ICD-9-CM Codes: 362.50, 362.51, 362.52</w:t>
      </w:r>
    </w:p>
    <w:p w:rsidR="006B5AC6" w:rsidRPr="002F0954" w:rsidRDefault="006B5AC6" w:rsidP="006B5AC6">
      <w:pPr>
        <w:pStyle w:val="ListParagraph"/>
        <w:numPr>
          <w:ilvl w:val="0"/>
          <w:numId w:val="29"/>
        </w:numPr>
        <w:autoSpaceDE w:val="0"/>
        <w:autoSpaceDN w:val="0"/>
        <w:adjustRightInd w:val="0"/>
        <w:spacing w:after="0" w:line="240" w:lineRule="auto"/>
        <w:rPr>
          <w:rFonts w:cstheme="minorHAnsi"/>
          <w:bCs/>
          <w:highlight w:val="yellow"/>
        </w:rPr>
      </w:pPr>
      <w:r w:rsidRPr="002F0954">
        <w:rPr>
          <w:rFonts w:cstheme="minorHAnsi"/>
          <w:bCs/>
          <w:highlight w:val="yellow"/>
        </w:rPr>
        <w:t>Seen during an eligible encounter between Jan. 1 2014 and Dec. 31 2014, identified by the following CPT codes: 92002, 92004, 92012, 92014, 99201, 99202, 99203, 99204, 99205, 99212, 99213, 99215, 99241, 99242, 99243, 99244, 99245, 99307, 99308, 99309, 99310, 99324, 99325, 99326, 99327, 99328, 99334, 99335, 99336, 99337</w:t>
      </w:r>
    </w:p>
    <w:p w:rsidR="006B5AC6" w:rsidRPr="002F0954" w:rsidRDefault="006B5AC6" w:rsidP="006B5AC6">
      <w:pPr>
        <w:pStyle w:val="ListParagraph"/>
        <w:numPr>
          <w:ilvl w:val="0"/>
          <w:numId w:val="29"/>
        </w:numPr>
        <w:autoSpaceDE w:val="0"/>
        <w:autoSpaceDN w:val="0"/>
        <w:adjustRightInd w:val="0"/>
        <w:spacing w:after="0" w:line="240" w:lineRule="auto"/>
        <w:rPr>
          <w:rFonts w:cstheme="minorHAnsi"/>
          <w:bCs/>
          <w:highlight w:val="yellow"/>
        </w:rPr>
      </w:pPr>
      <w:r w:rsidRPr="002F0954">
        <w:rPr>
          <w:rFonts w:cstheme="minorHAnsi"/>
          <w:bCs/>
          <w:highlight w:val="yellow"/>
        </w:rPr>
        <w:t>Patient was aged at least 50 years or older on the date of the encounter</w:t>
      </w:r>
    </w:p>
    <w:p w:rsidR="003D0810" w:rsidRPr="002F0954" w:rsidRDefault="006B5AC6" w:rsidP="006F58DC">
      <w:pPr>
        <w:pStyle w:val="ListParagraph"/>
        <w:numPr>
          <w:ilvl w:val="0"/>
          <w:numId w:val="29"/>
        </w:numPr>
        <w:autoSpaceDE w:val="0"/>
        <w:autoSpaceDN w:val="0"/>
        <w:adjustRightInd w:val="0"/>
        <w:spacing w:after="0" w:line="240" w:lineRule="auto"/>
        <w:rPr>
          <w:rFonts w:cstheme="minorHAnsi"/>
          <w:bCs/>
          <w:highlight w:val="yellow"/>
        </w:rPr>
      </w:pPr>
      <w:r w:rsidRPr="002F0954">
        <w:rPr>
          <w:rFonts w:cstheme="minorHAnsi"/>
          <w:bCs/>
          <w:highlight w:val="yellow"/>
        </w:rPr>
        <w:lastRenderedPageBreak/>
        <w:t>All patients were Medicare Part B beneficiaries, including Railroad Retirement Board and Medicare as a Secondary Payer.</w:t>
      </w:r>
    </w:p>
    <w:p w:rsidR="003D0810" w:rsidRDefault="003D0810" w:rsidP="003D0810">
      <w:pPr>
        <w:autoSpaceDE w:val="0"/>
        <w:autoSpaceDN w:val="0"/>
        <w:adjustRightInd w:val="0"/>
        <w:spacing w:after="0" w:line="240" w:lineRule="auto"/>
        <w:rPr>
          <w:rFonts w:cstheme="minorHAnsi"/>
          <w:bCs/>
        </w:rPr>
      </w:pPr>
    </w:p>
    <w:p w:rsidR="003D0810" w:rsidRDefault="003D0810" w:rsidP="003D0810">
      <w:pPr>
        <w:autoSpaceDE w:val="0"/>
        <w:autoSpaceDN w:val="0"/>
        <w:adjustRightInd w:val="0"/>
        <w:spacing w:after="0" w:line="240" w:lineRule="auto"/>
        <w:rPr>
          <w:rFonts w:cstheme="minorHAnsi"/>
          <w:bCs/>
          <w:u w:val="single"/>
        </w:rPr>
      </w:pPr>
      <w:r w:rsidRPr="00E97E47">
        <w:rPr>
          <w:rFonts w:cstheme="minorHAnsi"/>
          <w:bCs/>
          <w:u w:val="single"/>
        </w:rPr>
        <w:t>Face Validity Testing:</w:t>
      </w:r>
    </w:p>
    <w:p w:rsidR="003D0810" w:rsidRPr="00E97E47" w:rsidRDefault="003D0810" w:rsidP="003D0810">
      <w:pPr>
        <w:autoSpaceDE w:val="0"/>
        <w:autoSpaceDN w:val="0"/>
        <w:adjustRightInd w:val="0"/>
        <w:spacing w:after="0" w:line="240" w:lineRule="auto"/>
        <w:rPr>
          <w:rFonts w:cstheme="minorHAnsi"/>
          <w:bCs/>
        </w:rPr>
      </w:pPr>
      <w:r>
        <w:rPr>
          <w:rFonts w:cstheme="minorHAnsi"/>
          <w:bCs/>
        </w:rPr>
        <w:t>An expert panel made up of 16 ophthalmologists representing various subspecialties within the specialty reviewed the measure for face validity.  See section 2b.2 for further discussion.</w:t>
      </w:r>
    </w:p>
    <w:p w:rsidR="007422FD" w:rsidRPr="003D0810" w:rsidRDefault="007422FD" w:rsidP="003D0810">
      <w:pPr>
        <w:autoSpaceDE w:val="0"/>
        <w:autoSpaceDN w:val="0"/>
        <w:adjustRightInd w:val="0"/>
        <w:spacing w:after="0" w:line="240" w:lineRule="auto"/>
        <w:rPr>
          <w:rFonts w:cstheme="minorHAnsi"/>
          <w:bCs/>
        </w:rPr>
      </w:pPr>
      <w:r w:rsidRPr="003D0810">
        <w:rPr>
          <w:rFonts w:cstheme="minorHAnsi"/>
          <w:bCs/>
        </w:rPr>
        <w:br/>
      </w: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D83CD6" w:rsidRDefault="00D83CD6" w:rsidP="00E37E1B">
      <w:pPr>
        <w:autoSpaceDE w:val="0"/>
        <w:autoSpaceDN w:val="0"/>
        <w:adjustRightInd w:val="0"/>
        <w:spacing w:after="0" w:line="240" w:lineRule="auto"/>
        <w:rPr>
          <w:rFonts w:cstheme="minorHAnsi"/>
          <w:bCs/>
        </w:rPr>
      </w:pPr>
    </w:p>
    <w:p w:rsidR="006B5AC6" w:rsidRDefault="006B5AC6" w:rsidP="006B5AC6">
      <w:pPr>
        <w:autoSpaceDE w:val="0"/>
        <w:autoSpaceDN w:val="0"/>
        <w:adjustRightInd w:val="0"/>
        <w:spacing w:after="0" w:line="240" w:lineRule="auto"/>
        <w:rPr>
          <w:rFonts w:cstheme="minorHAnsi"/>
          <w:bCs/>
        </w:rPr>
      </w:pPr>
      <w:r>
        <w:rPr>
          <w:rFonts w:cstheme="minorHAnsi"/>
          <w:bCs/>
        </w:rPr>
        <w:t>See discussion in Section 1.6</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40480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D0403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404803" w:rsidRDefault="00404803" w:rsidP="008C54A9">
      <w:pPr>
        <w:autoSpaceDE w:val="0"/>
        <w:autoSpaceDN w:val="0"/>
        <w:adjustRightInd w:val="0"/>
        <w:spacing w:after="0" w:line="240" w:lineRule="auto"/>
        <w:rPr>
          <w:rFonts w:cstheme="minorHAnsi"/>
          <w:bCs/>
        </w:rPr>
      </w:pPr>
    </w:p>
    <w:p w:rsidR="00D04036" w:rsidRPr="00FB6F6C" w:rsidRDefault="00D04036" w:rsidP="00D04036">
      <w:pPr>
        <w:autoSpaceDE w:val="0"/>
        <w:autoSpaceDN w:val="0"/>
        <w:adjustRightInd w:val="0"/>
        <w:spacing w:after="0" w:line="240" w:lineRule="auto"/>
        <w:rPr>
          <w:rFonts w:cstheme="minorHAnsi"/>
          <w:bCs/>
          <w:u w:val="single"/>
        </w:rPr>
      </w:pPr>
      <w:r w:rsidRPr="00FB6F6C">
        <w:rPr>
          <w:rFonts w:cstheme="minorHAnsi"/>
          <w:bCs/>
          <w:u w:val="single"/>
        </w:rPr>
        <w:t>Inter-</w:t>
      </w:r>
      <w:r>
        <w:rPr>
          <w:rFonts w:cstheme="minorHAnsi"/>
          <w:bCs/>
          <w:u w:val="single"/>
        </w:rPr>
        <w:t>Abstractor</w:t>
      </w:r>
      <w:r w:rsidRPr="00FB6F6C">
        <w:rPr>
          <w:rFonts w:cstheme="minorHAnsi"/>
          <w:bCs/>
          <w:u w:val="single"/>
        </w:rPr>
        <w:t xml:space="preserve"> Reliability Testing:</w:t>
      </w:r>
    </w:p>
    <w:p w:rsidR="00932B44" w:rsidRDefault="00932B44" w:rsidP="00932B44">
      <w:pPr>
        <w:pStyle w:val="Default"/>
        <w:rPr>
          <w:sz w:val="22"/>
          <w:szCs w:val="22"/>
        </w:rPr>
      </w:pPr>
      <w:r>
        <w:rPr>
          <w:sz w:val="22"/>
          <w:szCs w:val="22"/>
        </w:rPr>
        <w:t xml:space="preserve">The measure testing include two trials of parallel forms reliability testing. First, the abstractor results (gold standard) were compared to the CPT Category II Quality Data Codes submitted for the PQRS program. Second, the abstractor results were compared to the measures that were calculated based on electronic queries of the EHRs. </w:t>
      </w:r>
    </w:p>
    <w:p w:rsidR="00932B44" w:rsidRDefault="00932B44" w:rsidP="00932B44">
      <w:pPr>
        <w:pStyle w:val="Default"/>
        <w:rPr>
          <w:sz w:val="22"/>
          <w:szCs w:val="22"/>
        </w:rPr>
      </w:pPr>
    </w:p>
    <w:p w:rsidR="00932B44" w:rsidRDefault="00932B44" w:rsidP="00932B44">
      <w:pPr>
        <w:autoSpaceDE w:val="0"/>
        <w:autoSpaceDN w:val="0"/>
        <w:adjustRightInd w:val="0"/>
        <w:spacing w:after="0" w:line="240" w:lineRule="auto"/>
      </w:pPr>
      <w:r>
        <w:t xml:space="preserve">The purpose of reliability testing was to determine whether the </w:t>
      </w:r>
      <w:proofErr w:type="gramStart"/>
      <w:r>
        <w:t>measure accurately and consistently assess</w:t>
      </w:r>
      <w:proofErr w:type="gramEnd"/>
      <w:r>
        <w:t xml:space="preserve"> the performance of physicians providing the care described in each measure. The project was powered to identify differences between levels of measure reliability for measure denominators, numerators and exceptions using the kappa statistic.</w:t>
      </w:r>
    </w:p>
    <w:p w:rsidR="003E6538" w:rsidRDefault="003E6538" w:rsidP="00932B44">
      <w:pPr>
        <w:autoSpaceDE w:val="0"/>
        <w:autoSpaceDN w:val="0"/>
        <w:adjustRightInd w:val="0"/>
        <w:spacing w:after="0" w:line="240" w:lineRule="auto"/>
      </w:pPr>
    </w:p>
    <w:p w:rsidR="003E6538" w:rsidRDefault="003E6538" w:rsidP="003E6538">
      <w:pPr>
        <w:autoSpaceDE w:val="0"/>
        <w:autoSpaceDN w:val="0"/>
        <w:adjustRightInd w:val="0"/>
        <w:spacing w:after="0" w:line="240" w:lineRule="auto"/>
        <w:rPr>
          <w:rFonts w:cstheme="minorHAnsi"/>
          <w:bCs/>
          <w:u w:val="single"/>
        </w:rPr>
      </w:pPr>
      <w:r w:rsidRPr="008936E9">
        <w:rPr>
          <w:rFonts w:cstheme="minorHAnsi"/>
          <w:bCs/>
          <w:u w:val="single"/>
        </w:rPr>
        <w:t>Signal-to-noise Analysis:</w:t>
      </w:r>
    </w:p>
    <w:p w:rsidR="003E6538" w:rsidRDefault="003E6538" w:rsidP="003E6538">
      <w:pPr>
        <w:autoSpaceDE w:val="0"/>
        <w:autoSpaceDN w:val="0"/>
        <w:adjustRightInd w:val="0"/>
        <w:spacing w:after="0" w:line="240" w:lineRule="auto"/>
        <w:rPr>
          <w:rFonts w:cstheme="minorHAnsi"/>
          <w:bCs/>
          <w:vertAlign w:val="superscript"/>
        </w:rPr>
      </w:pPr>
      <w:r>
        <w:rPr>
          <w:rFonts w:cstheme="minorHAnsi"/>
          <w:bCs/>
        </w:rPr>
        <w:t>The American Academy of Ophthalmology performed a signal-to-noise analysis to estimate reliability of physicians pass/fail rate based on the beta-binomial model. The method employed was outlined in the RAND Technical Report ‘The Reliability of Provider Profiling’.</w:t>
      </w:r>
      <w:r w:rsidRPr="009B305C">
        <w:rPr>
          <w:rFonts w:cstheme="minorHAnsi"/>
          <w:bCs/>
          <w:vertAlign w:val="superscript"/>
        </w:rPr>
        <w:t>1</w:t>
      </w:r>
    </w:p>
    <w:p w:rsidR="003E6538" w:rsidRDefault="003E6538" w:rsidP="003E6538">
      <w:pPr>
        <w:autoSpaceDE w:val="0"/>
        <w:autoSpaceDN w:val="0"/>
        <w:adjustRightInd w:val="0"/>
        <w:spacing w:after="0" w:line="240" w:lineRule="auto"/>
        <w:rPr>
          <w:rFonts w:cstheme="minorHAnsi"/>
          <w:bCs/>
          <w:vertAlign w:val="superscript"/>
        </w:rPr>
      </w:pPr>
    </w:p>
    <w:p w:rsidR="003E6538" w:rsidRPr="009B305C" w:rsidRDefault="003E6538" w:rsidP="003E6538">
      <w:pPr>
        <w:autoSpaceDE w:val="0"/>
        <w:autoSpaceDN w:val="0"/>
        <w:adjustRightInd w:val="0"/>
        <w:spacing w:after="0" w:line="240" w:lineRule="auto"/>
        <w:rPr>
          <w:rFonts w:cstheme="minorHAnsi"/>
          <w:bCs/>
        </w:rPr>
      </w:pPr>
      <w:r>
        <w:rPr>
          <w:rFonts w:cstheme="minorHAnsi"/>
          <w:bCs/>
        </w:rPr>
        <w:t>The beta-binomial model is used to calculate a reliability rate for each provider on a scale of 0 to 1. As outlined by Adams</w:t>
      </w:r>
      <w:proofErr w:type="gramStart"/>
      <w:r>
        <w:rPr>
          <w:rFonts w:cstheme="minorHAnsi"/>
          <w:bCs/>
        </w:rPr>
        <w:t>,</w:t>
      </w:r>
      <w:r w:rsidRPr="00C15292">
        <w:rPr>
          <w:rFonts w:cstheme="minorHAnsi"/>
          <w:bCs/>
          <w:vertAlign w:val="superscript"/>
        </w:rPr>
        <w:t>1</w:t>
      </w:r>
      <w:proofErr w:type="gramEnd"/>
      <w:r>
        <w:rPr>
          <w:rFonts w:cstheme="minorHAnsi"/>
          <w:bCs/>
        </w:rPr>
        <w:t xml:space="preserve"> the reliability rate is essentially a ratio of signal to noise. </w:t>
      </w:r>
      <w:proofErr w:type="gramStart"/>
      <w:r>
        <w:rPr>
          <w:rFonts w:cstheme="minorHAnsi"/>
          <w:bCs/>
        </w:rPr>
        <w:t xml:space="preserve">Where signal is defined as </w:t>
      </w:r>
      <w:r>
        <w:rPr>
          <w:rFonts w:cstheme="minorHAnsi"/>
          <w:bCs/>
        </w:rPr>
        <w:lastRenderedPageBreak/>
        <w:t>the proportion of variability in measured performance that can be explained by real differences in performance.</w:t>
      </w:r>
      <w:proofErr w:type="gramEnd"/>
      <w:r>
        <w:rPr>
          <w:rFonts w:cstheme="minorHAnsi"/>
          <w:bCs/>
        </w:rPr>
        <w:t xml:space="preserve"> </w:t>
      </w:r>
    </w:p>
    <w:p w:rsidR="003E6538" w:rsidRDefault="003E6538" w:rsidP="003E6538">
      <w:pPr>
        <w:autoSpaceDE w:val="0"/>
        <w:autoSpaceDN w:val="0"/>
        <w:adjustRightInd w:val="0"/>
        <w:spacing w:after="0" w:line="240" w:lineRule="auto"/>
        <w:rPr>
          <w:rFonts w:cstheme="minorHAnsi"/>
          <w:bCs/>
          <w:vertAlign w:val="superscript"/>
        </w:rPr>
      </w:pPr>
    </w:p>
    <w:p w:rsidR="003E6538" w:rsidRPr="009B305C" w:rsidRDefault="003E6538" w:rsidP="003E6538">
      <w:pPr>
        <w:pStyle w:val="ListParagraph"/>
        <w:numPr>
          <w:ilvl w:val="0"/>
          <w:numId w:val="30"/>
        </w:numPr>
        <w:autoSpaceDE w:val="0"/>
        <w:autoSpaceDN w:val="0"/>
        <w:adjustRightInd w:val="0"/>
        <w:spacing w:after="0" w:line="240" w:lineRule="auto"/>
        <w:rPr>
          <w:rFonts w:cstheme="minorHAnsi"/>
          <w:bCs/>
        </w:rPr>
      </w:pPr>
      <w:r w:rsidRPr="009B305C">
        <w:rPr>
          <w:rFonts w:cstheme="minorHAnsi"/>
          <w:bCs/>
        </w:rPr>
        <w:t>Adams, J. L. The Reliability of Provider Profiling: A Tutorial. Santa Monica, California: RAND Corporation. TR-653-NCQA, 2009</w:t>
      </w:r>
    </w:p>
    <w:p w:rsidR="003E6538" w:rsidRPr="00A25024" w:rsidRDefault="003E6538" w:rsidP="00932B44">
      <w:pPr>
        <w:autoSpaceDE w:val="0"/>
        <w:autoSpaceDN w:val="0"/>
        <w:adjustRightInd w:val="0"/>
        <w:spacing w:after="0" w:line="240" w:lineRule="auto"/>
        <w:rPr>
          <w:rFonts w:cstheme="minorHAnsi"/>
          <w:bCs/>
        </w:rPr>
      </w:pPr>
    </w:p>
    <w:p w:rsidR="008C54A9" w:rsidRPr="00A25024" w:rsidRDefault="008C54A9" w:rsidP="008C54A9">
      <w:pPr>
        <w:autoSpaceDE w:val="0"/>
        <w:autoSpaceDN w:val="0"/>
        <w:adjustRightInd w:val="0"/>
        <w:spacing w:after="0" w:line="240" w:lineRule="auto"/>
        <w:rPr>
          <w:rFonts w:cstheme="minorHAnsi"/>
          <w:bCs/>
        </w:rPr>
      </w:pPr>
    </w:p>
    <w:p w:rsidR="00404803"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rsidR="00150A7F" w:rsidRDefault="00150A7F" w:rsidP="008C54A9">
      <w:pPr>
        <w:autoSpaceDE w:val="0"/>
        <w:autoSpaceDN w:val="0"/>
        <w:adjustRightInd w:val="0"/>
        <w:spacing w:after="0" w:line="240" w:lineRule="auto"/>
        <w:rPr>
          <w:rFonts w:cstheme="minorHAnsi"/>
          <w:bCs/>
        </w:rPr>
      </w:pPr>
    </w:p>
    <w:p w:rsidR="00D04036" w:rsidRPr="00FB6F6C" w:rsidRDefault="00D04036" w:rsidP="00D04036">
      <w:pPr>
        <w:autoSpaceDE w:val="0"/>
        <w:autoSpaceDN w:val="0"/>
        <w:adjustRightInd w:val="0"/>
        <w:spacing w:after="0" w:line="240" w:lineRule="auto"/>
        <w:rPr>
          <w:rFonts w:cstheme="minorHAnsi"/>
          <w:bCs/>
          <w:u w:val="single"/>
        </w:rPr>
      </w:pPr>
      <w:r w:rsidRPr="00FB6F6C">
        <w:rPr>
          <w:rFonts w:cstheme="minorHAnsi"/>
          <w:bCs/>
          <w:u w:val="single"/>
        </w:rPr>
        <w:t>Inter-</w:t>
      </w:r>
      <w:r>
        <w:rPr>
          <w:rFonts w:cstheme="minorHAnsi"/>
          <w:bCs/>
          <w:u w:val="single"/>
        </w:rPr>
        <w:t>Abstractor</w:t>
      </w:r>
      <w:r w:rsidRPr="00FB6F6C">
        <w:rPr>
          <w:rFonts w:cstheme="minorHAnsi"/>
          <w:bCs/>
          <w:u w:val="single"/>
        </w:rPr>
        <w:t xml:space="preserve"> Reliability Testing:</w:t>
      </w:r>
    </w:p>
    <w:p w:rsidR="00932B44" w:rsidRPr="00B06DE1" w:rsidRDefault="00932B44" w:rsidP="00932B44">
      <w:pPr>
        <w:autoSpaceDE w:val="0"/>
        <w:autoSpaceDN w:val="0"/>
        <w:adjustRightInd w:val="0"/>
        <w:spacing w:after="0" w:line="240" w:lineRule="auto"/>
        <w:rPr>
          <w:rFonts w:cstheme="minorHAnsi"/>
          <w:bCs/>
        </w:rPr>
      </w:pPr>
      <w:r>
        <w:rPr>
          <w:rFonts w:cstheme="minorHAnsi"/>
          <w:bCs/>
        </w:rPr>
        <w:t xml:space="preserve">The tables below outline the kappa statistics with confidence intervals and agreement percentages for both the numerator and denominator elements of the measure. The first table provides the abstractor results (gold standard) to the </w:t>
      </w:r>
      <w:r>
        <w:t xml:space="preserve">CPT Category II Quality Data Codes submitted for the PQRS program. The second table provides the results of the gold standard to the EHR queries. </w:t>
      </w:r>
    </w:p>
    <w:p w:rsidR="00932B44" w:rsidRDefault="00932B44" w:rsidP="00932B44">
      <w:pPr>
        <w:autoSpaceDE w:val="0"/>
        <w:autoSpaceDN w:val="0"/>
        <w:adjustRightInd w:val="0"/>
        <w:spacing w:after="0" w:line="240" w:lineRule="auto"/>
        <w:rPr>
          <w:rFonts w:cstheme="minorHAnsi"/>
          <w:bCs/>
        </w:rPr>
      </w:pPr>
    </w:p>
    <w:p w:rsidR="00932B44" w:rsidRPr="00404803" w:rsidRDefault="00932B44" w:rsidP="00932B44">
      <w:pPr>
        <w:autoSpaceDE w:val="0"/>
        <w:autoSpaceDN w:val="0"/>
        <w:adjustRightInd w:val="0"/>
        <w:spacing w:after="0" w:line="240" w:lineRule="auto"/>
        <w:rPr>
          <w:rFonts w:cstheme="minorHAnsi"/>
          <w:bCs/>
          <w:u w:val="single"/>
        </w:rPr>
      </w:pPr>
      <w:r w:rsidRPr="00404803">
        <w:rPr>
          <w:rFonts w:cstheme="minorHAnsi"/>
          <w:bCs/>
          <w:u w:val="single"/>
        </w:rPr>
        <w:t>Gold Standard vs. PQRS</w:t>
      </w:r>
    </w:p>
    <w:p w:rsidR="00932B44" w:rsidRDefault="00932B44" w:rsidP="00932B44">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407"/>
        <w:gridCol w:w="1155"/>
        <w:gridCol w:w="1155"/>
        <w:gridCol w:w="1155"/>
        <w:gridCol w:w="1158"/>
        <w:gridCol w:w="1170"/>
        <w:gridCol w:w="1159"/>
        <w:gridCol w:w="1217"/>
      </w:tblGrid>
      <w:tr w:rsidR="00932B44" w:rsidTr="00E66390">
        <w:tc>
          <w:tcPr>
            <w:tcW w:w="1407" w:type="dxa"/>
          </w:tcPr>
          <w:p w:rsidR="00932B44" w:rsidRDefault="00932B44" w:rsidP="00E66390">
            <w:pPr>
              <w:autoSpaceDE w:val="0"/>
              <w:autoSpaceDN w:val="0"/>
              <w:adjustRightInd w:val="0"/>
              <w:rPr>
                <w:rFonts w:cstheme="minorHAnsi"/>
                <w:bCs/>
              </w:rPr>
            </w:pPr>
            <w:r>
              <w:rPr>
                <w:rFonts w:cstheme="minorHAnsi"/>
                <w:bCs/>
              </w:rPr>
              <w:t>Measure Element</w:t>
            </w:r>
          </w:p>
        </w:tc>
        <w:tc>
          <w:tcPr>
            <w:tcW w:w="1155" w:type="dxa"/>
          </w:tcPr>
          <w:p w:rsidR="00932B44" w:rsidRDefault="00932B44" w:rsidP="00E66390">
            <w:pPr>
              <w:autoSpaceDE w:val="0"/>
              <w:autoSpaceDN w:val="0"/>
              <w:adjustRightInd w:val="0"/>
              <w:rPr>
                <w:rFonts w:cstheme="minorHAnsi"/>
                <w:bCs/>
              </w:rPr>
            </w:pPr>
            <w:r>
              <w:rPr>
                <w:rFonts w:cstheme="minorHAnsi"/>
                <w:bCs/>
              </w:rPr>
              <w:t>Y/Y</w:t>
            </w:r>
          </w:p>
        </w:tc>
        <w:tc>
          <w:tcPr>
            <w:tcW w:w="1155" w:type="dxa"/>
          </w:tcPr>
          <w:p w:rsidR="00932B44" w:rsidRDefault="00932B44" w:rsidP="00E66390">
            <w:pPr>
              <w:autoSpaceDE w:val="0"/>
              <w:autoSpaceDN w:val="0"/>
              <w:adjustRightInd w:val="0"/>
              <w:rPr>
                <w:rFonts w:cstheme="minorHAnsi"/>
                <w:bCs/>
              </w:rPr>
            </w:pPr>
            <w:r>
              <w:rPr>
                <w:rFonts w:cstheme="minorHAnsi"/>
                <w:bCs/>
              </w:rPr>
              <w:t>Y/N</w:t>
            </w:r>
          </w:p>
        </w:tc>
        <w:tc>
          <w:tcPr>
            <w:tcW w:w="1155" w:type="dxa"/>
          </w:tcPr>
          <w:p w:rsidR="00932B44" w:rsidRDefault="00932B44" w:rsidP="00E66390">
            <w:pPr>
              <w:autoSpaceDE w:val="0"/>
              <w:autoSpaceDN w:val="0"/>
              <w:adjustRightInd w:val="0"/>
              <w:rPr>
                <w:rFonts w:cstheme="minorHAnsi"/>
                <w:bCs/>
              </w:rPr>
            </w:pPr>
            <w:r>
              <w:rPr>
                <w:rFonts w:cstheme="minorHAnsi"/>
                <w:bCs/>
              </w:rPr>
              <w:t>N/Y</w:t>
            </w:r>
          </w:p>
        </w:tc>
        <w:tc>
          <w:tcPr>
            <w:tcW w:w="1158" w:type="dxa"/>
          </w:tcPr>
          <w:p w:rsidR="00932B44" w:rsidRDefault="00932B44" w:rsidP="00E66390">
            <w:pPr>
              <w:autoSpaceDE w:val="0"/>
              <w:autoSpaceDN w:val="0"/>
              <w:adjustRightInd w:val="0"/>
              <w:rPr>
                <w:rFonts w:cstheme="minorHAnsi"/>
                <w:bCs/>
              </w:rPr>
            </w:pPr>
            <w:r>
              <w:rPr>
                <w:rFonts w:cstheme="minorHAnsi"/>
                <w:bCs/>
              </w:rPr>
              <w:t>N/N</w:t>
            </w:r>
          </w:p>
        </w:tc>
        <w:tc>
          <w:tcPr>
            <w:tcW w:w="1170" w:type="dxa"/>
          </w:tcPr>
          <w:p w:rsidR="00932B44" w:rsidRDefault="00932B44" w:rsidP="00E66390">
            <w:pPr>
              <w:autoSpaceDE w:val="0"/>
              <w:autoSpaceDN w:val="0"/>
              <w:adjustRightInd w:val="0"/>
              <w:rPr>
                <w:rFonts w:cstheme="minorHAnsi"/>
                <w:bCs/>
              </w:rPr>
            </w:pPr>
            <w:r>
              <w:rPr>
                <w:rFonts w:cstheme="minorHAnsi"/>
                <w:bCs/>
              </w:rPr>
              <w:t>Kappa</w:t>
            </w:r>
          </w:p>
        </w:tc>
        <w:tc>
          <w:tcPr>
            <w:tcW w:w="1159" w:type="dxa"/>
          </w:tcPr>
          <w:p w:rsidR="00932B44" w:rsidRDefault="00932B44" w:rsidP="00E66390">
            <w:pPr>
              <w:autoSpaceDE w:val="0"/>
              <w:autoSpaceDN w:val="0"/>
              <w:adjustRightInd w:val="0"/>
              <w:rPr>
                <w:rFonts w:cstheme="minorHAnsi"/>
                <w:bCs/>
              </w:rPr>
            </w:pPr>
            <w:r>
              <w:rPr>
                <w:rFonts w:cstheme="minorHAnsi"/>
                <w:bCs/>
              </w:rPr>
              <w:t>95% CI</w:t>
            </w:r>
          </w:p>
        </w:tc>
        <w:tc>
          <w:tcPr>
            <w:tcW w:w="1217" w:type="dxa"/>
          </w:tcPr>
          <w:p w:rsidR="00932B44" w:rsidRDefault="00932B44" w:rsidP="00E66390">
            <w:pPr>
              <w:autoSpaceDE w:val="0"/>
              <w:autoSpaceDN w:val="0"/>
              <w:adjustRightInd w:val="0"/>
              <w:rPr>
                <w:rFonts w:cstheme="minorHAnsi"/>
                <w:bCs/>
              </w:rPr>
            </w:pPr>
            <w:r>
              <w:rPr>
                <w:rFonts w:cstheme="minorHAnsi"/>
                <w:bCs/>
              </w:rPr>
              <w:t>Agreement Rate</w:t>
            </w:r>
          </w:p>
        </w:tc>
      </w:tr>
      <w:tr w:rsidR="00932B44" w:rsidTr="00E66390">
        <w:tc>
          <w:tcPr>
            <w:tcW w:w="1407" w:type="dxa"/>
          </w:tcPr>
          <w:p w:rsidR="00932B44" w:rsidRDefault="00932B44" w:rsidP="00E66390">
            <w:pPr>
              <w:autoSpaceDE w:val="0"/>
              <w:autoSpaceDN w:val="0"/>
              <w:adjustRightInd w:val="0"/>
              <w:rPr>
                <w:rFonts w:cstheme="minorHAnsi"/>
                <w:bCs/>
              </w:rPr>
            </w:pPr>
            <w:r>
              <w:rPr>
                <w:rFonts w:cstheme="minorHAnsi"/>
                <w:bCs/>
              </w:rPr>
              <w:t>Denominator</w:t>
            </w:r>
          </w:p>
        </w:tc>
        <w:tc>
          <w:tcPr>
            <w:tcW w:w="1155" w:type="dxa"/>
          </w:tcPr>
          <w:p w:rsidR="00932B44" w:rsidRDefault="00932B44" w:rsidP="00E66390">
            <w:pPr>
              <w:autoSpaceDE w:val="0"/>
              <w:autoSpaceDN w:val="0"/>
              <w:adjustRightInd w:val="0"/>
              <w:rPr>
                <w:rFonts w:cstheme="minorHAnsi"/>
                <w:bCs/>
              </w:rPr>
            </w:pPr>
            <w:r>
              <w:rPr>
                <w:rFonts w:cstheme="minorHAnsi"/>
                <w:bCs/>
              </w:rPr>
              <w:t>149</w:t>
            </w:r>
          </w:p>
        </w:tc>
        <w:tc>
          <w:tcPr>
            <w:tcW w:w="1155" w:type="dxa"/>
          </w:tcPr>
          <w:p w:rsidR="00932B44" w:rsidRDefault="00932B44" w:rsidP="00E66390">
            <w:pPr>
              <w:autoSpaceDE w:val="0"/>
              <w:autoSpaceDN w:val="0"/>
              <w:adjustRightInd w:val="0"/>
              <w:rPr>
                <w:rFonts w:cstheme="minorHAnsi"/>
                <w:bCs/>
              </w:rPr>
            </w:pPr>
            <w:r>
              <w:rPr>
                <w:rFonts w:cstheme="minorHAnsi"/>
                <w:bCs/>
              </w:rPr>
              <w:t>0</w:t>
            </w:r>
          </w:p>
        </w:tc>
        <w:tc>
          <w:tcPr>
            <w:tcW w:w="1155" w:type="dxa"/>
          </w:tcPr>
          <w:p w:rsidR="00932B44" w:rsidRDefault="00932B44" w:rsidP="00E66390">
            <w:pPr>
              <w:autoSpaceDE w:val="0"/>
              <w:autoSpaceDN w:val="0"/>
              <w:adjustRightInd w:val="0"/>
              <w:rPr>
                <w:rFonts w:cstheme="minorHAnsi"/>
                <w:bCs/>
              </w:rPr>
            </w:pPr>
            <w:r>
              <w:rPr>
                <w:rFonts w:cstheme="minorHAnsi"/>
                <w:bCs/>
              </w:rPr>
              <w:t>6</w:t>
            </w:r>
          </w:p>
        </w:tc>
        <w:tc>
          <w:tcPr>
            <w:tcW w:w="1158" w:type="dxa"/>
          </w:tcPr>
          <w:p w:rsidR="00932B44" w:rsidRDefault="00932B44" w:rsidP="00E66390">
            <w:pPr>
              <w:autoSpaceDE w:val="0"/>
              <w:autoSpaceDN w:val="0"/>
              <w:adjustRightInd w:val="0"/>
              <w:rPr>
                <w:rFonts w:cstheme="minorHAnsi"/>
                <w:bCs/>
              </w:rPr>
            </w:pPr>
            <w:r>
              <w:rPr>
                <w:rFonts w:cstheme="minorHAnsi"/>
                <w:bCs/>
              </w:rPr>
              <w:t>0</w:t>
            </w:r>
          </w:p>
        </w:tc>
        <w:tc>
          <w:tcPr>
            <w:tcW w:w="1170" w:type="dxa"/>
          </w:tcPr>
          <w:p w:rsidR="00932B44" w:rsidRDefault="00932B44" w:rsidP="00E66390">
            <w:pPr>
              <w:autoSpaceDE w:val="0"/>
              <w:autoSpaceDN w:val="0"/>
              <w:adjustRightInd w:val="0"/>
              <w:rPr>
                <w:rFonts w:cstheme="minorHAnsi"/>
                <w:bCs/>
              </w:rPr>
            </w:pPr>
            <w:r>
              <w:rPr>
                <w:rFonts w:cstheme="minorHAnsi"/>
                <w:bCs/>
              </w:rPr>
              <w:t>0.00</w:t>
            </w:r>
          </w:p>
        </w:tc>
        <w:tc>
          <w:tcPr>
            <w:tcW w:w="1159" w:type="dxa"/>
          </w:tcPr>
          <w:p w:rsidR="00932B44" w:rsidRDefault="00932B44" w:rsidP="00E66390">
            <w:pPr>
              <w:autoSpaceDE w:val="0"/>
              <w:autoSpaceDN w:val="0"/>
              <w:adjustRightInd w:val="0"/>
              <w:rPr>
                <w:rFonts w:cstheme="minorHAnsi"/>
                <w:bCs/>
              </w:rPr>
            </w:pPr>
            <w:r>
              <w:rPr>
                <w:rFonts w:cstheme="minorHAnsi"/>
                <w:bCs/>
              </w:rPr>
              <w:t>**</w:t>
            </w:r>
          </w:p>
        </w:tc>
        <w:tc>
          <w:tcPr>
            <w:tcW w:w="1217" w:type="dxa"/>
          </w:tcPr>
          <w:p w:rsidR="00932B44" w:rsidRDefault="00932B44" w:rsidP="00E66390">
            <w:pPr>
              <w:autoSpaceDE w:val="0"/>
              <w:autoSpaceDN w:val="0"/>
              <w:adjustRightInd w:val="0"/>
              <w:rPr>
                <w:rFonts w:cstheme="minorHAnsi"/>
                <w:bCs/>
              </w:rPr>
            </w:pPr>
            <w:r>
              <w:rPr>
                <w:rFonts w:cstheme="minorHAnsi"/>
                <w:bCs/>
              </w:rPr>
              <w:t>96.1% (93.1% to 99.2%)</w:t>
            </w:r>
          </w:p>
        </w:tc>
      </w:tr>
      <w:tr w:rsidR="00932B44" w:rsidTr="00E66390">
        <w:tc>
          <w:tcPr>
            <w:tcW w:w="1407" w:type="dxa"/>
          </w:tcPr>
          <w:p w:rsidR="00932B44" w:rsidRDefault="00932B44" w:rsidP="00E66390">
            <w:pPr>
              <w:autoSpaceDE w:val="0"/>
              <w:autoSpaceDN w:val="0"/>
              <w:adjustRightInd w:val="0"/>
              <w:rPr>
                <w:rFonts w:cstheme="minorHAnsi"/>
                <w:bCs/>
              </w:rPr>
            </w:pPr>
            <w:r>
              <w:rPr>
                <w:rFonts w:cstheme="minorHAnsi"/>
                <w:bCs/>
              </w:rPr>
              <w:t>Numerator</w:t>
            </w:r>
          </w:p>
        </w:tc>
        <w:tc>
          <w:tcPr>
            <w:tcW w:w="1155" w:type="dxa"/>
          </w:tcPr>
          <w:p w:rsidR="00932B44" w:rsidRDefault="00932B44" w:rsidP="00E66390">
            <w:pPr>
              <w:autoSpaceDE w:val="0"/>
              <w:autoSpaceDN w:val="0"/>
              <w:adjustRightInd w:val="0"/>
              <w:rPr>
                <w:rFonts w:cstheme="minorHAnsi"/>
                <w:bCs/>
              </w:rPr>
            </w:pPr>
            <w:r>
              <w:rPr>
                <w:rFonts w:cstheme="minorHAnsi"/>
                <w:bCs/>
              </w:rPr>
              <w:t>11</w:t>
            </w:r>
          </w:p>
        </w:tc>
        <w:tc>
          <w:tcPr>
            <w:tcW w:w="1155" w:type="dxa"/>
          </w:tcPr>
          <w:p w:rsidR="00932B44" w:rsidRDefault="00932B44" w:rsidP="00E66390">
            <w:pPr>
              <w:autoSpaceDE w:val="0"/>
              <w:autoSpaceDN w:val="0"/>
              <w:adjustRightInd w:val="0"/>
              <w:rPr>
                <w:rFonts w:cstheme="minorHAnsi"/>
                <w:bCs/>
              </w:rPr>
            </w:pPr>
            <w:r>
              <w:rPr>
                <w:rFonts w:cstheme="minorHAnsi"/>
                <w:bCs/>
              </w:rPr>
              <w:t>32</w:t>
            </w:r>
          </w:p>
        </w:tc>
        <w:tc>
          <w:tcPr>
            <w:tcW w:w="1155" w:type="dxa"/>
          </w:tcPr>
          <w:p w:rsidR="00932B44" w:rsidRDefault="00932B44" w:rsidP="00E66390">
            <w:pPr>
              <w:autoSpaceDE w:val="0"/>
              <w:autoSpaceDN w:val="0"/>
              <w:adjustRightInd w:val="0"/>
              <w:rPr>
                <w:rFonts w:cstheme="minorHAnsi"/>
                <w:bCs/>
              </w:rPr>
            </w:pPr>
            <w:r>
              <w:rPr>
                <w:rFonts w:cstheme="minorHAnsi"/>
                <w:bCs/>
              </w:rPr>
              <w:t>58</w:t>
            </w:r>
          </w:p>
        </w:tc>
        <w:tc>
          <w:tcPr>
            <w:tcW w:w="1158" w:type="dxa"/>
          </w:tcPr>
          <w:p w:rsidR="00932B44" w:rsidRDefault="00932B44" w:rsidP="00E66390">
            <w:pPr>
              <w:autoSpaceDE w:val="0"/>
              <w:autoSpaceDN w:val="0"/>
              <w:adjustRightInd w:val="0"/>
              <w:rPr>
                <w:rFonts w:cstheme="minorHAnsi"/>
                <w:bCs/>
              </w:rPr>
            </w:pPr>
            <w:r>
              <w:rPr>
                <w:rFonts w:cstheme="minorHAnsi"/>
                <w:bCs/>
              </w:rPr>
              <w:t>47</w:t>
            </w:r>
          </w:p>
        </w:tc>
        <w:tc>
          <w:tcPr>
            <w:tcW w:w="1170" w:type="dxa"/>
          </w:tcPr>
          <w:p w:rsidR="00932B44" w:rsidRDefault="00932B44" w:rsidP="00E66390">
            <w:pPr>
              <w:autoSpaceDE w:val="0"/>
              <w:autoSpaceDN w:val="0"/>
              <w:adjustRightInd w:val="0"/>
              <w:rPr>
                <w:rFonts w:cstheme="minorHAnsi"/>
                <w:bCs/>
              </w:rPr>
            </w:pPr>
            <w:r>
              <w:rPr>
                <w:rFonts w:cstheme="minorHAnsi"/>
                <w:bCs/>
              </w:rPr>
              <w:t>-0.25</w:t>
            </w:r>
          </w:p>
        </w:tc>
        <w:tc>
          <w:tcPr>
            <w:tcW w:w="1159" w:type="dxa"/>
          </w:tcPr>
          <w:p w:rsidR="00932B44" w:rsidRDefault="00932B44" w:rsidP="00E66390">
            <w:pPr>
              <w:autoSpaceDE w:val="0"/>
              <w:autoSpaceDN w:val="0"/>
              <w:adjustRightInd w:val="0"/>
              <w:rPr>
                <w:rFonts w:cstheme="minorHAnsi"/>
                <w:bCs/>
              </w:rPr>
            </w:pPr>
            <w:r>
              <w:rPr>
                <w:rFonts w:cstheme="minorHAnsi"/>
                <w:bCs/>
              </w:rPr>
              <w:t>-0.39 to    -0.11</w:t>
            </w:r>
          </w:p>
        </w:tc>
        <w:tc>
          <w:tcPr>
            <w:tcW w:w="1217" w:type="dxa"/>
          </w:tcPr>
          <w:p w:rsidR="00932B44" w:rsidRDefault="00932B44" w:rsidP="00E66390">
            <w:pPr>
              <w:autoSpaceDE w:val="0"/>
              <w:autoSpaceDN w:val="0"/>
              <w:adjustRightInd w:val="0"/>
              <w:rPr>
                <w:rFonts w:cstheme="minorHAnsi"/>
                <w:bCs/>
              </w:rPr>
            </w:pPr>
            <w:r>
              <w:rPr>
                <w:rFonts w:cstheme="minorHAnsi"/>
                <w:bCs/>
              </w:rPr>
              <w:t>39.2% (31.3% to 47.1%)</w:t>
            </w:r>
          </w:p>
        </w:tc>
      </w:tr>
    </w:tbl>
    <w:p w:rsidR="00932B44" w:rsidRDefault="00932B44" w:rsidP="00932B44">
      <w:pPr>
        <w:autoSpaceDE w:val="0"/>
        <w:autoSpaceDN w:val="0"/>
        <w:adjustRightInd w:val="0"/>
        <w:spacing w:after="0" w:line="240" w:lineRule="auto"/>
        <w:rPr>
          <w:rFonts w:cstheme="minorHAnsi"/>
          <w:bCs/>
        </w:rPr>
      </w:pPr>
      <w:r>
        <w:rPr>
          <w:rFonts w:cstheme="minorHAnsi"/>
          <w:bCs/>
        </w:rPr>
        <w:t xml:space="preserve">** </w:t>
      </w:r>
      <w:r>
        <w:rPr>
          <w:sz w:val="18"/>
          <w:szCs w:val="18"/>
        </w:rPr>
        <w:t xml:space="preserve">This is an example of the limitation of the Kappa statistic. </w:t>
      </w:r>
      <w:proofErr w:type="gramStart"/>
      <w:r>
        <w:rPr>
          <w:sz w:val="18"/>
          <w:szCs w:val="18"/>
        </w:rPr>
        <w:t>While the agreement can be 90% or greater, if one classification category dominates, kappa can be significantly reduced (http:///www.ajronline.org/cgi/content/full/184/5/1391).</w:t>
      </w:r>
      <w:proofErr w:type="gramEnd"/>
    </w:p>
    <w:p w:rsidR="00932B44" w:rsidRDefault="00932B44" w:rsidP="00932B44">
      <w:pPr>
        <w:autoSpaceDE w:val="0"/>
        <w:autoSpaceDN w:val="0"/>
        <w:adjustRightInd w:val="0"/>
        <w:spacing w:after="0" w:line="240" w:lineRule="auto"/>
        <w:rPr>
          <w:rFonts w:cstheme="minorHAnsi"/>
          <w:bCs/>
        </w:rPr>
      </w:pPr>
    </w:p>
    <w:p w:rsidR="00932B44" w:rsidRDefault="00932B44" w:rsidP="00932B44">
      <w:pPr>
        <w:autoSpaceDE w:val="0"/>
        <w:autoSpaceDN w:val="0"/>
        <w:adjustRightInd w:val="0"/>
        <w:spacing w:after="0" w:line="240" w:lineRule="auto"/>
        <w:rPr>
          <w:rFonts w:cstheme="minorHAnsi"/>
          <w:bCs/>
          <w:u w:val="single"/>
        </w:rPr>
      </w:pPr>
      <w:r>
        <w:rPr>
          <w:rFonts w:cstheme="minorHAnsi"/>
          <w:bCs/>
          <w:u w:val="single"/>
        </w:rPr>
        <w:t xml:space="preserve">Gold Standard </w:t>
      </w:r>
      <w:proofErr w:type="spellStart"/>
      <w:r>
        <w:rPr>
          <w:rFonts w:cstheme="minorHAnsi"/>
          <w:bCs/>
          <w:u w:val="single"/>
        </w:rPr>
        <w:t>vs.EHR</w:t>
      </w:r>
      <w:proofErr w:type="spellEnd"/>
    </w:p>
    <w:p w:rsidR="00932B44" w:rsidRDefault="00932B44" w:rsidP="00932B44">
      <w:pPr>
        <w:autoSpaceDE w:val="0"/>
        <w:autoSpaceDN w:val="0"/>
        <w:adjustRightInd w:val="0"/>
        <w:spacing w:after="0" w:line="240" w:lineRule="auto"/>
        <w:rPr>
          <w:rFonts w:cstheme="minorHAnsi"/>
          <w:bCs/>
          <w:u w:val="single"/>
        </w:rPr>
      </w:pPr>
    </w:p>
    <w:tbl>
      <w:tblPr>
        <w:tblStyle w:val="TableGrid"/>
        <w:tblW w:w="0" w:type="auto"/>
        <w:tblLook w:val="04A0" w:firstRow="1" w:lastRow="0" w:firstColumn="1" w:lastColumn="0" w:noHBand="0" w:noVBand="1"/>
      </w:tblPr>
      <w:tblGrid>
        <w:gridCol w:w="1407"/>
        <w:gridCol w:w="1155"/>
        <w:gridCol w:w="1155"/>
        <w:gridCol w:w="1155"/>
        <w:gridCol w:w="1158"/>
        <w:gridCol w:w="1170"/>
        <w:gridCol w:w="1159"/>
        <w:gridCol w:w="1217"/>
      </w:tblGrid>
      <w:tr w:rsidR="00932B44" w:rsidTr="00E66390">
        <w:tc>
          <w:tcPr>
            <w:tcW w:w="1407" w:type="dxa"/>
          </w:tcPr>
          <w:p w:rsidR="00932B44" w:rsidRDefault="00932B44" w:rsidP="00E66390">
            <w:pPr>
              <w:autoSpaceDE w:val="0"/>
              <w:autoSpaceDN w:val="0"/>
              <w:adjustRightInd w:val="0"/>
              <w:rPr>
                <w:rFonts w:cstheme="minorHAnsi"/>
                <w:bCs/>
              </w:rPr>
            </w:pPr>
            <w:r>
              <w:rPr>
                <w:rFonts w:cstheme="minorHAnsi"/>
                <w:bCs/>
              </w:rPr>
              <w:t>Measure Element</w:t>
            </w:r>
          </w:p>
        </w:tc>
        <w:tc>
          <w:tcPr>
            <w:tcW w:w="1155" w:type="dxa"/>
          </w:tcPr>
          <w:p w:rsidR="00932B44" w:rsidRDefault="00932B44" w:rsidP="00E66390">
            <w:pPr>
              <w:autoSpaceDE w:val="0"/>
              <w:autoSpaceDN w:val="0"/>
              <w:adjustRightInd w:val="0"/>
              <w:rPr>
                <w:rFonts w:cstheme="minorHAnsi"/>
                <w:bCs/>
              </w:rPr>
            </w:pPr>
            <w:r>
              <w:rPr>
                <w:rFonts w:cstheme="minorHAnsi"/>
                <w:bCs/>
              </w:rPr>
              <w:t>Y/Y</w:t>
            </w:r>
          </w:p>
        </w:tc>
        <w:tc>
          <w:tcPr>
            <w:tcW w:w="1155" w:type="dxa"/>
          </w:tcPr>
          <w:p w:rsidR="00932B44" w:rsidRDefault="00932B44" w:rsidP="00E66390">
            <w:pPr>
              <w:autoSpaceDE w:val="0"/>
              <w:autoSpaceDN w:val="0"/>
              <w:adjustRightInd w:val="0"/>
              <w:rPr>
                <w:rFonts w:cstheme="minorHAnsi"/>
                <w:bCs/>
              </w:rPr>
            </w:pPr>
            <w:r>
              <w:rPr>
                <w:rFonts w:cstheme="minorHAnsi"/>
                <w:bCs/>
              </w:rPr>
              <w:t>Y/N</w:t>
            </w:r>
          </w:p>
        </w:tc>
        <w:tc>
          <w:tcPr>
            <w:tcW w:w="1155" w:type="dxa"/>
          </w:tcPr>
          <w:p w:rsidR="00932B44" w:rsidRDefault="00932B44" w:rsidP="00E66390">
            <w:pPr>
              <w:autoSpaceDE w:val="0"/>
              <w:autoSpaceDN w:val="0"/>
              <w:adjustRightInd w:val="0"/>
              <w:rPr>
                <w:rFonts w:cstheme="minorHAnsi"/>
                <w:bCs/>
              </w:rPr>
            </w:pPr>
            <w:r>
              <w:rPr>
                <w:rFonts w:cstheme="minorHAnsi"/>
                <w:bCs/>
              </w:rPr>
              <w:t>N/Y</w:t>
            </w:r>
          </w:p>
        </w:tc>
        <w:tc>
          <w:tcPr>
            <w:tcW w:w="1158" w:type="dxa"/>
          </w:tcPr>
          <w:p w:rsidR="00932B44" w:rsidRDefault="00932B44" w:rsidP="00E66390">
            <w:pPr>
              <w:autoSpaceDE w:val="0"/>
              <w:autoSpaceDN w:val="0"/>
              <w:adjustRightInd w:val="0"/>
              <w:rPr>
                <w:rFonts w:cstheme="minorHAnsi"/>
                <w:bCs/>
              </w:rPr>
            </w:pPr>
            <w:r>
              <w:rPr>
                <w:rFonts w:cstheme="minorHAnsi"/>
                <w:bCs/>
              </w:rPr>
              <w:t>N/N</w:t>
            </w:r>
          </w:p>
        </w:tc>
        <w:tc>
          <w:tcPr>
            <w:tcW w:w="1170" w:type="dxa"/>
          </w:tcPr>
          <w:p w:rsidR="00932B44" w:rsidRDefault="00932B44" w:rsidP="00E66390">
            <w:pPr>
              <w:autoSpaceDE w:val="0"/>
              <w:autoSpaceDN w:val="0"/>
              <w:adjustRightInd w:val="0"/>
              <w:rPr>
                <w:rFonts w:cstheme="minorHAnsi"/>
                <w:bCs/>
              </w:rPr>
            </w:pPr>
            <w:r>
              <w:rPr>
                <w:rFonts w:cstheme="minorHAnsi"/>
                <w:bCs/>
              </w:rPr>
              <w:t>Kappa</w:t>
            </w:r>
          </w:p>
        </w:tc>
        <w:tc>
          <w:tcPr>
            <w:tcW w:w="1159" w:type="dxa"/>
          </w:tcPr>
          <w:p w:rsidR="00932B44" w:rsidRDefault="00932B44" w:rsidP="00E66390">
            <w:pPr>
              <w:autoSpaceDE w:val="0"/>
              <w:autoSpaceDN w:val="0"/>
              <w:adjustRightInd w:val="0"/>
              <w:rPr>
                <w:rFonts w:cstheme="minorHAnsi"/>
                <w:bCs/>
              </w:rPr>
            </w:pPr>
            <w:r>
              <w:rPr>
                <w:rFonts w:cstheme="minorHAnsi"/>
                <w:bCs/>
              </w:rPr>
              <w:t>95% CI</w:t>
            </w:r>
          </w:p>
        </w:tc>
        <w:tc>
          <w:tcPr>
            <w:tcW w:w="1217" w:type="dxa"/>
          </w:tcPr>
          <w:p w:rsidR="00932B44" w:rsidRDefault="00932B44" w:rsidP="00E66390">
            <w:pPr>
              <w:autoSpaceDE w:val="0"/>
              <w:autoSpaceDN w:val="0"/>
              <w:adjustRightInd w:val="0"/>
              <w:rPr>
                <w:rFonts w:cstheme="minorHAnsi"/>
                <w:bCs/>
              </w:rPr>
            </w:pPr>
            <w:r>
              <w:rPr>
                <w:rFonts w:cstheme="minorHAnsi"/>
                <w:bCs/>
              </w:rPr>
              <w:t>Agreement Rate</w:t>
            </w:r>
          </w:p>
        </w:tc>
      </w:tr>
      <w:tr w:rsidR="00932B44" w:rsidTr="00E66390">
        <w:tc>
          <w:tcPr>
            <w:tcW w:w="1407" w:type="dxa"/>
          </w:tcPr>
          <w:p w:rsidR="00932B44" w:rsidRDefault="00932B44" w:rsidP="00E66390">
            <w:pPr>
              <w:autoSpaceDE w:val="0"/>
              <w:autoSpaceDN w:val="0"/>
              <w:adjustRightInd w:val="0"/>
              <w:rPr>
                <w:rFonts w:cstheme="minorHAnsi"/>
                <w:bCs/>
              </w:rPr>
            </w:pPr>
            <w:r>
              <w:rPr>
                <w:rFonts w:cstheme="minorHAnsi"/>
                <w:bCs/>
              </w:rPr>
              <w:t>Denominator</w:t>
            </w:r>
          </w:p>
        </w:tc>
        <w:tc>
          <w:tcPr>
            <w:tcW w:w="8169" w:type="dxa"/>
            <w:gridSpan w:val="7"/>
          </w:tcPr>
          <w:p w:rsidR="00932B44" w:rsidRDefault="00932B44" w:rsidP="00E66390">
            <w:pPr>
              <w:autoSpaceDE w:val="0"/>
              <w:autoSpaceDN w:val="0"/>
              <w:adjustRightInd w:val="0"/>
              <w:rPr>
                <w:rFonts w:cstheme="minorHAnsi"/>
                <w:bCs/>
              </w:rPr>
            </w:pPr>
            <w:r>
              <w:rPr>
                <w:rFonts w:cstheme="minorHAnsi"/>
                <w:bCs/>
              </w:rPr>
              <w:t>This was tested via PQRS data extracts only. There was no basis for comparing the overall study-eligible denominator from the EHR extracts.</w:t>
            </w:r>
          </w:p>
        </w:tc>
      </w:tr>
      <w:tr w:rsidR="00932B44" w:rsidTr="00E66390">
        <w:tc>
          <w:tcPr>
            <w:tcW w:w="1407" w:type="dxa"/>
          </w:tcPr>
          <w:p w:rsidR="00932B44" w:rsidRDefault="00932B44" w:rsidP="00E66390">
            <w:pPr>
              <w:autoSpaceDE w:val="0"/>
              <w:autoSpaceDN w:val="0"/>
              <w:adjustRightInd w:val="0"/>
              <w:rPr>
                <w:rFonts w:cstheme="minorHAnsi"/>
                <w:bCs/>
              </w:rPr>
            </w:pPr>
            <w:r>
              <w:rPr>
                <w:rFonts w:cstheme="minorHAnsi"/>
                <w:bCs/>
              </w:rPr>
              <w:t>Numerator</w:t>
            </w:r>
          </w:p>
        </w:tc>
        <w:tc>
          <w:tcPr>
            <w:tcW w:w="1155" w:type="dxa"/>
          </w:tcPr>
          <w:p w:rsidR="00932B44" w:rsidRDefault="00932B44" w:rsidP="00E66390">
            <w:pPr>
              <w:autoSpaceDE w:val="0"/>
              <w:autoSpaceDN w:val="0"/>
              <w:adjustRightInd w:val="0"/>
              <w:rPr>
                <w:rFonts w:cstheme="minorHAnsi"/>
                <w:bCs/>
              </w:rPr>
            </w:pPr>
            <w:r>
              <w:rPr>
                <w:rFonts w:cstheme="minorHAnsi"/>
                <w:bCs/>
              </w:rPr>
              <w:t>9</w:t>
            </w:r>
          </w:p>
        </w:tc>
        <w:tc>
          <w:tcPr>
            <w:tcW w:w="1155" w:type="dxa"/>
          </w:tcPr>
          <w:p w:rsidR="00932B44" w:rsidRDefault="00932B44" w:rsidP="00E66390">
            <w:pPr>
              <w:autoSpaceDE w:val="0"/>
              <w:autoSpaceDN w:val="0"/>
              <w:adjustRightInd w:val="0"/>
              <w:rPr>
                <w:rFonts w:cstheme="minorHAnsi"/>
                <w:bCs/>
              </w:rPr>
            </w:pPr>
            <w:r>
              <w:rPr>
                <w:rFonts w:cstheme="minorHAnsi"/>
                <w:bCs/>
              </w:rPr>
              <w:t>34</w:t>
            </w:r>
          </w:p>
        </w:tc>
        <w:tc>
          <w:tcPr>
            <w:tcW w:w="1155" w:type="dxa"/>
          </w:tcPr>
          <w:p w:rsidR="00932B44" w:rsidRDefault="00932B44" w:rsidP="00E66390">
            <w:pPr>
              <w:autoSpaceDE w:val="0"/>
              <w:autoSpaceDN w:val="0"/>
              <w:adjustRightInd w:val="0"/>
              <w:rPr>
                <w:rFonts w:cstheme="minorHAnsi"/>
                <w:bCs/>
              </w:rPr>
            </w:pPr>
            <w:r>
              <w:rPr>
                <w:rFonts w:cstheme="minorHAnsi"/>
                <w:bCs/>
              </w:rPr>
              <w:t>2</w:t>
            </w:r>
          </w:p>
        </w:tc>
        <w:tc>
          <w:tcPr>
            <w:tcW w:w="1158" w:type="dxa"/>
          </w:tcPr>
          <w:p w:rsidR="00932B44" w:rsidRDefault="00932B44" w:rsidP="00E66390">
            <w:pPr>
              <w:autoSpaceDE w:val="0"/>
              <w:autoSpaceDN w:val="0"/>
              <w:adjustRightInd w:val="0"/>
              <w:rPr>
                <w:rFonts w:cstheme="minorHAnsi"/>
                <w:bCs/>
              </w:rPr>
            </w:pPr>
            <w:r>
              <w:rPr>
                <w:rFonts w:cstheme="minorHAnsi"/>
                <w:bCs/>
              </w:rPr>
              <w:t>103</w:t>
            </w:r>
          </w:p>
        </w:tc>
        <w:tc>
          <w:tcPr>
            <w:tcW w:w="1170" w:type="dxa"/>
          </w:tcPr>
          <w:p w:rsidR="00932B44" w:rsidRDefault="00932B44" w:rsidP="00E66390">
            <w:pPr>
              <w:autoSpaceDE w:val="0"/>
              <w:autoSpaceDN w:val="0"/>
              <w:adjustRightInd w:val="0"/>
              <w:rPr>
                <w:rFonts w:cstheme="minorHAnsi"/>
                <w:bCs/>
              </w:rPr>
            </w:pPr>
            <w:r>
              <w:rPr>
                <w:rFonts w:cstheme="minorHAnsi"/>
                <w:bCs/>
              </w:rPr>
              <w:t>0.24</w:t>
            </w:r>
          </w:p>
        </w:tc>
        <w:tc>
          <w:tcPr>
            <w:tcW w:w="1159" w:type="dxa"/>
          </w:tcPr>
          <w:p w:rsidR="00932B44" w:rsidRDefault="00932B44" w:rsidP="00E66390">
            <w:pPr>
              <w:autoSpaceDE w:val="0"/>
              <w:autoSpaceDN w:val="0"/>
              <w:adjustRightInd w:val="0"/>
              <w:rPr>
                <w:rFonts w:cstheme="minorHAnsi"/>
                <w:bCs/>
              </w:rPr>
            </w:pPr>
            <w:r>
              <w:rPr>
                <w:rFonts w:cstheme="minorHAnsi"/>
                <w:bCs/>
              </w:rPr>
              <w:t>0.09 – 0.39</w:t>
            </w:r>
          </w:p>
        </w:tc>
        <w:tc>
          <w:tcPr>
            <w:tcW w:w="1217" w:type="dxa"/>
          </w:tcPr>
          <w:p w:rsidR="00932B44" w:rsidRDefault="00932B44" w:rsidP="00E66390">
            <w:pPr>
              <w:autoSpaceDE w:val="0"/>
              <w:autoSpaceDN w:val="0"/>
              <w:adjustRightInd w:val="0"/>
              <w:rPr>
                <w:rFonts w:cstheme="minorHAnsi"/>
                <w:bCs/>
              </w:rPr>
            </w:pPr>
            <w:r>
              <w:rPr>
                <w:rFonts w:cstheme="minorHAnsi"/>
                <w:bCs/>
              </w:rPr>
              <w:t>75.7% (68.8% to 82.6%)</w:t>
            </w:r>
          </w:p>
        </w:tc>
      </w:tr>
    </w:tbl>
    <w:p w:rsidR="00150A7F" w:rsidRDefault="00932B44" w:rsidP="00150A7F">
      <w:pPr>
        <w:pStyle w:val="Default"/>
        <w:rPr>
          <w:sz w:val="22"/>
          <w:szCs w:val="22"/>
        </w:rPr>
      </w:pPr>
      <w:r w:rsidRPr="00A25024">
        <w:rPr>
          <w:rFonts w:cstheme="minorHAnsi"/>
          <w:bCs/>
        </w:rPr>
        <w:br/>
      </w:r>
    </w:p>
    <w:p w:rsidR="003E6538" w:rsidRDefault="003E6538">
      <w:pPr>
        <w:rPr>
          <w:rFonts w:cstheme="minorHAnsi"/>
          <w:bCs/>
          <w:u w:val="single"/>
        </w:rPr>
      </w:pPr>
      <w:r>
        <w:rPr>
          <w:rFonts w:cstheme="minorHAnsi"/>
          <w:bCs/>
          <w:u w:val="single"/>
        </w:rPr>
        <w:br w:type="page"/>
      </w:r>
    </w:p>
    <w:p w:rsidR="003E6538" w:rsidRDefault="003E6538" w:rsidP="003E6538">
      <w:pPr>
        <w:autoSpaceDE w:val="0"/>
        <w:autoSpaceDN w:val="0"/>
        <w:adjustRightInd w:val="0"/>
        <w:spacing w:after="0" w:line="240" w:lineRule="auto"/>
        <w:rPr>
          <w:rFonts w:cstheme="minorHAnsi"/>
          <w:bCs/>
          <w:u w:val="single"/>
        </w:rPr>
      </w:pPr>
      <w:r w:rsidRPr="008936E9">
        <w:rPr>
          <w:rFonts w:cstheme="minorHAnsi"/>
          <w:bCs/>
          <w:u w:val="single"/>
        </w:rPr>
        <w:lastRenderedPageBreak/>
        <w:t>Signal-to-noise Analysis:</w:t>
      </w:r>
    </w:p>
    <w:p w:rsidR="003E6538" w:rsidRDefault="003E6538" w:rsidP="003E6538">
      <w:pPr>
        <w:autoSpaceDE w:val="0"/>
        <w:autoSpaceDN w:val="0"/>
        <w:adjustRightInd w:val="0"/>
        <w:spacing w:after="0" w:line="240" w:lineRule="auto"/>
        <w:rPr>
          <w:rFonts w:cstheme="minorHAnsi"/>
          <w:bCs/>
        </w:rPr>
      </w:pPr>
    </w:p>
    <w:p w:rsidR="003E6538" w:rsidRDefault="003E6538" w:rsidP="003E6538">
      <w:pPr>
        <w:autoSpaceDE w:val="0"/>
        <w:autoSpaceDN w:val="0"/>
        <w:adjustRightInd w:val="0"/>
        <w:spacing w:after="0" w:line="240" w:lineRule="auto"/>
        <w:rPr>
          <w:rFonts w:cstheme="minorHAnsi"/>
          <w:bCs/>
        </w:rPr>
      </w:pPr>
      <w:r>
        <w:rPr>
          <w:rFonts w:cstheme="minorHAnsi"/>
          <w:bCs/>
        </w:rPr>
        <w:t>The histogram below shows the distribution of physician reliability rates.</w:t>
      </w:r>
    </w:p>
    <w:p w:rsidR="003E6538" w:rsidRDefault="003E6538" w:rsidP="003E6538">
      <w:pPr>
        <w:autoSpaceDE w:val="0"/>
        <w:autoSpaceDN w:val="0"/>
        <w:adjustRightInd w:val="0"/>
        <w:spacing w:after="0" w:line="240" w:lineRule="auto"/>
        <w:rPr>
          <w:rFonts w:cstheme="minorHAnsi"/>
          <w:bCs/>
        </w:rPr>
      </w:pPr>
    </w:p>
    <w:p w:rsidR="003E6538" w:rsidRDefault="003E6538" w:rsidP="00150A7F">
      <w:pPr>
        <w:pStyle w:val="Default"/>
        <w:rPr>
          <w:sz w:val="22"/>
          <w:szCs w:val="22"/>
        </w:rPr>
      </w:pPr>
      <w:r>
        <w:rPr>
          <w:noProof/>
        </w:rPr>
        <w:drawing>
          <wp:inline distT="0" distB="0" distL="0" distR="0" wp14:anchorId="1CD41228" wp14:editId="4C6F03D3">
            <wp:extent cx="5943600" cy="3147695"/>
            <wp:effectExtent l="0" t="0" r="19050" b="1460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04803" w:rsidRDefault="00404803" w:rsidP="008C54A9">
      <w:pPr>
        <w:autoSpaceDE w:val="0"/>
        <w:autoSpaceDN w:val="0"/>
        <w:adjustRightInd w:val="0"/>
        <w:spacing w:after="0" w:line="240" w:lineRule="auto"/>
        <w:rPr>
          <w:rFonts w:cstheme="minorHAnsi"/>
          <w:bCs/>
        </w:rPr>
      </w:pPr>
    </w:p>
    <w:p w:rsidR="007422FD" w:rsidRPr="00A25024" w:rsidRDefault="007422FD" w:rsidP="008C54A9">
      <w:pPr>
        <w:autoSpaceDE w:val="0"/>
        <w:autoSpaceDN w:val="0"/>
        <w:adjustRightInd w:val="0"/>
        <w:spacing w:after="0" w:line="240" w:lineRule="auto"/>
        <w:rPr>
          <w:rFonts w:cstheme="minorHAnsi"/>
          <w:bCs/>
        </w:rPr>
      </w:pPr>
    </w:p>
    <w:p w:rsidR="000D2A1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rsidR="000D2A1D" w:rsidRDefault="000D2A1D" w:rsidP="00DB3627">
      <w:pPr>
        <w:autoSpaceDE w:val="0"/>
        <w:autoSpaceDN w:val="0"/>
        <w:adjustRightInd w:val="0"/>
        <w:spacing w:after="0" w:line="240" w:lineRule="auto"/>
        <w:rPr>
          <w:rFonts w:cstheme="minorHAnsi"/>
          <w:bCs/>
        </w:rPr>
      </w:pPr>
    </w:p>
    <w:p w:rsidR="00D04036" w:rsidRPr="00FB6F6C" w:rsidRDefault="00D04036" w:rsidP="00D04036">
      <w:pPr>
        <w:autoSpaceDE w:val="0"/>
        <w:autoSpaceDN w:val="0"/>
        <w:adjustRightInd w:val="0"/>
        <w:spacing w:after="0" w:line="240" w:lineRule="auto"/>
        <w:rPr>
          <w:rFonts w:cstheme="minorHAnsi"/>
          <w:bCs/>
          <w:u w:val="single"/>
        </w:rPr>
      </w:pPr>
      <w:r w:rsidRPr="00FB6F6C">
        <w:rPr>
          <w:rFonts w:cstheme="minorHAnsi"/>
          <w:bCs/>
          <w:u w:val="single"/>
        </w:rPr>
        <w:t>Inter-</w:t>
      </w:r>
      <w:r>
        <w:rPr>
          <w:rFonts w:cstheme="minorHAnsi"/>
          <w:bCs/>
          <w:u w:val="single"/>
        </w:rPr>
        <w:t>Abstractor</w:t>
      </w:r>
      <w:r w:rsidRPr="00FB6F6C">
        <w:rPr>
          <w:rFonts w:cstheme="minorHAnsi"/>
          <w:bCs/>
          <w:u w:val="single"/>
        </w:rPr>
        <w:t xml:space="preserve"> Reliability Testing:</w:t>
      </w:r>
    </w:p>
    <w:p w:rsidR="00D04036" w:rsidRDefault="00D04036" w:rsidP="00DB3627">
      <w:pPr>
        <w:autoSpaceDE w:val="0"/>
        <w:autoSpaceDN w:val="0"/>
        <w:adjustRightInd w:val="0"/>
        <w:spacing w:after="0" w:line="240" w:lineRule="auto"/>
        <w:rPr>
          <w:rFonts w:cstheme="minorHAnsi"/>
          <w:bCs/>
        </w:rPr>
      </w:pPr>
    </w:p>
    <w:p w:rsidR="00932B44" w:rsidRDefault="00932B44" w:rsidP="00932B44">
      <w:pPr>
        <w:autoSpaceDE w:val="0"/>
        <w:autoSpaceDN w:val="0"/>
        <w:adjustRightInd w:val="0"/>
        <w:spacing w:after="0" w:line="240" w:lineRule="auto"/>
        <w:rPr>
          <w:rFonts w:cstheme="minorHAnsi"/>
          <w:bCs/>
          <w:u w:val="single"/>
        </w:rPr>
      </w:pPr>
      <w:r w:rsidRPr="000D2A1D">
        <w:rPr>
          <w:rFonts w:cstheme="minorHAnsi"/>
          <w:bCs/>
          <w:u w:val="single"/>
        </w:rPr>
        <w:t>Gold standard vs. PQRS</w:t>
      </w:r>
    </w:p>
    <w:p w:rsidR="00932B44" w:rsidRPr="000D2A1D" w:rsidRDefault="00932B44" w:rsidP="00932B44">
      <w:pPr>
        <w:autoSpaceDE w:val="0"/>
        <w:autoSpaceDN w:val="0"/>
        <w:adjustRightInd w:val="0"/>
        <w:spacing w:after="0" w:line="240" w:lineRule="auto"/>
        <w:rPr>
          <w:rFonts w:cstheme="minorHAnsi"/>
          <w:bCs/>
          <w:u w:val="single"/>
        </w:rPr>
      </w:pPr>
    </w:p>
    <w:p w:rsidR="00932B44" w:rsidRDefault="00932B44" w:rsidP="00932B44">
      <w:pPr>
        <w:autoSpaceDE w:val="0"/>
        <w:autoSpaceDN w:val="0"/>
        <w:adjustRightInd w:val="0"/>
        <w:spacing w:after="0" w:line="240" w:lineRule="auto"/>
        <w:rPr>
          <w:rFonts w:cstheme="minorHAnsi"/>
          <w:bCs/>
        </w:rPr>
      </w:pPr>
      <w:r>
        <w:rPr>
          <w:rFonts w:cstheme="minorHAnsi"/>
          <w:bCs/>
        </w:rPr>
        <w:t xml:space="preserve">The level of agreement between the gold standard and the codes reported for PQRS for the measure denominator is high and indicative that the patient population is readily identified.  </w:t>
      </w:r>
    </w:p>
    <w:p w:rsidR="00932B44" w:rsidRDefault="00932B44" w:rsidP="00932B44">
      <w:pPr>
        <w:autoSpaceDE w:val="0"/>
        <w:autoSpaceDN w:val="0"/>
        <w:adjustRightInd w:val="0"/>
        <w:spacing w:after="0" w:line="240" w:lineRule="auto"/>
        <w:rPr>
          <w:rFonts w:cstheme="minorHAnsi"/>
          <w:bCs/>
        </w:rPr>
      </w:pPr>
    </w:p>
    <w:p w:rsidR="00932B44" w:rsidRDefault="00932B44" w:rsidP="00932B44">
      <w:pPr>
        <w:autoSpaceDE w:val="0"/>
        <w:autoSpaceDN w:val="0"/>
        <w:adjustRightInd w:val="0"/>
        <w:spacing w:after="0" w:line="240" w:lineRule="auto"/>
      </w:pPr>
      <w:r>
        <w:t>The kappa statistics are low and the agreement rates are moderate for numerators associated with CPT II codes reported for the PQRS incentive program. Abstractors found more evidence of the measure being met than the practice reported to CMS on their claims.</w:t>
      </w:r>
    </w:p>
    <w:p w:rsidR="00932B44" w:rsidRDefault="00932B44" w:rsidP="00932B44">
      <w:pPr>
        <w:autoSpaceDE w:val="0"/>
        <w:autoSpaceDN w:val="0"/>
        <w:adjustRightInd w:val="0"/>
        <w:spacing w:after="0" w:line="240" w:lineRule="auto"/>
      </w:pPr>
    </w:p>
    <w:p w:rsidR="00932B44" w:rsidRPr="006660F8" w:rsidRDefault="00932B44" w:rsidP="00932B44">
      <w:pPr>
        <w:autoSpaceDE w:val="0"/>
        <w:autoSpaceDN w:val="0"/>
        <w:adjustRightInd w:val="0"/>
        <w:spacing w:after="0" w:line="240" w:lineRule="auto"/>
        <w:rPr>
          <w:u w:val="single"/>
        </w:rPr>
      </w:pPr>
      <w:r w:rsidRPr="006660F8">
        <w:rPr>
          <w:u w:val="single"/>
        </w:rPr>
        <w:t>Gold Standard vs. EHR</w:t>
      </w:r>
    </w:p>
    <w:p w:rsidR="00932B44" w:rsidRDefault="00932B44" w:rsidP="00932B44">
      <w:pPr>
        <w:autoSpaceDE w:val="0"/>
        <w:autoSpaceDN w:val="0"/>
        <w:adjustRightInd w:val="0"/>
        <w:spacing w:after="0" w:line="240" w:lineRule="auto"/>
        <w:rPr>
          <w:rFonts w:cstheme="minorHAnsi"/>
          <w:bCs/>
        </w:rPr>
      </w:pPr>
      <w:r w:rsidRPr="00A25024">
        <w:rPr>
          <w:rFonts w:cstheme="minorHAnsi"/>
          <w:bCs/>
        </w:rPr>
        <w:br/>
      </w:r>
      <w:r>
        <w:rPr>
          <w:rFonts w:cstheme="minorHAnsi"/>
          <w:bCs/>
        </w:rPr>
        <w:t xml:space="preserve">The kappa statistic is moderate and the level of agreement high for the numerator captured from the EHR. </w:t>
      </w:r>
    </w:p>
    <w:p w:rsidR="00932B44" w:rsidRDefault="00932B44" w:rsidP="00932B44">
      <w:pPr>
        <w:autoSpaceDE w:val="0"/>
        <w:autoSpaceDN w:val="0"/>
        <w:adjustRightInd w:val="0"/>
        <w:spacing w:after="0" w:line="240" w:lineRule="auto"/>
        <w:rPr>
          <w:rFonts w:cstheme="minorHAnsi"/>
          <w:bCs/>
        </w:rPr>
      </w:pPr>
    </w:p>
    <w:p w:rsidR="00932B44" w:rsidRPr="00063125" w:rsidRDefault="00932B44" w:rsidP="00932B44">
      <w:pPr>
        <w:autoSpaceDE w:val="0"/>
        <w:autoSpaceDN w:val="0"/>
        <w:adjustRightInd w:val="0"/>
        <w:spacing w:after="0" w:line="240" w:lineRule="auto"/>
        <w:rPr>
          <w:rFonts w:cstheme="minorHAnsi"/>
          <w:bCs/>
          <w:u w:val="single"/>
        </w:rPr>
      </w:pPr>
      <w:r w:rsidRPr="00063125">
        <w:rPr>
          <w:rFonts w:cstheme="minorHAnsi"/>
          <w:bCs/>
          <w:u w:val="single"/>
        </w:rPr>
        <w:t>Scale for interpreting kappa statistic:</w:t>
      </w:r>
    </w:p>
    <w:p w:rsidR="00932B44" w:rsidRDefault="00932B44" w:rsidP="00932B44">
      <w:pPr>
        <w:autoSpaceDE w:val="0"/>
        <w:autoSpaceDN w:val="0"/>
        <w:adjustRightInd w:val="0"/>
        <w:spacing w:after="0" w:line="240" w:lineRule="auto"/>
        <w:rPr>
          <w:rFonts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5"/>
        <w:gridCol w:w="1693"/>
      </w:tblGrid>
      <w:tr w:rsidR="00932B44" w:rsidRPr="00063125" w:rsidTr="00E66390">
        <w:trPr>
          <w:trHeight w:val="110"/>
        </w:trPr>
        <w:tc>
          <w:tcPr>
            <w:tcW w:w="1475" w:type="dxa"/>
          </w:tcPr>
          <w:p w:rsidR="00932B44" w:rsidRPr="00063125" w:rsidRDefault="00932B44" w:rsidP="00E66390">
            <w:pPr>
              <w:autoSpaceDE w:val="0"/>
              <w:autoSpaceDN w:val="0"/>
              <w:adjustRightInd w:val="0"/>
              <w:spacing w:after="0" w:line="240" w:lineRule="auto"/>
              <w:rPr>
                <w:rFonts w:ascii="Calibri" w:hAnsi="Calibri" w:cs="Calibri"/>
                <w:color w:val="000000"/>
              </w:rPr>
            </w:pPr>
            <w:r>
              <w:rPr>
                <w:rFonts w:ascii="Calibri" w:hAnsi="Calibri" w:cs="Calibri"/>
                <w:color w:val="000000"/>
              </w:rPr>
              <w:t>Kappa</w:t>
            </w:r>
          </w:p>
        </w:tc>
        <w:tc>
          <w:tcPr>
            <w:tcW w:w="1693" w:type="dxa"/>
          </w:tcPr>
          <w:p w:rsidR="00932B44" w:rsidRPr="00063125" w:rsidRDefault="00932B44" w:rsidP="00E66390">
            <w:pPr>
              <w:autoSpaceDE w:val="0"/>
              <w:autoSpaceDN w:val="0"/>
              <w:adjustRightInd w:val="0"/>
              <w:spacing w:after="0" w:line="240" w:lineRule="auto"/>
              <w:rPr>
                <w:rFonts w:ascii="Calibri" w:hAnsi="Calibri" w:cs="Calibri"/>
                <w:color w:val="000000"/>
              </w:rPr>
            </w:pPr>
            <w:r>
              <w:rPr>
                <w:rFonts w:ascii="Calibri" w:hAnsi="Calibri" w:cs="Calibri"/>
                <w:color w:val="000000"/>
              </w:rPr>
              <w:t>Strength of Agreement</w:t>
            </w:r>
          </w:p>
        </w:tc>
      </w:tr>
      <w:tr w:rsidR="00932B44" w:rsidRPr="00063125" w:rsidTr="00E66390">
        <w:trPr>
          <w:trHeight w:val="110"/>
        </w:trPr>
        <w:tc>
          <w:tcPr>
            <w:tcW w:w="1475"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lastRenderedPageBreak/>
              <w:t xml:space="preserve">&lt;0.00 </w:t>
            </w:r>
          </w:p>
        </w:tc>
        <w:tc>
          <w:tcPr>
            <w:tcW w:w="1693"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Poor </w:t>
            </w:r>
          </w:p>
        </w:tc>
      </w:tr>
      <w:tr w:rsidR="00932B44" w:rsidRPr="00063125" w:rsidTr="00E66390">
        <w:trPr>
          <w:trHeight w:val="110"/>
        </w:trPr>
        <w:tc>
          <w:tcPr>
            <w:tcW w:w="1475"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0.01-0.20 </w:t>
            </w:r>
          </w:p>
        </w:tc>
        <w:tc>
          <w:tcPr>
            <w:tcW w:w="1693"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Slight </w:t>
            </w:r>
          </w:p>
        </w:tc>
      </w:tr>
      <w:tr w:rsidR="00932B44" w:rsidRPr="00063125" w:rsidTr="00E66390">
        <w:trPr>
          <w:trHeight w:val="110"/>
        </w:trPr>
        <w:tc>
          <w:tcPr>
            <w:tcW w:w="1475"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0.21-0.40 </w:t>
            </w:r>
          </w:p>
        </w:tc>
        <w:tc>
          <w:tcPr>
            <w:tcW w:w="1693"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Fair </w:t>
            </w:r>
          </w:p>
        </w:tc>
      </w:tr>
      <w:tr w:rsidR="00932B44" w:rsidRPr="00063125" w:rsidTr="00E66390">
        <w:trPr>
          <w:trHeight w:val="110"/>
        </w:trPr>
        <w:tc>
          <w:tcPr>
            <w:tcW w:w="1475"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0.41-0.60 </w:t>
            </w:r>
          </w:p>
        </w:tc>
        <w:tc>
          <w:tcPr>
            <w:tcW w:w="1693"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Moderate </w:t>
            </w:r>
          </w:p>
        </w:tc>
      </w:tr>
      <w:tr w:rsidR="00932B44" w:rsidRPr="00063125" w:rsidTr="00E66390">
        <w:trPr>
          <w:trHeight w:val="110"/>
        </w:trPr>
        <w:tc>
          <w:tcPr>
            <w:tcW w:w="1475"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0.61-0.80 </w:t>
            </w:r>
          </w:p>
        </w:tc>
        <w:tc>
          <w:tcPr>
            <w:tcW w:w="1693"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Substantial </w:t>
            </w:r>
          </w:p>
        </w:tc>
      </w:tr>
      <w:tr w:rsidR="00932B44" w:rsidRPr="00063125" w:rsidTr="00E66390">
        <w:trPr>
          <w:trHeight w:val="110"/>
        </w:trPr>
        <w:tc>
          <w:tcPr>
            <w:tcW w:w="1475"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0.81-1.00 </w:t>
            </w:r>
          </w:p>
        </w:tc>
        <w:tc>
          <w:tcPr>
            <w:tcW w:w="1693" w:type="dxa"/>
          </w:tcPr>
          <w:p w:rsidR="00932B44" w:rsidRPr="00063125" w:rsidRDefault="00932B44" w:rsidP="00E66390">
            <w:pPr>
              <w:autoSpaceDE w:val="0"/>
              <w:autoSpaceDN w:val="0"/>
              <w:adjustRightInd w:val="0"/>
              <w:spacing w:after="0" w:line="240" w:lineRule="auto"/>
              <w:rPr>
                <w:rFonts w:ascii="Calibri" w:hAnsi="Calibri" w:cs="Calibri"/>
                <w:color w:val="000000"/>
              </w:rPr>
            </w:pPr>
            <w:r w:rsidRPr="00063125">
              <w:rPr>
                <w:rFonts w:ascii="Calibri" w:hAnsi="Calibri" w:cs="Calibri"/>
                <w:color w:val="000000"/>
              </w:rPr>
              <w:t xml:space="preserve">Almost Perfect </w:t>
            </w:r>
          </w:p>
        </w:tc>
      </w:tr>
    </w:tbl>
    <w:p w:rsidR="00932B44" w:rsidRDefault="00932B44" w:rsidP="00932B44">
      <w:pPr>
        <w:autoSpaceDE w:val="0"/>
        <w:autoSpaceDN w:val="0"/>
        <w:adjustRightInd w:val="0"/>
        <w:spacing w:after="0" w:line="240" w:lineRule="auto"/>
        <w:rPr>
          <w:rFonts w:cstheme="minorHAnsi"/>
          <w:bCs/>
        </w:rPr>
      </w:pPr>
    </w:p>
    <w:p w:rsidR="00932B44" w:rsidRDefault="00932B44" w:rsidP="00932B44">
      <w:pPr>
        <w:autoSpaceDE w:val="0"/>
        <w:autoSpaceDN w:val="0"/>
        <w:adjustRightInd w:val="0"/>
        <w:spacing w:after="0" w:line="240" w:lineRule="auto"/>
        <w:rPr>
          <w:rFonts w:cstheme="minorHAnsi"/>
          <w:bCs/>
        </w:rPr>
      </w:pPr>
      <w:proofErr w:type="gramStart"/>
      <w:r>
        <w:t>Landis, JR and GG Koch.</w:t>
      </w:r>
      <w:proofErr w:type="gramEnd"/>
      <w:r>
        <w:t xml:space="preserve"> </w:t>
      </w:r>
      <w:proofErr w:type="gramStart"/>
      <w:r>
        <w:t>The Measurement of Observer Agreement for Categorical Data.</w:t>
      </w:r>
      <w:proofErr w:type="gramEnd"/>
      <w:r>
        <w:t xml:space="preserve"> </w:t>
      </w:r>
      <w:proofErr w:type="gramStart"/>
      <w:r>
        <w:rPr>
          <w:i/>
          <w:iCs/>
        </w:rPr>
        <w:t xml:space="preserve">Biometrics </w:t>
      </w:r>
      <w:r>
        <w:t>Vol 33.</w:t>
      </w:r>
      <w:proofErr w:type="gramEnd"/>
      <w:r>
        <w:t xml:space="preserve"> No1. March 1977. </w:t>
      </w:r>
      <w:proofErr w:type="gramStart"/>
      <w:r>
        <w:t>pp.159-174</w:t>
      </w:r>
      <w:proofErr w:type="gramEnd"/>
      <w:r>
        <w:t xml:space="preserve">.  </w:t>
      </w:r>
    </w:p>
    <w:p w:rsidR="007422FD" w:rsidRDefault="006660F8" w:rsidP="00DB3627">
      <w:pPr>
        <w:autoSpaceDE w:val="0"/>
        <w:autoSpaceDN w:val="0"/>
        <w:adjustRightInd w:val="0"/>
        <w:spacing w:after="0" w:line="240" w:lineRule="auto"/>
        <w:rPr>
          <w:rFonts w:cstheme="minorHAnsi"/>
          <w:bCs/>
        </w:rPr>
      </w:pPr>
      <w:r>
        <w:rPr>
          <w:rFonts w:cstheme="minorHAnsi"/>
          <w:bCs/>
        </w:rPr>
        <w:t xml:space="preserve"> </w:t>
      </w:r>
    </w:p>
    <w:p w:rsidR="003E6538" w:rsidRDefault="003E6538" w:rsidP="00DB3627">
      <w:pPr>
        <w:autoSpaceDE w:val="0"/>
        <w:autoSpaceDN w:val="0"/>
        <w:adjustRightInd w:val="0"/>
        <w:spacing w:after="0" w:line="240" w:lineRule="auto"/>
        <w:rPr>
          <w:rFonts w:cstheme="minorHAnsi"/>
          <w:bCs/>
        </w:rPr>
      </w:pPr>
    </w:p>
    <w:p w:rsidR="003E6538" w:rsidRDefault="003E6538" w:rsidP="003E6538">
      <w:pPr>
        <w:autoSpaceDE w:val="0"/>
        <w:autoSpaceDN w:val="0"/>
        <w:adjustRightInd w:val="0"/>
        <w:spacing w:after="0" w:line="240" w:lineRule="auto"/>
        <w:rPr>
          <w:rFonts w:cstheme="minorHAnsi"/>
          <w:bCs/>
          <w:u w:val="single"/>
        </w:rPr>
      </w:pPr>
      <w:r w:rsidRPr="008936E9">
        <w:rPr>
          <w:rFonts w:cstheme="minorHAnsi"/>
          <w:bCs/>
          <w:u w:val="single"/>
        </w:rPr>
        <w:t>Signal-to-noise Analysis:</w:t>
      </w:r>
    </w:p>
    <w:p w:rsidR="003E6538" w:rsidRDefault="003E6538" w:rsidP="003E6538">
      <w:pPr>
        <w:autoSpaceDE w:val="0"/>
        <w:autoSpaceDN w:val="0"/>
        <w:adjustRightInd w:val="0"/>
        <w:spacing w:after="0" w:line="240" w:lineRule="auto"/>
        <w:rPr>
          <w:rFonts w:cstheme="minorHAnsi"/>
          <w:bCs/>
        </w:rPr>
      </w:pPr>
    </w:p>
    <w:p w:rsidR="003E6538" w:rsidRDefault="003E6538" w:rsidP="003E6538">
      <w:pPr>
        <w:autoSpaceDE w:val="0"/>
        <w:autoSpaceDN w:val="0"/>
        <w:adjustRightInd w:val="0"/>
        <w:spacing w:after="0" w:line="240" w:lineRule="auto"/>
        <w:rPr>
          <w:rFonts w:cstheme="minorHAnsi"/>
          <w:bCs/>
        </w:rPr>
      </w:pPr>
      <w:r>
        <w:rPr>
          <w:rFonts w:cstheme="minorHAnsi"/>
          <w:bCs/>
        </w:rPr>
        <w:t>The results show that the reliability rate ranged from 0.46 to 1.0. Overall, the results show a high level of reliability indicating that differences in performance can be attributed real differences (signal).</w:t>
      </w:r>
    </w:p>
    <w:p w:rsidR="003E6538" w:rsidRPr="00A25024" w:rsidRDefault="003E6538" w:rsidP="00DB3627">
      <w:pPr>
        <w:autoSpaceDE w:val="0"/>
        <w:autoSpaceDN w:val="0"/>
        <w:adjustRightInd w:val="0"/>
        <w:spacing w:after="0" w:line="240" w:lineRule="auto"/>
        <w:rPr>
          <w:rFonts w:cstheme="minorHAnsi"/>
          <w:bCs/>
        </w:rPr>
      </w:pP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932B4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E23AB6"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932B4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E23AB6"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932B4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rsidR="00932B44" w:rsidRDefault="00932B44" w:rsidP="00932B44">
      <w:pPr>
        <w:autoSpaceDE w:val="0"/>
        <w:autoSpaceDN w:val="0"/>
        <w:adjustRightInd w:val="0"/>
        <w:spacing w:after="0" w:line="240" w:lineRule="auto"/>
        <w:rPr>
          <w:rFonts w:cstheme="minorHAnsi"/>
          <w:bCs/>
        </w:rPr>
      </w:pP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Face validity of the measure score as an indicator of quality was systematically assessed as follows.</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After the measure was fully specified, the expert panel was asked to rate their agreement with the following statement:</w:t>
      </w:r>
    </w:p>
    <w:p w:rsidR="00932B44" w:rsidRPr="00771B4B" w:rsidRDefault="00932B44" w:rsidP="00932B44">
      <w:pPr>
        <w:autoSpaceDE w:val="0"/>
        <w:autoSpaceDN w:val="0"/>
        <w:adjustRightInd w:val="0"/>
        <w:spacing w:after="0" w:line="240" w:lineRule="auto"/>
        <w:rPr>
          <w:rFonts w:cstheme="minorHAnsi"/>
          <w:bCs/>
        </w:rPr>
      </w:pP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The scores obtained from the measure as specified will provide an accurate reflection of quality and can be used to distinguish good and poor quality.</w:t>
      </w:r>
    </w:p>
    <w:p w:rsidR="00932B44" w:rsidRPr="00771B4B" w:rsidRDefault="00932B44" w:rsidP="00932B44">
      <w:pPr>
        <w:autoSpaceDE w:val="0"/>
        <w:autoSpaceDN w:val="0"/>
        <w:adjustRightInd w:val="0"/>
        <w:spacing w:after="0" w:line="240" w:lineRule="auto"/>
        <w:rPr>
          <w:rFonts w:cstheme="minorHAnsi"/>
          <w:bCs/>
        </w:rPr>
      </w:pP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 xml:space="preserve">Scale 1-5, where 1= Strongly Disagree; 3= </w:t>
      </w:r>
      <w:proofErr w:type="gramStart"/>
      <w:r w:rsidRPr="00771B4B">
        <w:rPr>
          <w:rFonts w:cstheme="minorHAnsi"/>
          <w:bCs/>
        </w:rPr>
        <w:t>Neither</w:t>
      </w:r>
      <w:proofErr w:type="gramEnd"/>
      <w:r w:rsidRPr="00771B4B">
        <w:rPr>
          <w:rFonts w:cstheme="minorHAnsi"/>
          <w:bCs/>
        </w:rPr>
        <w:t xml:space="preserve"> Agree nor Disagree; 5= Strongly Agree</w:t>
      </w:r>
    </w:p>
    <w:p w:rsidR="00932B44" w:rsidRPr="00771B4B" w:rsidRDefault="00932B44" w:rsidP="00932B44">
      <w:pPr>
        <w:autoSpaceDE w:val="0"/>
        <w:autoSpaceDN w:val="0"/>
        <w:adjustRightInd w:val="0"/>
        <w:spacing w:after="0" w:line="240" w:lineRule="auto"/>
        <w:rPr>
          <w:rFonts w:cstheme="minorHAnsi"/>
          <w:bCs/>
        </w:rPr>
      </w:pP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Expert Panel</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 xml:space="preserve">Our expert panel included 16 members. The list of expert panel members is as follows: </w:t>
      </w:r>
    </w:p>
    <w:p w:rsidR="00932B44" w:rsidRPr="00771B4B" w:rsidRDefault="00932B44" w:rsidP="00932B44">
      <w:pPr>
        <w:autoSpaceDE w:val="0"/>
        <w:autoSpaceDN w:val="0"/>
        <w:adjustRightInd w:val="0"/>
        <w:spacing w:after="0" w:line="240" w:lineRule="auto"/>
        <w:rPr>
          <w:rFonts w:cstheme="minorHAnsi"/>
          <w:bCs/>
        </w:rPr>
      </w:pP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 xml:space="preserve">Gregory </w:t>
      </w:r>
      <w:proofErr w:type="spellStart"/>
      <w:r w:rsidRPr="00771B4B">
        <w:rPr>
          <w:rFonts w:cstheme="minorHAnsi"/>
          <w:bCs/>
        </w:rPr>
        <w:t>Kwasny</w:t>
      </w:r>
      <w:proofErr w:type="spellEnd"/>
      <w:r w:rsidRPr="00771B4B">
        <w:rPr>
          <w:rFonts w:cstheme="minorHAnsi"/>
          <w:bCs/>
        </w:rPr>
        <w:t>,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David J. Forster,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lastRenderedPageBreak/>
        <w:t>John McAllister,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 xml:space="preserve">David B. </w:t>
      </w:r>
      <w:proofErr w:type="spellStart"/>
      <w:r w:rsidRPr="00771B4B">
        <w:rPr>
          <w:rFonts w:cstheme="minorHAnsi"/>
          <w:bCs/>
        </w:rPr>
        <w:t>Glasser</w:t>
      </w:r>
      <w:proofErr w:type="spellEnd"/>
      <w:r w:rsidRPr="00771B4B">
        <w:rPr>
          <w:rFonts w:cstheme="minorHAnsi"/>
          <w:bCs/>
        </w:rPr>
        <w:t>,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Michael Repka, MD</w:t>
      </w:r>
    </w:p>
    <w:p w:rsidR="00932B44" w:rsidRPr="00771B4B" w:rsidRDefault="00932B44" w:rsidP="00932B44">
      <w:pPr>
        <w:autoSpaceDE w:val="0"/>
        <w:autoSpaceDN w:val="0"/>
        <w:adjustRightInd w:val="0"/>
        <w:spacing w:after="0" w:line="240" w:lineRule="auto"/>
        <w:rPr>
          <w:rFonts w:cstheme="minorHAnsi"/>
          <w:bCs/>
        </w:rPr>
      </w:pPr>
      <w:proofErr w:type="spellStart"/>
      <w:r w:rsidRPr="00771B4B">
        <w:rPr>
          <w:rFonts w:cstheme="minorHAnsi"/>
          <w:bCs/>
        </w:rPr>
        <w:t>Trexler</w:t>
      </w:r>
      <w:proofErr w:type="spellEnd"/>
      <w:r w:rsidRPr="00771B4B">
        <w:rPr>
          <w:rFonts w:cstheme="minorHAnsi"/>
          <w:bCs/>
        </w:rPr>
        <w:t xml:space="preserve"> M. Topping,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Jeffrey P. Edelstein,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Sonya Shah,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John M. Haley,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George Williams,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 xml:space="preserve">Joseph </w:t>
      </w:r>
      <w:proofErr w:type="spellStart"/>
      <w:r w:rsidRPr="00771B4B">
        <w:rPr>
          <w:rFonts w:cstheme="minorHAnsi"/>
          <w:bCs/>
        </w:rPr>
        <w:t>LoCascio</w:t>
      </w:r>
      <w:proofErr w:type="spellEnd"/>
      <w:r w:rsidRPr="00771B4B">
        <w:rPr>
          <w:rFonts w:cstheme="minorHAnsi"/>
          <w:bCs/>
        </w:rPr>
        <w:t>,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Cynthia Mattox,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 xml:space="preserve">Daniel </w:t>
      </w:r>
      <w:proofErr w:type="spellStart"/>
      <w:r w:rsidRPr="00771B4B">
        <w:rPr>
          <w:rFonts w:cstheme="minorHAnsi"/>
          <w:bCs/>
        </w:rPr>
        <w:t>Briceland</w:t>
      </w:r>
      <w:proofErr w:type="spellEnd"/>
      <w:r w:rsidRPr="00771B4B">
        <w:rPr>
          <w:rFonts w:cstheme="minorHAnsi"/>
          <w:bCs/>
        </w:rPr>
        <w:t>,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Kristin Carter, MD</w:t>
      </w:r>
    </w:p>
    <w:p w:rsidR="00932B44" w:rsidRPr="00771B4B" w:rsidRDefault="00932B44" w:rsidP="00932B44">
      <w:pPr>
        <w:autoSpaceDE w:val="0"/>
        <w:autoSpaceDN w:val="0"/>
        <w:adjustRightInd w:val="0"/>
        <w:spacing w:after="0" w:line="240" w:lineRule="auto"/>
        <w:rPr>
          <w:rFonts w:cstheme="minorHAnsi"/>
          <w:bCs/>
        </w:rPr>
      </w:pPr>
      <w:r w:rsidRPr="00771B4B">
        <w:rPr>
          <w:rFonts w:cstheme="minorHAnsi"/>
          <w:bCs/>
        </w:rPr>
        <w:t xml:space="preserve">Craig </w:t>
      </w:r>
      <w:proofErr w:type="spellStart"/>
      <w:r w:rsidRPr="00771B4B">
        <w:rPr>
          <w:rFonts w:cstheme="minorHAnsi"/>
          <w:bCs/>
        </w:rPr>
        <w:t>Kliger</w:t>
      </w:r>
      <w:proofErr w:type="spellEnd"/>
      <w:r w:rsidRPr="00771B4B">
        <w:rPr>
          <w:rFonts w:cstheme="minorHAnsi"/>
          <w:bCs/>
        </w:rPr>
        <w:t>, MD</w:t>
      </w:r>
    </w:p>
    <w:p w:rsidR="00932B44" w:rsidRDefault="00932B44" w:rsidP="00932B44">
      <w:pPr>
        <w:autoSpaceDE w:val="0"/>
        <w:autoSpaceDN w:val="0"/>
        <w:adjustRightInd w:val="0"/>
        <w:spacing w:after="0" w:line="240" w:lineRule="auto"/>
        <w:rPr>
          <w:rFonts w:cstheme="minorHAnsi"/>
          <w:bCs/>
        </w:rPr>
      </w:pPr>
      <w:r w:rsidRPr="00771B4B">
        <w:rPr>
          <w:rFonts w:cstheme="minorHAnsi"/>
          <w:bCs/>
        </w:rPr>
        <w:t xml:space="preserve">Bradley </w:t>
      </w:r>
      <w:proofErr w:type="spellStart"/>
      <w:r w:rsidRPr="00771B4B">
        <w:rPr>
          <w:rFonts w:cstheme="minorHAnsi"/>
          <w:bCs/>
        </w:rPr>
        <w:t>Fouraker</w:t>
      </w:r>
      <w:proofErr w:type="spellEnd"/>
      <w:r w:rsidRPr="00771B4B">
        <w:rPr>
          <w:rFonts w:cstheme="minorHAnsi"/>
          <w:bCs/>
        </w:rPr>
        <w:t>, MD</w:t>
      </w:r>
    </w:p>
    <w:p w:rsidR="00932B44" w:rsidRDefault="00932B44" w:rsidP="00DB3627">
      <w:pPr>
        <w:autoSpaceDE w:val="0"/>
        <w:autoSpaceDN w:val="0"/>
        <w:adjustRightInd w:val="0"/>
        <w:spacing w:after="0" w:line="240" w:lineRule="auto"/>
        <w:rPr>
          <w:rFonts w:cstheme="minorHAnsi"/>
          <w:bCs/>
        </w:rPr>
      </w:pPr>
    </w:p>
    <w:p w:rsidR="00932B44" w:rsidRPr="00932B44" w:rsidRDefault="00092566" w:rsidP="00932B44">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rsidR="00932B44" w:rsidRPr="00932B44" w:rsidRDefault="00932B44" w:rsidP="00932B44">
      <w:pPr>
        <w:autoSpaceDE w:val="0"/>
        <w:autoSpaceDN w:val="0"/>
        <w:adjustRightInd w:val="0"/>
        <w:spacing w:after="0" w:line="240" w:lineRule="auto"/>
        <w:rPr>
          <w:rFonts w:cstheme="minorHAnsi"/>
          <w:bCs/>
        </w:rPr>
      </w:pPr>
      <w:r w:rsidRPr="00932B44">
        <w:rPr>
          <w:rFonts w:cstheme="minorHAnsi"/>
          <w:bCs/>
        </w:rPr>
        <w:t>The results of the expert panel rating of the validity statement were as follows:  N = 16; Mean rating = 4.13 and 81.25% of respondents either agree or strongly agree that this measure can accurately distinguish good and poor quality.</w:t>
      </w:r>
    </w:p>
    <w:p w:rsidR="00932B44" w:rsidRPr="00932B44" w:rsidRDefault="00932B44" w:rsidP="00932B44">
      <w:pPr>
        <w:autoSpaceDE w:val="0"/>
        <w:autoSpaceDN w:val="0"/>
        <w:adjustRightInd w:val="0"/>
        <w:spacing w:after="0" w:line="240" w:lineRule="auto"/>
        <w:rPr>
          <w:rFonts w:cstheme="minorHAnsi"/>
          <w:bCs/>
        </w:rPr>
      </w:pPr>
    </w:p>
    <w:p w:rsidR="00932B44" w:rsidRPr="00932B44" w:rsidRDefault="00932B44" w:rsidP="00932B44">
      <w:pPr>
        <w:autoSpaceDE w:val="0"/>
        <w:autoSpaceDN w:val="0"/>
        <w:adjustRightInd w:val="0"/>
        <w:spacing w:after="0" w:line="240" w:lineRule="auto"/>
        <w:rPr>
          <w:rFonts w:cstheme="minorHAnsi"/>
          <w:bCs/>
        </w:rPr>
      </w:pPr>
      <w:r w:rsidRPr="00932B44">
        <w:rPr>
          <w:rFonts w:cstheme="minorHAnsi"/>
          <w:bCs/>
        </w:rPr>
        <w:t>Frequency Distribution of Ratings</w:t>
      </w:r>
    </w:p>
    <w:p w:rsidR="00932B44" w:rsidRPr="00932B44" w:rsidRDefault="00932B44" w:rsidP="00932B44">
      <w:pPr>
        <w:autoSpaceDE w:val="0"/>
        <w:autoSpaceDN w:val="0"/>
        <w:adjustRightInd w:val="0"/>
        <w:spacing w:after="0" w:line="240" w:lineRule="auto"/>
        <w:rPr>
          <w:rFonts w:cstheme="minorHAnsi"/>
          <w:bCs/>
        </w:rPr>
      </w:pPr>
      <w:r w:rsidRPr="00932B44">
        <w:rPr>
          <w:rFonts w:cstheme="minorHAnsi"/>
          <w:bCs/>
        </w:rPr>
        <w:t>1 – 0 responses (Strongly Disagree)</w:t>
      </w:r>
    </w:p>
    <w:p w:rsidR="00932B44" w:rsidRPr="00932B44" w:rsidRDefault="00932B44" w:rsidP="00932B44">
      <w:pPr>
        <w:autoSpaceDE w:val="0"/>
        <w:autoSpaceDN w:val="0"/>
        <w:adjustRightInd w:val="0"/>
        <w:spacing w:after="0" w:line="240" w:lineRule="auto"/>
        <w:rPr>
          <w:rFonts w:cstheme="minorHAnsi"/>
          <w:bCs/>
        </w:rPr>
      </w:pPr>
      <w:r w:rsidRPr="00932B44">
        <w:rPr>
          <w:rFonts w:cstheme="minorHAnsi"/>
          <w:bCs/>
        </w:rPr>
        <w:t xml:space="preserve">2 – 2 responses </w:t>
      </w:r>
    </w:p>
    <w:p w:rsidR="00932B44" w:rsidRPr="00932B44" w:rsidRDefault="00932B44" w:rsidP="00932B44">
      <w:pPr>
        <w:autoSpaceDE w:val="0"/>
        <w:autoSpaceDN w:val="0"/>
        <w:adjustRightInd w:val="0"/>
        <w:spacing w:after="0" w:line="240" w:lineRule="auto"/>
        <w:rPr>
          <w:rFonts w:cstheme="minorHAnsi"/>
          <w:bCs/>
        </w:rPr>
      </w:pPr>
      <w:r w:rsidRPr="00932B44">
        <w:rPr>
          <w:rFonts w:cstheme="minorHAnsi"/>
          <w:bCs/>
        </w:rPr>
        <w:t xml:space="preserve">3 – 1 </w:t>
      </w:r>
      <w:proofErr w:type="gramStart"/>
      <w:r w:rsidRPr="00932B44">
        <w:rPr>
          <w:rFonts w:cstheme="minorHAnsi"/>
          <w:bCs/>
        </w:rPr>
        <w:t>response (</w:t>
      </w:r>
      <w:proofErr w:type="gramEnd"/>
      <w:r w:rsidRPr="00932B44">
        <w:rPr>
          <w:rFonts w:cstheme="minorHAnsi"/>
          <w:bCs/>
        </w:rPr>
        <w:t>Neither Agree nor Disagree)</w:t>
      </w:r>
    </w:p>
    <w:p w:rsidR="00932B44" w:rsidRPr="00932B44" w:rsidRDefault="00932B44" w:rsidP="00932B44">
      <w:pPr>
        <w:autoSpaceDE w:val="0"/>
        <w:autoSpaceDN w:val="0"/>
        <w:adjustRightInd w:val="0"/>
        <w:spacing w:after="0" w:line="240" w:lineRule="auto"/>
        <w:rPr>
          <w:rFonts w:cstheme="minorHAnsi"/>
          <w:bCs/>
        </w:rPr>
      </w:pPr>
      <w:r w:rsidRPr="00932B44">
        <w:rPr>
          <w:rFonts w:cstheme="minorHAnsi"/>
          <w:bCs/>
        </w:rPr>
        <w:t xml:space="preserve">4 – 6 responses </w:t>
      </w:r>
    </w:p>
    <w:p w:rsidR="00932B44" w:rsidRDefault="00932B44" w:rsidP="00932B44">
      <w:pPr>
        <w:autoSpaceDE w:val="0"/>
        <w:autoSpaceDN w:val="0"/>
        <w:adjustRightInd w:val="0"/>
        <w:spacing w:after="0" w:line="240" w:lineRule="auto"/>
        <w:rPr>
          <w:rFonts w:cstheme="minorHAnsi"/>
          <w:bCs/>
        </w:rPr>
      </w:pPr>
      <w:r w:rsidRPr="00932B44">
        <w:rPr>
          <w:rFonts w:cstheme="minorHAnsi"/>
          <w:bCs/>
        </w:rPr>
        <w:t>5 – 7 responses (Strongly Agree)</w:t>
      </w:r>
    </w:p>
    <w:p w:rsidR="00DE60C8" w:rsidRPr="00092566" w:rsidRDefault="00DE60C8" w:rsidP="00092566">
      <w:pPr>
        <w:autoSpaceDE w:val="0"/>
        <w:autoSpaceDN w:val="0"/>
        <w:adjustRightInd w:val="0"/>
        <w:spacing w:after="0" w:line="240" w:lineRule="auto"/>
        <w:rPr>
          <w:rFonts w:cstheme="minorHAnsi"/>
          <w:bCs/>
        </w:rPr>
      </w:pPr>
    </w:p>
    <w:p w:rsidR="00932B4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rsidR="00932B44" w:rsidRDefault="00932B44" w:rsidP="00DB3627">
      <w:pPr>
        <w:autoSpaceDE w:val="0"/>
        <w:autoSpaceDN w:val="0"/>
        <w:adjustRightInd w:val="0"/>
        <w:spacing w:after="0" w:line="240" w:lineRule="auto"/>
        <w:rPr>
          <w:rFonts w:cstheme="minorHAnsi"/>
          <w:bCs/>
        </w:rPr>
      </w:pPr>
    </w:p>
    <w:p w:rsidR="00932B44" w:rsidRPr="0047017A" w:rsidRDefault="00932B44" w:rsidP="00932B44">
      <w:pPr>
        <w:tabs>
          <w:tab w:val="left" w:pos="330"/>
        </w:tabs>
        <w:rPr>
          <w:rFonts w:eastAsia="Times New Roman"/>
        </w:rPr>
      </w:pPr>
      <w:r>
        <w:rPr>
          <w:rFonts w:cstheme="minorHAnsi"/>
          <w:bCs/>
        </w:rPr>
        <w:t xml:space="preserve">The expert panel supported that the measure, as specified, would accurately </w:t>
      </w:r>
      <w:r>
        <w:rPr>
          <w:rFonts w:eastAsia="Times New Roman"/>
        </w:rPr>
        <w:t xml:space="preserve">reflect </w:t>
      </w:r>
      <w:r w:rsidRPr="0047017A">
        <w:rPr>
          <w:rFonts w:eastAsia="Times New Roman"/>
        </w:rPr>
        <w:t>quality</w:t>
      </w:r>
      <w:r>
        <w:rPr>
          <w:rFonts w:eastAsia="Times New Roman"/>
        </w:rPr>
        <w:t xml:space="preserve"> of care</w:t>
      </w:r>
      <w:r w:rsidRPr="0047017A">
        <w:rPr>
          <w:rFonts w:eastAsia="Times New Roman"/>
        </w:rPr>
        <w:t xml:space="preserve"> and </w:t>
      </w:r>
      <w:r>
        <w:rPr>
          <w:rFonts w:eastAsia="Times New Roman"/>
        </w:rPr>
        <w:t>could</w:t>
      </w:r>
      <w:r w:rsidRPr="0047017A">
        <w:rPr>
          <w:rFonts w:eastAsia="Times New Roman"/>
        </w:rPr>
        <w:t xml:space="preserve"> be used to distinguish good and poor quality.</w:t>
      </w:r>
    </w:p>
    <w:p w:rsidR="008A403A" w:rsidRPr="00A25024" w:rsidRDefault="00483E94" w:rsidP="00150A7F">
      <w:pPr>
        <w:autoSpaceDE w:val="0"/>
        <w:autoSpaceDN w:val="0"/>
        <w:adjustRightInd w:val="0"/>
        <w:spacing w:after="0" w:line="240" w:lineRule="auto"/>
        <w:rPr>
          <w:rFonts w:cstheme="minorHAnsi"/>
          <w:bCs/>
        </w:rPr>
      </w:pPr>
      <w:r>
        <w:rPr>
          <w:rFonts w:cstheme="minorHAnsi"/>
          <w:bCs/>
        </w:rPr>
        <w:t>_________________________</w:t>
      </w:r>
    </w:p>
    <w:p w:rsidR="00097012" w:rsidRPr="00D7504E" w:rsidRDefault="00021170" w:rsidP="00DB3627">
      <w:pPr>
        <w:autoSpaceDE w:val="0"/>
        <w:autoSpaceDN w:val="0"/>
        <w:adjustRightInd w:val="0"/>
        <w:spacing w:after="0" w:line="240" w:lineRule="auto"/>
        <w:rPr>
          <w:rFonts w:cstheme="minorHAnsi"/>
          <w:b/>
          <w:bCs/>
          <w:highlight w:val="lightGray"/>
        </w:rPr>
      </w:pPr>
      <w:r w:rsidRPr="00D7504E">
        <w:rPr>
          <w:rFonts w:cstheme="minorHAnsi"/>
          <w:b/>
          <w:bCs/>
          <w:highlight w:val="lightGray"/>
        </w:rPr>
        <w:t>2</w:t>
      </w:r>
      <w:r w:rsidR="00EA5F47" w:rsidRPr="00D7504E">
        <w:rPr>
          <w:rFonts w:cstheme="minorHAnsi"/>
          <w:b/>
          <w:bCs/>
          <w:highlight w:val="lightGray"/>
        </w:rPr>
        <w:t>b</w:t>
      </w:r>
      <w:r w:rsidRPr="00D7504E">
        <w:rPr>
          <w:rFonts w:cstheme="minorHAnsi"/>
          <w:b/>
          <w:bCs/>
          <w:highlight w:val="lightGray"/>
        </w:rPr>
        <w:t>3. EXCLUSIONS</w:t>
      </w:r>
      <w:r w:rsidR="005333CC" w:rsidRPr="00D7504E">
        <w:rPr>
          <w:rFonts w:cstheme="minorHAnsi"/>
          <w:b/>
          <w:bCs/>
          <w:highlight w:val="lightGray"/>
        </w:rPr>
        <w:t xml:space="preserve"> </w:t>
      </w:r>
      <w:r w:rsidR="00356BAD" w:rsidRPr="00D7504E">
        <w:rPr>
          <w:rFonts w:cstheme="minorHAnsi"/>
          <w:b/>
          <w:bCs/>
          <w:highlight w:val="lightGray"/>
        </w:rPr>
        <w:t>ANALYSIS</w:t>
      </w:r>
    </w:p>
    <w:p w:rsidR="00B037BA" w:rsidRPr="00D7504E" w:rsidRDefault="001E4DD4" w:rsidP="00DB3627">
      <w:pPr>
        <w:autoSpaceDE w:val="0"/>
        <w:autoSpaceDN w:val="0"/>
        <w:adjustRightInd w:val="0"/>
        <w:spacing w:after="0" w:line="240" w:lineRule="auto"/>
        <w:rPr>
          <w:rFonts w:cstheme="minorHAnsi"/>
          <w:b/>
          <w:bCs/>
          <w:highlight w:val="lightGray"/>
        </w:rPr>
      </w:pPr>
      <w:r w:rsidRPr="00D7504E">
        <w:rPr>
          <w:rFonts w:eastAsia="MS Gothic" w:cstheme="minorHAnsi"/>
          <w:b/>
          <w:bCs/>
          <w:highlight w:val="lightGray"/>
        </w:rPr>
        <w:t>NA</w:t>
      </w:r>
      <w:r w:rsidRPr="00D7504E">
        <w:rPr>
          <w:rFonts w:eastAsia="MS Gothic" w:cstheme="minorHAnsi"/>
          <w:b/>
          <w:bCs/>
          <w:color w:val="0000FF"/>
          <w:highlight w:val="lightGray"/>
        </w:rPr>
        <w:t xml:space="preserve"> </w:t>
      </w:r>
      <w:sdt>
        <w:sdtPr>
          <w:rPr>
            <w:rFonts w:cstheme="minorHAnsi"/>
            <w:bCs/>
            <w:color w:val="0000FF"/>
            <w:highlight w:val="lightGray"/>
          </w:rPr>
          <w:id w:val="854622499"/>
          <w14:checkbox>
            <w14:checked w14:val="1"/>
            <w14:checkedState w14:val="2612" w14:font="MS Gothic"/>
            <w14:uncheckedState w14:val="2610" w14:font="MS Gothic"/>
          </w14:checkbox>
        </w:sdtPr>
        <w:sdtEndPr/>
        <w:sdtContent>
          <w:r w:rsidR="006660F8" w:rsidRPr="00D7504E">
            <w:rPr>
              <w:rFonts w:ascii="MS Gothic" w:eastAsia="MS Gothic" w:hAnsi="MS Gothic" w:cstheme="minorHAnsi" w:hint="eastAsia"/>
              <w:bCs/>
              <w:color w:val="0000FF"/>
              <w:highlight w:val="lightGray"/>
            </w:rPr>
            <w:t>☒</w:t>
          </w:r>
        </w:sdtContent>
      </w:sdt>
      <w:r w:rsidRPr="00D7504E">
        <w:rPr>
          <w:rFonts w:eastAsia="MS Gothic" w:cstheme="minorHAnsi"/>
          <w:b/>
          <w:bCs/>
          <w:color w:val="0000FF"/>
          <w:highlight w:val="lightGray"/>
        </w:rPr>
        <w:t xml:space="preserve"> </w:t>
      </w:r>
      <w:r w:rsidR="00484120" w:rsidRPr="00D7504E">
        <w:rPr>
          <w:rFonts w:cstheme="minorHAnsi"/>
          <w:b/>
          <w:bCs/>
          <w:highlight w:val="lightGray"/>
        </w:rPr>
        <w:t>no exclusions</w:t>
      </w:r>
      <w:r w:rsidRPr="00D7504E">
        <w:rPr>
          <w:rFonts w:cstheme="minorHAnsi"/>
          <w:b/>
          <w:bCs/>
          <w:highlight w:val="lightGray"/>
        </w:rPr>
        <w:t xml:space="preserve"> </w:t>
      </w:r>
      <w:r w:rsidRPr="00D7504E">
        <w:rPr>
          <w:rFonts w:eastAsia="MS Gothic" w:cstheme="minorHAnsi"/>
          <w:b/>
          <w:bCs/>
          <w:color w:val="0000FF"/>
          <w:highlight w:val="lightGray"/>
        </w:rPr>
        <w:t>—</w:t>
      </w:r>
      <w:r w:rsidRPr="00D7504E">
        <w:rPr>
          <w:rFonts w:cstheme="minorHAnsi"/>
          <w:b/>
          <w:bCs/>
          <w:i/>
          <w:highlight w:val="lightGray"/>
        </w:rPr>
        <w:t xml:space="preserve"> </w:t>
      </w:r>
      <w:r w:rsidR="00B037BA" w:rsidRPr="00D7504E">
        <w:rPr>
          <w:rFonts w:cstheme="minorHAnsi"/>
          <w:b/>
          <w:bCs/>
          <w:i/>
          <w:highlight w:val="lightGray"/>
        </w:rPr>
        <w:t xml:space="preserve">skip </w:t>
      </w:r>
      <w:r w:rsidR="008A4C13" w:rsidRPr="00D7504E">
        <w:rPr>
          <w:rFonts w:cstheme="minorHAnsi"/>
          <w:b/>
          <w:bCs/>
          <w:i/>
          <w:highlight w:val="lightGray"/>
        </w:rPr>
        <w:t xml:space="preserve">to </w:t>
      </w:r>
      <w:r w:rsidR="00BE592D" w:rsidRPr="00D7504E">
        <w:rPr>
          <w:rFonts w:cstheme="minorHAnsi"/>
          <w:b/>
          <w:bCs/>
          <w:i/>
          <w:highlight w:val="lightGray"/>
        </w:rPr>
        <w:t xml:space="preserve">section </w:t>
      </w:r>
      <w:hyperlink w:anchor="section2b4" w:history="1">
        <w:r w:rsidR="00483E94" w:rsidRPr="00D7504E">
          <w:rPr>
            <w:rStyle w:val="Hyperlink"/>
            <w:rFonts w:cstheme="minorHAnsi"/>
            <w:b/>
            <w:bCs/>
            <w:i/>
            <w:highlight w:val="lightGray"/>
          </w:rPr>
          <w:t>2b</w:t>
        </w:r>
        <w:r w:rsidR="00AC1D8E" w:rsidRPr="00D7504E">
          <w:rPr>
            <w:rStyle w:val="Hyperlink"/>
            <w:rFonts w:cstheme="minorHAnsi"/>
            <w:b/>
            <w:bCs/>
            <w:i/>
            <w:highlight w:val="lightGray"/>
          </w:rPr>
          <w:t>4</w:t>
        </w:r>
      </w:hyperlink>
    </w:p>
    <w:p w:rsidR="00001D73" w:rsidRPr="00D7504E" w:rsidRDefault="00001D73" w:rsidP="00DB3627">
      <w:pPr>
        <w:autoSpaceDE w:val="0"/>
        <w:autoSpaceDN w:val="0"/>
        <w:adjustRightInd w:val="0"/>
        <w:spacing w:after="0" w:line="240" w:lineRule="auto"/>
        <w:rPr>
          <w:rFonts w:cstheme="minorHAnsi"/>
          <w:b/>
          <w:bCs/>
          <w:highlight w:val="lightGray"/>
        </w:rPr>
      </w:pPr>
    </w:p>
    <w:p w:rsidR="00833325" w:rsidRPr="00D7504E" w:rsidRDefault="00092566" w:rsidP="00DB3627">
      <w:pPr>
        <w:autoSpaceDE w:val="0"/>
        <w:autoSpaceDN w:val="0"/>
        <w:adjustRightInd w:val="0"/>
        <w:spacing w:after="0" w:line="240" w:lineRule="auto"/>
        <w:rPr>
          <w:rFonts w:cstheme="minorHAnsi"/>
          <w:bCs/>
          <w:highlight w:val="lightGray"/>
        </w:rPr>
      </w:pPr>
      <w:r w:rsidRPr="00D7504E">
        <w:rPr>
          <w:rFonts w:cstheme="minorHAnsi"/>
          <w:b/>
          <w:bCs/>
          <w:highlight w:val="lightGray"/>
        </w:rPr>
        <w:t>2b3.</w:t>
      </w:r>
      <w:r w:rsidR="00A25024" w:rsidRPr="00D7504E">
        <w:rPr>
          <w:rFonts w:cstheme="minorHAnsi"/>
          <w:b/>
          <w:bCs/>
          <w:highlight w:val="lightGray"/>
        </w:rPr>
        <w:t>1. Describe the method of</w:t>
      </w:r>
      <w:r w:rsidR="00E672D6" w:rsidRPr="00D7504E">
        <w:rPr>
          <w:rFonts w:cstheme="minorHAnsi"/>
          <w:b/>
          <w:bCs/>
          <w:highlight w:val="lightGray"/>
        </w:rPr>
        <w:t xml:space="preserve"> </w:t>
      </w:r>
      <w:r w:rsidR="005333CC" w:rsidRPr="00D7504E">
        <w:rPr>
          <w:rFonts w:cstheme="minorHAnsi"/>
          <w:b/>
          <w:bCs/>
          <w:highlight w:val="lightGray"/>
        </w:rPr>
        <w:t>testing</w:t>
      </w:r>
      <w:r w:rsidR="00833325" w:rsidRPr="00D7504E">
        <w:rPr>
          <w:rFonts w:cstheme="minorHAnsi"/>
          <w:b/>
          <w:bCs/>
          <w:highlight w:val="lightGray"/>
        </w:rPr>
        <w:t xml:space="preserve"> </w:t>
      </w:r>
      <w:r w:rsidR="004B6CEE" w:rsidRPr="00D7504E">
        <w:rPr>
          <w:rFonts w:cstheme="minorHAnsi"/>
          <w:b/>
          <w:bCs/>
          <w:highlight w:val="lightGray"/>
        </w:rPr>
        <w:t xml:space="preserve">exclusions </w:t>
      </w:r>
      <w:r w:rsidR="00A25024" w:rsidRPr="00D7504E">
        <w:rPr>
          <w:rFonts w:cstheme="minorHAnsi"/>
          <w:b/>
          <w:bCs/>
          <w:highlight w:val="lightGray"/>
        </w:rPr>
        <w:t>and what it tests</w:t>
      </w:r>
      <w:r w:rsidR="00833325" w:rsidRPr="00D7504E">
        <w:rPr>
          <w:rFonts w:cstheme="minorHAnsi"/>
          <w:bCs/>
          <w:highlight w:val="lightGray"/>
        </w:rPr>
        <w:t xml:space="preserve"> (</w:t>
      </w:r>
      <w:r w:rsidR="00A25024" w:rsidRPr="00D7504E">
        <w:rPr>
          <w:rFonts w:cstheme="minorHAnsi"/>
          <w:bCs/>
          <w:i/>
          <w:highlight w:val="lightGray"/>
        </w:rPr>
        <w:t>describe the steps―do not just name a method; what was tested, e.g., whether exclusions affect overall performance scores</w:t>
      </w:r>
      <w:r w:rsidR="0022691B" w:rsidRPr="00D7504E">
        <w:rPr>
          <w:rFonts w:cstheme="minorHAnsi"/>
          <w:bCs/>
          <w:i/>
          <w:highlight w:val="lightGray"/>
        </w:rPr>
        <w:t>; what statistical analysis was used</w:t>
      </w:r>
      <w:r w:rsidR="00833325" w:rsidRPr="00D7504E">
        <w:rPr>
          <w:rFonts w:cstheme="minorHAnsi"/>
          <w:bCs/>
          <w:highlight w:val="lightGray"/>
        </w:rPr>
        <w:t>)</w:t>
      </w:r>
      <w:r w:rsidR="00833325" w:rsidRPr="00D7504E">
        <w:rPr>
          <w:rFonts w:cstheme="minorHAnsi"/>
          <w:bCs/>
          <w:highlight w:val="lightGray"/>
        </w:rPr>
        <w:br/>
        <w:t xml:space="preserve"> </w:t>
      </w:r>
    </w:p>
    <w:p w:rsidR="00833325" w:rsidRPr="00D7504E" w:rsidRDefault="00833325" w:rsidP="00DB3627">
      <w:pPr>
        <w:autoSpaceDE w:val="0"/>
        <w:autoSpaceDN w:val="0"/>
        <w:adjustRightInd w:val="0"/>
        <w:spacing w:after="0" w:line="240" w:lineRule="auto"/>
        <w:rPr>
          <w:rFonts w:cstheme="minorHAnsi"/>
          <w:bCs/>
          <w:highlight w:val="lightGray"/>
        </w:rPr>
      </w:pPr>
    </w:p>
    <w:p w:rsidR="007422FD" w:rsidRPr="00D7504E" w:rsidRDefault="00092566" w:rsidP="00092566">
      <w:pPr>
        <w:autoSpaceDE w:val="0"/>
        <w:autoSpaceDN w:val="0"/>
        <w:adjustRightInd w:val="0"/>
        <w:spacing w:after="0" w:line="240" w:lineRule="auto"/>
        <w:rPr>
          <w:rFonts w:cstheme="minorHAnsi"/>
          <w:bCs/>
          <w:highlight w:val="lightGray"/>
        </w:rPr>
      </w:pPr>
      <w:r w:rsidRPr="00D7504E">
        <w:rPr>
          <w:rFonts w:cstheme="minorHAnsi"/>
          <w:b/>
          <w:bCs/>
          <w:highlight w:val="lightGray"/>
        </w:rPr>
        <w:t>2b3.</w:t>
      </w:r>
      <w:r w:rsidR="00A25024" w:rsidRPr="00D7504E">
        <w:rPr>
          <w:rFonts w:cstheme="minorHAnsi"/>
          <w:b/>
          <w:bCs/>
          <w:highlight w:val="lightGray"/>
        </w:rPr>
        <w:t xml:space="preserve">2. </w:t>
      </w:r>
      <w:proofErr w:type="gramStart"/>
      <w:r w:rsidR="00833325" w:rsidRPr="00D7504E">
        <w:rPr>
          <w:rFonts w:cstheme="minorHAnsi"/>
          <w:b/>
          <w:bCs/>
          <w:highlight w:val="lightGray"/>
        </w:rPr>
        <w:t>What</w:t>
      </w:r>
      <w:proofErr w:type="gramEnd"/>
      <w:r w:rsidR="00833325" w:rsidRPr="00D7504E">
        <w:rPr>
          <w:rFonts w:cstheme="minorHAnsi"/>
          <w:b/>
          <w:bCs/>
          <w:highlight w:val="lightGray"/>
        </w:rPr>
        <w:t xml:space="preserve"> were the statistical results </w:t>
      </w:r>
      <w:r w:rsidR="007422FD" w:rsidRPr="00D7504E">
        <w:rPr>
          <w:rFonts w:cstheme="minorHAnsi"/>
          <w:b/>
          <w:bCs/>
          <w:highlight w:val="lightGray"/>
        </w:rPr>
        <w:t>from testing exclusions</w:t>
      </w:r>
      <w:r w:rsidR="00833325" w:rsidRPr="00D7504E">
        <w:rPr>
          <w:rFonts w:cstheme="minorHAnsi"/>
          <w:bCs/>
          <w:highlight w:val="lightGray"/>
        </w:rPr>
        <w:t>?</w:t>
      </w:r>
      <w:r w:rsidR="000B2DF7" w:rsidRPr="00D7504E">
        <w:rPr>
          <w:rFonts w:cstheme="minorHAnsi"/>
          <w:bCs/>
          <w:highlight w:val="lightGray"/>
        </w:rPr>
        <w:t xml:space="preserve"> (</w:t>
      </w:r>
      <w:proofErr w:type="gramStart"/>
      <w:r w:rsidR="000B2DF7" w:rsidRPr="00D7504E">
        <w:rPr>
          <w:rFonts w:cstheme="minorHAnsi"/>
          <w:bCs/>
          <w:i/>
          <w:highlight w:val="lightGray"/>
        </w:rPr>
        <w:t>include</w:t>
      </w:r>
      <w:proofErr w:type="gramEnd"/>
      <w:r w:rsidR="000B2DF7" w:rsidRPr="00D7504E">
        <w:rPr>
          <w:rFonts w:cstheme="minorHAnsi"/>
          <w:bCs/>
          <w:i/>
          <w:highlight w:val="lightGray"/>
        </w:rPr>
        <w:t xml:space="preserve"> </w:t>
      </w:r>
      <w:r w:rsidR="00356BAD" w:rsidRPr="00D7504E">
        <w:rPr>
          <w:rFonts w:cstheme="minorHAnsi"/>
          <w:bCs/>
          <w:i/>
          <w:highlight w:val="lightGray"/>
        </w:rPr>
        <w:t xml:space="preserve">overall </w:t>
      </w:r>
      <w:r w:rsidR="000B2DF7" w:rsidRPr="00D7504E">
        <w:rPr>
          <w:rFonts w:cstheme="minorHAnsi"/>
          <w:bCs/>
          <w:i/>
          <w:highlight w:val="lightGray"/>
        </w:rPr>
        <w:t>number and percentage of individuals excluded</w:t>
      </w:r>
      <w:r w:rsidR="0025762F" w:rsidRPr="00D7504E">
        <w:rPr>
          <w:rFonts w:cstheme="minorHAnsi"/>
          <w:bCs/>
          <w:i/>
          <w:highlight w:val="lightGray"/>
        </w:rPr>
        <w:t>, frequency distribution of exclusions across measured entities,</w:t>
      </w:r>
      <w:r w:rsidR="000B2DF7" w:rsidRPr="00D7504E">
        <w:rPr>
          <w:rFonts w:cstheme="minorHAnsi"/>
          <w:bCs/>
          <w:i/>
          <w:highlight w:val="lightGray"/>
        </w:rPr>
        <w:t xml:space="preserve"> and impact on performance measure scores</w:t>
      </w:r>
      <w:r w:rsidR="000B2DF7" w:rsidRPr="00D7504E">
        <w:rPr>
          <w:rFonts w:cstheme="minorHAnsi"/>
          <w:bCs/>
          <w:highlight w:val="lightGray"/>
        </w:rPr>
        <w:t>)</w:t>
      </w:r>
      <w:r w:rsidR="00833325" w:rsidRPr="00D7504E">
        <w:rPr>
          <w:rFonts w:cstheme="minorHAnsi"/>
          <w:bCs/>
          <w:highlight w:val="lightGray"/>
        </w:rPr>
        <w:br/>
      </w:r>
    </w:p>
    <w:p w:rsidR="00092566" w:rsidRPr="00D7504E" w:rsidRDefault="00092566" w:rsidP="00092566">
      <w:pPr>
        <w:autoSpaceDE w:val="0"/>
        <w:autoSpaceDN w:val="0"/>
        <w:adjustRightInd w:val="0"/>
        <w:spacing w:after="0" w:line="240" w:lineRule="auto"/>
        <w:rPr>
          <w:rFonts w:cstheme="minorHAnsi"/>
          <w:bCs/>
          <w:highlight w:val="lightGray"/>
        </w:rPr>
      </w:pPr>
    </w:p>
    <w:p w:rsidR="007422FD" w:rsidRPr="00D7504E" w:rsidRDefault="00092566" w:rsidP="00DB3627">
      <w:pPr>
        <w:autoSpaceDE w:val="0"/>
        <w:autoSpaceDN w:val="0"/>
        <w:adjustRightInd w:val="0"/>
        <w:spacing w:after="0" w:line="240" w:lineRule="auto"/>
        <w:rPr>
          <w:rFonts w:cstheme="minorHAnsi"/>
          <w:bCs/>
          <w:highlight w:val="lightGray"/>
        </w:rPr>
      </w:pPr>
      <w:r w:rsidRPr="00D7504E">
        <w:rPr>
          <w:rFonts w:cstheme="minorHAnsi"/>
          <w:b/>
          <w:bCs/>
          <w:highlight w:val="lightGray"/>
        </w:rPr>
        <w:lastRenderedPageBreak/>
        <w:t>2b3.</w:t>
      </w:r>
      <w:r w:rsidR="00A25024" w:rsidRPr="00D7504E">
        <w:rPr>
          <w:rFonts w:cstheme="minorHAnsi"/>
          <w:b/>
          <w:bCs/>
          <w:highlight w:val="lightGray"/>
        </w:rPr>
        <w:t xml:space="preserve">3. </w:t>
      </w:r>
      <w:proofErr w:type="gramStart"/>
      <w:r w:rsidR="000B2DF7" w:rsidRPr="00D7504E">
        <w:rPr>
          <w:rFonts w:cstheme="minorHAnsi"/>
          <w:b/>
          <w:bCs/>
          <w:highlight w:val="lightGray"/>
        </w:rPr>
        <w:t>What</w:t>
      </w:r>
      <w:proofErr w:type="gramEnd"/>
      <w:r w:rsidR="000B2DF7" w:rsidRPr="00D7504E">
        <w:rPr>
          <w:rFonts w:cstheme="minorHAnsi"/>
          <w:b/>
          <w:bCs/>
          <w:highlight w:val="lightGray"/>
        </w:rPr>
        <w:t xml:space="preserve"> is your interpretation of the results </w:t>
      </w:r>
      <w:r w:rsidR="007422FD" w:rsidRPr="00D7504E">
        <w:rPr>
          <w:rFonts w:cstheme="minorHAnsi"/>
          <w:b/>
          <w:bCs/>
          <w:highlight w:val="lightGray"/>
        </w:rPr>
        <w:t xml:space="preserve">in terms of </w:t>
      </w:r>
      <w:r w:rsidR="00713394" w:rsidRPr="00D7504E">
        <w:rPr>
          <w:rFonts w:cstheme="minorHAnsi"/>
          <w:b/>
          <w:bCs/>
          <w:highlight w:val="lightGray"/>
        </w:rPr>
        <w:t>demonstrating</w:t>
      </w:r>
      <w:r w:rsidR="007422FD" w:rsidRPr="00D7504E">
        <w:rPr>
          <w:rFonts w:cstheme="minorHAnsi"/>
          <w:b/>
          <w:bCs/>
          <w:highlight w:val="lightGray"/>
        </w:rPr>
        <w:t xml:space="preserve"> </w:t>
      </w:r>
      <w:r w:rsidR="00713394" w:rsidRPr="00D7504E">
        <w:rPr>
          <w:rFonts w:cstheme="minorHAnsi"/>
          <w:b/>
          <w:bCs/>
          <w:highlight w:val="lightGray"/>
        </w:rPr>
        <w:t>that exclusions are needed to prevent unfair distortion of performance results</w:t>
      </w:r>
      <w:r w:rsidR="007422FD" w:rsidRPr="00D7504E">
        <w:rPr>
          <w:rFonts w:cstheme="minorHAnsi"/>
          <w:b/>
          <w:bCs/>
          <w:highlight w:val="lightGray"/>
        </w:rPr>
        <w:t>?</w:t>
      </w:r>
      <w:r w:rsidR="007422FD" w:rsidRPr="00D7504E">
        <w:rPr>
          <w:rFonts w:cstheme="minorHAnsi"/>
          <w:bCs/>
          <w:highlight w:val="lightGray"/>
        </w:rPr>
        <w:t xml:space="preserve"> </w:t>
      </w:r>
      <w:r w:rsidR="000B2DF7" w:rsidRPr="00D7504E">
        <w:rPr>
          <w:rFonts w:cstheme="minorHAnsi"/>
          <w:bCs/>
          <w:highlight w:val="lightGray"/>
        </w:rPr>
        <w:t>(</w:t>
      </w:r>
      <w:r w:rsidR="00713394" w:rsidRPr="00D7504E">
        <w:rPr>
          <w:rFonts w:cstheme="minorHAnsi"/>
          <w:bCs/>
          <w:i/>
          <w:highlight w:val="lightGray"/>
        </w:rPr>
        <w:t>i.e.,</w:t>
      </w:r>
      <w:r w:rsidR="000B2DF7" w:rsidRPr="00D7504E">
        <w:rPr>
          <w:rFonts w:cstheme="minorHAnsi"/>
          <w:bCs/>
          <w:i/>
          <w:highlight w:val="lightGray"/>
        </w:rPr>
        <w:t xml:space="preserve"> the value </w:t>
      </w:r>
      <w:r w:rsidR="00713394" w:rsidRPr="00D7504E">
        <w:rPr>
          <w:rFonts w:cstheme="minorHAnsi"/>
          <w:bCs/>
          <w:i/>
          <w:highlight w:val="lightGray"/>
        </w:rPr>
        <w:t>outweighs the</w:t>
      </w:r>
      <w:r w:rsidR="000B2DF7" w:rsidRPr="00D7504E">
        <w:rPr>
          <w:rFonts w:cstheme="minorHAnsi"/>
          <w:bCs/>
          <w:i/>
          <w:highlight w:val="lightGray"/>
        </w:rPr>
        <w:t xml:space="preserve"> burden of increased data collection and analysi</w:t>
      </w:r>
      <w:r w:rsidR="00CC086A" w:rsidRPr="00D7504E">
        <w:rPr>
          <w:rFonts w:cstheme="minorHAnsi"/>
          <w:bCs/>
          <w:i/>
          <w:highlight w:val="lightGray"/>
        </w:rPr>
        <w:t xml:space="preserve">s. </w:t>
      </w:r>
      <w:r w:rsidR="00713394" w:rsidRPr="00D7504E">
        <w:rPr>
          <w:rFonts w:cstheme="minorHAnsi"/>
          <w:bCs/>
          <w:highlight w:val="lightGray"/>
        </w:rPr>
        <w:t xml:space="preserve"> </w:t>
      </w:r>
      <w:r w:rsidR="00713394" w:rsidRPr="00D7504E">
        <w:rPr>
          <w:rFonts w:cstheme="minorHAnsi"/>
          <w:bCs/>
          <w:i/>
          <w:highlight w:val="lightGray"/>
          <w:u w:val="single"/>
        </w:rPr>
        <w:t>Note</w:t>
      </w:r>
      <w:r w:rsidR="00713394" w:rsidRPr="00D7504E">
        <w:rPr>
          <w:rFonts w:cstheme="minorHAnsi"/>
          <w:bCs/>
          <w:i/>
          <w:highlight w:val="lightGray"/>
        </w:rPr>
        <w:t xml:space="preserve">: </w:t>
      </w:r>
      <w:r w:rsidR="00713394" w:rsidRPr="00D7504E">
        <w:rPr>
          <w:rFonts w:cstheme="minorHAnsi"/>
          <w:b/>
          <w:bCs/>
          <w:i/>
          <w:highlight w:val="lightGray"/>
        </w:rPr>
        <w:t xml:space="preserve">If patient preference is </w:t>
      </w:r>
      <w:proofErr w:type="gramStart"/>
      <w:r w:rsidR="00713394" w:rsidRPr="00D7504E">
        <w:rPr>
          <w:rFonts w:cstheme="minorHAnsi"/>
          <w:b/>
          <w:bCs/>
          <w:i/>
          <w:highlight w:val="lightGray"/>
        </w:rPr>
        <w:t>an exclusion</w:t>
      </w:r>
      <w:proofErr w:type="gramEnd"/>
      <w:r w:rsidR="00713394" w:rsidRPr="00D7504E">
        <w:rPr>
          <w:rFonts w:cstheme="minorHAnsi"/>
          <w:bCs/>
          <w:i/>
          <w:highlight w:val="lightGray"/>
        </w:rPr>
        <w:t>, the measure must be specified so that the effect on the performance score is transparent, e.g., scores with and without exclusion</w:t>
      </w:r>
      <w:r w:rsidR="00713394" w:rsidRPr="00D7504E">
        <w:rPr>
          <w:rFonts w:cstheme="minorHAnsi"/>
          <w:bCs/>
          <w:highlight w:val="lightGray"/>
        </w:rPr>
        <w:t>)</w:t>
      </w:r>
      <w:r w:rsidR="007422FD" w:rsidRPr="00D7504E">
        <w:rPr>
          <w:rFonts w:cstheme="minorHAnsi"/>
          <w:bCs/>
          <w:highlight w:val="lightGray"/>
        </w:rPr>
        <w:br/>
      </w:r>
    </w:p>
    <w:p w:rsidR="001202E9" w:rsidRPr="00A25024" w:rsidRDefault="0086464B" w:rsidP="00DB3627">
      <w:pPr>
        <w:autoSpaceDE w:val="0"/>
        <w:autoSpaceDN w:val="0"/>
        <w:adjustRightInd w:val="0"/>
        <w:spacing w:after="0" w:line="240" w:lineRule="auto"/>
        <w:rPr>
          <w:rFonts w:cstheme="minorHAnsi"/>
          <w:bCs/>
        </w:rPr>
      </w:pPr>
      <w:r w:rsidRPr="00D7504E">
        <w:rPr>
          <w:rFonts w:cstheme="minorHAnsi"/>
          <w:bCs/>
          <w:highlight w:val="lightGray"/>
        </w:rPr>
        <w:t>____________________________</w:t>
      </w:r>
    </w:p>
    <w:p w:rsidR="00AC1D8E" w:rsidRPr="00D7504E" w:rsidRDefault="00092566" w:rsidP="00AC1D8E">
      <w:pPr>
        <w:autoSpaceDE w:val="0"/>
        <w:autoSpaceDN w:val="0"/>
        <w:adjustRightInd w:val="0"/>
        <w:spacing w:after="0" w:line="240" w:lineRule="auto"/>
        <w:rPr>
          <w:rFonts w:cstheme="minorHAnsi"/>
          <w:b/>
          <w:bCs/>
          <w:i/>
          <w:highlight w:val="lightGray"/>
        </w:rPr>
      </w:pPr>
      <w:bookmarkStart w:id="11" w:name="section2b4"/>
      <w:bookmarkEnd w:id="11"/>
      <w:r w:rsidRPr="00D7504E">
        <w:rPr>
          <w:rFonts w:cstheme="minorHAnsi"/>
          <w:b/>
          <w:bCs/>
          <w:highlight w:val="lightGray"/>
        </w:rPr>
        <w:t>2b4. RISK ADJUSTMENT/STRATIFICATION FOR OUTCOME OR RESOURCE USE MEASURES</w:t>
      </w:r>
      <w:r w:rsidRPr="00D7504E">
        <w:rPr>
          <w:rFonts w:cstheme="minorHAnsi"/>
          <w:bCs/>
          <w:highlight w:val="lightGray"/>
        </w:rPr>
        <w:br/>
      </w:r>
      <w:r w:rsidR="00AC1D8E" w:rsidRPr="00D7504E">
        <w:rPr>
          <w:rFonts w:cstheme="minorHAnsi"/>
          <w:b/>
          <w:bCs/>
          <w:i/>
          <w:highlight w:val="lightGray"/>
        </w:rPr>
        <w:t>If not an intermediate or health outcome</w:t>
      </w:r>
      <w:r w:rsidR="00127C06" w:rsidRPr="00D7504E">
        <w:rPr>
          <w:rFonts w:cstheme="minorHAnsi"/>
          <w:b/>
          <w:bCs/>
          <w:i/>
          <w:highlight w:val="lightGray"/>
        </w:rPr>
        <w:t>,</w:t>
      </w:r>
      <w:r w:rsidR="00AC1D8E" w:rsidRPr="00D7504E">
        <w:rPr>
          <w:rFonts w:cstheme="minorHAnsi"/>
          <w:b/>
          <w:bCs/>
          <w:i/>
          <w:highlight w:val="lightGray"/>
        </w:rPr>
        <w:t xml:space="preserve"> </w:t>
      </w:r>
      <w:r w:rsidR="00127C06" w:rsidRPr="00D7504E">
        <w:rPr>
          <w:rFonts w:cstheme="minorHAnsi"/>
          <w:b/>
          <w:bCs/>
          <w:i/>
          <w:highlight w:val="lightGray"/>
        </w:rPr>
        <w:t xml:space="preserve">or PRO-PM, </w:t>
      </w:r>
      <w:r w:rsidR="00AC1D8E" w:rsidRPr="00D7504E">
        <w:rPr>
          <w:rFonts w:cstheme="minorHAnsi"/>
          <w:b/>
          <w:bCs/>
          <w:i/>
          <w:highlight w:val="lightGray"/>
        </w:rPr>
        <w:t xml:space="preserve">or resource use measure, </w:t>
      </w:r>
      <w:r w:rsidR="00BE592D" w:rsidRPr="00D7504E">
        <w:rPr>
          <w:rFonts w:cstheme="minorHAnsi"/>
          <w:b/>
          <w:bCs/>
          <w:i/>
          <w:highlight w:val="lightGray"/>
        </w:rPr>
        <w:t xml:space="preserve">skip to section </w:t>
      </w:r>
      <w:hyperlink w:anchor="section2b5" w:history="1">
        <w:r w:rsidR="00BE592D" w:rsidRPr="00D7504E">
          <w:rPr>
            <w:rStyle w:val="Hyperlink"/>
            <w:rFonts w:cstheme="minorHAnsi"/>
            <w:b/>
            <w:bCs/>
            <w:i/>
            <w:highlight w:val="lightGray"/>
          </w:rPr>
          <w:t>2b5</w:t>
        </w:r>
      </w:hyperlink>
      <w:r w:rsidR="00BE592D" w:rsidRPr="00D7504E">
        <w:rPr>
          <w:rFonts w:cstheme="minorHAnsi"/>
          <w:b/>
          <w:bCs/>
          <w:i/>
          <w:highlight w:val="lightGray"/>
        </w:rPr>
        <w:t>.</w:t>
      </w:r>
    </w:p>
    <w:p w:rsidR="008871A9" w:rsidRPr="00D7504E" w:rsidRDefault="008871A9" w:rsidP="00092566">
      <w:pPr>
        <w:autoSpaceDE w:val="0"/>
        <w:autoSpaceDN w:val="0"/>
        <w:adjustRightInd w:val="0"/>
        <w:spacing w:after="0" w:line="240" w:lineRule="auto"/>
        <w:rPr>
          <w:rFonts w:cstheme="minorHAnsi"/>
          <w:b/>
          <w:bCs/>
          <w:highlight w:val="lightGray"/>
        </w:rPr>
      </w:pPr>
    </w:p>
    <w:p w:rsidR="00743E46" w:rsidRPr="00D7504E" w:rsidRDefault="00092566" w:rsidP="00092566">
      <w:pPr>
        <w:autoSpaceDE w:val="0"/>
        <w:autoSpaceDN w:val="0"/>
        <w:adjustRightInd w:val="0"/>
        <w:spacing w:after="0" w:line="240" w:lineRule="auto"/>
        <w:rPr>
          <w:rFonts w:cstheme="minorHAnsi"/>
          <w:b/>
          <w:bCs/>
          <w:highlight w:val="lightGray"/>
        </w:rPr>
      </w:pPr>
      <w:r w:rsidRPr="00D7504E">
        <w:rPr>
          <w:rFonts w:cstheme="minorHAnsi"/>
          <w:b/>
          <w:bCs/>
          <w:highlight w:val="lightGray"/>
        </w:rPr>
        <w:t xml:space="preserve">2b4.1. </w:t>
      </w:r>
      <w:proofErr w:type="gramStart"/>
      <w:r w:rsidR="00743E46" w:rsidRPr="00D7504E">
        <w:rPr>
          <w:rFonts w:cstheme="minorHAnsi"/>
          <w:b/>
          <w:bCs/>
          <w:highlight w:val="lightGray"/>
        </w:rPr>
        <w:t>What</w:t>
      </w:r>
      <w:proofErr w:type="gramEnd"/>
      <w:r w:rsidR="00743E46" w:rsidRPr="00D7504E">
        <w:rPr>
          <w:rFonts w:cstheme="minorHAnsi"/>
          <w:b/>
          <w:bCs/>
          <w:highlight w:val="lightGray"/>
        </w:rPr>
        <w:t xml:space="preserve"> method of controlling for differences in case mix is used?</w:t>
      </w:r>
    </w:p>
    <w:p w:rsidR="00033038" w:rsidRPr="00D7504E" w:rsidRDefault="00E23AB6" w:rsidP="00092566">
      <w:pPr>
        <w:autoSpaceDE w:val="0"/>
        <w:autoSpaceDN w:val="0"/>
        <w:adjustRightInd w:val="0"/>
        <w:spacing w:after="0" w:line="240" w:lineRule="auto"/>
        <w:rPr>
          <w:rFonts w:cstheme="minorHAnsi"/>
          <w:b/>
          <w:bCs/>
          <w:highlight w:val="lightGray"/>
        </w:rPr>
      </w:pPr>
      <w:sdt>
        <w:sdtPr>
          <w:rPr>
            <w:rFonts w:cstheme="minorHAnsi"/>
            <w:bCs/>
            <w:color w:val="0000FF"/>
            <w:highlight w:val="lightGray"/>
          </w:rPr>
          <w:id w:val="-1450705013"/>
          <w14:checkbox>
            <w14:checked w14:val="1"/>
            <w14:checkedState w14:val="2612" w14:font="MS Gothic"/>
            <w14:uncheckedState w14:val="2610" w14:font="MS Gothic"/>
          </w14:checkbox>
        </w:sdtPr>
        <w:sdtEndPr/>
        <w:sdtContent>
          <w:r w:rsidR="00C901A2">
            <w:rPr>
              <w:rFonts w:ascii="MS Gothic" w:eastAsia="MS Gothic" w:hAnsi="MS Gothic" w:cstheme="minorHAnsi" w:hint="eastAsia"/>
              <w:bCs/>
              <w:color w:val="0000FF"/>
              <w:highlight w:val="lightGray"/>
            </w:rPr>
            <w:t>☒</w:t>
          </w:r>
        </w:sdtContent>
      </w:sdt>
      <w:r w:rsidR="00033038" w:rsidRPr="00D7504E">
        <w:rPr>
          <w:rFonts w:eastAsia="MS Mincho" w:cstheme="minorHAnsi"/>
          <w:b/>
          <w:bCs/>
          <w:color w:val="0000FF"/>
          <w:highlight w:val="lightGray"/>
        </w:rPr>
        <w:t xml:space="preserve"> </w:t>
      </w:r>
      <w:r w:rsidR="00033038" w:rsidRPr="00D7504E">
        <w:rPr>
          <w:rFonts w:cstheme="minorHAnsi"/>
          <w:b/>
          <w:bCs/>
          <w:highlight w:val="lightGray"/>
        </w:rPr>
        <w:t>No risk adjustment or stratification</w:t>
      </w:r>
    </w:p>
    <w:p w:rsidR="00743E46" w:rsidRPr="00D7504E" w:rsidRDefault="00E23AB6" w:rsidP="00092566">
      <w:pPr>
        <w:autoSpaceDE w:val="0"/>
        <w:autoSpaceDN w:val="0"/>
        <w:adjustRightInd w:val="0"/>
        <w:spacing w:after="0" w:line="240" w:lineRule="auto"/>
        <w:rPr>
          <w:rFonts w:cstheme="minorHAnsi"/>
          <w:b/>
          <w:bCs/>
          <w:highlight w:val="lightGray"/>
        </w:rPr>
      </w:pPr>
      <w:sdt>
        <w:sdtPr>
          <w:rPr>
            <w:rFonts w:cstheme="minorHAnsi"/>
            <w:bCs/>
            <w:color w:val="0000FF"/>
            <w:highlight w:val="lightGray"/>
          </w:rPr>
          <w:id w:val="-912162535"/>
          <w14:checkbox>
            <w14:checked w14:val="0"/>
            <w14:checkedState w14:val="2612" w14:font="MS Gothic"/>
            <w14:uncheckedState w14:val="2610" w14:font="MS Gothic"/>
          </w14:checkbox>
        </w:sdtPr>
        <w:sdtEndPr/>
        <w:sdtContent>
          <w:r w:rsidR="006574D2" w:rsidRPr="00D7504E">
            <w:rPr>
              <w:rFonts w:ascii="MS Gothic" w:eastAsia="MS Gothic" w:cstheme="minorHAnsi" w:hint="eastAsia"/>
              <w:bCs/>
              <w:color w:val="0000FF"/>
              <w:highlight w:val="lightGray"/>
            </w:rPr>
            <w:t>☐</w:t>
          </w:r>
        </w:sdtContent>
      </w:sdt>
      <w:r w:rsidR="006574D2" w:rsidRPr="00D7504E">
        <w:rPr>
          <w:rFonts w:cstheme="minorHAnsi"/>
          <w:bCs/>
          <w:color w:val="0000FF"/>
          <w:highlight w:val="lightGray"/>
        </w:rPr>
        <w:t xml:space="preserve"> </w:t>
      </w:r>
      <w:r w:rsidR="00743E46" w:rsidRPr="00D7504E">
        <w:rPr>
          <w:rFonts w:cstheme="minorHAnsi"/>
          <w:b/>
          <w:bCs/>
          <w:highlight w:val="lightGray"/>
        </w:rPr>
        <w:t xml:space="preserve">Statistical risk model with </w:t>
      </w:r>
      <w:sdt>
        <w:sdtPr>
          <w:rPr>
            <w:rStyle w:val="Style4"/>
            <w:highlight w:val="lightGray"/>
            <w:u w:val="none"/>
          </w:rPr>
          <w:id w:val="309760327"/>
          <w:showingPlcHdr/>
          <w:text/>
        </w:sdtPr>
        <w:sdtEndPr>
          <w:rPr>
            <w:rStyle w:val="DefaultParagraphFont"/>
            <w:rFonts w:asciiTheme="minorHAnsi" w:hAnsiTheme="minorHAnsi" w:cstheme="minorHAnsi"/>
            <w:b w:val="0"/>
            <w:bCs/>
            <w:color w:val="auto"/>
          </w:rPr>
        </w:sdtEndPr>
        <w:sdtContent>
          <w:r w:rsidR="00E562C0" w:rsidRPr="00D7504E">
            <w:rPr>
              <w:rStyle w:val="PlaceholderText"/>
              <w:highlight w:val="lightGray"/>
            </w:rPr>
            <w:t>Click here to enter number of factors</w:t>
          </w:r>
        </w:sdtContent>
      </w:sdt>
      <w:r w:rsidR="00E562C0" w:rsidRPr="00D7504E">
        <w:rPr>
          <w:rStyle w:val="Style4"/>
          <w:highlight w:val="lightGray"/>
          <w:u w:val="none"/>
        </w:rPr>
        <w:t xml:space="preserve"> </w:t>
      </w:r>
      <w:r w:rsidR="00743E46" w:rsidRPr="00D7504E">
        <w:rPr>
          <w:rFonts w:cstheme="minorHAnsi"/>
          <w:b/>
          <w:bCs/>
          <w:highlight w:val="lightGray"/>
        </w:rPr>
        <w:t>risk factors</w:t>
      </w:r>
    </w:p>
    <w:p w:rsidR="00743E46" w:rsidRPr="00D7504E" w:rsidRDefault="00E23AB6" w:rsidP="00092566">
      <w:pPr>
        <w:autoSpaceDE w:val="0"/>
        <w:autoSpaceDN w:val="0"/>
        <w:adjustRightInd w:val="0"/>
        <w:spacing w:after="0" w:line="240" w:lineRule="auto"/>
        <w:rPr>
          <w:rFonts w:cstheme="minorHAnsi"/>
          <w:b/>
          <w:bCs/>
          <w:highlight w:val="lightGray"/>
        </w:rPr>
      </w:pPr>
      <w:sdt>
        <w:sdtPr>
          <w:rPr>
            <w:rFonts w:cstheme="minorHAnsi"/>
            <w:bCs/>
            <w:color w:val="0000FF"/>
            <w:highlight w:val="lightGray"/>
          </w:rPr>
          <w:id w:val="-1831823302"/>
          <w14:checkbox>
            <w14:checked w14:val="0"/>
            <w14:checkedState w14:val="2612" w14:font="MS Gothic"/>
            <w14:uncheckedState w14:val="2610" w14:font="MS Gothic"/>
          </w14:checkbox>
        </w:sdtPr>
        <w:sdtEndPr/>
        <w:sdtContent>
          <w:r w:rsidR="006574D2" w:rsidRPr="00D7504E">
            <w:rPr>
              <w:rFonts w:ascii="MS Gothic" w:eastAsia="MS Gothic" w:cstheme="minorHAnsi" w:hint="eastAsia"/>
              <w:bCs/>
              <w:color w:val="0000FF"/>
              <w:highlight w:val="lightGray"/>
            </w:rPr>
            <w:t>☐</w:t>
          </w:r>
        </w:sdtContent>
      </w:sdt>
      <w:r w:rsidR="000414E8" w:rsidRPr="00D7504E">
        <w:rPr>
          <w:rFonts w:eastAsia="MS Mincho" w:cstheme="minorHAnsi"/>
          <w:b/>
          <w:bCs/>
          <w:color w:val="0000FF"/>
          <w:highlight w:val="lightGray"/>
        </w:rPr>
        <w:t xml:space="preserve"> </w:t>
      </w:r>
      <w:r w:rsidR="00743E46" w:rsidRPr="00D7504E">
        <w:rPr>
          <w:rFonts w:cstheme="minorHAnsi"/>
          <w:b/>
          <w:bCs/>
          <w:highlight w:val="lightGray"/>
        </w:rPr>
        <w:t xml:space="preserve">Stratification by </w:t>
      </w:r>
      <w:sdt>
        <w:sdtPr>
          <w:rPr>
            <w:rStyle w:val="Style4"/>
            <w:highlight w:val="lightGray"/>
            <w:u w:val="none"/>
          </w:rPr>
          <w:id w:val="-52006544"/>
          <w:showingPlcHdr/>
          <w:text/>
        </w:sdtPr>
        <w:sdtEndPr>
          <w:rPr>
            <w:rStyle w:val="DefaultParagraphFont"/>
            <w:rFonts w:asciiTheme="minorHAnsi" w:hAnsiTheme="minorHAnsi" w:cstheme="minorHAnsi"/>
            <w:b w:val="0"/>
            <w:bCs/>
            <w:color w:val="auto"/>
          </w:rPr>
        </w:sdtEndPr>
        <w:sdtContent>
          <w:r w:rsidR="00E562C0" w:rsidRPr="00D7504E">
            <w:rPr>
              <w:rStyle w:val="PlaceholderText"/>
              <w:highlight w:val="lightGray"/>
            </w:rPr>
            <w:t>Click here to enter number of categories</w:t>
          </w:r>
        </w:sdtContent>
      </w:sdt>
      <w:r w:rsidR="00E562C0" w:rsidRPr="00D7504E">
        <w:rPr>
          <w:rStyle w:val="Style4"/>
          <w:highlight w:val="lightGray"/>
          <w:u w:val="none"/>
        </w:rPr>
        <w:t xml:space="preserve"> </w:t>
      </w:r>
      <w:r w:rsidR="00C33F2E" w:rsidRPr="00D7504E">
        <w:rPr>
          <w:rFonts w:cstheme="minorHAnsi"/>
          <w:b/>
          <w:bCs/>
          <w:highlight w:val="lightGray"/>
        </w:rPr>
        <w:t xml:space="preserve">risk </w:t>
      </w:r>
      <w:r w:rsidR="00743E46" w:rsidRPr="00D7504E">
        <w:rPr>
          <w:rFonts w:cstheme="minorHAnsi"/>
          <w:b/>
          <w:bCs/>
          <w:highlight w:val="lightGray"/>
        </w:rPr>
        <w:t>categories</w:t>
      </w:r>
    </w:p>
    <w:p w:rsidR="00743E46" w:rsidRPr="00D7504E" w:rsidRDefault="00E23AB6" w:rsidP="00092566">
      <w:pPr>
        <w:autoSpaceDE w:val="0"/>
        <w:autoSpaceDN w:val="0"/>
        <w:adjustRightInd w:val="0"/>
        <w:spacing w:after="0" w:line="240" w:lineRule="auto"/>
        <w:rPr>
          <w:rFonts w:cstheme="minorHAnsi"/>
          <w:b/>
          <w:bCs/>
          <w:highlight w:val="lightGray"/>
        </w:rPr>
      </w:pPr>
      <w:sdt>
        <w:sdtPr>
          <w:rPr>
            <w:rFonts w:cstheme="minorHAnsi"/>
            <w:bCs/>
            <w:color w:val="0000FF"/>
            <w:highlight w:val="lightGray"/>
          </w:rPr>
          <w:id w:val="2076930997"/>
          <w14:checkbox>
            <w14:checked w14:val="0"/>
            <w14:checkedState w14:val="2612" w14:font="MS Gothic"/>
            <w14:uncheckedState w14:val="2610" w14:font="MS Gothic"/>
          </w14:checkbox>
        </w:sdtPr>
        <w:sdtEndPr/>
        <w:sdtContent>
          <w:r w:rsidR="006574D2" w:rsidRPr="00D7504E">
            <w:rPr>
              <w:rFonts w:ascii="MS Gothic" w:eastAsia="MS Gothic" w:cstheme="minorHAnsi" w:hint="eastAsia"/>
              <w:bCs/>
              <w:color w:val="0000FF"/>
              <w:highlight w:val="lightGray"/>
            </w:rPr>
            <w:t>☐</w:t>
          </w:r>
        </w:sdtContent>
      </w:sdt>
      <w:r w:rsidR="000414E8" w:rsidRPr="00D7504E">
        <w:rPr>
          <w:rFonts w:eastAsia="MS Mincho" w:cstheme="minorHAnsi"/>
          <w:b/>
          <w:bCs/>
          <w:color w:val="0000FF"/>
          <w:highlight w:val="lightGray"/>
        </w:rPr>
        <w:t xml:space="preserve"> </w:t>
      </w:r>
      <w:r w:rsidR="00743E46" w:rsidRPr="00D7504E">
        <w:rPr>
          <w:rFonts w:cstheme="minorHAnsi"/>
          <w:b/>
          <w:bCs/>
          <w:highlight w:val="lightGray"/>
        </w:rPr>
        <w:t xml:space="preserve">Other, </w:t>
      </w:r>
      <w:sdt>
        <w:sdtPr>
          <w:rPr>
            <w:rStyle w:val="Style1"/>
            <w:highlight w:val="lightGray"/>
          </w:rPr>
          <w:id w:val="-1471512333"/>
          <w:showingPlcHdr/>
          <w:text/>
        </w:sdtPr>
        <w:sdtEndPr>
          <w:rPr>
            <w:rStyle w:val="DefaultParagraphFont"/>
            <w:rFonts w:cstheme="minorHAnsi"/>
            <w:b/>
            <w:bCs/>
            <w:color w:val="auto"/>
          </w:rPr>
        </w:sdtEndPr>
        <w:sdtContent>
          <w:r w:rsidR="00E562C0" w:rsidRPr="00D7504E">
            <w:rPr>
              <w:rStyle w:val="PlaceholderText"/>
              <w:highlight w:val="lightGray"/>
            </w:rPr>
            <w:t>Click here to enter description</w:t>
          </w:r>
        </w:sdtContent>
      </w:sdt>
    </w:p>
    <w:p w:rsidR="00743E46" w:rsidRPr="00D7504E" w:rsidRDefault="00743E46" w:rsidP="00092566">
      <w:pPr>
        <w:autoSpaceDE w:val="0"/>
        <w:autoSpaceDN w:val="0"/>
        <w:adjustRightInd w:val="0"/>
        <w:spacing w:after="0" w:line="240" w:lineRule="auto"/>
        <w:rPr>
          <w:rFonts w:cstheme="minorHAnsi"/>
          <w:b/>
          <w:bCs/>
          <w:highlight w:val="lightGray"/>
        </w:rPr>
      </w:pPr>
    </w:p>
    <w:p w:rsidR="00092566" w:rsidRPr="00D7504E" w:rsidRDefault="00743E46" w:rsidP="00092566">
      <w:pPr>
        <w:autoSpaceDE w:val="0"/>
        <w:autoSpaceDN w:val="0"/>
        <w:adjustRightInd w:val="0"/>
        <w:spacing w:after="0" w:line="240" w:lineRule="auto"/>
        <w:rPr>
          <w:rFonts w:cstheme="minorHAnsi"/>
          <w:bCs/>
          <w:highlight w:val="lightGray"/>
        </w:rPr>
      </w:pPr>
      <w:r w:rsidRPr="00D7504E">
        <w:rPr>
          <w:rFonts w:cstheme="minorHAnsi"/>
          <w:b/>
          <w:bCs/>
          <w:highlight w:val="lightGray"/>
        </w:rPr>
        <w:t xml:space="preserve">2b4.2. </w:t>
      </w:r>
      <w:proofErr w:type="gramStart"/>
      <w:r w:rsidR="008871A9" w:rsidRPr="00D7504E">
        <w:rPr>
          <w:rFonts w:cstheme="minorHAnsi"/>
          <w:b/>
          <w:bCs/>
          <w:highlight w:val="lightGray"/>
        </w:rPr>
        <w:t>If</w:t>
      </w:r>
      <w:proofErr w:type="gramEnd"/>
      <w:r w:rsidR="008871A9" w:rsidRPr="00D7504E">
        <w:rPr>
          <w:rFonts w:cstheme="minorHAnsi"/>
          <w:b/>
          <w:bCs/>
          <w:highlight w:val="lightGray"/>
        </w:rPr>
        <w:t xml:space="preserve"> an outcome </w:t>
      </w:r>
      <w:r w:rsidR="00052A6F" w:rsidRPr="00D7504E">
        <w:rPr>
          <w:rFonts w:cstheme="minorHAnsi"/>
          <w:b/>
          <w:bCs/>
          <w:highlight w:val="lightGray"/>
        </w:rPr>
        <w:t xml:space="preserve">or resource use </w:t>
      </w:r>
      <w:r w:rsidR="00092566" w:rsidRPr="00D7504E">
        <w:rPr>
          <w:rFonts w:cstheme="minorHAnsi"/>
          <w:b/>
          <w:bCs/>
          <w:highlight w:val="lightGray"/>
        </w:rPr>
        <w:t xml:space="preserve">measure is </w:t>
      </w:r>
      <w:r w:rsidR="00092566" w:rsidRPr="00D7504E">
        <w:rPr>
          <w:rFonts w:cstheme="minorHAnsi"/>
          <w:b/>
          <w:bCs/>
          <w:highlight w:val="lightGray"/>
          <w:u w:val="single"/>
        </w:rPr>
        <w:t>not risk adjusted or stratified</w:t>
      </w:r>
      <w:r w:rsidR="00092566" w:rsidRPr="00D7504E">
        <w:rPr>
          <w:rFonts w:cstheme="minorHAnsi"/>
          <w:b/>
          <w:bCs/>
          <w:highlight w:val="lightGray"/>
        </w:rPr>
        <w:t xml:space="preserve">, provide </w:t>
      </w:r>
      <w:r w:rsidR="00092566" w:rsidRPr="00D7504E">
        <w:rPr>
          <w:rFonts w:cstheme="minorHAnsi"/>
          <w:b/>
          <w:bCs/>
          <w:highlight w:val="lightGray"/>
          <w:u w:val="single"/>
        </w:rPr>
        <w:t>rationale and analyses</w:t>
      </w:r>
      <w:r w:rsidR="00092566" w:rsidRPr="00D7504E">
        <w:rPr>
          <w:rFonts w:cstheme="minorHAnsi"/>
          <w:b/>
          <w:bCs/>
          <w:highlight w:val="lightGray"/>
        </w:rPr>
        <w:t xml:space="preserve"> to demonstrate that controlling for differences in patient characteristics (case mix) is not needed to achieve fair comparisons across measured entities</w:t>
      </w:r>
      <w:r w:rsidR="00092566" w:rsidRPr="00D7504E">
        <w:rPr>
          <w:rFonts w:cstheme="minorHAnsi"/>
          <w:bCs/>
          <w:highlight w:val="lightGray"/>
        </w:rPr>
        <w:t xml:space="preserve">. </w:t>
      </w:r>
      <w:r w:rsidR="00092566" w:rsidRPr="00D7504E">
        <w:rPr>
          <w:rFonts w:cstheme="minorHAnsi"/>
          <w:bCs/>
          <w:highlight w:val="lightGray"/>
        </w:rPr>
        <w:br/>
      </w:r>
    </w:p>
    <w:p w:rsidR="00092566" w:rsidRPr="00D7504E" w:rsidRDefault="00092566" w:rsidP="00092566">
      <w:pPr>
        <w:pStyle w:val="ListParagraph"/>
        <w:autoSpaceDE w:val="0"/>
        <w:autoSpaceDN w:val="0"/>
        <w:adjustRightInd w:val="0"/>
        <w:spacing w:after="0" w:line="240" w:lineRule="auto"/>
        <w:ind w:left="360"/>
        <w:rPr>
          <w:rFonts w:cstheme="minorHAnsi"/>
          <w:bCs/>
          <w:highlight w:val="lightGray"/>
        </w:rPr>
      </w:pPr>
    </w:p>
    <w:p w:rsidR="00092566" w:rsidRPr="00D7504E" w:rsidRDefault="00092566" w:rsidP="00001D73">
      <w:pPr>
        <w:autoSpaceDE w:val="0"/>
        <w:autoSpaceDN w:val="0"/>
        <w:adjustRightInd w:val="0"/>
        <w:spacing w:after="0" w:line="240" w:lineRule="auto"/>
        <w:rPr>
          <w:rFonts w:cstheme="minorHAnsi"/>
          <w:bCs/>
          <w:highlight w:val="lightGray"/>
        </w:rPr>
      </w:pPr>
      <w:r w:rsidRPr="00D7504E">
        <w:rPr>
          <w:rFonts w:cstheme="minorHAnsi"/>
          <w:b/>
          <w:bCs/>
          <w:highlight w:val="lightGray"/>
        </w:rPr>
        <w:t xml:space="preserve">2b4.3. </w:t>
      </w:r>
      <w:r w:rsidR="00927027" w:rsidRPr="00D7504E">
        <w:rPr>
          <w:rFonts w:cstheme="minorHAnsi"/>
          <w:b/>
          <w:bCs/>
          <w:highlight w:val="lightGray"/>
        </w:rPr>
        <w:t>Describe</w:t>
      </w:r>
      <w:r w:rsidRPr="00D7504E">
        <w:rPr>
          <w:rFonts w:cstheme="minorHAnsi"/>
          <w:b/>
          <w:bCs/>
          <w:highlight w:val="lightGray"/>
        </w:rPr>
        <w:t xml:space="preserve"> the conceptual/clinical </w:t>
      </w:r>
      <w:r w:rsidRPr="00D7504E">
        <w:rPr>
          <w:rFonts w:cstheme="minorHAnsi"/>
          <w:b/>
          <w:bCs/>
          <w:highlight w:val="lightGray"/>
          <w:u w:val="single"/>
        </w:rPr>
        <w:t>and</w:t>
      </w:r>
      <w:r w:rsidRPr="00D7504E">
        <w:rPr>
          <w:rFonts w:cstheme="minorHAnsi"/>
          <w:b/>
          <w:bCs/>
          <w:highlight w:val="lightGray"/>
        </w:rPr>
        <w:t xml:space="preserve"> statistical methods and criteria used to select </w:t>
      </w:r>
      <w:r w:rsidR="005363F1" w:rsidRPr="00D7504E">
        <w:rPr>
          <w:rFonts w:cstheme="minorHAnsi"/>
          <w:b/>
          <w:bCs/>
          <w:highlight w:val="lightGray"/>
        </w:rPr>
        <w:t xml:space="preserve">patient </w:t>
      </w:r>
      <w:r w:rsidRPr="00D7504E">
        <w:rPr>
          <w:rFonts w:cstheme="minorHAnsi"/>
          <w:b/>
          <w:bCs/>
          <w:highlight w:val="lightGray"/>
        </w:rPr>
        <w:t>factors used in the statistical risk model or for stratification by risk</w:t>
      </w:r>
      <w:r w:rsidR="00927027" w:rsidRPr="00D7504E">
        <w:rPr>
          <w:rFonts w:cstheme="minorHAnsi"/>
          <w:b/>
          <w:bCs/>
          <w:highlight w:val="lightGray"/>
        </w:rPr>
        <w:t xml:space="preserve"> </w:t>
      </w:r>
      <w:r w:rsidRPr="00D7504E">
        <w:rPr>
          <w:rFonts w:cstheme="minorHAnsi"/>
          <w:bCs/>
          <w:highlight w:val="lightGray"/>
        </w:rPr>
        <w:t>(</w:t>
      </w:r>
      <w:r w:rsidRPr="00D7504E">
        <w:rPr>
          <w:rFonts w:cstheme="minorHAnsi"/>
          <w:bCs/>
          <w:i/>
          <w:highlight w:val="lightGray"/>
        </w:rPr>
        <w:t xml:space="preserve">e.g., potential factors identified in </w:t>
      </w:r>
      <w:r w:rsidR="005363F1" w:rsidRPr="00D7504E">
        <w:rPr>
          <w:rFonts w:cstheme="minorHAnsi"/>
          <w:bCs/>
          <w:i/>
          <w:highlight w:val="lightGray"/>
        </w:rPr>
        <w:t xml:space="preserve">the </w:t>
      </w:r>
      <w:r w:rsidRPr="00D7504E">
        <w:rPr>
          <w:rFonts w:cstheme="minorHAnsi"/>
          <w:bCs/>
          <w:i/>
          <w:highlight w:val="lightGray"/>
        </w:rPr>
        <w:t>literature and/or expert panel; regression analysis; statistical significance of p&lt;0.10; correlation of x or higher</w:t>
      </w:r>
      <w:r w:rsidR="005363F1" w:rsidRPr="00D7504E">
        <w:rPr>
          <w:rFonts w:cstheme="minorHAnsi"/>
          <w:bCs/>
          <w:i/>
          <w:highlight w:val="lightGray"/>
        </w:rPr>
        <w:t>; patient factors should be present at the start of care and not related to disparities</w:t>
      </w:r>
      <w:r w:rsidRPr="00D7504E">
        <w:rPr>
          <w:rFonts w:cstheme="minorHAnsi"/>
          <w:bCs/>
          <w:highlight w:val="lightGray"/>
        </w:rPr>
        <w:t>)</w:t>
      </w:r>
      <w:r w:rsidRPr="00D7504E">
        <w:rPr>
          <w:rFonts w:cstheme="minorHAnsi"/>
          <w:bCs/>
          <w:highlight w:val="lightGray"/>
        </w:rPr>
        <w:br/>
      </w:r>
    </w:p>
    <w:p w:rsidR="00001D73" w:rsidRPr="00D7504E" w:rsidRDefault="00001D73" w:rsidP="00001D73">
      <w:pPr>
        <w:autoSpaceDE w:val="0"/>
        <w:autoSpaceDN w:val="0"/>
        <w:adjustRightInd w:val="0"/>
        <w:spacing w:after="0" w:line="240" w:lineRule="auto"/>
        <w:rPr>
          <w:rFonts w:cstheme="minorHAnsi"/>
          <w:bCs/>
          <w:highlight w:val="lightGray"/>
        </w:rPr>
      </w:pPr>
    </w:p>
    <w:p w:rsidR="00092566" w:rsidRPr="00D7504E" w:rsidRDefault="00092566" w:rsidP="00001D73">
      <w:pPr>
        <w:autoSpaceDE w:val="0"/>
        <w:autoSpaceDN w:val="0"/>
        <w:adjustRightInd w:val="0"/>
        <w:spacing w:after="0" w:line="240" w:lineRule="auto"/>
        <w:rPr>
          <w:rFonts w:cstheme="minorHAnsi"/>
          <w:b/>
          <w:bCs/>
          <w:highlight w:val="lightGray"/>
        </w:rPr>
      </w:pPr>
      <w:r w:rsidRPr="00D7504E">
        <w:rPr>
          <w:rFonts w:cstheme="minorHAnsi"/>
          <w:b/>
          <w:bCs/>
          <w:highlight w:val="lightGray"/>
        </w:rPr>
        <w:t xml:space="preserve">2b4.4. </w:t>
      </w:r>
      <w:proofErr w:type="gramStart"/>
      <w:r w:rsidRPr="00D7504E">
        <w:rPr>
          <w:rFonts w:cstheme="minorHAnsi"/>
          <w:b/>
          <w:bCs/>
          <w:highlight w:val="lightGray"/>
        </w:rPr>
        <w:t>What</w:t>
      </w:r>
      <w:proofErr w:type="gramEnd"/>
      <w:r w:rsidRPr="00D7504E">
        <w:rPr>
          <w:rFonts w:cstheme="minorHAnsi"/>
          <w:b/>
          <w:bCs/>
          <w:highlight w:val="lightGray"/>
        </w:rPr>
        <w:t xml:space="preserve"> were the statistical results of the analyses used to select risk factors?</w:t>
      </w:r>
      <w:r w:rsidR="00001D73" w:rsidRPr="00D7504E">
        <w:rPr>
          <w:rFonts w:cstheme="minorHAnsi"/>
          <w:b/>
          <w:bCs/>
          <w:highlight w:val="lightGray"/>
        </w:rPr>
        <w:br/>
      </w:r>
    </w:p>
    <w:p w:rsidR="00001D73" w:rsidRPr="00D7504E" w:rsidRDefault="00001D73" w:rsidP="00001D73">
      <w:pPr>
        <w:autoSpaceDE w:val="0"/>
        <w:autoSpaceDN w:val="0"/>
        <w:adjustRightInd w:val="0"/>
        <w:spacing w:after="0" w:line="240" w:lineRule="auto"/>
        <w:rPr>
          <w:rFonts w:cstheme="minorHAnsi"/>
          <w:b/>
          <w:bCs/>
          <w:highlight w:val="lightGray"/>
        </w:rPr>
      </w:pPr>
    </w:p>
    <w:p w:rsidR="00092566" w:rsidRPr="00D7504E" w:rsidRDefault="00E1508F" w:rsidP="00092566">
      <w:pPr>
        <w:autoSpaceDE w:val="0"/>
        <w:autoSpaceDN w:val="0"/>
        <w:adjustRightInd w:val="0"/>
        <w:spacing w:after="0" w:line="240" w:lineRule="auto"/>
        <w:rPr>
          <w:rFonts w:cstheme="minorHAnsi"/>
          <w:bCs/>
          <w:highlight w:val="lightGray"/>
        </w:rPr>
      </w:pPr>
      <w:r w:rsidRPr="00D7504E">
        <w:rPr>
          <w:rFonts w:cstheme="minorHAnsi"/>
          <w:b/>
          <w:bCs/>
          <w:highlight w:val="lightGray"/>
        </w:rPr>
        <w:t>2b4.</w:t>
      </w:r>
      <w:r w:rsidR="00092566" w:rsidRPr="00D7504E">
        <w:rPr>
          <w:rFonts w:cstheme="minorHAnsi"/>
          <w:b/>
          <w:bCs/>
          <w:highlight w:val="lightGray"/>
        </w:rPr>
        <w:t xml:space="preserve">5. </w:t>
      </w:r>
      <w:r w:rsidR="008871A9" w:rsidRPr="00D7504E">
        <w:rPr>
          <w:rFonts w:cstheme="minorHAnsi"/>
          <w:b/>
          <w:bCs/>
          <w:highlight w:val="lightGray"/>
        </w:rPr>
        <w:t>Describe the method of</w:t>
      </w:r>
      <w:r w:rsidR="00092566" w:rsidRPr="00D7504E">
        <w:rPr>
          <w:rFonts w:cstheme="minorHAnsi"/>
          <w:b/>
          <w:bCs/>
          <w:highlight w:val="lightGray"/>
        </w:rPr>
        <w:t xml:space="preserve"> </w:t>
      </w:r>
      <w:r w:rsidR="008871A9" w:rsidRPr="00D7504E">
        <w:rPr>
          <w:rFonts w:cstheme="minorHAnsi"/>
          <w:b/>
          <w:bCs/>
          <w:highlight w:val="lightGray"/>
        </w:rPr>
        <w:t xml:space="preserve">testing/analysis used </w:t>
      </w:r>
      <w:r w:rsidR="00092566" w:rsidRPr="00D7504E">
        <w:rPr>
          <w:rFonts w:cstheme="minorHAnsi"/>
          <w:b/>
          <w:bCs/>
          <w:highlight w:val="lightGray"/>
        </w:rPr>
        <w:t xml:space="preserve">to develop and validate the adequacy of the statistical model </w:t>
      </w:r>
      <w:r w:rsidR="00092566" w:rsidRPr="00D7504E">
        <w:rPr>
          <w:rFonts w:cstheme="minorHAnsi"/>
          <w:b/>
          <w:bCs/>
          <w:highlight w:val="lightGray"/>
          <w:u w:val="single"/>
        </w:rPr>
        <w:t>or</w:t>
      </w:r>
      <w:r w:rsidR="00092566" w:rsidRPr="00D7504E">
        <w:rPr>
          <w:rFonts w:cstheme="minorHAnsi"/>
          <w:b/>
          <w:bCs/>
          <w:highlight w:val="lightGray"/>
        </w:rPr>
        <w:t xml:space="preserve"> stratification approach</w:t>
      </w:r>
      <w:r w:rsidR="00092566" w:rsidRPr="00D7504E">
        <w:rPr>
          <w:rFonts w:cstheme="minorHAnsi"/>
          <w:bCs/>
          <w:highlight w:val="lightGray"/>
        </w:rPr>
        <w:t xml:space="preserve"> (</w:t>
      </w:r>
      <w:r w:rsidR="008871A9" w:rsidRPr="00D7504E">
        <w:rPr>
          <w:rFonts w:cstheme="minorHAnsi"/>
          <w:bCs/>
          <w:i/>
          <w:highlight w:val="lightGray"/>
        </w:rPr>
        <w:t>describe the steps―do not just name a method</w:t>
      </w:r>
      <w:r w:rsidR="006C3A4F" w:rsidRPr="00D7504E">
        <w:rPr>
          <w:rFonts w:cstheme="minorHAnsi"/>
          <w:bCs/>
          <w:i/>
          <w:highlight w:val="lightGray"/>
        </w:rPr>
        <w:t>; what statistical analysis was used</w:t>
      </w:r>
      <w:r w:rsidR="00092566" w:rsidRPr="00D7504E">
        <w:rPr>
          <w:rFonts w:cstheme="minorHAnsi"/>
          <w:bCs/>
          <w:highlight w:val="lightGray"/>
        </w:rPr>
        <w:t>)</w:t>
      </w:r>
      <w:r w:rsidR="00092566" w:rsidRPr="00D7504E">
        <w:rPr>
          <w:rFonts w:cstheme="minorHAnsi"/>
          <w:bCs/>
          <w:highlight w:val="lightGray"/>
        </w:rPr>
        <w:br/>
      </w:r>
    </w:p>
    <w:p w:rsidR="00092566" w:rsidRPr="00D7504E" w:rsidRDefault="00092566" w:rsidP="00092566">
      <w:pPr>
        <w:autoSpaceDE w:val="0"/>
        <w:autoSpaceDN w:val="0"/>
        <w:adjustRightInd w:val="0"/>
        <w:spacing w:after="0" w:line="240" w:lineRule="auto"/>
        <w:rPr>
          <w:rFonts w:cstheme="minorHAnsi"/>
          <w:bCs/>
          <w:highlight w:val="lightGray"/>
        </w:rPr>
      </w:pPr>
    </w:p>
    <w:p w:rsidR="00E1508F" w:rsidRPr="00D7504E" w:rsidRDefault="00001D73" w:rsidP="00092566">
      <w:pPr>
        <w:autoSpaceDE w:val="0"/>
        <w:autoSpaceDN w:val="0"/>
        <w:adjustRightInd w:val="0"/>
        <w:spacing w:after="0" w:line="240" w:lineRule="auto"/>
        <w:rPr>
          <w:rFonts w:cstheme="minorHAnsi"/>
          <w:b/>
          <w:bCs/>
          <w:highlight w:val="lightGray"/>
        </w:rPr>
      </w:pPr>
      <w:r w:rsidRPr="00D7504E">
        <w:rPr>
          <w:rFonts w:cstheme="minorHAnsi"/>
          <w:bCs/>
          <w:i/>
          <w:highlight w:val="lightGray"/>
        </w:rPr>
        <w:t>Provide</w:t>
      </w:r>
      <w:r w:rsidR="00092566" w:rsidRPr="00D7504E">
        <w:rPr>
          <w:rFonts w:cstheme="minorHAnsi"/>
          <w:bCs/>
          <w:i/>
          <w:highlight w:val="lightGray"/>
        </w:rPr>
        <w:t xml:space="preserve"> the statistical results from testing the approach to controlling for differences in patient characteristics (case mix)</w:t>
      </w:r>
      <w:r w:rsidRPr="00D7504E">
        <w:rPr>
          <w:rFonts w:cstheme="minorHAnsi"/>
          <w:bCs/>
          <w:i/>
          <w:highlight w:val="lightGray"/>
        </w:rPr>
        <w:t xml:space="preserve"> below</w:t>
      </w:r>
      <w:r w:rsidRPr="00D7504E">
        <w:rPr>
          <w:rFonts w:cstheme="minorHAnsi"/>
          <w:bCs/>
          <w:highlight w:val="lightGray"/>
        </w:rPr>
        <w:t>.</w:t>
      </w:r>
      <w:r w:rsidR="00092566" w:rsidRPr="00D7504E">
        <w:rPr>
          <w:rFonts w:cstheme="minorHAnsi"/>
          <w:bCs/>
          <w:highlight w:val="lightGray"/>
        </w:rPr>
        <w:br/>
      </w:r>
      <w:r w:rsidR="001F7A20" w:rsidRPr="00D7504E">
        <w:rPr>
          <w:rFonts w:cstheme="minorHAnsi"/>
          <w:b/>
          <w:bCs/>
          <w:i/>
          <w:highlight w:val="lightGray"/>
        </w:rPr>
        <w:t>If</w:t>
      </w:r>
      <w:r w:rsidR="00743E46" w:rsidRPr="00D7504E">
        <w:rPr>
          <w:rFonts w:cstheme="minorHAnsi"/>
          <w:b/>
          <w:bCs/>
          <w:i/>
          <w:highlight w:val="lightGray"/>
        </w:rPr>
        <w:t xml:space="preserve"> stratified, skip to </w:t>
      </w:r>
      <w:hyperlink w:anchor="question2b49" w:history="1">
        <w:r w:rsidR="00743E46" w:rsidRPr="00D7504E">
          <w:rPr>
            <w:rStyle w:val="Hyperlink"/>
            <w:rFonts w:cstheme="minorHAnsi"/>
            <w:b/>
            <w:bCs/>
            <w:i/>
            <w:highlight w:val="lightGray"/>
          </w:rPr>
          <w:t>2b4.9</w:t>
        </w:r>
      </w:hyperlink>
    </w:p>
    <w:p w:rsidR="00743E46" w:rsidRPr="00D7504E" w:rsidRDefault="00743E46" w:rsidP="00092566">
      <w:pPr>
        <w:autoSpaceDE w:val="0"/>
        <w:autoSpaceDN w:val="0"/>
        <w:adjustRightInd w:val="0"/>
        <w:spacing w:after="0" w:line="240" w:lineRule="auto"/>
        <w:rPr>
          <w:rFonts w:cstheme="minorHAnsi"/>
          <w:b/>
          <w:bCs/>
          <w:highlight w:val="lightGray"/>
        </w:rPr>
      </w:pPr>
    </w:p>
    <w:p w:rsidR="00001D73" w:rsidRPr="00D7504E" w:rsidRDefault="00743E46" w:rsidP="00092566">
      <w:pPr>
        <w:autoSpaceDE w:val="0"/>
        <w:autoSpaceDN w:val="0"/>
        <w:adjustRightInd w:val="0"/>
        <w:spacing w:after="0" w:line="240" w:lineRule="auto"/>
        <w:rPr>
          <w:rFonts w:cstheme="minorHAnsi"/>
          <w:b/>
          <w:bCs/>
          <w:highlight w:val="lightGray"/>
        </w:rPr>
      </w:pPr>
      <w:r w:rsidRPr="00D7504E">
        <w:rPr>
          <w:rFonts w:cstheme="minorHAnsi"/>
          <w:b/>
          <w:bCs/>
          <w:highlight w:val="lightGray"/>
        </w:rPr>
        <w:t xml:space="preserve">2b4.6. </w:t>
      </w:r>
      <w:r w:rsidR="00001D73" w:rsidRPr="00D7504E">
        <w:rPr>
          <w:rFonts w:cstheme="minorHAnsi"/>
          <w:b/>
          <w:bCs/>
          <w:highlight w:val="lightGray"/>
        </w:rPr>
        <w:t xml:space="preserve">Statistical </w:t>
      </w:r>
      <w:r w:rsidR="00092566" w:rsidRPr="00D7504E">
        <w:rPr>
          <w:rFonts w:cstheme="minorHAnsi"/>
          <w:b/>
          <w:bCs/>
          <w:highlight w:val="lightGray"/>
        </w:rPr>
        <w:t>Risk Model Discrimination Statistics</w:t>
      </w:r>
      <w:r w:rsidR="003605B4" w:rsidRPr="00D7504E">
        <w:rPr>
          <w:rFonts w:cstheme="minorHAnsi"/>
          <w:bCs/>
          <w:highlight w:val="lightGray"/>
        </w:rPr>
        <w:t xml:space="preserve"> (</w:t>
      </w:r>
      <w:r w:rsidR="003605B4" w:rsidRPr="00D7504E">
        <w:rPr>
          <w:rFonts w:cstheme="minorHAnsi"/>
          <w:bCs/>
          <w:i/>
          <w:highlight w:val="lightGray"/>
        </w:rPr>
        <w:t>e.g., c-statistic, R-squared</w:t>
      </w:r>
      <w:r w:rsidR="003605B4" w:rsidRPr="00D7504E">
        <w:rPr>
          <w:rFonts w:cstheme="minorHAnsi"/>
          <w:bCs/>
          <w:highlight w:val="lightGray"/>
        </w:rPr>
        <w:t>)</w:t>
      </w:r>
      <w:r w:rsidRPr="00D7504E">
        <w:rPr>
          <w:rFonts w:cstheme="minorHAnsi"/>
          <w:b/>
          <w:bCs/>
          <w:highlight w:val="lightGray"/>
        </w:rPr>
        <w:t>:</w:t>
      </w:r>
      <w:r w:rsidR="00092566" w:rsidRPr="00D7504E">
        <w:rPr>
          <w:rFonts w:cstheme="minorHAnsi"/>
          <w:b/>
          <w:bCs/>
          <w:highlight w:val="lightGray"/>
        </w:rPr>
        <w:t xml:space="preserve">  </w:t>
      </w:r>
      <w:r w:rsidR="00092566" w:rsidRPr="00D7504E">
        <w:rPr>
          <w:rFonts w:cstheme="minorHAnsi"/>
          <w:b/>
          <w:highlight w:val="lightGray"/>
        </w:rPr>
        <w:br/>
      </w:r>
    </w:p>
    <w:p w:rsidR="00001D73" w:rsidRPr="00D7504E" w:rsidRDefault="00743E46" w:rsidP="00092566">
      <w:pPr>
        <w:autoSpaceDE w:val="0"/>
        <w:autoSpaceDN w:val="0"/>
        <w:adjustRightInd w:val="0"/>
        <w:spacing w:after="0" w:line="240" w:lineRule="auto"/>
        <w:rPr>
          <w:rFonts w:cstheme="minorHAnsi"/>
          <w:b/>
          <w:bCs/>
          <w:highlight w:val="lightGray"/>
        </w:rPr>
      </w:pPr>
      <w:r w:rsidRPr="00D7504E">
        <w:rPr>
          <w:rFonts w:cstheme="minorHAnsi"/>
          <w:b/>
          <w:bCs/>
          <w:highlight w:val="lightGray"/>
        </w:rPr>
        <w:t>2b4.7</w:t>
      </w:r>
      <w:r w:rsidR="00001D73" w:rsidRPr="00D7504E">
        <w:rPr>
          <w:rFonts w:cstheme="minorHAnsi"/>
          <w:b/>
          <w:bCs/>
          <w:highlight w:val="lightGray"/>
        </w:rPr>
        <w:t xml:space="preserve">. </w:t>
      </w:r>
      <w:r w:rsidRPr="00D7504E">
        <w:rPr>
          <w:rFonts w:cstheme="minorHAnsi"/>
          <w:b/>
          <w:bCs/>
          <w:highlight w:val="lightGray"/>
        </w:rPr>
        <w:t xml:space="preserve">Statistical </w:t>
      </w:r>
      <w:r w:rsidR="00092566" w:rsidRPr="00D7504E">
        <w:rPr>
          <w:rFonts w:cstheme="minorHAnsi"/>
          <w:b/>
          <w:bCs/>
          <w:highlight w:val="lightGray"/>
        </w:rPr>
        <w:t>Risk Model Calibration Statistics</w:t>
      </w:r>
      <w:r w:rsidR="003605B4" w:rsidRPr="00D7504E">
        <w:rPr>
          <w:rFonts w:cstheme="minorHAnsi"/>
          <w:b/>
          <w:bCs/>
          <w:highlight w:val="lightGray"/>
        </w:rPr>
        <w:t xml:space="preserve"> </w:t>
      </w:r>
      <w:r w:rsidR="003605B4" w:rsidRPr="00D7504E">
        <w:rPr>
          <w:rFonts w:cstheme="minorHAnsi"/>
          <w:bCs/>
          <w:highlight w:val="lightGray"/>
        </w:rPr>
        <w:t>(</w:t>
      </w:r>
      <w:r w:rsidR="003605B4" w:rsidRPr="00D7504E">
        <w:rPr>
          <w:rFonts w:cstheme="minorHAnsi"/>
          <w:bCs/>
          <w:i/>
          <w:highlight w:val="lightGray"/>
        </w:rPr>
        <w:t xml:space="preserve">e.g., </w:t>
      </w:r>
      <w:proofErr w:type="spellStart"/>
      <w:r w:rsidR="003605B4" w:rsidRPr="00D7504E">
        <w:rPr>
          <w:rFonts w:cstheme="minorHAnsi"/>
          <w:bCs/>
          <w:i/>
          <w:highlight w:val="lightGray"/>
        </w:rPr>
        <w:t>Hosmer-Lemeshow</w:t>
      </w:r>
      <w:proofErr w:type="spellEnd"/>
      <w:r w:rsidR="003605B4" w:rsidRPr="00D7504E">
        <w:rPr>
          <w:rFonts w:cstheme="minorHAnsi"/>
          <w:bCs/>
          <w:i/>
          <w:highlight w:val="lightGray"/>
        </w:rPr>
        <w:t xml:space="preserve"> statistic</w:t>
      </w:r>
      <w:r w:rsidR="003605B4" w:rsidRPr="00D7504E">
        <w:rPr>
          <w:rFonts w:cstheme="minorHAnsi"/>
          <w:bCs/>
          <w:highlight w:val="lightGray"/>
        </w:rPr>
        <w:t>)</w:t>
      </w:r>
      <w:r w:rsidR="00092566" w:rsidRPr="00D7504E">
        <w:rPr>
          <w:rFonts w:cstheme="minorHAnsi"/>
          <w:bCs/>
          <w:highlight w:val="lightGray"/>
        </w:rPr>
        <w:t xml:space="preserve">:  </w:t>
      </w:r>
      <w:r w:rsidR="00092566" w:rsidRPr="00D7504E">
        <w:rPr>
          <w:rFonts w:cstheme="minorHAnsi"/>
          <w:bCs/>
          <w:highlight w:val="lightGray"/>
        </w:rPr>
        <w:br/>
      </w:r>
    </w:p>
    <w:p w:rsidR="00743E46" w:rsidRPr="00D7504E" w:rsidRDefault="00743E46" w:rsidP="00092566">
      <w:pPr>
        <w:autoSpaceDE w:val="0"/>
        <w:autoSpaceDN w:val="0"/>
        <w:adjustRightInd w:val="0"/>
        <w:spacing w:after="0" w:line="240" w:lineRule="auto"/>
        <w:rPr>
          <w:rFonts w:cstheme="minorHAnsi"/>
          <w:b/>
          <w:highlight w:val="lightGray"/>
        </w:rPr>
      </w:pPr>
      <w:r w:rsidRPr="00D7504E">
        <w:rPr>
          <w:rFonts w:cstheme="minorHAnsi"/>
          <w:b/>
          <w:bCs/>
          <w:highlight w:val="lightGray"/>
        </w:rPr>
        <w:t>2b4.8</w:t>
      </w:r>
      <w:r w:rsidR="00001D73" w:rsidRPr="00D7504E">
        <w:rPr>
          <w:rFonts w:cstheme="minorHAnsi"/>
          <w:b/>
          <w:bCs/>
          <w:highlight w:val="lightGray"/>
        </w:rPr>
        <w:t xml:space="preserve">. </w:t>
      </w:r>
      <w:r w:rsidRPr="00D7504E">
        <w:rPr>
          <w:rFonts w:cstheme="minorHAnsi"/>
          <w:b/>
          <w:bCs/>
          <w:highlight w:val="lightGray"/>
        </w:rPr>
        <w:t xml:space="preserve">Statistical </w:t>
      </w:r>
      <w:r w:rsidR="00092566" w:rsidRPr="00D7504E">
        <w:rPr>
          <w:rFonts w:cstheme="minorHAnsi"/>
          <w:b/>
          <w:bCs/>
          <w:highlight w:val="lightGray"/>
        </w:rPr>
        <w:t xml:space="preserve">Risk Model Calibration – Risk </w:t>
      </w:r>
      <w:proofErr w:type="spellStart"/>
      <w:r w:rsidR="00092566" w:rsidRPr="00D7504E">
        <w:rPr>
          <w:rFonts w:cstheme="minorHAnsi"/>
          <w:b/>
          <w:bCs/>
          <w:highlight w:val="lightGray"/>
        </w:rPr>
        <w:t>decile</w:t>
      </w:r>
      <w:proofErr w:type="spellEnd"/>
      <w:r w:rsidR="00092566" w:rsidRPr="00D7504E">
        <w:rPr>
          <w:rFonts w:cstheme="minorHAnsi"/>
          <w:b/>
          <w:bCs/>
          <w:highlight w:val="lightGray"/>
        </w:rPr>
        <w:t xml:space="preserve"> plots or calibration curves</w:t>
      </w:r>
      <w:r w:rsidR="00092566" w:rsidRPr="00D7504E">
        <w:rPr>
          <w:rFonts w:cstheme="minorHAnsi"/>
          <w:bCs/>
          <w:highlight w:val="lightGray"/>
        </w:rPr>
        <w:t>:</w:t>
      </w:r>
      <w:r w:rsidR="00092566" w:rsidRPr="00D7504E">
        <w:rPr>
          <w:rFonts w:cstheme="minorHAnsi"/>
          <w:bCs/>
          <w:highlight w:val="lightGray"/>
        </w:rPr>
        <w:br/>
      </w:r>
      <w:r w:rsidR="00092566" w:rsidRPr="00D7504E">
        <w:rPr>
          <w:rFonts w:cstheme="minorHAnsi"/>
          <w:highlight w:val="lightGray"/>
        </w:rPr>
        <w:br/>
      </w:r>
    </w:p>
    <w:p w:rsidR="00092566" w:rsidRPr="00D7504E" w:rsidRDefault="00743E46" w:rsidP="00092566">
      <w:pPr>
        <w:autoSpaceDE w:val="0"/>
        <w:autoSpaceDN w:val="0"/>
        <w:adjustRightInd w:val="0"/>
        <w:spacing w:after="0" w:line="240" w:lineRule="auto"/>
        <w:rPr>
          <w:rFonts w:cstheme="minorHAnsi"/>
          <w:bCs/>
          <w:highlight w:val="lightGray"/>
        </w:rPr>
      </w:pPr>
      <w:bookmarkStart w:id="12" w:name="question2b49"/>
      <w:bookmarkEnd w:id="12"/>
      <w:r w:rsidRPr="00D7504E">
        <w:rPr>
          <w:rFonts w:cstheme="minorHAnsi"/>
          <w:b/>
          <w:highlight w:val="lightGray"/>
        </w:rPr>
        <w:t>2b4.9</w:t>
      </w:r>
      <w:r w:rsidR="00001D73" w:rsidRPr="00D7504E">
        <w:rPr>
          <w:rFonts w:cstheme="minorHAnsi"/>
          <w:b/>
          <w:highlight w:val="lightGray"/>
        </w:rPr>
        <w:t xml:space="preserve">. Results of </w:t>
      </w:r>
      <w:r w:rsidR="00092566" w:rsidRPr="00D7504E">
        <w:rPr>
          <w:rFonts w:cstheme="minorHAnsi"/>
          <w:b/>
          <w:highlight w:val="lightGray"/>
        </w:rPr>
        <w:t>Risk Stratification Analysis</w:t>
      </w:r>
      <w:r w:rsidR="00092566" w:rsidRPr="00D7504E">
        <w:rPr>
          <w:rFonts w:cstheme="minorHAnsi"/>
          <w:highlight w:val="lightGray"/>
        </w:rPr>
        <w:t xml:space="preserve">: </w:t>
      </w:r>
      <w:r w:rsidR="00092566" w:rsidRPr="00D7504E">
        <w:rPr>
          <w:rFonts w:cstheme="minorHAnsi"/>
          <w:bCs/>
          <w:highlight w:val="lightGray"/>
        </w:rPr>
        <w:t xml:space="preserve"> </w:t>
      </w:r>
    </w:p>
    <w:p w:rsidR="00092566" w:rsidRPr="00D7504E" w:rsidRDefault="00092566" w:rsidP="00092566">
      <w:pPr>
        <w:pStyle w:val="ListParagraph"/>
        <w:rPr>
          <w:rFonts w:cstheme="minorHAnsi"/>
          <w:bCs/>
          <w:highlight w:val="lightGray"/>
        </w:rPr>
      </w:pPr>
    </w:p>
    <w:p w:rsidR="00092566" w:rsidRPr="00D7504E" w:rsidRDefault="00743E46" w:rsidP="00092566">
      <w:pPr>
        <w:autoSpaceDE w:val="0"/>
        <w:autoSpaceDN w:val="0"/>
        <w:adjustRightInd w:val="0"/>
        <w:spacing w:after="0" w:line="240" w:lineRule="auto"/>
        <w:rPr>
          <w:rFonts w:cstheme="minorHAnsi"/>
          <w:bCs/>
          <w:highlight w:val="lightGray"/>
        </w:rPr>
      </w:pPr>
      <w:r w:rsidRPr="00D7504E">
        <w:rPr>
          <w:rFonts w:cstheme="minorHAnsi"/>
          <w:b/>
          <w:bCs/>
          <w:highlight w:val="lightGray"/>
        </w:rPr>
        <w:lastRenderedPageBreak/>
        <w:t>2b4.10</w:t>
      </w:r>
      <w:r w:rsidR="00001D73" w:rsidRPr="00D7504E">
        <w:rPr>
          <w:rFonts w:cstheme="minorHAnsi"/>
          <w:b/>
          <w:bCs/>
          <w:highlight w:val="lightGray"/>
        </w:rPr>
        <w:t xml:space="preserve">. </w:t>
      </w:r>
      <w:proofErr w:type="gramStart"/>
      <w:r w:rsidR="00092566" w:rsidRPr="00D7504E">
        <w:rPr>
          <w:rFonts w:cstheme="minorHAnsi"/>
          <w:b/>
          <w:bCs/>
          <w:highlight w:val="lightGray"/>
        </w:rPr>
        <w:t>What</w:t>
      </w:r>
      <w:proofErr w:type="gramEnd"/>
      <w:r w:rsidR="00092566" w:rsidRPr="00D7504E">
        <w:rPr>
          <w:rFonts w:cstheme="minorHAnsi"/>
          <w:b/>
          <w:bCs/>
          <w:highlight w:val="lightGray"/>
        </w:rPr>
        <w:t xml:space="preserve"> is your interpretation of the results in terms of demonstrating adequacy of controlling for differences in patient characteristics (case mix)?</w:t>
      </w:r>
      <w:r w:rsidR="00092566" w:rsidRPr="00D7504E">
        <w:rPr>
          <w:rFonts w:cstheme="minorHAnsi"/>
          <w:bCs/>
          <w:highlight w:val="lightGray"/>
        </w:rPr>
        <w:t xml:space="preserve"> (i</w:t>
      </w:r>
      <w:r w:rsidR="00092566" w:rsidRPr="00D7504E">
        <w:rPr>
          <w:rFonts w:cstheme="minorHAnsi"/>
          <w:bCs/>
          <w:i/>
          <w:highlight w:val="lightGray"/>
        </w:rPr>
        <w:t xml:space="preserve">.e., what do the results mean and what are the norms for the test </w:t>
      </w:r>
      <w:proofErr w:type="gramStart"/>
      <w:r w:rsidR="00092566" w:rsidRPr="00D7504E">
        <w:rPr>
          <w:rFonts w:cstheme="minorHAnsi"/>
          <w:bCs/>
          <w:i/>
          <w:highlight w:val="lightGray"/>
        </w:rPr>
        <w:t>conducted</w:t>
      </w:r>
      <w:proofErr w:type="gramEnd"/>
      <w:r w:rsidR="00092566" w:rsidRPr="00D7504E">
        <w:rPr>
          <w:rFonts w:cstheme="minorHAnsi"/>
          <w:bCs/>
          <w:highlight w:val="lightGray"/>
        </w:rPr>
        <w:t>)</w:t>
      </w:r>
      <w:r w:rsidR="00092566" w:rsidRPr="00D7504E">
        <w:rPr>
          <w:rFonts w:cstheme="minorHAnsi"/>
          <w:bCs/>
          <w:highlight w:val="lightGray"/>
        </w:rPr>
        <w:br/>
      </w:r>
    </w:p>
    <w:p w:rsidR="00092566" w:rsidRPr="00D7504E" w:rsidRDefault="00092566" w:rsidP="00092566">
      <w:pPr>
        <w:spacing w:after="0" w:line="240" w:lineRule="auto"/>
        <w:rPr>
          <w:rFonts w:cstheme="minorHAnsi"/>
          <w:highlight w:val="lightGray"/>
        </w:rPr>
      </w:pPr>
    </w:p>
    <w:p w:rsidR="00021170" w:rsidRPr="00D7504E" w:rsidRDefault="009B1A15" w:rsidP="009B1A15">
      <w:pPr>
        <w:spacing w:after="0" w:line="240" w:lineRule="auto"/>
        <w:rPr>
          <w:rFonts w:cstheme="minorHAnsi"/>
          <w:highlight w:val="lightGray"/>
        </w:rPr>
      </w:pPr>
      <w:r w:rsidRPr="00D7504E">
        <w:rPr>
          <w:rFonts w:cstheme="minorHAnsi"/>
          <w:b/>
          <w:highlight w:val="lightGray"/>
        </w:rPr>
        <w:t>2b4.11.</w:t>
      </w:r>
      <w:r w:rsidRPr="00D7504E">
        <w:rPr>
          <w:rFonts w:cstheme="minorHAnsi"/>
          <w:highlight w:val="lightGray"/>
        </w:rPr>
        <w:t xml:space="preserve"> </w:t>
      </w:r>
      <w:r w:rsidR="00092566" w:rsidRPr="00D7504E">
        <w:rPr>
          <w:rFonts w:cstheme="minorHAnsi"/>
          <w:b/>
          <w:highlight w:val="lightGray"/>
        </w:rPr>
        <w:t>Optional</w:t>
      </w:r>
      <w:r w:rsidRPr="00D7504E">
        <w:rPr>
          <w:rFonts w:cstheme="minorHAnsi"/>
          <w:b/>
          <w:highlight w:val="lightGray"/>
        </w:rPr>
        <w:t xml:space="preserve"> Additional Testing</w:t>
      </w:r>
      <w:r w:rsidR="004756E1" w:rsidRPr="00D7504E">
        <w:rPr>
          <w:rFonts w:cstheme="minorHAnsi"/>
          <w:b/>
          <w:highlight w:val="lightGray"/>
        </w:rPr>
        <w:t xml:space="preserve"> for Risk Adjustment</w:t>
      </w:r>
      <w:r w:rsidR="00092566" w:rsidRPr="00D7504E">
        <w:rPr>
          <w:rFonts w:cstheme="minorHAnsi"/>
          <w:b/>
          <w:highlight w:val="lightGray"/>
        </w:rPr>
        <w:t xml:space="preserve"> </w:t>
      </w:r>
      <w:r w:rsidR="00092566" w:rsidRPr="00D7504E">
        <w:rPr>
          <w:rFonts w:cstheme="minorHAnsi"/>
          <w:highlight w:val="lightGray"/>
        </w:rPr>
        <w:t>(</w:t>
      </w:r>
      <w:r w:rsidR="00092566" w:rsidRPr="00D7504E">
        <w:rPr>
          <w:rFonts w:cstheme="minorHAnsi"/>
          <w:i/>
          <w:highlight w:val="lightGray"/>
          <w:u w:val="single"/>
        </w:rPr>
        <w:t>not required</w:t>
      </w:r>
      <w:r w:rsidR="00092566" w:rsidRPr="00D7504E">
        <w:rPr>
          <w:rFonts w:cstheme="minorHAnsi"/>
          <w:i/>
          <w:highlight w:val="lightGray"/>
        </w:rPr>
        <w:t>, but would provide additional support of adequacy of risk model</w:t>
      </w:r>
      <w:r w:rsidRPr="00D7504E">
        <w:rPr>
          <w:rFonts w:cstheme="minorHAnsi"/>
          <w:i/>
          <w:highlight w:val="lightGray"/>
        </w:rPr>
        <w:t>, e.g., testing of risk model in another data se</w:t>
      </w:r>
      <w:r w:rsidR="002408E4" w:rsidRPr="00D7504E">
        <w:rPr>
          <w:rFonts w:cstheme="minorHAnsi"/>
          <w:i/>
          <w:highlight w:val="lightGray"/>
        </w:rPr>
        <w:t>t</w:t>
      </w:r>
      <w:r w:rsidRPr="00D7504E">
        <w:rPr>
          <w:rFonts w:cstheme="minorHAnsi"/>
          <w:i/>
          <w:highlight w:val="lightGray"/>
        </w:rPr>
        <w:t>; sensitivity analysis for missing data</w:t>
      </w:r>
      <w:r w:rsidR="002408E4" w:rsidRPr="00D7504E">
        <w:rPr>
          <w:rFonts w:cstheme="minorHAnsi"/>
          <w:i/>
          <w:highlight w:val="lightGray"/>
        </w:rPr>
        <w:t>;</w:t>
      </w:r>
      <w:r w:rsidRPr="00D7504E">
        <w:rPr>
          <w:rFonts w:cstheme="minorHAnsi"/>
          <w:i/>
          <w:highlight w:val="lightGray"/>
        </w:rPr>
        <w:t xml:space="preserve"> other methods</w:t>
      </w:r>
      <w:r w:rsidR="008F7E67" w:rsidRPr="00D7504E">
        <w:rPr>
          <w:rFonts w:cstheme="minorHAnsi"/>
          <w:i/>
          <w:highlight w:val="lightGray"/>
        </w:rPr>
        <w:t xml:space="preserve"> that were assessed</w:t>
      </w:r>
      <w:r w:rsidRPr="00D7504E">
        <w:rPr>
          <w:rFonts w:cstheme="minorHAnsi"/>
          <w:highlight w:val="lightGray"/>
        </w:rPr>
        <w:t>)</w:t>
      </w:r>
    </w:p>
    <w:p w:rsidR="003755CB" w:rsidRPr="00D7504E" w:rsidRDefault="003755CB" w:rsidP="00D61410">
      <w:pPr>
        <w:autoSpaceDE w:val="0"/>
        <w:autoSpaceDN w:val="0"/>
        <w:adjustRightInd w:val="0"/>
        <w:spacing w:after="0" w:line="240" w:lineRule="auto"/>
        <w:rPr>
          <w:rFonts w:cstheme="minorHAnsi"/>
          <w:b/>
          <w:bCs/>
          <w:highlight w:val="lightGray"/>
        </w:rPr>
      </w:pPr>
    </w:p>
    <w:p w:rsidR="00D61410" w:rsidRPr="00A25024" w:rsidRDefault="00D61410" w:rsidP="00D61410">
      <w:pPr>
        <w:autoSpaceDE w:val="0"/>
        <w:autoSpaceDN w:val="0"/>
        <w:adjustRightInd w:val="0"/>
        <w:spacing w:after="0" w:line="240" w:lineRule="auto"/>
        <w:rPr>
          <w:rFonts w:cstheme="minorHAnsi"/>
          <w:bCs/>
        </w:rPr>
      </w:pPr>
      <w:r w:rsidRPr="00D7504E">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rsidR="00333975" w:rsidRDefault="00333975" w:rsidP="00333975">
      <w:pPr>
        <w:rPr>
          <w:rFonts w:cstheme="minorHAnsi"/>
          <w:bCs/>
        </w:rPr>
      </w:pPr>
      <w:r w:rsidRPr="00333975">
        <w:rPr>
          <w:rFonts w:cstheme="minorHAnsi"/>
          <w:bCs/>
          <w:highlight w:val="yellow"/>
        </w:rPr>
        <w:t>To identify meaningful differences in performance</w:t>
      </w:r>
      <w:r w:rsidR="00CB46C0">
        <w:rPr>
          <w:rFonts w:cstheme="minorHAnsi"/>
          <w:bCs/>
          <w:highlight w:val="yellow"/>
        </w:rPr>
        <w:t>,</w:t>
      </w:r>
      <w:r w:rsidRPr="00333975">
        <w:rPr>
          <w:rFonts w:cstheme="minorHAnsi"/>
          <w:bCs/>
          <w:highlight w:val="yellow"/>
        </w:rPr>
        <w:t xml:space="preserve"> an interquartile range (IQR) was calculated for the measure. The IQR is used to depict the dispersion of performance scores across providers. The IQR represents the dispersion in performance scores between the 25</w:t>
      </w:r>
      <w:r w:rsidRPr="00333975">
        <w:rPr>
          <w:rFonts w:cstheme="minorHAnsi"/>
          <w:bCs/>
          <w:highlight w:val="yellow"/>
          <w:vertAlign w:val="superscript"/>
        </w:rPr>
        <w:t>th</w:t>
      </w:r>
      <w:r w:rsidRPr="00333975">
        <w:rPr>
          <w:rFonts w:cstheme="minorHAnsi"/>
          <w:bCs/>
          <w:highlight w:val="yellow"/>
        </w:rPr>
        <w:t xml:space="preserve"> and 75</w:t>
      </w:r>
      <w:r w:rsidRPr="00333975">
        <w:rPr>
          <w:rFonts w:cstheme="minorHAnsi"/>
          <w:bCs/>
          <w:highlight w:val="yellow"/>
          <w:vertAlign w:val="superscript"/>
        </w:rPr>
        <w:t>th</w:t>
      </w:r>
      <w:r w:rsidRPr="00333975">
        <w:rPr>
          <w:rFonts w:cstheme="minorHAnsi"/>
          <w:bCs/>
          <w:highlight w:val="yellow"/>
        </w:rPr>
        <w:t xml:space="preserve"> percentiles.</w:t>
      </w: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333975" w:rsidRPr="00333975" w:rsidRDefault="00333975" w:rsidP="00333975">
      <w:pPr>
        <w:rPr>
          <w:highlight w:val="yellow"/>
        </w:rPr>
      </w:pPr>
      <w:r w:rsidRPr="00333975">
        <w:rPr>
          <w:highlight w:val="yellow"/>
        </w:rPr>
        <w:t xml:space="preserve">The results of the analysis are outlined in the table below. The mean performance rate for IRIS </w:t>
      </w:r>
      <w:r w:rsidR="00CB46C0">
        <w:rPr>
          <w:highlight w:val="yellow"/>
        </w:rPr>
        <w:t xml:space="preserve">Registry </w:t>
      </w:r>
      <w:r w:rsidRPr="00333975">
        <w:rPr>
          <w:highlight w:val="yellow"/>
        </w:rPr>
        <w:t>participants in 2014 was 82.0%; performance rates ranged from 0% to 100% with an IQR of 26.6%.</w:t>
      </w:r>
    </w:p>
    <w:tbl>
      <w:tblPr>
        <w:tblW w:w="10185" w:type="dxa"/>
        <w:tblInd w:w="93" w:type="dxa"/>
        <w:tblLook w:val="04A0" w:firstRow="1" w:lastRow="0" w:firstColumn="1" w:lastColumn="0" w:noHBand="0" w:noVBand="1"/>
      </w:tblPr>
      <w:tblGrid>
        <w:gridCol w:w="663"/>
        <w:gridCol w:w="551"/>
        <w:gridCol w:w="764"/>
        <w:gridCol w:w="918"/>
        <w:gridCol w:w="989"/>
        <w:gridCol w:w="652"/>
        <w:gridCol w:w="764"/>
        <w:gridCol w:w="764"/>
        <w:gridCol w:w="764"/>
        <w:gridCol w:w="875"/>
        <w:gridCol w:w="875"/>
        <w:gridCol w:w="875"/>
        <w:gridCol w:w="764"/>
      </w:tblGrid>
      <w:tr w:rsidR="00333975" w:rsidRPr="00333975" w:rsidTr="00333975">
        <w:trPr>
          <w:trHeight w:val="30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Year</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N</w:t>
            </w:r>
          </w:p>
        </w:tc>
        <w:tc>
          <w:tcPr>
            <w:tcW w:w="764"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Mean</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Median</w:t>
            </w:r>
          </w:p>
        </w:tc>
        <w:tc>
          <w:tcPr>
            <w:tcW w:w="989"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proofErr w:type="spellStart"/>
            <w:r w:rsidRPr="00333975">
              <w:rPr>
                <w:rFonts w:ascii="Calibri" w:eastAsia="Times New Roman" w:hAnsi="Calibri" w:cs="Times New Roman"/>
                <w:b/>
                <w:bCs/>
                <w:color w:val="000000"/>
                <w:highlight w:val="yellow"/>
              </w:rPr>
              <w:t>Std</w:t>
            </w:r>
            <w:proofErr w:type="spellEnd"/>
            <w:r w:rsidRPr="00333975">
              <w:rPr>
                <w:rFonts w:ascii="Calibri" w:eastAsia="Times New Roman" w:hAnsi="Calibri" w:cs="Times New Roman"/>
                <w:b/>
                <w:bCs/>
                <w:color w:val="000000"/>
                <w:highlight w:val="yellow"/>
              </w:rPr>
              <w:t xml:space="preserve"> Dev</w:t>
            </w:r>
          </w:p>
        </w:tc>
        <w:tc>
          <w:tcPr>
            <w:tcW w:w="652"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Min</w:t>
            </w:r>
          </w:p>
        </w:tc>
        <w:tc>
          <w:tcPr>
            <w:tcW w:w="764"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10</w:t>
            </w:r>
          </w:p>
        </w:tc>
        <w:tc>
          <w:tcPr>
            <w:tcW w:w="764"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25</w:t>
            </w:r>
          </w:p>
        </w:tc>
        <w:tc>
          <w:tcPr>
            <w:tcW w:w="764"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50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75</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90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Max</w:t>
            </w:r>
          </w:p>
        </w:tc>
        <w:tc>
          <w:tcPr>
            <w:tcW w:w="731" w:type="dxa"/>
            <w:tcBorders>
              <w:top w:val="single" w:sz="4" w:space="0" w:color="auto"/>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b/>
                <w:bCs/>
                <w:color w:val="000000"/>
                <w:highlight w:val="yellow"/>
              </w:rPr>
            </w:pPr>
            <w:r w:rsidRPr="00333975">
              <w:rPr>
                <w:rFonts w:ascii="Calibri" w:eastAsia="Times New Roman" w:hAnsi="Calibri" w:cs="Times New Roman"/>
                <w:b/>
                <w:bCs/>
                <w:color w:val="000000"/>
                <w:highlight w:val="yellow"/>
              </w:rPr>
              <w:t>IQR</w:t>
            </w:r>
          </w:p>
        </w:tc>
      </w:tr>
      <w:tr w:rsidR="00333975" w:rsidRPr="00385EE3" w:rsidTr="00333975">
        <w:trPr>
          <w:trHeight w:val="300"/>
        </w:trPr>
        <w:tc>
          <w:tcPr>
            <w:tcW w:w="663" w:type="dxa"/>
            <w:tcBorders>
              <w:top w:val="nil"/>
              <w:left w:val="single" w:sz="4" w:space="0" w:color="auto"/>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2014</w:t>
            </w:r>
          </w:p>
        </w:tc>
        <w:tc>
          <w:tcPr>
            <w:tcW w:w="551"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308</w:t>
            </w:r>
          </w:p>
        </w:tc>
        <w:tc>
          <w:tcPr>
            <w:tcW w:w="764"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jc w:val="right"/>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82.0%</w:t>
            </w:r>
          </w:p>
        </w:tc>
        <w:tc>
          <w:tcPr>
            <w:tcW w:w="918"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jc w:val="right"/>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98.6%</w:t>
            </w:r>
          </w:p>
        </w:tc>
        <w:tc>
          <w:tcPr>
            <w:tcW w:w="989"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jc w:val="right"/>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29.0%</w:t>
            </w:r>
          </w:p>
        </w:tc>
        <w:tc>
          <w:tcPr>
            <w:tcW w:w="652"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jc w:val="right"/>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0.0%</w:t>
            </w:r>
          </w:p>
        </w:tc>
        <w:tc>
          <w:tcPr>
            <w:tcW w:w="764"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jc w:val="right"/>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35.3%</w:t>
            </w:r>
          </w:p>
        </w:tc>
        <w:tc>
          <w:tcPr>
            <w:tcW w:w="764"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jc w:val="right"/>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73.4%</w:t>
            </w:r>
          </w:p>
        </w:tc>
        <w:tc>
          <w:tcPr>
            <w:tcW w:w="764"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jc w:val="right"/>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98.6%</w:t>
            </w:r>
          </w:p>
        </w:tc>
        <w:tc>
          <w:tcPr>
            <w:tcW w:w="875"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jc w:val="right"/>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100.0%</w:t>
            </w:r>
          </w:p>
        </w:tc>
        <w:tc>
          <w:tcPr>
            <w:tcW w:w="875"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jc w:val="right"/>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100.0%</w:t>
            </w:r>
          </w:p>
        </w:tc>
        <w:tc>
          <w:tcPr>
            <w:tcW w:w="875" w:type="dxa"/>
            <w:tcBorders>
              <w:top w:val="nil"/>
              <w:left w:val="nil"/>
              <w:bottom w:val="single" w:sz="4" w:space="0" w:color="auto"/>
              <w:right w:val="single" w:sz="4" w:space="0" w:color="auto"/>
            </w:tcBorders>
            <w:shd w:val="clear" w:color="auto" w:fill="auto"/>
            <w:noWrap/>
            <w:vAlign w:val="bottom"/>
            <w:hideMark/>
          </w:tcPr>
          <w:p w:rsidR="00333975" w:rsidRPr="00333975" w:rsidRDefault="00333975" w:rsidP="001F3038">
            <w:pPr>
              <w:spacing w:after="0" w:line="240" w:lineRule="auto"/>
              <w:jc w:val="right"/>
              <w:rPr>
                <w:rFonts w:ascii="Calibri" w:eastAsia="Times New Roman" w:hAnsi="Calibri" w:cs="Times New Roman"/>
                <w:color w:val="000000"/>
                <w:highlight w:val="yellow"/>
              </w:rPr>
            </w:pPr>
            <w:r w:rsidRPr="00333975">
              <w:rPr>
                <w:rFonts w:ascii="Calibri" w:eastAsia="Times New Roman" w:hAnsi="Calibri" w:cs="Times New Roman"/>
                <w:color w:val="000000"/>
                <w:highlight w:val="yellow"/>
              </w:rPr>
              <w:t>100.0%</w:t>
            </w:r>
          </w:p>
        </w:tc>
        <w:tc>
          <w:tcPr>
            <w:tcW w:w="731" w:type="dxa"/>
            <w:tcBorders>
              <w:top w:val="nil"/>
              <w:left w:val="nil"/>
              <w:bottom w:val="single" w:sz="4" w:space="0" w:color="auto"/>
              <w:right w:val="single" w:sz="4" w:space="0" w:color="auto"/>
            </w:tcBorders>
            <w:shd w:val="clear" w:color="auto" w:fill="auto"/>
            <w:noWrap/>
            <w:vAlign w:val="bottom"/>
            <w:hideMark/>
          </w:tcPr>
          <w:p w:rsidR="00333975" w:rsidRPr="00385EE3" w:rsidRDefault="00333975" w:rsidP="001F3038">
            <w:pPr>
              <w:spacing w:after="0" w:line="240" w:lineRule="auto"/>
              <w:jc w:val="right"/>
              <w:rPr>
                <w:rFonts w:ascii="Calibri" w:eastAsia="Times New Roman" w:hAnsi="Calibri" w:cs="Times New Roman"/>
                <w:color w:val="000000"/>
              </w:rPr>
            </w:pPr>
            <w:r w:rsidRPr="00333975">
              <w:rPr>
                <w:rFonts w:ascii="Calibri" w:eastAsia="Times New Roman" w:hAnsi="Calibri" w:cs="Times New Roman"/>
                <w:color w:val="000000"/>
                <w:highlight w:val="yellow"/>
              </w:rPr>
              <w:t>26.6%</w:t>
            </w:r>
          </w:p>
        </w:tc>
      </w:tr>
    </w:tbl>
    <w:p w:rsidR="00D61410" w:rsidRPr="00927027" w:rsidRDefault="00D61410"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333975" w:rsidRDefault="00333975" w:rsidP="00AC020E">
      <w:pPr>
        <w:pStyle w:val="Default"/>
        <w:spacing w:line="276" w:lineRule="auto"/>
        <w:rPr>
          <w:sz w:val="22"/>
          <w:szCs w:val="22"/>
        </w:rPr>
      </w:pPr>
      <w:r w:rsidRPr="00333975">
        <w:rPr>
          <w:sz w:val="22"/>
          <w:szCs w:val="22"/>
          <w:highlight w:val="yellow"/>
        </w:rPr>
        <w:t xml:space="preserve">The results suggest that while overall performance on the measure is relatively high, </w:t>
      </w:r>
      <w:r w:rsidR="00CB46C0">
        <w:rPr>
          <w:sz w:val="22"/>
          <w:szCs w:val="22"/>
          <w:highlight w:val="yellow"/>
        </w:rPr>
        <w:t xml:space="preserve">with a </w:t>
      </w:r>
      <w:r w:rsidRPr="00333975">
        <w:rPr>
          <w:sz w:val="22"/>
          <w:szCs w:val="22"/>
          <w:highlight w:val="yellow"/>
        </w:rPr>
        <w:t xml:space="preserve">mean performance rate of 82.0%, there remains a large spread in terms of performance rates across providers, </w:t>
      </w:r>
      <w:r w:rsidR="00CB46C0">
        <w:rPr>
          <w:sz w:val="22"/>
          <w:szCs w:val="22"/>
          <w:highlight w:val="yellow"/>
        </w:rPr>
        <w:t xml:space="preserve">an </w:t>
      </w:r>
      <w:r w:rsidRPr="00333975">
        <w:rPr>
          <w:sz w:val="22"/>
          <w:szCs w:val="22"/>
          <w:highlight w:val="yellow"/>
        </w:rPr>
        <w:t>IQR of 26.6%. We conclude that the results indicate</w:t>
      </w:r>
      <w:bookmarkStart w:id="14" w:name="_GoBack"/>
      <w:bookmarkEnd w:id="14"/>
      <w:r w:rsidRPr="00333975">
        <w:rPr>
          <w:sz w:val="22"/>
          <w:szCs w:val="22"/>
          <w:highlight w:val="yellow"/>
        </w:rPr>
        <w:t xml:space="preserve"> meaningful differences in performance do exist across the measured entities.</w:t>
      </w:r>
    </w:p>
    <w:p w:rsidR="00333975" w:rsidRDefault="00333975" w:rsidP="00AC020E">
      <w:pPr>
        <w:pStyle w:val="Default"/>
        <w:spacing w:line="276" w:lineRule="auto"/>
        <w:rPr>
          <w:sz w:val="22"/>
          <w:szCs w:val="22"/>
        </w:rPr>
      </w:pPr>
    </w:p>
    <w:p w:rsidR="00AC020E" w:rsidRPr="00AC020E" w:rsidRDefault="00AC020E" w:rsidP="00AC020E">
      <w:pPr>
        <w:pStyle w:val="Default"/>
        <w:spacing w:line="276" w:lineRule="auto"/>
        <w:rPr>
          <w:sz w:val="22"/>
          <w:szCs w:val="22"/>
        </w:rPr>
      </w:pPr>
      <w:r w:rsidRPr="00AC020E">
        <w:rPr>
          <w:sz w:val="22"/>
          <w:szCs w:val="22"/>
        </w:rPr>
        <w:t>A National Eye Institute-funded study, Age-Related Eye Disease Study (AREDS), showed that antioxidant vitamins and mineral supplements help to reduce the rate of progression to advanced AMD by 25% for those patients with intermediate or advanced AMD in one eye.</w:t>
      </w:r>
      <w:r w:rsidRPr="00AC020E">
        <w:rPr>
          <w:sz w:val="22"/>
          <w:szCs w:val="22"/>
          <w:vertAlign w:val="superscript"/>
        </w:rPr>
        <w:t>1</w:t>
      </w:r>
      <w:r w:rsidRPr="00AC020E">
        <w:rPr>
          <w:sz w:val="22"/>
          <w:szCs w:val="22"/>
        </w:rPr>
        <w:t xml:space="preserve">  If all the people with intermediate AMD or advanced AMD in one eye received AREDS supplements, more than 300,000 (95% confidence interval, 158 000–487 000) of them would avoid advanced AMD and any associated vision loss during </w:t>
      </w:r>
      <w:r w:rsidRPr="00AC020E">
        <w:rPr>
          <w:sz w:val="22"/>
          <w:szCs w:val="22"/>
        </w:rPr>
        <w:lastRenderedPageBreak/>
        <w:t>the next 5 years.</w:t>
      </w:r>
      <w:r w:rsidRPr="00AC020E">
        <w:rPr>
          <w:sz w:val="22"/>
          <w:szCs w:val="22"/>
          <w:vertAlign w:val="superscript"/>
        </w:rPr>
        <w:t>2</w:t>
      </w:r>
      <w:r w:rsidRPr="00AC020E">
        <w:rPr>
          <w:sz w:val="22"/>
          <w:szCs w:val="22"/>
        </w:rPr>
        <w:t>   Based on average costs for treating advanced AMD for five years, this would result in savings of $2.1 – $21 billion dollars.  From the same AREDS study, there is no evidence that the use of antioxidant vitamin and mineral supplements for patients with mild AMD alters the natural history of mild AMD.  A study found that there is a significant gap in current patterns of care:  more than one third of patients who should be taking antioxidant supplements are not or are not taking it in the correct dosage and another 20% are taking the antioxidant supplements but should not be.  Counseling is thus necessary</w:t>
      </w:r>
      <w:r w:rsidR="0070069E" w:rsidRPr="00AC020E">
        <w:rPr>
          <w:sz w:val="22"/>
          <w:szCs w:val="22"/>
        </w:rPr>
        <w:t> to</w:t>
      </w:r>
      <w:r w:rsidRPr="00AC020E">
        <w:rPr>
          <w:sz w:val="22"/>
          <w:szCs w:val="22"/>
        </w:rPr>
        <w:t xml:space="preserve"> explain to patients why treatment is not indicated as well as to warn of risks of treatment to patients who smoke or have other contraindications.</w:t>
      </w:r>
    </w:p>
    <w:p w:rsidR="00AC020E" w:rsidRPr="00AC020E" w:rsidRDefault="00AC020E" w:rsidP="00AC020E">
      <w:pPr>
        <w:pStyle w:val="Default"/>
        <w:spacing w:line="276" w:lineRule="auto"/>
        <w:rPr>
          <w:sz w:val="22"/>
          <w:szCs w:val="22"/>
        </w:rPr>
      </w:pPr>
    </w:p>
    <w:p w:rsidR="00AC020E" w:rsidRPr="00AC020E" w:rsidRDefault="00AC020E" w:rsidP="00D61410">
      <w:pPr>
        <w:autoSpaceDE w:val="0"/>
        <w:autoSpaceDN w:val="0"/>
        <w:adjustRightInd w:val="0"/>
        <w:spacing w:after="0" w:line="240" w:lineRule="auto"/>
        <w:rPr>
          <w:rFonts w:cstheme="minorHAnsi"/>
          <w:bCs/>
          <w:u w:val="single"/>
        </w:rPr>
      </w:pPr>
      <w:r w:rsidRPr="00AC020E">
        <w:rPr>
          <w:rFonts w:cstheme="minorHAnsi"/>
          <w:bCs/>
          <w:u w:val="single"/>
        </w:rPr>
        <w:t>References:</w:t>
      </w:r>
    </w:p>
    <w:p w:rsidR="00AC020E" w:rsidRPr="00AC020E" w:rsidRDefault="00AC020E" w:rsidP="00D61410">
      <w:pPr>
        <w:autoSpaceDE w:val="0"/>
        <w:autoSpaceDN w:val="0"/>
        <w:adjustRightInd w:val="0"/>
        <w:spacing w:after="0" w:line="240" w:lineRule="auto"/>
        <w:rPr>
          <w:rFonts w:cstheme="minorHAnsi"/>
          <w:bCs/>
        </w:rPr>
      </w:pPr>
    </w:p>
    <w:p w:rsidR="00AC020E" w:rsidRPr="00AC020E" w:rsidRDefault="00AC020E" w:rsidP="00D61410">
      <w:pPr>
        <w:autoSpaceDE w:val="0"/>
        <w:autoSpaceDN w:val="0"/>
        <w:adjustRightInd w:val="0"/>
        <w:spacing w:after="0" w:line="240" w:lineRule="auto"/>
        <w:rPr>
          <w:rFonts w:eastAsia="MS Mincho"/>
          <w:noProof/>
        </w:rPr>
      </w:pPr>
      <w:r w:rsidRPr="00AC020E">
        <w:t>1. A</w:t>
      </w:r>
      <w:r w:rsidRPr="00AC020E">
        <w:rPr>
          <w:rFonts w:eastAsia="MS Mincho"/>
          <w:noProof/>
        </w:rPr>
        <w:t>ge-Related Eye Disease Study Research Group. A randomized, placebo-controlled, clinical trial of high-dose supplementation with vitamins C and E, beta carotene, and zinc for age-related macular degeneration and vision loss: AREDS report number 8. Arch Ophthalmol 2001;119:1417-36.</w:t>
      </w:r>
    </w:p>
    <w:p w:rsidR="00AC020E" w:rsidRPr="00AC020E" w:rsidRDefault="00AC020E" w:rsidP="00D61410">
      <w:pPr>
        <w:autoSpaceDE w:val="0"/>
        <w:autoSpaceDN w:val="0"/>
        <w:adjustRightInd w:val="0"/>
        <w:spacing w:after="0" w:line="240" w:lineRule="auto"/>
        <w:rPr>
          <w:rFonts w:eastAsia="MS Mincho"/>
          <w:noProof/>
        </w:rPr>
      </w:pPr>
    </w:p>
    <w:p w:rsidR="00AC020E" w:rsidRPr="00AC020E" w:rsidRDefault="00AC020E" w:rsidP="00AC020E">
      <w:pPr>
        <w:pStyle w:val="EndnoteText"/>
        <w:rPr>
          <w:sz w:val="22"/>
          <w:szCs w:val="22"/>
        </w:rPr>
      </w:pPr>
      <w:r w:rsidRPr="00AC020E">
        <w:rPr>
          <w:sz w:val="22"/>
          <w:szCs w:val="22"/>
        </w:rPr>
        <w:t xml:space="preserve">2. Age-Related Eye Disease Study Group:  Potential Public Health Impact of Age-Related Eye Disease Study Results:  AREDS Report No. 11.  Arch </w:t>
      </w:r>
      <w:proofErr w:type="spellStart"/>
      <w:r w:rsidRPr="00AC020E">
        <w:rPr>
          <w:sz w:val="22"/>
          <w:szCs w:val="22"/>
        </w:rPr>
        <w:t>Ophthalmol</w:t>
      </w:r>
      <w:proofErr w:type="spellEnd"/>
      <w:r w:rsidRPr="00AC020E">
        <w:rPr>
          <w:sz w:val="22"/>
          <w:szCs w:val="22"/>
        </w:rPr>
        <w:t xml:space="preserve"> </w:t>
      </w:r>
      <w:r w:rsidRPr="00AC020E">
        <w:rPr>
          <w:rFonts w:cs="Times New Roman"/>
          <w:sz w:val="22"/>
          <w:szCs w:val="22"/>
        </w:rPr>
        <w:t>2003; 121:1621–1624</w:t>
      </w:r>
    </w:p>
    <w:p w:rsidR="00AC020E" w:rsidRPr="00AC020E" w:rsidRDefault="00AC020E" w:rsidP="00D61410">
      <w:pPr>
        <w:autoSpaceDE w:val="0"/>
        <w:autoSpaceDN w:val="0"/>
        <w:adjustRightInd w:val="0"/>
        <w:spacing w:after="0" w:line="240" w:lineRule="auto"/>
        <w:rPr>
          <w:rFonts w:cstheme="minorHAnsi"/>
          <w:bCs/>
        </w:rPr>
      </w:pPr>
    </w:p>
    <w:p w:rsidR="0086464B" w:rsidRDefault="0086464B" w:rsidP="0086464B">
      <w:pPr>
        <w:spacing w:after="0" w:line="240" w:lineRule="auto"/>
        <w:rPr>
          <w:rFonts w:cstheme="minorHAnsi"/>
          <w:b/>
          <w:bCs/>
        </w:rPr>
      </w:pPr>
      <w:r>
        <w:rPr>
          <w:rFonts w:cstheme="minorHAnsi"/>
          <w:b/>
          <w:bCs/>
        </w:rPr>
        <w:t>_______________________________________</w:t>
      </w:r>
    </w:p>
    <w:p w:rsidR="004B1BA0" w:rsidRPr="00D7504E" w:rsidRDefault="00021170" w:rsidP="00DB3627">
      <w:pPr>
        <w:autoSpaceDE w:val="0"/>
        <w:autoSpaceDN w:val="0"/>
        <w:adjustRightInd w:val="0"/>
        <w:spacing w:after="0" w:line="240" w:lineRule="auto"/>
        <w:rPr>
          <w:rFonts w:cstheme="minorHAnsi"/>
          <w:b/>
          <w:bCs/>
          <w:highlight w:val="lightGray"/>
        </w:rPr>
      </w:pPr>
      <w:r w:rsidRPr="00D7504E">
        <w:rPr>
          <w:rFonts w:cstheme="minorHAnsi"/>
          <w:b/>
          <w:bCs/>
          <w:highlight w:val="lightGray"/>
        </w:rPr>
        <w:t>2</w:t>
      </w:r>
      <w:r w:rsidR="00EA5F47" w:rsidRPr="00D7504E">
        <w:rPr>
          <w:rFonts w:cstheme="minorHAnsi"/>
          <w:b/>
          <w:bCs/>
          <w:highlight w:val="lightGray"/>
        </w:rPr>
        <w:t>b</w:t>
      </w:r>
      <w:r w:rsidRPr="00D7504E">
        <w:rPr>
          <w:rFonts w:cstheme="minorHAnsi"/>
          <w:b/>
          <w:bCs/>
          <w:highlight w:val="lightGray"/>
        </w:rPr>
        <w:t xml:space="preserve">6. COMPARABILITY OF PERFORMANCE SCORES </w:t>
      </w:r>
      <w:r w:rsidR="004C498F" w:rsidRPr="00D7504E">
        <w:rPr>
          <w:rFonts w:cstheme="minorHAnsi"/>
          <w:b/>
          <w:bCs/>
          <w:highlight w:val="lightGray"/>
        </w:rPr>
        <w:t>WHEN</w:t>
      </w:r>
      <w:r w:rsidR="002B2116" w:rsidRPr="00D7504E">
        <w:rPr>
          <w:rFonts w:cstheme="minorHAnsi"/>
          <w:b/>
          <w:bCs/>
          <w:highlight w:val="lightGray"/>
        </w:rPr>
        <w:t xml:space="preserve"> MORE THAN ONE SET OF SPECIFICATIONS </w:t>
      </w:r>
    </w:p>
    <w:p w:rsidR="00567D12" w:rsidRPr="00D7504E" w:rsidRDefault="00567D12" w:rsidP="00567D12">
      <w:pPr>
        <w:spacing w:after="0" w:line="240" w:lineRule="auto"/>
        <w:rPr>
          <w:rFonts w:cstheme="minorHAnsi"/>
          <w:b/>
          <w:bCs/>
          <w:highlight w:val="lightGray"/>
        </w:rPr>
      </w:pPr>
      <w:r w:rsidRPr="00D7504E">
        <w:rPr>
          <w:rFonts w:cstheme="minorHAnsi"/>
          <w:b/>
          <w:bCs/>
          <w:i/>
          <w:highlight w:val="lightGray"/>
        </w:rPr>
        <w:t xml:space="preserve">If only one set of specifications, this section can be </w:t>
      </w:r>
      <w:r w:rsidR="00BE592D" w:rsidRPr="00D7504E">
        <w:rPr>
          <w:rFonts w:cstheme="minorHAnsi"/>
          <w:b/>
          <w:bCs/>
          <w:i/>
          <w:highlight w:val="lightGray"/>
        </w:rPr>
        <w:t>skipped.</w:t>
      </w:r>
    </w:p>
    <w:p w:rsidR="00567D12" w:rsidRPr="00D7504E" w:rsidRDefault="00567D12" w:rsidP="00DB3627">
      <w:pPr>
        <w:autoSpaceDE w:val="0"/>
        <w:autoSpaceDN w:val="0"/>
        <w:adjustRightInd w:val="0"/>
        <w:spacing w:after="0" w:line="240" w:lineRule="auto"/>
        <w:rPr>
          <w:rFonts w:cstheme="minorHAnsi"/>
          <w:b/>
          <w:bCs/>
          <w:highlight w:val="lightGray"/>
        </w:rPr>
      </w:pPr>
    </w:p>
    <w:p w:rsidR="00052A6F" w:rsidRPr="00D7504E" w:rsidRDefault="002B2116" w:rsidP="00DB3627">
      <w:pPr>
        <w:autoSpaceDE w:val="0"/>
        <w:autoSpaceDN w:val="0"/>
        <w:adjustRightInd w:val="0"/>
        <w:spacing w:after="0" w:line="240" w:lineRule="auto"/>
        <w:rPr>
          <w:rFonts w:cstheme="minorHAnsi"/>
          <w:bCs/>
          <w:i/>
          <w:highlight w:val="lightGray"/>
        </w:rPr>
      </w:pPr>
      <w:r w:rsidRPr="00D7504E">
        <w:rPr>
          <w:rFonts w:cstheme="minorHAnsi"/>
          <w:b/>
          <w:bCs/>
          <w:highlight w:val="lightGray"/>
          <w:u w:val="single"/>
        </w:rPr>
        <w:t>Note</w:t>
      </w:r>
      <w:r w:rsidRPr="00D7504E">
        <w:rPr>
          <w:rFonts w:cstheme="minorHAnsi"/>
          <w:bCs/>
          <w:i/>
          <w:highlight w:val="lightGray"/>
        </w:rPr>
        <w:t xml:space="preserve">: This criterion is directed to measures with more than one set of specifications/instructions (e.g., </w:t>
      </w:r>
      <w:r w:rsidR="00947F78" w:rsidRPr="00D7504E">
        <w:rPr>
          <w:rFonts w:cstheme="minorHAnsi"/>
          <w:bCs/>
          <w:i/>
          <w:highlight w:val="lightGray"/>
        </w:rPr>
        <w:t>one</w:t>
      </w:r>
      <w:r w:rsidRPr="00D7504E">
        <w:rPr>
          <w:rFonts w:cstheme="minorHAnsi"/>
          <w:bCs/>
          <w:i/>
          <w:highlight w:val="lightGray"/>
        </w:rPr>
        <w:t xml:space="preserve"> set of </w:t>
      </w:r>
      <w:r w:rsidR="00947F78" w:rsidRPr="00D7504E">
        <w:rPr>
          <w:rFonts w:cstheme="minorHAnsi"/>
          <w:bCs/>
          <w:i/>
          <w:highlight w:val="lightGray"/>
        </w:rPr>
        <w:t>specifications for</w:t>
      </w:r>
      <w:r w:rsidRPr="00D7504E">
        <w:rPr>
          <w:rFonts w:cstheme="minorHAnsi"/>
          <w:bCs/>
          <w:i/>
          <w:highlight w:val="lightGray"/>
        </w:rPr>
        <w:t xml:space="preserve"> how to identify and compute the measure f</w:t>
      </w:r>
      <w:r w:rsidR="00947F78" w:rsidRPr="00D7504E">
        <w:rPr>
          <w:rFonts w:cstheme="minorHAnsi"/>
          <w:bCs/>
          <w:i/>
          <w:highlight w:val="lightGray"/>
        </w:rPr>
        <w:t>ro</w:t>
      </w:r>
      <w:r w:rsidRPr="00D7504E">
        <w:rPr>
          <w:rFonts w:cstheme="minorHAnsi"/>
          <w:bCs/>
          <w:i/>
          <w:highlight w:val="lightGray"/>
        </w:rPr>
        <w:t xml:space="preserve">m medical </w:t>
      </w:r>
      <w:r w:rsidR="00947F78" w:rsidRPr="00D7504E">
        <w:rPr>
          <w:rFonts w:cstheme="minorHAnsi"/>
          <w:bCs/>
          <w:i/>
          <w:highlight w:val="lightGray"/>
        </w:rPr>
        <w:t>record</w:t>
      </w:r>
      <w:r w:rsidR="000D7C84" w:rsidRPr="00D7504E">
        <w:rPr>
          <w:rFonts w:cstheme="minorHAnsi"/>
          <w:bCs/>
          <w:i/>
          <w:highlight w:val="lightGray"/>
        </w:rPr>
        <w:t xml:space="preserve"> abstraction</w:t>
      </w:r>
      <w:r w:rsidR="00947F78" w:rsidRPr="00D7504E">
        <w:rPr>
          <w:rFonts w:cstheme="minorHAnsi"/>
          <w:bCs/>
          <w:i/>
          <w:highlight w:val="lightGray"/>
        </w:rPr>
        <w:t xml:space="preserve"> and a different set of specifications </w:t>
      </w:r>
      <w:r w:rsidRPr="00D7504E">
        <w:rPr>
          <w:rFonts w:cstheme="minorHAnsi"/>
          <w:bCs/>
          <w:i/>
          <w:highlight w:val="lightGray"/>
        </w:rPr>
        <w:t>for claims</w:t>
      </w:r>
      <w:r w:rsidR="00840A41" w:rsidRPr="00D7504E">
        <w:rPr>
          <w:rFonts w:cstheme="minorHAnsi"/>
          <w:bCs/>
          <w:i/>
          <w:highlight w:val="lightGray"/>
        </w:rPr>
        <w:t xml:space="preserve"> or </w:t>
      </w:r>
      <w:proofErr w:type="spellStart"/>
      <w:r w:rsidR="00840A41" w:rsidRPr="00D7504E">
        <w:rPr>
          <w:rFonts w:cstheme="minorHAnsi"/>
          <w:bCs/>
          <w:i/>
          <w:highlight w:val="lightGray"/>
        </w:rPr>
        <w:t>eMeasures</w:t>
      </w:r>
      <w:proofErr w:type="spellEnd"/>
      <w:r w:rsidRPr="00D7504E">
        <w:rPr>
          <w:rFonts w:cstheme="minorHAnsi"/>
          <w:bCs/>
          <w:i/>
          <w:highlight w:val="lightGray"/>
        </w:rPr>
        <w:t xml:space="preserve">). It does not apply to measures that use more than one </w:t>
      </w:r>
      <w:r w:rsidR="00840A41" w:rsidRPr="00D7504E">
        <w:rPr>
          <w:rFonts w:cstheme="minorHAnsi"/>
          <w:bCs/>
          <w:i/>
          <w:highlight w:val="lightGray"/>
        </w:rPr>
        <w:t xml:space="preserve">source </w:t>
      </w:r>
      <w:r w:rsidRPr="00D7504E">
        <w:rPr>
          <w:rFonts w:cstheme="minorHAnsi"/>
          <w:bCs/>
          <w:i/>
          <w:highlight w:val="lightGray"/>
        </w:rPr>
        <w:t>of data in one set of specifications/instructions (e.g., claims data to identify the denominator and medical record abstraction for the numerator).</w:t>
      </w:r>
      <w:r w:rsidR="00127C06" w:rsidRPr="00D7504E">
        <w:rPr>
          <w:rFonts w:cstheme="minorHAnsi"/>
          <w:bCs/>
          <w:i/>
          <w:highlight w:val="lightGray"/>
        </w:rPr>
        <w:t xml:space="preserve"> </w:t>
      </w:r>
      <w:r w:rsidR="00D61410" w:rsidRPr="00D7504E">
        <w:rPr>
          <w:rFonts w:cstheme="minorHAnsi"/>
          <w:b/>
          <w:bCs/>
          <w:i/>
          <w:highlight w:val="lightGray"/>
        </w:rPr>
        <w:t xml:space="preserve">If comparability is not demonstrated, the different specifications </w:t>
      </w:r>
      <w:r w:rsidR="003605B4" w:rsidRPr="00D7504E">
        <w:rPr>
          <w:rFonts w:cstheme="minorHAnsi"/>
          <w:b/>
          <w:bCs/>
          <w:i/>
          <w:highlight w:val="lightGray"/>
        </w:rPr>
        <w:t xml:space="preserve">should </w:t>
      </w:r>
      <w:r w:rsidR="00D61410" w:rsidRPr="00D7504E">
        <w:rPr>
          <w:rFonts w:cstheme="minorHAnsi"/>
          <w:b/>
          <w:bCs/>
          <w:i/>
          <w:highlight w:val="lightGray"/>
        </w:rPr>
        <w:t>be submitted as separate measures.</w:t>
      </w:r>
    </w:p>
    <w:p w:rsidR="000F06B5" w:rsidRPr="00D7504E" w:rsidRDefault="000F06B5" w:rsidP="00DB3627">
      <w:pPr>
        <w:autoSpaceDE w:val="0"/>
        <w:autoSpaceDN w:val="0"/>
        <w:adjustRightInd w:val="0"/>
        <w:spacing w:after="0" w:line="240" w:lineRule="auto"/>
        <w:rPr>
          <w:rFonts w:cstheme="minorHAnsi"/>
          <w:bCs/>
          <w:highlight w:val="lightGray"/>
        </w:rPr>
      </w:pPr>
    </w:p>
    <w:p w:rsidR="000F06B5" w:rsidRDefault="00E1508F" w:rsidP="00DB3627">
      <w:pPr>
        <w:autoSpaceDE w:val="0"/>
        <w:autoSpaceDN w:val="0"/>
        <w:adjustRightInd w:val="0"/>
        <w:spacing w:after="0" w:line="240" w:lineRule="auto"/>
        <w:rPr>
          <w:rFonts w:cstheme="minorHAnsi"/>
          <w:bCs/>
          <w:highlight w:val="lightGray"/>
        </w:rPr>
      </w:pPr>
      <w:r w:rsidRPr="00D7504E">
        <w:rPr>
          <w:rFonts w:cstheme="minorHAnsi"/>
          <w:b/>
          <w:bCs/>
          <w:highlight w:val="lightGray"/>
        </w:rPr>
        <w:t xml:space="preserve">2b6.1. </w:t>
      </w:r>
      <w:r w:rsidR="008871A9" w:rsidRPr="00D7504E">
        <w:rPr>
          <w:rFonts w:cstheme="minorHAnsi"/>
          <w:b/>
          <w:bCs/>
          <w:highlight w:val="lightGray"/>
        </w:rPr>
        <w:t xml:space="preserve">Describe the method of </w:t>
      </w:r>
      <w:r w:rsidR="000F06B5" w:rsidRPr="00D7504E">
        <w:rPr>
          <w:rFonts w:cstheme="minorHAnsi"/>
          <w:b/>
          <w:bCs/>
          <w:highlight w:val="lightGray"/>
        </w:rPr>
        <w:t>testing conducted</w:t>
      </w:r>
      <w:r w:rsidR="008871A9" w:rsidRPr="00D7504E">
        <w:rPr>
          <w:rFonts w:cstheme="minorHAnsi"/>
          <w:b/>
          <w:bCs/>
          <w:highlight w:val="lightGray"/>
        </w:rPr>
        <w:t xml:space="preserve"> to demonstrate </w:t>
      </w:r>
      <w:r w:rsidR="00127C06" w:rsidRPr="00D7504E">
        <w:rPr>
          <w:rFonts w:cstheme="minorHAnsi"/>
          <w:b/>
          <w:bCs/>
          <w:highlight w:val="lightGray"/>
        </w:rPr>
        <w:t>comparability</w:t>
      </w:r>
      <w:r w:rsidR="004B6CEE" w:rsidRPr="00D7504E">
        <w:rPr>
          <w:rFonts w:cstheme="minorHAnsi"/>
          <w:b/>
          <w:bCs/>
          <w:highlight w:val="lightGray"/>
        </w:rPr>
        <w:t xml:space="preserve"> of performance scores </w:t>
      </w:r>
      <w:r w:rsidR="00A35F8F" w:rsidRPr="00D7504E">
        <w:rPr>
          <w:rFonts w:cstheme="minorHAnsi"/>
          <w:b/>
          <w:bCs/>
          <w:highlight w:val="lightGray"/>
        </w:rPr>
        <w:t xml:space="preserve">for the same entities </w:t>
      </w:r>
      <w:r w:rsidR="00287649" w:rsidRPr="00D7504E">
        <w:rPr>
          <w:rFonts w:cstheme="minorHAnsi"/>
          <w:b/>
          <w:bCs/>
          <w:highlight w:val="lightGray"/>
        </w:rPr>
        <w:t xml:space="preserve">across the different </w:t>
      </w:r>
      <w:r w:rsidR="00864CA8" w:rsidRPr="00D7504E">
        <w:rPr>
          <w:rFonts w:cstheme="minorHAnsi"/>
          <w:b/>
          <w:bCs/>
          <w:highlight w:val="lightGray"/>
        </w:rPr>
        <w:t>data</w:t>
      </w:r>
      <w:r w:rsidR="0028114D" w:rsidRPr="00D7504E">
        <w:rPr>
          <w:rFonts w:cstheme="minorHAnsi"/>
          <w:b/>
          <w:bCs/>
          <w:highlight w:val="lightGray"/>
        </w:rPr>
        <w:t xml:space="preserve"> </w:t>
      </w:r>
      <w:r w:rsidR="00864CA8" w:rsidRPr="00D7504E">
        <w:rPr>
          <w:rFonts w:cstheme="minorHAnsi"/>
          <w:b/>
          <w:bCs/>
          <w:highlight w:val="lightGray"/>
        </w:rPr>
        <w:t>sources/</w:t>
      </w:r>
      <w:r w:rsidR="00287649" w:rsidRPr="00D7504E">
        <w:rPr>
          <w:rFonts w:cstheme="minorHAnsi"/>
          <w:b/>
          <w:bCs/>
          <w:highlight w:val="lightGray"/>
        </w:rPr>
        <w:t>specifications</w:t>
      </w:r>
      <w:r w:rsidR="000F06B5" w:rsidRPr="00D7504E">
        <w:rPr>
          <w:rFonts w:cstheme="minorHAnsi"/>
          <w:bCs/>
          <w:highlight w:val="lightGray"/>
        </w:rPr>
        <w:t xml:space="preserve"> (</w:t>
      </w:r>
      <w:r w:rsidR="008871A9" w:rsidRPr="00D7504E">
        <w:rPr>
          <w:rFonts w:cstheme="minorHAnsi"/>
          <w:bCs/>
          <w:i/>
          <w:highlight w:val="lightGray"/>
        </w:rPr>
        <w:t>describe the steps―do not just name a method</w:t>
      </w:r>
      <w:r w:rsidR="006C3A4F" w:rsidRPr="00D7504E">
        <w:rPr>
          <w:rFonts w:cstheme="minorHAnsi"/>
          <w:bCs/>
          <w:i/>
          <w:highlight w:val="lightGray"/>
        </w:rPr>
        <w:t>; what statistical analysis was used</w:t>
      </w:r>
      <w:r w:rsidR="000F06B5" w:rsidRPr="00D7504E">
        <w:rPr>
          <w:rFonts w:cstheme="minorHAnsi"/>
          <w:bCs/>
          <w:highlight w:val="lightGray"/>
        </w:rPr>
        <w:t>)</w:t>
      </w:r>
      <w:r w:rsidR="000F06B5" w:rsidRPr="00D7504E">
        <w:rPr>
          <w:rFonts w:cstheme="minorHAnsi"/>
          <w:bCs/>
          <w:highlight w:val="lightGray"/>
        </w:rPr>
        <w:br/>
        <w:t xml:space="preserve"> </w:t>
      </w:r>
    </w:p>
    <w:p w:rsidR="00C901A2" w:rsidRPr="00D7504E" w:rsidRDefault="00C901A2" w:rsidP="00DB3627">
      <w:pPr>
        <w:autoSpaceDE w:val="0"/>
        <w:autoSpaceDN w:val="0"/>
        <w:adjustRightInd w:val="0"/>
        <w:spacing w:after="0" w:line="240" w:lineRule="auto"/>
        <w:rPr>
          <w:rFonts w:cstheme="minorHAnsi"/>
          <w:bCs/>
          <w:highlight w:val="lightGray"/>
        </w:rPr>
      </w:pPr>
      <w:r>
        <w:rPr>
          <w:rFonts w:cstheme="minorHAnsi"/>
          <w:bCs/>
          <w:highlight w:val="lightGray"/>
        </w:rPr>
        <w:t>Not applicable</w:t>
      </w:r>
    </w:p>
    <w:p w:rsidR="000F06B5" w:rsidRPr="00D7504E" w:rsidRDefault="000F06B5" w:rsidP="00DB3627">
      <w:pPr>
        <w:pStyle w:val="ListParagraph"/>
        <w:autoSpaceDE w:val="0"/>
        <w:autoSpaceDN w:val="0"/>
        <w:adjustRightInd w:val="0"/>
        <w:spacing w:after="0" w:line="240" w:lineRule="auto"/>
        <w:ind w:left="0"/>
        <w:rPr>
          <w:rFonts w:cstheme="minorHAnsi"/>
          <w:bCs/>
          <w:highlight w:val="lightGray"/>
        </w:rPr>
      </w:pPr>
    </w:p>
    <w:p w:rsidR="00A35F8F" w:rsidRPr="00D7504E" w:rsidRDefault="00E1508F" w:rsidP="00E1508F">
      <w:pPr>
        <w:autoSpaceDE w:val="0"/>
        <w:autoSpaceDN w:val="0"/>
        <w:adjustRightInd w:val="0"/>
        <w:spacing w:after="0" w:line="240" w:lineRule="auto"/>
        <w:rPr>
          <w:rFonts w:cstheme="minorHAnsi"/>
          <w:bCs/>
          <w:highlight w:val="lightGray"/>
        </w:rPr>
      </w:pPr>
      <w:r w:rsidRPr="00D7504E">
        <w:rPr>
          <w:rFonts w:cstheme="minorHAnsi"/>
          <w:b/>
          <w:bCs/>
          <w:highlight w:val="lightGray"/>
        </w:rPr>
        <w:t xml:space="preserve">2b6.2. </w:t>
      </w:r>
      <w:proofErr w:type="gramStart"/>
      <w:r w:rsidR="000F06B5" w:rsidRPr="00D7504E">
        <w:rPr>
          <w:rFonts w:cstheme="minorHAnsi"/>
          <w:b/>
          <w:bCs/>
          <w:highlight w:val="lightGray"/>
        </w:rPr>
        <w:t>What</w:t>
      </w:r>
      <w:proofErr w:type="gramEnd"/>
      <w:r w:rsidR="000F06B5" w:rsidRPr="00D7504E">
        <w:rPr>
          <w:rFonts w:cstheme="minorHAnsi"/>
          <w:b/>
          <w:bCs/>
          <w:highlight w:val="lightGray"/>
        </w:rPr>
        <w:t xml:space="preserve"> were the statistical results </w:t>
      </w:r>
      <w:r w:rsidR="00A35F8F" w:rsidRPr="00D7504E">
        <w:rPr>
          <w:rFonts w:cstheme="minorHAnsi"/>
          <w:b/>
          <w:bCs/>
          <w:highlight w:val="lightGray"/>
        </w:rPr>
        <w:t>from testing</w:t>
      </w:r>
      <w:r w:rsidR="000F06B5" w:rsidRPr="00D7504E">
        <w:rPr>
          <w:rFonts w:cstheme="minorHAnsi"/>
          <w:b/>
          <w:bCs/>
          <w:highlight w:val="lightGray"/>
        </w:rPr>
        <w:t xml:space="preserve"> comparability of performance scores for the same entities when using different </w:t>
      </w:r>
      <w:r w:rsidR="00864CA8" w:rsidRPr="00D7504E">
        <w:rPr>
          <w:rFonts w:cstheme="minorHAnsi"/>
          <w:b/>
          <w:bCs/>
          <w:highlight w:val="lightGray"/>
        </w:rPr>
        <w:t>data sources/</w:t>
      </w:r>
      <w:r w:rsidR="000F06B5" w:rsidRPr="00D7504E">
        <w:rPr>
          <w:rFonts w:cstheme="minorHAnsi"/>
          <w:b/>
          <w:bCs/>
          <w:highlight w:val="lightGray"/>
        </w:rPr>
        <w:t>specifications?</w:t>
      </w:r>
      <w:r w:rsidR="000F06B5" w:rsidRPr="00D7504E">
        <w:rPr>
          <w:rFonts w:cstheme="minorHAnsi"/>
          <w:bCs/>
          <w:highlight w:val="lightGray"/>
        </w:rPr>
        <w:t xml:space="preserve"> </w:t>
      </w:r>
      <w:r w:rsidR="00287649" w:rsidRPr="00D7504E">
        <w:rPr>
          <w:rFonts w:cstheme="minorHAnsi"/>
          <w:bCs/>
          <w:highlight w:val="lightGray"/>
        </w:rPr>
        <w:t>(</w:t>
      </w:r>
      <w:r w:rsidR="00287649" w:rsidRPr="00D7504E">
        <w:rPr>
          <w:rFonts w:cstheme="minorHAnsi"/>
          <w:bCs/>
          <w:i/>
          <w:highlight w:val="lightGray"/>
        </w:rPr>
        <w:t>e.g., correlation</w:t>
      </w:r>
      <w:r w:rsidR="006C3A4F" w:rsidRPr="00D7504E">
        <w:rPr>
          <w:rFonts w:cstheme="minorHAnsi"/>
          <w:bCs/>
          <w:i/>
          <w:highlight w:val="lightGray"/>
        </w:rPr>
        <w:t>, rank order</w:t>
      </w:r>
      <w:r w:rsidR="00287649" w:rsidRPr="00D7504E">
        <w:rPr>
          <w:rFonts w:cstheme="minorHAnsi"/>
          <w:bCs/>
          <w:highlight w:val="lightGray"/>
        </w:rPr>
        <w:t>)</w:t>
      </w:r>
      <w:r w:rsidR="000F06B5" w:rsidRPr="00D7504E">
        <w:rPr>
          <w:rFonts w:cstheme="minorHAnsi"/>
          <w:bCs/>
          <w:highlight w:val="lightGray"/>
        </w:rPr>
        <w:br/>
      </w:r>
    </w:p>
    <w:p w:rsidR="00E1508F" w:rsidRDefault="00C901A2" w:rsidP="00E1508F">
      <w:pPr>
        <w:autoSpaceDE w:val="0"/>
        <w:autoSpaceDN w:val="0"/>
        <w:adjustRightInd w:val="0"/>
        <w:spacing w:after="0" w:line="240" w:lineRule="auto"/>
        <w:rPr>
          <w:rFonts w:cstheme="minorHAnsi"/>
          <w:bCs/>
          <w:highlight w:val="lightGray"/>
        </w:rPr>
      </w:pPr>
      <w:r>
        <w:rPr>
          <w:rFonts w:cstheme="minorHAnsi"/>
          <w:bCs/>
          <w:highlight w:val="lightGray"/>
        </w:rPr>
        <w:t>Not applicable</w:t>
      </w:r>
    </w:p>
    <w:p w:rsidR="00C901A2" w:rsidRPr="00D7504E" w:rsidRDefault="00C901A2" w:rsidP="00E1508F">
      <w:pPr>
        <w:autoSpaceDE w:val="0"/>
        <w:autoSpaceDN w:val="0"/>
        <w:adjustRightInd w:val="0"/>
        <w:spacing w:after="0" w:line="240" w:lineRule="auto"/>
        <w:rPr>
          <w:rFonts w:cstheme="minorHAnsi"/>
          <w:bCs/>
          <w:highlight w:val="lightGray"/>
        </w:rPr>
      </w:pPr>
    </w:p>
    <w:p w:rsidR="0079180E" w:rsidRDefault="00E1508F" w:rsidP="00DB3627">
      <w:pPr>
        <w:autoSpaceDE w:val="0"/>
        <w:autoSpaceDN w:val="0"/>
        <w:adjustRightInd w:val="0"/>
        <w:spacing w:after="0" w:line="240" w:lineRule="auto"/>
        <w:rPr>
          <w:rFonts w:cstheme="minorHAnsi"/>
          <w:bCs/>
          <w:highlight w:val="lightGray"/>
        </w:rPr>
      </w:pPr>
      <w:r w:rsidRPr="00D7504E">
        <w:rPr>
          <w:rFonts w:cstheme="minorHAnsi"/>
          <w:b/>
          <w:bCs/>
          <w:highlight w:val="lightGray"/>
        </w:rPr>
        <w:t xml:space="preserve">2b6.3. </w:t>
      </w:r>
      <w:proofErr w:type="gramStart"/>
      <w:r w:rsidR="002B0C3A" w:rsidRPr="00D7504E">
        <w:rPr>
          <w:rFonts w:cstheme="minorHAnsi"/>
          <w:b/>
          <w:bCs/>
          <w:highlight w:val="lightGray"/>
        </w:rPr>
        <w:t>What</w:t>
      </w:r>
      <w:proofErr w:type="gramEnd"/>
      <w:r w:rsidR="002B0C3A" w:rsidRPr="00D7504E">
        <w:rPr>
          <w:rFonts w:cstheme="minorHAnsi"/>
          <w:b/>
          <w:bCs/>
          <w:highlight w:val="lightGray"/>
        </w:rPr>
        <w:t xml:space="preserve"> is your interpretation of the results </w:t>
      </w:r>
      <w:r w:rsidR="00A35F8F" w:rsidRPr="00D7504E">
        <w:rPr>
          <w:rFonts w:cstheme="minorHAnsi"/>
          <w:b/>
          <w:bCs/>
          <w:highlight w:val="lightGray"/>
        </w:rPr>
        <w:t xml:space="preserve">in terms of demonstrating </w:t>
      </w:r>
      <w:r w:rsidR="002B0C3A" w:rsidRPr="00D7504E">
        <w:rPr>
          <w:rFonts w:cstheme="minorHAnsi"/>
          <w:b/>
          <w:bCs/>
          <w:highlight w:val="lightGray"/>
        </w:rPr>
        <w:t xml:space="preserve">comparability of performance measure scores </w:t>
      </w:r>
      <w:r w:rsidR="00287649" w:rsidRPr="00D7504E">
        <w:rPr>
          <w:rFonts w:cstheme="minorHAnsi"/>
          <w:b/>
          <w:bCs/>
          <w:highlight w:val="lightGray"/>
        </w:rPr>
        <w:t xml:space="preserve">for the same entities across the different </w:t>
      </w:r>
      <w:r w:rsidR="00864CA8" w:rsidRPr="00D7504E">
        <w:rPr>
          <w:rFonts w:cstheme="minorHAnsi"/>
          <w:b/>
          <w:bCs/>
          <w:highlight w:val="lightGray"/>
        </w:rPr>
        <w:t>data sources/</w:t>
      </w:r>
      <w:r w:rsidR="00287649" w:rsidRPr="00D7504E">
        <w:rPr>
          <w:rFonts w:cstheme="minorHAnsi"/>
          <w:b/>
          <w:bCs/>
          <w:highlight w:val="lightGray"/>
        </w:rPr>
        <w:t>specifications</w:t>
      </w:r>
      <w:r w:rsidR="002B0C3A" w:rsidRPr="00D7504E">
        <w:rPr>
          <w:rFonts w:cstheme="minorHAnsi"/>
          <w:b/>
          <w:bCs/>
          <w:highlight w:val="lightGray"/>
        </w:rPr>
        <w:t>?</w:t>
      </w:r>
      <w:r w:rsidR="00A35F8F" w:rsidRPr="00D7504E">
        <w:rPr>
          <w:rFonts w:cstheme="minorHAnsi"/>
          <w:bCs/>
          <w:highlight w:val="lightGray"/>
        </w:rPr>
        <w:t xml:space="preserve"> </w:t>
      </w:r>
      <w:r w:rsidR="002B0C3A" w:rsidRPr="00D7504E">
        <w:rPr>
          <w:rFonts w:cstheme="minorHAnsi"/>
          <w:bCs/>
          <w:highlight w:val="lightGray"/>
        </w:rPr>
        <w:t>(i</w:t>
      </w:r>
      <w:r w:rsidR="002B0C3A" w:rsidRPr="00D7504E">
        <w:rPr>
          <w:rFonts w:cstheme="minorHAnsi"/>
          <w:bCs/>
          <w:i/>
          <w:highlight w:val="lightGray"/>
        </w:rPr>
        <w:t xml:space="preserve">.e., what do the results mean and what are the norms for the test </w:t>
      </w:r>
      <w:proofErr w:type="gramStart"/>
      <w:r w:rsidR="002B0C3A" w:rsidRPr="00D7504E">
        <w:rPr>
          <w:rFonts w:cstheme="minorHAnsi"/>
          <w:bCs/>
          <w:i/>
          <w:highlight w:val="lightGray"/>
        </w:rPr>
        <w:t>conducted</w:t>
      </w:r>
      <w:proofErr w:type="gramEnd"/>
      <w:r w:rsidR="002B0C3A" w:rsidRPr="00D7504E">
        <w:rPr>
          <w:rFonts w:cstheme="minorHAnsi"/>
          <w:bCs/>
          <w:highlight w:val="lightGray"/>
        </w:rPr>
        <w:t>)</w:t>
      </w:r>
      <w:r w:rsidR="00A35F8F" w:rsidRPr="00D7504E">
        <w:rPr>
          <w:rFonts w:cstheme="minorHAnsi"/>
          <w:bCs/>
          <w:highlight w:val="lightGray"/>
        </w:rPr>
        <w:br/>
      </w:r>
    </w:p>
    <w:p w:rsidR="00C901A2" w:rsidRPr="00D7504E" w:rsidRDefault="00C901A2" w:rsidP="00DB3627">
      <w:pPr>
        <w:autoSpaceDE w:val="0"/>
        <w:autoSpaceDN w:val="0"/>
        <w:adjustRightInd w:val="0"/>
        <w:spacing w:after="0" w:line="240" w:lineRule="auto"/>
        <w:rPr>
          <w:rFonts w:cstheme="minorHAnsi"/>
          <w:bCs/>
          <w:highlight w:val="lightGray"/>
        </w:rPr>
      </w:pPr>
      <w:r>
        <w:rPr>
          <w:rFonts w:cstheme="minorHAnsi"/>
          <w:bCs/>
          <w:highlight w:val="lightGray"/>
        </w:rPr>
        <w:t>Not applicable</w:t>
      </w:r>
    </w:p>
    <w:p w:rsidR="008F7E67" w:rsidRDefault="008F7E67" w:rsidP="008F7E67">
      <w:pPr>
        <w:spacing w:after="0" w:line="240" w:lineRule="auto"/>
        <w:rPr>
          <w:rFonts w:cstheme="minorHAnsi"/>
          <w:b/>
          <w:bCs/>
        </w:rPr>
      </w:pPr>
      <w:r w:rsidRPr="00D7504E">
        <w:rPr>
          <w:rFonts w:cstheme="minorHAnsi"/>
          <w:b/>
          <w:bCs/>
          <w:highlight w:val="lightGray"/>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lastRenderedPageBreak/>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B73D85"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rsidR="00B73D85" w:rsidRDefault="00B73D85" w:rsidP="00B73D85">
      <w:pPr>
        <w:pStyle w:val="ListParagraph"/>
        <w:autoSpaceDE w:val="0"/>
        <w:autoSpaceDN w:val="0"/>
        <w:adjustRightInd w:val="0"/>
        <w:spacing w:after="0" w:line="240" w:lineRule="auto"/>
        <w:ind w:left="0"/>
        <w:rPr>
          <w:rFonts w:cstheme="minorHAnsi"/>
          <w:bCs/>
        </w:rPr>
      </w:pPr>
      <w:r>
        <w:rPr>
          <w:rFonts w:cstheme="minorHAnsi"/>
          <w:bCs/>
        </w:rPr>
        <w:t>See discussion in Section 2b7.3.</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rsidR="00B73D85" w:rsidRDefault="00B73D85" w:rsidP="00B73D85">
      <w:pPr>
        <w:pStyle w:val="ListParagraph"/>
        <w:autoSpaceDE w:val="0"/>
        <w:autoSpaceDN w:val="0"/>
        <w:adjustRightInd w:val="0"/>
        <w:spacing w:after="0" w:line="240" w:lineRule="auto"/>
        <w:ind w:left="0"/>
        <w:rPr>
          <w:rFonts w:cstheme="minorHAnsi"/>
          <w:bCs/>
        </w:rPr>
      </w:pPr>
      <w:r>
        <w:rPr>
          <w:rFonts w:cstheme="minorHAnsi"/>
          <w:bCs/>
        </w:rPr>
        <w:t>See discussion in Section 2b7.3.</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BA053B" w:rsidRDefault="00BA053B">
      <w:pPr>
        <w:autoSpaceDE w:val="0"/>
        <w:autoSpaceDN w:val="0"/>
        <w:adjustRightInd w:val="0"/>
        <w:spacing w:after="0" w:line="240" w:lineRule="auto"/>
        <w:rPr>
          <w:rFonts w:cstheme="minorHAnsi"/>
          <w:bCs/>
        </w:rPr>
      </w:pPr>
    </w:p>
    <w:p w:rsidR="00B73D85" w:rsidRDefault="00B73D85" w:rsidP="00B73D85">
      <w:pPr>
        <w:autoSpaceDE w:val="0"/>
        <w:autoSpaceDN w:val="0"/>
        <w:adjustRightInd w:val="0"/>
        <w:spacing w:after="0" w:line="240" w:lineRule="auto"/>
        <w:rPr>
          <w:rFonts w:cstheme="minorHAnsi"/>
          <w:bCs/>
        </w:rPr>
      </w:pPr>
      <w:r w:rsidRPr="00333975">
        <w:rPr>
          <w:rFonts w:cstheme="minorHAnsi"/>
          <w:bCs/>
          <w:highlight w:val="yellow"/>
        </w:rPr>
        <w:t xml:space="preserve">The testing body did </w:t>
      </w:r>
      <w:r w:rsidR="00333975" w:rsidRPr="00333975">
        <w:rPr>
          <w:rFonts w:cstheme="minorHAnsi"/>
          <w:bCs/>
          <w:highlight w:val="yellow"/>
        </w:rPr>
        <w:t xml:space="preserve">not </w:t>
      </w:r>
      <w:r w:rsidRPr="00333975">
        <w:rPr>
          <w:rFonts w:cstheme="minorHAnsi"/>
          <w:bCs/>
          <w:highlight w:val="yellow"/>
        </w:rPr>
        <w:t>perform a formal missing data analysis</w:t>
      </w:r>
      <w:r>
        <w:rPr>
          <w:rFonts w:cstheme="minorHAnsi"/>
          <w:bCs/>
        </w:rPr>
        <w:t xml:space="preserve">. During data abstraction more evidence was identified for the measure being met than the practice had reported to CMS on their claims. As a result, the American Academy of Ophthalmology has updated the measure specifications, more </w:t>
      </w:r>
      <w:r w:rsidR="00333975">
        <w:rPr>
          <w:rFonts w:cstheme="minorHAnsi"/>
          <w:bCs/>
        </w:rPr>
        <w:t>specifically;</w:t>
      </w:r>
      <w:r>
        <w:rPr>
          <w:rFonts w:cstheme="minorHAnsi"/>
          <w:bCs/>
        </w:rPr>
        <w:t xml:space="preserve"> the list of antioxidant and mineral supplements was aligned with the treatment used during </w:t>
      </w:r>
      <w:r w:rsidRPr="00BB2C5D">
        <w:rPr>
          <w:rFonts w:cstheme="minorHAnsi"/>
          <w:bCs/>
        </w:rPr>
        <w:t>the Age‐Related Eye</w:t>
      </w:r>
      <w:r>
        <w:rPr>
          <w:rFonts w:cstheme="minorHAnsi"/>
          <w:bCs/>
        </w:rPr>
        <w:t xml:space="preserve"> </w:t>
      </w:r>
      <w:r w:rsidRPr="00BB2C5D">
        <w:rPr>
          <w:rFonts w:cstheme="minorHAnsi"/>
          <w:bCs/>
        </w:rPr>
        <w:t xml:space="preserve">Disease Study </w:t>
      </w:r>
      <w:r>
        <w:rPr>
          <w:rFonts w:cstheme="minorHAnsi"/>
          <w:bCs/>
        </w:rPr>
        <w:t>2</w:t>
      </w:r>
      <w:r w:rsidRPr="00BB2C5D">
        <w:rPr>
          <w:rFonts w:cstheme="minorHAnsi"/>
          <w:bCs/>
        </w:rPr>
        <w:t>.</w:t>
      </w:r>
    </w:p>
    <w:p w:rsidR="00B73D85" w:rsidRPr="005560E7" w:rsidRDefault="00B73D85">
      <w:pPr>
        <w:autoSpaceDE w:val="0"/>
        <w:autoSpaceDN w:val="0"/>
        <w:adjustRightInd w:val="0"/>
        <w:spacing w:after="0" w:line="240" w:lineRule="auto"/>
        <w:rPr>
          <w:rFonts w:cstheme="minorHAnsi"/>
          <w:bCs/>
        </w:rPr>
      </w:pPr>
    </w:p>
    <w:sectPr w:rsidR="00B73D85" w:rsidRPr="005560E7"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AB6" w:rsidRDefault="00E23AB6" w:rsidP="005C73CA">
      <w:pPr>
        <w:spacing w:after="0" w:line="240" w:lineRule="auto"/>
      </w:pPr>
      <w:r>
        <w:separator/>
      </w:r>
    </w:p>
  </w:endnote>
  <w:endnote w:type="continuationSeparator" w:id="0">
    <w:p w:rsidR="00E23AB6" w:rsidRDefault="00E23AB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Default="0012454F">
    <w:pPr>
      <w:pStyle w:val="Footer"/>
    </w:pPr>
    <w:r>
      <w:t xml:space="preserve">Version </w:t>
    </w:r>
    <w:proofErr w:type="gramStart"/>
    <w:r>
      <w:t xml:space="preserve">6.5 </w:t>
    </w:r>
    <w:r w:rsidR="003A7DE7">
      <w:t xml:space="preserve"> </w:t>
    </w:r>
    <w:r w:rsidR="008F7E67">
      <w:t>08</w:t>
    </w:r>
    <w:proofErr w:type="gramEnd"/>
    <w:r w:rsidR="008F7E67">
      <w:t>/20/13</w:t>
    </w:r>
    <w:r w:rsidR="008F589F">
      <w:ptab w:relativeTo="margin" w:alignment="center" w:leader="none"/>
    </w:r>
    <w:r w:rsidR="008F589F">
      <w:ptab w:relativeTo="margin" w:alignment="right" w:leader="none"/>
    </w:r>
    <w:r w:rsidR="008F589F">
      <w:fldChar w:fldCharType="begin"/>
    </w:r>
    <w:r w:rsidR="008F589F">
      <w:instrText xml:space="preserve"> PAGE   \* MERGEFORMAT </w:instrText>
    </w:r>
    <w:r w:rsidR="008F589F">
      <w:fldChar w:fldCharType="separate"/>
    </w:r>
    <w:r w:rsidR="000343D7">
      <w:rPr>
        <w:noProof/>
      </w:rPr>
      <w:t>11</w:t>
    </w:r>
    <w:r w:rsidR="008F589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AB6" w:rsidRDefault="00E23AB6" w:rsidP="005C73CA">
      <w:pPr>
        <w:spacing w:after="0" w:line="240" w:lineRule="auto"/>
      </w:pPr>
      <w:r>
        <w:separator/>
      </w:r>
    </w:p>
  </w:footnote>
  <w:footnote w:type="continuationSeparator" w:id="0">
    <w:p w:rsidR="00E23AB6" w:rsidRDefault="00E23AB6"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Pr="00105D8B" w:rsidRDefault="008F589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DE3DED"/>
    <w:multiLevelType w:val="hybridMultilevel"/>
    <w:tmpl w:val="D9B0CD6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CFF7485"/>
    <w:multiLevelType w:val="hybridMultilevel"/>
    <w:tmpl w:val="3E781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6D5DF1"/>
    <w:multiLevelType w:val="hybridMultilevel"/>
    <w:tmpl w:val="5B5A1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AD66932"/>
    <w:multiLevelType w:val="hybridMultilevel"/>
    <w:tmpl w:val="AFA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2"/>
  </w:num>
  <w:num w:numId="4">
    <w:abstractNumId w:val="5"/>
  </w:num>
  <w:num w:numId="5">
    <w:abstractNumId w:val="1"/>
  </w:num>
  <w:num w:numId="6">
    <w:abstractNumId w:val="0"/>
  </w:num>
  <w:num w:numId="7">
    <w:abstractNumId w:val="3"/>
  </w:num>
  <w:num w:numId="8">
    <w:abstractNumId w:val="21"/>
  </w:num>
  <w:num w:numId="9">
    <w:abstractNumId w:val="9"/>
  </w:num>
  <w:num w:numId="10">
    <w:abstractNumId w:val="26"/>
  </w:num>
  <w:num w:numId="11">
    <w:abstractNumId w:val="13"/>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7"/>
  </w:num>
  <w:num w:numId="21">
    <w:abstractNumId w:val="20"/>
  </w:num>
  <w:num w:numId="22">
    <w:abstractNumId w:val="16"/>
  </w:num>
  <w:num w:numId="23">
    <w:abstractNumId w:val="6"/>
  </w:num>
  <w:num w:numId="24">
    <w:abstractNumId w:val="15"/>
  </w:num>
  <w:num w:numId="25">
    <w:abstractNumId w:val="14"/>
  </w:num>
  <w:num w:numId="26">
    <w:abstractNumId w:val="28"/>
  </w:num>
  <w:num w:numId="27">
    <w:abstractNumId w:val="7"/>
  </w:num>
  <w:num w:numId="28">
    <w:abstractNumId w:val="11"/>
  </w:num>
  <w:num w:numId="29">
    <w:abstractNumId w:val="27"/>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343D7"/>
    <w:rsid w:val="000414E8"/>
    <w:rsid w:val="0004593A"/>
    <w:rsid w:val="00050A3E"/>
    <w:rsid w:val="00052A6F"/>
    <w:rsid w:val="00053F02"/>
    <w:rsid w:val="0005612B"/>
    <w:rsid w:val="000574AB"/>
    <w:rsid w:val="0006147A"/>
    <w:rsid w:val="00063125"/>
    <w:rsid w:val="00072DE7"/>
    <w:rsid w:val="000775F8"/>
    <w:rsid w:val="00080CF7"/>
    <w:rsid w:val="000851B2"/>
    <w:rsid w:val="00092566"/>
    <w:rsid w:val="000968F8"/>
    <w:rsid w:val="00097012"/>
    <w:rsid w:val="000A1287"/>
    <w:rsid w:val="000B032A"/>
    <w:rsid w:val="000B2DF7"/>
    <w:rsid w:val="000B3880"/>
    <w:rsid w:val="000D2A1D"/>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50A7F"/>
    <w:rsid w:val="00151D61"/>
    <w:rsid w:val="0017696D"/>
    <w:rsid w:val="001848FC"/>
    <w:rsid w:val="001969C5"/>
    <w:rsid w:val="001A6CDD"/>
    <w:rsid w:val="001B495E"/>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49E2"/>
    <w:rsid w:val="002E78A0"/>
    <w:rsid w:val="002F0954"/>
    <w:rsid w:val="002F2687"/>
    <w:rsid w:val="002F48E1"/>
    <w:rsid w:val="002F4F3B"/>
    <w:rsid w:val="003059EB"/>
    <w:rsid w:val="003116AC"/>
    <w:rsid w:val="00315567"/>
    <w:rsid w:val="003201EA"/>
    <w:rsid w:val="00330144"/>
    <w:rsid w:val="00333975"/>
    <w:rsid w:val="00346245"/>
    <w:rsid w:val="00347550"/>
    <w:rsid w:val="00355BD6"/>
    <w:rsid w:val="00356267"/>
    <w:rsid w:val="00356BAD"/>
    <w:rsid w:val="003605B4"/>
    <w:rsid w:val="003627AC"/>
    <w:rsid w:val="00366914"/>
    <w:rsid w:val="00372FE3"/>
    <w:rsid w:val="003755CB"/>
    <w:rsid w:val="00383F85"/>
    <w:rsid w:val="003A306C"/>
    <w:rsid w:val="003A7DE7"/>
    <w:rsid w:val="003B1006"/>
    <w:rsid w:val="003C5F11"/>
    <w:rsid w:val="003D0810"/>
    <w:rsid w:val="003D6401"/>
    <w:rsid w:val="003E030A"/>
    <w:rsid w:val="003E1863"/>
    <w:rsid w:val="003E6538"/>
    <w:rsid w:val="00404803"/>
    <w:rsid w:val="0041606D"/>
    <w:rsid w:val="00416962"/>
    <w:rsid w:val="004348CC"/>
    <w:rsid w:val="00451994"/>
    <w:rsid w:val="004658FF"/>
    <w:rsid w:val="004724D2"/>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464F3"/>
    <w:rsid w:val="0055007C"/>
    <w:rsid w:val="00554922"/>
    <w:rsid w:val="00555282"/>
    <w:rsid w:val="005560E7"/>
    <w:rsid w:val="005612CC"/>
    <w:rsid w:val="00563029"/>
    <w:rsid w:val="00567D12"/>
    <w:rsid w:val="00576062"/>
    <w:rsid w:val="0059480D"/>
    <w:rsid w:val="0059559F"/>
    <w:rsid w:val="005A49FF"/>
    <w:rsid w:val="005A7634"/>
    <w:rsid w:val="005C0447"/>
    <w:rsid w:val="005C739F"/>
    <w:rsid w:val="005C73CA"/>
    <w:rsid w:val="005D4768"/>
    <w:rsid w:val="005E0A61"/>
    <w:rsid w:val="005E2CAB"/>
    <w:rsid w:val="005E429E"/>
    <w:rsid w:val="00601ED4"/>
    <w:rsid w:val="006030BC"/>
    <w:rsid w:val="00612866"/>
    <w:rsid w:val="00616EB5"/>
    <w:rsid w:val="006269D4"/>
    <w:rsid w:val="006327D8"/>
    <w:rsid w:val="0064070A"/>
    <w:rsid w:val="00643A01"/>
    <w:rsid w:val="006574D2"/>
    <w:rsid w:val="006660F8"/>
    <w:rsid w:val="006676D4"/>
    <w:rsid w:val="00675535"/>
    <w:rsid w:val="00681359"/>
    <w:rsid w:val="00696262"/>
    <w:rsid w:val="006B5AC6"/>
    <w:rsid w:val="006C3A4F"/>
    <w:rsid w:val="006C4845"/>
    <w:rsid w:val="006D6BC1"/>
    <w:rsid w:val="006E2BFC"/>
    <w:rsid w:val="006E5C57"/>
    <w:rsid w:val="006F22A5"/>
    <w:rsid w:val="006F58DC"/>
    <w:rsid w:val="0070069E"/>
    <w:rsid w:val="00702C73"/>
    <w:rsid w:val="00713394"/>
    <w:rsid w:val="00724677"/>
    <w:rsid w:val="00725AC2"/>
    <w:rsid w:val="00732880"/>
    <w:rsid w:val="007364AF"/>
    <w:rsid w:val="007416B9"/>
    <w:rsid w:val="007422FD"/>
    <w:rsid w:val="00743E46"/>
    <w:rsid w:val="00747C45"/>
    <w:rsid w:val="00756D51"/>
    <w:rsid w:val="00756FDB"/>
    <w:rsid w:val="007579A1"/>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C6F8D"/>
    <w:rsid w:val="007D4351"/>
    <w:rsid w:val="007D7019"/>
    <w:rsid w:val="007E18DB"/>
    <w:rsid w:val="007E5A65"/>
    <w:rsid w:val="007E6F1C"/>
    <w:rsid w:val="007F6D7A"/>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B2F07"/>
    <w:rsid w:val="008B604D"/>
    <w:rsid w:val="008C54A9"/>
    <w:rsid w:val="008E67C3"/>
    <w:rsid w:val="008F589F"/>
    <w:rsid w:val="008F76A9"/>
    <w:rsid w:val="008F7E67"/>
    <w:rsid w:val="00900DBF"/>
    <w:rsid w:val="009048B9"/>
    <w:rsid w:val="00904E91"/>
    <w:rsid w:val="00915886"/>
    <w:rsid w:val="009214DC"/>
    <w:rsid w:val="00927027"/>
    <w:rsid w:val="00932B44"/>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C020E"/>
    <w:rsid w:val="00AC1D8E"/>
    <w:rsid w:val="00AC48FA"/>
    <w:rsid w:val="00AD0240"/>
    <w:rsid w:val="00AD4137"/>
    <w:rsid w:val="00B037BA"/>
    <w:rsid w:val="00B20139"/>
    <w:rsid w:val="00B218DA"/>
    <w:rsid w:val="00B342FA"/>
    <w:rsid w:val="00B53E8B"/>
    <w:rsid w:val="00B73D85"/>
    <w:rsid w:val="00B774D2"/>
    <w:rsid w:val="00B8015A"/>
    <w:rsid w:val="00B82A57"/>
    <w:rsid w:val="00BA053B"/>
    <w:rsid w:val="00BA2097"/>
    <w:rsid w:val="00BB35AE"/>
    <w:rsid w:val="00BC03A1"/>
    <w:rsid w:val="00BC0D25"/>
    <w:rsid w:val="00BD2505"/>
    <w:rsid w:val="00BE592D"/>
    <w:rsid w:val="00BE7923"/>
    <w:rsid w:val="00BF52B0"/>
    <w:rsid w:val="00BF5697"/>
    <w:rsid w:val="00C122EF"/>
    <w:rsid w:val="00C14CCC"/>
    <w:rsid w:val="00C22C1C"/>
    <w:rsid w:val="00C33F2E"/>
    <w:rsid w:val="00C34936"/>
    <w:rsid w:val="00C34C14"/>
    <w:rsid w:val="00C355B9"/>
    <w:rsid w:val="00C401C4"/>
    <w:rsid w:val="00C41680"/>
    <w:rsid w:val="00C60A25"/>
    <w:rsid w:val="00C765C5"/>
    <w:rsid w:val="00C82479"/>
    <w:rsid w:val="00C867F0"/>
    <w:rsid w:val="00C901A2"/>
    <w:rsid w:val="00CA06D8"/>
    <w:rsid w:val="00CA345A"/>
    <w:rsid w:val="00CB46C0"/>
    <w:rsid w:val="00CB49FF"/>
    <w:rsid w:val="00CC02CF"/>
    <w:rsid w:val="00CC086A"/>
    <w:rsid w:val="00CD0F66"/>
    <w:rsid w:val="00CD364B"/>
    <w:rsid w:val="00CE23B8"/>
    <w:rsid w:val="00CE50D7"/>
    <w:rsid w:val="00D00344"/>
    <w:rsid w:val="00D04036"/>
    <w:rsid w:val="00D1754D"/>
    <w:rsid w:val="00D2223F"/>
    <w:rsid w:val="00D274A4"/>
    <w:rsid w:val="00D277AF"/>
    <w:rsid w:val="00D31163"/>
    <w:rsid w:val="00D320B1"/>
    <w:rsid w:val="00D33AFD"/>
    <w:rsid w:val="00D36489"/>
    <w:rsid w:val="00D42195"/>
    <w:rsid w:val="00D50704"/>
    <w:rsid w:val="00D55EED"/>
    <w:rsid w:val="00D5760A"/>
    <w:rsid w:val="00D61410"/>
    <w:rsid w:val="00D7504E"/>
    <w:rsid w:val="00D8181D"/>
    <w:rsid w:val="00D83CD6"/>
    <w:rsid w:val="00D968D8"/>
    <w:rsid w:val="00DA563D"/>
    <w:rsid w:val="00DA7277"/>
    <w:rsid w:val="00DB18FE"/>
    <w:rsid w:val="00DB3627"/>
    <w:rsid w:val="00DB4724"/>
    <w:rsid w:val="00DC4746"/>
    <w:rsid w:val="00DE60C8"/>
    <w:rsid w:val="00DE7149"/>
    <w:rsid w:val="00E0314C"/>
    <w:rsid w:val="00E1508F"/>
    <w:rsid w:val="00E155F4"/>
    <w:rsid w:val="00E23AB6"/>
    <w:rsid w:val="00E27240"/>
    <w:rsid w:val="00E27EDD"/>
    <w:rsid w:val="00E30584"/>
    <w:rsid w:val="00E310B9"/>
    <w:rsid w:val="00E37E1B"/>
    <w:rsid w:val="00E562C0"/>
    <w:rsid w:val="00E578FF"/>
    <w:rsid w:val="00E672D6"/>
    <w:rsid w:val="00E76024"/>
    <w:rsid w:val="00E856A2"/>
    <w:rsid w:val="00E96884"/>
    <w:rsid w:val="00EA5435"/>
    <w:rsid w:val="00EA5F47"/>
    <w:rsid w:val="00EC79DE"/>
    <w:rsid w:val="00ED4ACE"/>
    <w:rsid w:val="00EE4D35"/>
    <w:rsid w:val="00EF2DA7"/>
    <w:rsid w:val="00F1440B"/>
    <w:rsid w:val="00F24A39"/>
    <w:rsid w:val="00F435AA"/>
    <w:rsid w:val="00F5738A"/>
    <w:rsid w:val="00F612D4"/>
    <w:rsid w:val="00F77F1D"/>
    <w:rsid w:val="00F87CCB"/>
    <w:rsid w:val="00F944A2"/>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404803"/>
    <w:pPr>
      <w:autoSpaceDE w:val="0"/>
      <w:autoSpaceDN w:val="0"/>
      <w:adjustRightInd w:val="0"/>
      <w:spacing w:after="0" w:line="240" w:lineRule="auto"/>
    </w:pPr>
    <w:rPr>
      <w:rFonts w:ascii="Calibri" w:hAnsi="Calibri" w:cs="Calibri"/>
      <w:color w:val="000000"/>
      <w:sz w:val="24"/>
      <w:szCs w:val="24"/>
    </w:rPr>
  </w:style>
  <w:style w:type="paragraph" w:styleId="EndnoteText">
    <w:name w:val="endnote text"/>
    <w:basedOn w:val="Normal"/>
    <w:link w:val="EndnoteTextChar"/>
    <w:uiPriority w:val="99"/>
    <w:unhideWhenUsed/>
    <w:rsid w:val="00AC020E"/>
    <w:pPr>
      <w:spacing w:after="0" w:line="240" w:lineRule="auto"/>
    </w:pPr>
    <w:rPr>
      <w:sz w:val="20"/>
      <w:szCs w:val="20"/>
    </w:rPr>
  </w:style>
  <w:style w:type="character" w:customStyle="1" w:styleId="EndnoteTextChar">
    <w:name w:val="Endnote Text Char"/>
    <w:basedOn w:val="DefaultParagraphFont"/>
    <w:link w:val="EndnoteText"/>
    <w:uiPriority w:val="99"/>
    <w:rsid w:val="00AC020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404803"/>
    <w:pPr>
      <w:autoSpaceDE w:val="0"/>
      <w:autoSpaceDN w:val="0"/>
      <w:adjustRightInd w:val="0"/>
      <w:spacing w:after="0" w:line="240" w:lineRule="auto"/>
    </w:pPr>
    <w:rPr>
      <w:rFonts w:ascii="Calibri" w:hAnsi="Calibri" w:cs="Calibri"/>
      <w:color w:val="000000"/>
      <w:sz w:val="24"/>
      <w:szCs w:val="24"/>
    </w:rPr>
  </w:style>
  <w:style w:type="paragraph" w:styleId="EndnoteText">
    <w:name w:val="endnote text"/>
    <w:basedOn w:val="Normal"/>
    <w:link w:val="EndnoteTextChar"/>
    <w:uiPriority w:val="99"/>
    <w:unhideWhenUsed/>
    <w:rsid w:val="00AC020E"/>
    <w:pPr>
      <w:spacing w:after="0" w:line="240" w:lineRule="auto"/>
    </w:pPr>
    <w:rPr>
      <w:sz w:val="20"/>
      <w:szCs w:val="20"/>
    </w:rPr>
  </w:style>
  <w:style w:type="character" w:customStyle="1" w:styleId="EndnoteTextChar">
    <w:name w:val="Endnote Text Char"/>
    <w:basedOn w:val="DefaultParagraphFont"/>
    <w:link w:val="EndnoteText"/>
    <w:uiPriority w:val="99"/>
    <w:rsid w:val="00AC020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8073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probertson\Documents\NQF\EENT%20Project\Copy%20of%20Measure%20140%20AMD%20Counselin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1"/>
          <c:order val="0"/>
          <c:spPr>
            <a:solidFill>
              <a:schemeClr val="accent1"/>
            </a:solidFill>
          </c:spPr>
          <c:invertIfNegative val="0"/>
          <c:cat>
            <c:numRef>
              <c:f>Sheet4!$A$3:$A$8</c:f>
              <c:numCache>
                <c:formatCode>General</c:formatCode>
                <c:ptCount val="6"/>
                <c:pt idx="0">
                  <c:v>0.5</c:v>
                </c:pt>
                <c:pt idx="1">
                  <c:v>0.6</c:v>
                </c:pt>
                <c:pt idx="2">
                  <c:v>0.7</c:v>
                </c:pt>
                <c:pt idx="3">
                  <c:v>0.8</c:v>
                </c:pt>
                <c:pt idx="4">
                  <c:v>0.9</c:v>
                </c:pt>
                <c:pt idx="5">
                  <c:v>1</c:v>
                </c:pt>
              </c:numCache>
            </c:numRef>
          </c:cat>
          <c:val>
            <c:numRef>
              <c:f>Sheet4!$C$3:$C$8</c:f>
              <c:numCache>
                <c:formatCode>0%</c:formatCode>
                <c:ptCount val="6"/>
                <c:pt idx="0">
                  <c:v>9.74025974025974E-3</c:v>
                </c:pt>
                <c:pt idx="1">
                  <c:v>6.4935064935064939E-3</c:v>
                </c:pt>
                <c:pt idx="2">
                  <c:v>3.246753246753247E-3</c:v>
                </c:pt>
                <c:pt idx="3">
                  <c:v>1.948051948051948E-2</c:v>
                </c:pt>
                <c:pt idx="4">
                  <c:v>2.922077922077922E-2</c:v>
                </c:pt>
                <c:pt idx="5">
                  <c:v>0.93181818181818177</c:v>
                </c:pt>
              </c:numCache>
            </c:numRef>
          </c:val>
        </c:ser>
        <c:dLbls>
          <c:showLegendKey val="0"/>
          <c:showVal val="0"/>
          <c:showCatName val="0"/>
          <c:showSerName val="0"/>
          <c:showPercent val="0"/>
          <c:showBubbleSize val="0"/>
        </c:dLbls>
        <c:gapWidth val="150"/>
        <c:axId val="42954112"/>
        <c:axId val="184321536"/>
      </c:barChart>
      <c:catAx>
        <c:axId val="42954112"/>
        <c:scaling>
          <c:orientation val="minMax"/>
        </c:scaling>
        <c:delete val="0"/>
        <c:axPos val="b"/>
        <c:title>
          <c:tx>
            <c:rich>
              <a:bodyPr/>
              <a:lstStyle/>
              <a:p>
                <a:pPr>
                  <a:defRPr/>
                </a:pPr>
                <a:r>
                  <a:rPr lang="en-US"/>
                  <a:t>Reliability</a:t>
                </a:r>
              </a:p>
            </c:rich>
          </c:tx>
          <c:overlay val="0"/>
        </c:title>
        <c:numFmt formatCode="General" sourceLinked="1"/>
        <c:majorTickMark val="out"/>
        <c:minorTickMark val="none"/>
        <c:tickLblPos val="nextTo"/>
        <c:crossAx val="184321536"/>
        <c:crosses val="autoZero"/>
        <c:auto val="1"/>
        <c:lblAlgn val="ctr"/>
        <c:lblOffset val="100"/>
        <c:noMultiLvlLbl val="0"/>
      </c:catAx>
      <c:valAx>
        <c:axId val="184321536"/>
        <c:scaling>
          <c:orientation val="minMax"/>
        </c:scaling>
        <c:delete val="0"/>
        <c:axPos val="l"/>
        <c:majorGridlines/>
        <c:title>
          <c:tx>
            <c:rich>
              <a:bodyPr rot="-5400000" vert="horz"/>
              <a:lstStyle/>
              <a:p>
                <a:pPr>
                  <a:defRPr/>
                </a:pPr>
                <a:r>
                  <a:rPr lang="en-US"/>
                  <a:t>Percentage of Providers</a:t>
                </a:r>
              </a:p>
            </c:rich>
          </c:tx>
          <c:overlay val="0"/>
        </c:title>
        <c:numFmt formatCode="0%" sourceLinked="1"/>
        <c:majorTickMark val="out"/>
        <c:minorTickMark val="none"/>
        <c:tickLblPos val="nextTo"/>
        <c:crossAx val="42954112"/>
        <c:crosses val="autoZero"/>
        <c:crossBetween val="between"/>
      </c:valAx>
    </c:plotArea>
    <c:plotVisOnly val="1"/>
    <c:dispBlanksAs val="gap"/>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87F2D"/>
    <w:rsid w:val="000D4582"/>
    <w:rsid w:val="001225E7"/>
    <w:rsid w:val="00127222"/>
    <w:rsid w:val="00190AF4"/>
    <w:rsid w:val="001A76FC"/>
    <w:rsid w:val="00223FA3"/>
    <w:rsid w:val="002A288F"/>
    <w:rsid w:val="002B2F86"/>
    <w:rsid w:val="002F052A"/>
    <w:rsid w:val="00350176"/>
    <w:rsid w:val="003840F0"/>
    <w:rsid w:val="00437537"/>
    <w:rsid w:val="004D78BB"/>
    <w:rsid w:val="0053654E"/>
    <w:rsid w:val="00632A7E"/>
    <w:rsid w:val="00632AB6"/>
    <w:rsid w:val="00730B33"/>
    <w:rsid w:val="00772B2A"/>
    <w:rsid w:val="007C672A"/>
    <w:rsid w:val="007D4368"/>
    <w:rsid w:val="00822666"/>
    <w:rsid w:val="00823ECC"/>
    <w:rsid w:val="0083398E"/>
    <w:rsid w:val="00866C97"/>
    <w:rsid w:val="00884D41"/>
    <w:rsid w:val="009017AE"/>
    <w:rsid w:val="009C542D"/>
    <w:rsid w:val="00A904BB"/>
    <w:rsid w:val="00A95183"/>
    <w:rsid w:val="00AB4AF7"/>
    <w:rsid w:val="00AD7C4F"/>
    <w:rsid w:val="00B445F5"/>
    <w:rsid w:val="00BD40CB"/>
    <w:rsid w:val="00C362A2"/>
    <w:rsid w:val="00C90121"/>
    <w:rsid w:val="00CA344F"/>
    <w:rsid w:val="00CA3F5F"/>
    <w:rsid w:val="00D1676E"/>
    <w:rsid w:val="00D63E19"/>
    <w:rsid w:val="00DB29E1"/>
    <w:rsid w:val="00DC0246"/>
    <w:rsid w:val="00E6518A"/>
    <w:rsid w:val="00F00806"/>
    <w:rsid w:val="00F540AB"/>
    <w:rsid w:val="00F5519A"/>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4875</Words>
  <Characters>27793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Peter Robertson</cp:lastModifiedBy>
  <cp:revision>2</cp:revision>
  <cp:lastPrinted>2014-06-05T22:29:00Z</cp:lastPrinted>
  <dcterms:created xsi:type="dcterms:W3CDTF">2015-05-08T01:52:00Z</dcterms:created>
  <dcterms:modified xsi:type="dcterms:W3CDTF">2015-05-08T01:52:00Z</dcterms:modified>
</cp:coreProperties>
</file>