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795" w:rsidRPr="00700E81" w:rsidRDefault="001C7795" w:rsidP="00700E81">
      <w:pPr>
        <w:ind w:left="720" w:hanging="720"/>
        <w:rPr>
          <w:sz w:val="24"/>
          <w:szCs w:val="24"/>
        </w:rPr>
      </w:pPr>
      <w:r w:rsidRPr="00700E81">
        <w:rPr>
          <w:sz w:val="24"/>
          <w:szCs w:val="24"/>
        </w:rPr>
        <w:t xml:space="preserve">TO: </w:t>
      </w:r>
      <w:r w:rsidRPr="00700E81">
        <w:rPr>
          <w:sz w:val="24"/>
          <w:szCs w:val="24"/>
        </w:rPr>
        <w:tab/>
        <w:t xml:space="preserve">American Medical Association - Physician Consortium for Performance </w:t>
      </w:r>
      <w:r>
        <w:rPr>
          <w:sz w:val="24"/>
          <w:szCs w:val="24"/>
        </w:rPr>
        <w:t xml:space="preserve"> </w:t>
      </w:r>
      <w:r w:rsidRPr="00700E81">
        <w:rPr>
          <w:sz w:val="24"/>
          <w:szCs w:val="24"/>
        </w:rPr>
        <w:t>Improvement</w:t>
      </w:r>
    </w:p>
    <w:p w:rsidR="001C7795" w:rsidRPr="00700E81" w:rsidRDefault="001C7795" w:rsidP="0020100B">
      <w:pPr>
        <w:spacing w:after="0" w:line="360" w:lineRule="auto"/>
        <w:rPr>
          <w:rFonts w:cs="Calibri"/>
          <w:sz w:val="24"/>
          <w:szCs w:val="24"/>
        </w:rPr>
      </w:pPr>
      <w:r w:rsidRPr="00700E81">
        <w:rPr>
          <w:rFonts w:cs="Calibri"/>
          <w:sz w:val="24"/>
          <w:szCs w:val="24"/>
        </w:rPr>
        <w:t xml:space="preserve">FR: </w:t>
      </w:r>
      <w:r w:rsidRPr="00700E81">
        <w:rPr>
          <w:rFonts w:cs="Calibri"/>
          <w:sz w:val="24"/>
          <w:szCs w:val="24"/>
        </w:rPr>
        <w:tab/>
        <w:t>NQF GI/GU Project Staff</w:t>
      </w:r>
    </w:p>
    <w:p w:rsidR="001C7795" w:rsidRPr="00700E81" w:rsidRDefault="001C7795" w:rsidP="0020100B">
      <w:pPr>
        <w:spacing w:after="0" w:line="360" w:lineRule="auto"/>
        <w:rPr>
          <w:rFonts w:cs="Calibri"/>
          <w:b/>
          <w:sz w:val="24"/>
          <w:szCs w:val="24"/>
          <w:u w:val="single"/>
        </w:rPr>
      </w:pPr>
      <w:r w:rsidRPr="00700E81">
        <w:rPr>
          <w:rFonts w:cs="Calibri"/>
          <w:sz w:val="24"/>
          <w:szCs w:val="24"/>
        </w:rPr>
        <w:t>RE:</w:t>
      </w:r>
      <w:r w:rsidRPr="00700E81">
        <w:rPr>
          <w:rFonts w:cs="Calibri"/>
          <w:sz w:val="24"/>
          <w:szCs w:val="24"/>
        </w:rPr>
        <w:tab/>
        <w:t>GI/GU Endorsement Maintenance Pilot Project: Stage two checklist</w:t>
      </w:r>
    </w:p>
    <w:p w:rsidR="001C7795" w:rsidRPr="00700E81" w:rsidRDefault="001C7795" w:rsidP="0020100B">
      <w:pPr>
        <w:spacing w:after="0" w:line="360" w:lineRule="auto"/>
        <w:rPr>
          <w:rFonts w:cs="Calibri"/>
          <w:sz w:val="24"/>
          <w:szCs w:val="24"/>
        </w:rPr>
      </w:pPr>
      <w:r w:rsidRPr="00700E81">
        <w:rPr>
          <w:rFonts w:cs="Calibri"/>
          <w:sz w:val="24"/>
          <w:szCs w:val="24"/>
        </w:rPr>
        <w:t>DA:</w:t>
      </w:r>
      <w:r w:rsidRPr="00700E81">
        <w:rPr>
          <w:rFonts w:cs="Calibri"/>
          <w:sz w:val="24"/>
          <w:szCs w:val="24"/>
        </w:rPr>
        <w:tab/>
        <w:t>September 28, 2012</w:t>
      </w:r>
    </w:p>
    <w:p w:rsidR="001C7795" w:rsidRPr="00700E81" w:rsidRDefault="001C7795" w:rsidP="0020100B">
      <w:pPr>
        <w:spacing w:after="0" w:line="240" w:lineRule="auto"/>
        <w:rPr>
          <w:rFonts w:eastAsia="Times New Roman" w:cs="Calibri"/>
          <w:color w:val="548DD4"/>
          <w:sz w:val="28"/>
          <w:szCs w:val="24"/>
        </w:rPr>
      </w:pPr>
      <w:r w:rsidRPr="00700E81">
        <w:rPr>
          <w:rFonts w:eastAsia="Times New Roman" w:cs="Calibri"/>
          <w:color w:val="548DD4"/>
          <w:sz w:val="28"/>
          <w:szCs w:val="24"/>
        </w:rPr>
        <w:t xml:space="preserve">GI/GU Endorsement Maintenance Pilot Project, 2012 </w:t>
      </w:r>
    </w:p>
    <w:p w:rsidR="001C7795" w:rsidRDefault="001C7795" w:rsidP="0020100B">
      <w:pPr>
        <w:spacing w:after="0" w:line="240" w:lineRule="auto"/>
        <w:rPr>
          <w:rFonts w:cs="Calibri"/>
          <w:b/>
          <w:sz w:val="24"/>
          <w:szCs w:val="24"/>
          <w:u w:val="single"/>
        </w:rPr>
      </w:pPr>
    </w:p>
    <w:p w:rsidR="001C7795" w:rsidRPr="00700E81" w:rsidRDefault="001C7795" w:rsidP="0020100B">
      <w:pPr>
        <w:spacing w:after="0" w:line="240" w:lineRule="auto"/>
        <w:rPr>
          <w:rFonts w:cs="Calibri"/>
          <w:sz w:val="24"/>
          <w:szCs w:val="24"/>
        </w:rPr>
      </w:pPr>
      <w:r w:rsidRPr="00700E81">
        <w:rPr>
          <w:rFonts w:cs="Calibri"/>
          <w:sz w:val="24"/>
          <w:szCs w:val="24"/>
        </w:rPr>
        <w:t xml:space="preserve">Thank you for your participation and concept submission to the GI/GU Endorsement Maintenance Pilot Project. Please carefully review the instructions below for next steps. </w:t>
      </w:r>
    </w:p>
    <w:p w:rsidR="001C7795" w:rsidRPr="00700E81" w:rsidRDefault="001C7795" w:rsidP="0020100B">
      <w:pPr>
        <w:spacing w:after="0" w:line="240" w:lineRule="auto"/>
        <w:rPr>
          <w:rFonts w:cs="Calibri"/>
          <w:b/>
          <w:sz w:val="24"/>
          <w:szCs w:val="24"/>
        </w:rPr>
      </w:pPr>
    </w:p>
    <w:p w:rsidR="001C7795" w:rsidRPr="00700E81" w:rsidRDefault="001C7795" w:rsidP="0020100B">
      <w:pPr>
        <w:spacing w:after="0" w:line="240" w:lineRule="auto"/>
        <w:rPr>
          <w:rFonts w:cs="Calibri"/>
          <w:b/>
          <w:sz w:val="24"/>
          <w:szCs w:val="24"/>
        </w:rPr>
      </w:pPr>
      <w:r w:rsidRPr="00700E81">
        <w:rPr>
          <w:rFonts w:cs="Calibri"/>
          <w:b/>
          <w:sz w:val="24"/>
          <w:szCs w:val="24"/>
        </w:rPr>
        <w:t xml:space="preserve">Preparation for submission of recommended concepts to stage two </w:t>
      </w:r>
    </w:p>
    <w:p w:rsidR="001C7795" w:rsidRPr="00700E81" w:rsidRDefault="001C7795" w:rsidP="0020100B">
      <w:pPr>
        <w:spacing w:after="0" w:line="240" w:lineRule="auto"/>
        <w:rPr>
          <w:rFonts w:cs="Calibri"/>
          <w:sz w:val="24"/>
          <w:szCs w:val="24"/>
        </w:rPr>
      </w:pPr>
    </w:p>
    <w:p w:rsidR="001C7795" w:rsidRPr="00700E81" w:rsidRDefault="001C7795" w:rsidP="0020100B">
      <w:pPr>
        <w:pStyle w:val="ListParagraph"/>
        <w:numPr>
          <w:ilvl w:val="0"/>
          <w:numId w:val="40"/>
        </w:numPr>
        <w:spacing w:after="0" w:line="240" w:lineRule="auto"/>
        <w:rPr>
          <w:rFonts w:cs="Calibri"/>
          <w:sz w:val="24"/>
          <w:szCs w:val="24"/>
        </w:rPr>
      </w:pPr>
      <w:r w:rsidRPr="00700E81">
        <w:rPr>
          <w:rFonts w:cs="Calibri"/>
          <w:sz w:val="24"/>
          <w:szCs w:val="24"/>
        </w:rPr>
        <w:t>Keep in mind, while the measure submission forms for recommended concepts opens in early November, approval of concepts is finalized with Board of Directors approval on November 30.</w:t>
      </w:r>
    </w:p>
    <w:p w:rsidR="001C7795" w:rsidRPr="00700E81" w:rsidRDefault="001C7795" w:rsidP="0020100B">
      <w:pPr>
        <w:pStyle w:val="ListParagraph"/>
        <w:spacing w:after="0" w:line="240" w:lineRule="auto"/>
        <w:rPr>
          <w:rFonts w:cs="Calibri"/>
          <w:sz w:val="24"/>
          <w:szCs w:val="24"/>
        </w:rPr>
      </w:pPr>
    </w:p>
    <w:p w:rsidR="001C7795" w:rsidRPr="00700E81" w:rsidRDefault="001C7795" w:rsidP="0020100B">
      <w:pPr>
        <w:pStyle w:val="ListParagraph"/>
        <w:numPr>
          <w:ilvl w:val="0"/>
          <w:numId w:val="40"/>
        </w:numPr>
        <w:spacing w:after="0" w:line="240" w:lineRule="auto"/>
        <w:rPr>
          <w:rFonts w:cs="Calibri"/>
          <w:sz w:val="24"/>
          <w:szCs w:val="24"/>
        </w:rPr>
      </w:pPr>
      <w:r w:rsidRPr="00700E81">
        <w:rPr>
          <w:rFonts w:cs="Calibri"/>
          <w:sz w:val="24"/>
          <w:szCs w:val="24"/>
        </w:rPr>
        <w:t>Review all requirements for measure submission and criteria to be suitable for endorsement:</w:t>
      </w:r>
    </w:p>
    <w:p w:rsidR="001C7795" w:rsidRPr="00700E81" w:rsidRDefault="001C7795" w:rsidP="0020100B">
      <w:pPr>
        <w:pStyle w:val="NoSpacing"/>
        <w:numPr>
          <w:ilvl w:val="0"/>
          <w:numId w:val="36"/>
        </w:numPr>
        <w:ind w:left="1080"/>
        <w:rPr>
          <w:rFonts w:cs="Calibri"/>
          <w:sz w:val="24"/>
          <w:szCs w:val="24"/>
        </w:rPr>
      </w:pPr>
      <w:r w:rsidRPr="00700E81">
        <w:rPr>
          <w:rFonts w:cs="Calibri"/>
          <w:sz w:val="24"/>
          <w:szCs w:val="24"/>
        </w:rPr>
        <w:t>Ensure that evidence remains current and consistent with concept</w:t>
      </w:r>
    </w:p>
    <w:p w:rsidR="001C7795" w:rsidRPr="00700E81" w:rsidRDefault="001C7795" w:rsidP="0020100B">
      <w:pPr>
        <w:pStyle w:val="NoSpacing"/>
        <w:numPr>
          <w:ilvl w:val="1"/>
          <w:numId w:val="36"/>
        </w:numPr>
        <w:ind w:left="1800"/>
        <w:rPr>
          <w:rFonts w:cs="Calibri"/>
          <w:sz w:val="24"/>
          <w:szCs w:val="24"/>
        </w:rPr>
      </w:pPr>
      <w:r w:rsidRPr="00700E81">
        <w:rPr>
          <w:rFonts w:cs="Calibri"/>
          <w:sz w:val="24"/>
          <w:szCs w:val="24"/>
        </w:rPr>
        <w:t>Check if there have been any major changes in the evidence base supporting the approved concept.  If yes, provide the citation and copy of the study or article and discuss the impact on the measure concept.</w:t>
      </w:r>
    </w:p>
    <w:p w:rsidR="001C7795" w:rsidRPr="00700E81" w:rsidRDefault="001C7795" w:rsidP="0020100B">
      <w:pPr>
        <w:pStyle w:val="NoSpacing"/>
        <w:numPr>
          <w:ilvl w:val="1"/>
          <w:numId w:val="36"/>
        </w:numPr>
        <w:ind w:left="1800"/>
        <w:rPr>
          <w:rFonts w:cs="Calibri"/>
          <w:sz w:val="24"/>
          <w:szCs w:val="24"/>
        </w:rPr>
      </w:pPr>
      <w:r w:rsidRPr="00700E81">
        <w:rPr>
          <w:rFonts w:cs="Calibri"/>
          <w:sz w:val="24"/>
          <w:szCs w:val="24"/>
        </w:rPr>
        <w:t>If there are any changes in the concept from that which was approved, identify those changes and discuss the relevance of the evidence to the approved concept and the updated concept.</w:t>
      </w:r>
    </w:p>
    <w:p w:rsidR="001C7795" w:rsidRPr="00700E81" w:rsidRDefault="001C7795" w:rsidP="0020100B">
      <w:pPr>
        <w:pStyle w:val="ListParagraph"/>
        <w:numPr>
          <w:ilvl w:val="0"/>
          <w:numId w:val="36"/>
        </w:numPr>
        <w:spacing w:after="0" w:line="240" w:lineRule="auto"/>
        <w:ind w:left="1080"/>
        <w:rPr>
          <w:rFonts w:cs="Calibri"/>
          <w:sz w:val="24"/>
          <w:szCs w:val="24"/>
        </w:rPr>
      </w:pPr>
      <w:r w:rsidRPr="00700E81">
        <w:rPr>
          <w:rFonts w:cs="Calibri"/>
          <w:sz w:val="24"/>
          <w:szCs w:val="24"/>
        </w:rPr>
        <w:t>Ensure that testing requirements have been satisfied</w:t>
      </w:r>
    </w:p>
    <w:p w:rsidR="001C7795" w:rsidRPr="00700E81" w:rsidRDefault="001C7795" w:rsidP="0020100B">
      <w:pPr>
        <w:pStyle w:val="ListParagraph"/>
        <w:numPr>
          <w:ilvl w:val="1"/>
          <w:numId w:val="36"/>
        </w:numPr>
        <w:spacing w:after="0" w:line="240" w:lineRule="auto"/>
        <w:ind w:left="1800"/>
        <w:rPr>
          <w:rFonts w:cs="Calibri"/>
          <w:sz w:val="24"/>
          <w:szCs w:val="24"/>
        </w:rPr>
      </w:pPr>
      <w:r w:rsidRPr="00700E81">
        <w:rPr>
          <w:rFonts w:cs="Calibri"/>
          <w:sz w:val="24"/>
          <w:szCs w:val="24"/>
        </w:rPr>
        <w:t xml:space="preserve">Testing requirements are available in the </w:t>
      </w:r>
      <w:hyperlink r:id="rId7" w:history="1">
        <w:r w:rsidRPr="00700E81">
          <w:rPr>
            <w:rStyle w:val="Hyperlink"/>
            <w:rFonts w:cs="Calibri"/>
            <w:sz w:val="24"/>
            <w:szCs w:val="24"/>
          </w:rPr>
          <w:t>Measure Testing Task Force report</w:t>
        </w:r>
      </w:hyperlink>
    </w:p>
    <w:p w:rsidR="001C7795" w:rsidRPr="00700E81" w:rsidRDefault="001C7795" w:rsidP="0020100B">
      <w:pPr>
        <w:spacing w:after="0" w:line="240" w:lineRule="auto"/>
        <w:rPr>
          <w:rFonts w:cs="Calibri"/>
          <w:sz w:val="24"/>
          <w:szCs w:val="24"/>
        </w:rPr>
      </w:pPr>
    </w:p>
    <w:p w:rsidR="001C7795" w:rsidRPr="00700E81" w:rsidRDefault="001C7795" w:rsidP="0020100B">
      <w:pPr>
        <w:spacing w:after="0" w:line="240" w:lineRule="auto"/>
        <w:ind w:left="360"/>
        <w:rPr>
          <w:rFonts w:cs="Calibri"/>
          <w:sz w:val="24"/>
          <w:szCs w:val="24"/>
        </w:rPr>
      </w:pPr>
      <w:r w:rsidRPr="00700E81">
        <w:rPr>
          <w:rFonts w:cs="Calibri"/>
          <w:sz w:val="24"/>
          <w:szCs w:val="24"/>
        </w:rPr>
        <w:t xml:space="preserve">3.  Review the Developer Guidebook for additional resources and information for   </w:t>
      </w:r>
    </w:p>
    <w:p w:rsidR="001C7795" w:rsidRPr="00700E81" w:rsidRDefault="001C7795" w:rsidP="0020100B">
      <w:pPr>
        <w:spacing w:after="0" w:line="240" w:lineRule="auto"/>
        <w:rPr>
          <w:rFonts w:cs="Calibri"/>
          <w:sz w:val="24"/>
          <w:szCs w:val="24"/>
        </w:rPr>
      </w:pPr>
      <w:r w:rsidRPr="00700E81">
        <w:rPr>
          <w:rFonts w:cs="Calibri"/>
          <w:sz w:val="24"/>
          <w:szCs w:val="24"/>
        </w:rPr>
        <w:t xml:space="preserve">            preparing your stage two measure submission. The updated guidebook will be   </w:t>
      </w:r>
    </w:p>
    <w:p w:rsidR="001C7795" w:rsidRPr="00700E81" w:rsidRDefault="001C7795" w:rsidP="0020100B">
      <w:pPr>
        <w:spacing w:after="0" w:line="240" w:lineRule="auto"/>
        <w:rPr>
          <w:rFonts w:cs="Calibri"/>
          <w:sz w:val="24"/>
          <w:szCs w:val="24"/>
        </w:rPr>
      </w:pPr>
      <w:r w:rsidRPr="00700E81">
        <w:rPr>
          <w:rFonts w:cs="Calibri"/>
          <w:sz w:val="24"/>
          <w:szCs w:val="24"/>
        </w:rPr>
        <w:t xml:space="preserve">            available once stage two submission forms are opened and will also be  </w:t>
      </w:r>
    </w:p>
    <w:p w:rsidR="001C7795" w:rsidRPr="00700E81" w:rsidRDefault="001C7795" w:rsidP="0020100B">
      <w:pPr>
        <w:spacing w:after="0" w:line="240" w:lineRule="auto"/>
        <w:rPr>
          <w:rFonts w:cs="Calibri"/>
          <w:sz w:val="24"/>
          <w:szCs w:val="24"/>
        </w:rPr>
      </w:pPr>
      <w:r w:rsidRPr="00700E81">
        <w:rPr>
          <w:rFonts w:cs="Calibri"/>
          <w:sz w:val="24"/>
          <w:szCs w:val="24"/>
        </w:rPr>
        <w:t xml:space="preserve">           distributed by NQF Technical Assistance Staff.</w:t>
      </w:r>
    </w:p>
    <w:p w:rsidR="001C7795" w:rsidRPr="00700E81" w:rsidRDefault="001C7795" w:rsidP="0020100B">
      <w:pPr>
        <w:spacing w:after="0" w:line="240" w:lineRule="auto"/>
        <w:rPr>
          <w:rFonts w:cs="Calibri"/>
          <w:sz w:val="24"/>
          <w:szCs w:val="24"/>
        </w:rPr>
      </w:pPr>
    </w:p>
    <w:p w:rsidR="001C7795" w:rsidRPr="00700E81" w:rsidRDefault="001C7795" w:rsidP="0020100B">
      <w:pPr>
        <w:spacing w:after="0" w:line="240" w:lineRule="auto"/>
        <w:ind w:left="360"/>
        <w:rPr>
          <w:rFonts w:cs="Calibri"/>
          <w:sz w:val="24"/>
          <w:szCs w:val="24"/>
        </w:rPr>
      </w:pPr>
      <w:r w:rsidRPr="00700E81">
        <w:rPr>
          <w:rFonts w:cs="Calibri"/>
          <w:sz w:val="24"/>
          <w:szCs w:val="24"/>
        </w:rPr>
        <w:t>4.</w:t>
      </w:r>
      <w:r w:rsidRPr="00700E81">
        <w:rPr>
          <w:rFonts w:cs="Calibri"/>
          <w:b/>
          <w:sz w:val="24"/>
          <w:szCs w:val="24"/>
        </w:rPr>
        <w:t xml:space="preserve"> </w:t>
      </w:r>
      <w:r w:rsidRPr="00700E81">
        <w:rPr>
          <w:rFonts w:cs="Calibri"/>
          <w:b/>
          <w:sz w:val="24"/>
          <w:szCs w:val="24"/>
          <w:u w:val="single"/>
        </w:rPr>
        <w:t>Notify NQF project staff by October 25, 2012</w:t>
      </w:r>
      <w:r w:rsidRPr="00700E81">
        <w:rPr>
          <w:rFonts w:cs="Calibri"/>
          <w:sz w:val="24"/>
          <w:szCs w:val="24"/>
        </w:rPr>
        <w:t xml:space="preserve"> if you plan to submit full  </w:t>
      </w:r>
    </w:p>
    <w:p w:rsidR="001C7795" w:rsidRPr="00700E81" w:rsidRDefault="001C7795" w:rsidP="0020100B">
      <w:pPr>
        <w:spacing w:after="0" w:line="240" w:lineRule="auto"/>
        <w:ind w:left="360"/>
        <w:rPr>
          <w:rFonts w:cs="Calibri"/>
          <w:sz w:val="24"/>
          <w:szCs w:val="24"/>
          <w:u w:val="single"/>
        </w:rPr>
      </w:pPr>
      <w:r w:rsidRPr="00700E81">
        <w:rPr>
          <w:rFonts w:cs="Calibri"/>
          <w:sz w:val="24"/>
          <w:szCs w:val="24"/>
        </w:rPr>
        <w:t xml:space="preserve">    specifications and testing for approved concepts by the </w:t>
      </w:r>
      <w:r w:rsidRPr="00700E81">
        <w:rPr>
          <w:rFonts w:cs="Calibri"/>
          <w:sz w:val="24"/>
          <w:szCs w:val="24"/>
          <w:u w:val="single"/>
        </w:rPr>
        <w:t>December 19, 2012 stage</w:t>
      </w:r>
    </w:p>
    <w:p w:rsidR="001C7795" w:rsidRDefault="001C7795" w:rsidP="0020100B">
      <w:pPr>
        <w:spacing w:after="0" w:line="240" w:lineRule="auto"/>
        <w:ind w:left="360"/>
        <w:rPr>
          <w:rFonts w:cs="Calibri"/>
          <w:sz w:val="24"/>
          <w:szCs w:val="24"/>
        </w:rPr>
      </w:pPr>
      <w:r w:rsidRPr="00700E81">
        <w:rPr>
          <w:rFonts w:cs="Calibri"/>
          <w:sz w:val="24"/>
          <w:szCs w:val="24"/>
        </w:rPr>
        <w:t xml:space="preserve">    </w:t>
      </w:r>
      <w:r w:rsidRPr="00700E81">
        <w:rPr>
          <w:rFonts w:cs="Calibri"/>
          <w:sz w:val="24"/>
          <w:szCs w:val="24"/>
          <w:u w:val="single"/>
        </w:rPr>
        <w:t>two measure submission deadline</w:t>
      </w:r>
      <w:r w:rsidRPr="00700E81">
        <w:rPr>
          <w:rFonts w:cs="Calibri"/>
          <w:sz w:val="24"/>
          <w:szCs w:val="24"/>
        </w:rPr>
        <w:t>.</w:t>
      </w:r>
    </w:p>
    <w:p w:rsidR="001C7795" w:rsidRPr="00700E81" w:rsidRDefault="001C7795" w:rsidP="0020100B">
      <w:pPr>
        <w:spacing w:after="0" w:line="240" w:lineRule="auto"/>
        <w:ind w:left="360"/>
        <w:rPr>
          <w:rFonts w:cs="Calibri"/>
          <w:sz w:val="24"/>
          <w:szCs w:val="24"/>
        </w:rPr>
      </w:pPr>
      <w:r w:rsidRPr="006474CC">
        <w:rPr>
          <w:rFonts w:cs="Calibri"/>
          <w:sz w:val="24"/>
          <w:szCs w:val="24"/>
          <w:u w:val="single"/>
        </w:rPr>
        <w:t>Yes, we plan to submit full specifications and testing for approved concepts by the December 19, 2012 stage two deadline</w:t>
      </w:r>
      <w:r w:rsidRPr="006474CC">
        <w:rPr>
          <w:rFonts w:cs="Calibri"/>
          <w:sz w:val="24"/>
          <w:szCs w:val="24"/>
        </w:rPr>
        <w:t>.</w:t>
      </w:r>
    </w:p>
    <w:p w:rsidR="001C7795" w:rsidRPr="00700E81" w:rsidRDefault="001C7795" w:rsidP="0020100B">
      <w:pPr>
        <w:spacing w:after="0" w:line="240" w:lineRule="auto"/>
        <w:ind w:left="450" w:hanging="180"/>
        <w:rPr>
          <w:rFonts w:cs="Calibri"/>
          <w:sz w:val="24"/>
          <w:szCs w:val="24"/>
        </w:rPr>
      </w:pPr>
    </w:p>
    <w:p w:rsidR="001C7795" w:rsidRDefault="001C7795" w:rsidP="0020100B">
      <w:pPr>
        <w:spacing w:after="0" w:line="240" w:lineRule="auto"/>
        <w:ind w:left="540" w:hanging="180"/>
        <w:rPr>
          <w:rFonts w:cs="Calibri"/>
          <w:sz w:val="24"/>
          <w:szCs w:val="24"/>
        </w:rPr>
      </w:pPr>
      <w:r w:rsidRPr="00700E81">
        <w:rPr>
          <w:rFonts w:cs="Calibri"/>
          <w:sz w:val="24"/>
          <w:szCs w:val="24"/>
        </w:rPr>
        <w:t xml:space="preserve">5. You will be required to submit at least one of your fully specified and tested measures on or prior to the </w:t>
      </w:r>
      <w:r w:rsidRPr="00700E81">
        <w:rPr>
          <w:rFonts w:cs="Calibri"/>
          <w:b/>
          <w:sz w:val="24"/>
          <w:szCs w:val="24"/>
          <w:u w:val="single"/>
        </w:rPr>
        <w:t>technical assistance deadline on December 3, 2012</w:t>
      </w:r>
      <w:r w:rsidRPr="00700E81">
        <w:rPr>
          <w:rFonts w:cs="Calibri"/>
          <w:sz w:val="24"/>
          <w:szCs w:val="24"/>
        </w:rPr>
        <w:t>, for a technical review for completeness and responsiveness by the NQF staff.</w:t>
      </w:r>
    </w:p>
    <w:p w:rsidR="001C7795" w:rsidRPr="006E6644" w:rsidRDefault="001C7795" w:rsidP="0020100B">
      <w:pPr>
        <w:spacing w:after="0" w:line="240" w:lineRule="auto"/>
        <w:ind w:left="540" w:hanging="180"/>
        <w:rPr>
          <w:rFonts w:cs="Calibri"/>
          <w:sz w:val="24"/>
          <w:szCs w:val="24"/>
          <w:u w:val="single"/>
        </w:rPr>
      </w:pPr>
      <w:r w:rsidRPr="006474CC">
        <w:rPr>
          <w:rFonts w:cs="Calibri"/>
          <w:sz w:val="24"/>
          <w:szCs w:val="24"/>
          <w:u w:val="single"/>
        </w:rPr>
        <w:t>So noted.</w:t>
      </w:r>
    </w:p>
    <w:p w:rsidR="001C7795" w:rsidRPr="00700E81" w:rsidRDefault="001C7795" w:rsidP="0020100B">
      <w:pPr>
        <w:spacing w:after="0" w:line="240" w:lineRule="auto"/>
        <w:ind w:left="540" w:hanging="270"/>
        <w:rPr>
          <w:rFonts w:cs="Calibri"/>
          <w:sz w:val="24"/>
          <w:szCs w:val="24"/>
        </w:rPr>
      </w:pPr>
    </w:p>
    <w:p w:rsidR="001C7795" w:rsidRPr="00700E81" w:rsidRDefault="001C7795" w:rsidP="0020100B">
      <w:pPr>
        <w:spacing w:after="0" w:line="240" w:lineRule="auto"/>
        <w:ind w:left="540" w:hanging="180"/>
        <w:rPr>
          <w:rFonts w:cs="Calibri"/>
          <w:sz w:val="24"/>
          <w:szCs w:val="24"/>
        </w:rPr>
      </w:pPr>
      <w:r w:rsidRPr="00700E81">
        <w:rPr>
          <w:rFonts w:cs="Calibri"/>
          <w:sz w:val="24"/>
          <w:szCs w:val="24"/>
        </w:rPr>
        <w:t xml:space="preserve">6. Measure submissions must be complete and responsive to ALL questions in order   </w:t>
      </w:r>
    </w:p>
    <w:p w:rsidR="001C7795" w:rsidRPr="00700E81" w:rsidRDefault="001C7795" w:rsidP="0020100B">
      <w:pPr>
        <w:spacing w:after="0" w:line="240" w:lineRule="auto"/>
        <w:rPr>
          <w:rFonts w:cs="Calibri"/>
          <w:sz w:val="24"/>
          <w:szCs w:val="24"/>
        </w:rPr>
      </w:pPr>
      <w:r w:rsidRPr="00700E81">
        <w:rPr>
          <w:rFonts w:cs="Calibri"/>
          <w:sz w:val="24"/>
          <w:szCs w:val="24"/>
        </w:rPr>
        <w:t xml:space="preserve">           to be advanced to the Steering Committee for consideration and evaluation.</w:t>
      </w:r>
    </w:p>
    <w:p w:rsidR="001C7795" w:rsidRDefault="001C7795" w:rsidP="0020100B">
      <w:pPr>
        <w:spacing w:after="0" w:line="240" w:lineRule="auto"/>
        <w:rPr>
          <w:rFonts w:eastAsia="Times New Roman" w:cs="Calibri"/>
          <w:color w:val="548DD4"/>
          <w:sz w:val="32"/>
          <w:szCs w:val="24"/>
        </w:rPr>
      </w:pPr>
    </w:p>
    <w:p w:rsidR="001C7795" w:rsidRPr="00700E81" w:rsidRDefault="001C7795" w:rsidP="0020100B">
      <w:pPr>
        <w:spacing w:after="0" w:line="240" w:lineRule="auto"/>
        <w:rPr>
          <w:rFonts w:eastAsia="Times New Roman" w:cs="Calibri"/>
          <w:color w:val="548DD4"/>
          <w:sz w:val="28"/>
          <w:szCs w:val="24"/>
        </w:rPr>
      </w:pPr>
      <w:r w:rsidRPr="00700E81">
        <w:rPr>
          <w:rFonts w:eastAsia="Times New Roman" w:cs="Calibri"/>
          <w:color w:val="548DD4"/>
          <w:sz w:val="28"/>
          <w:szCs w:val="24"/>
        </w:rPr>
        <w:t>Concept(s) Recommended for Approval: AMA-PCPI</w:t>
      </w:r>
    </w:p>
    <w:p w:rsidR="001C7795" w:rsidRPr="00BB4AAA" w:rsidRDefault="001C7795" w:rsidP="0020100B">
      <w:pPr>
        <w:rPr>
          <w:rFonts w:cs="Calibri"/>
          <w:sz w:val="24"/>
          <w:szCs w:val="24"/>
        </w:rPr>
      </w:pPr>
    </w:p>
    <w:p w:rsidR="001C7795" w:rsidRPr="00700E81" w:rsidRDefault="001C7795" w:rsidP="0020100B">
      <w:pPr>
        <w:rPr>
          <w:rFonts w:cs="Calibri"/>
          <w:sz w:val="24"/>
          <w:szCs w:val="24"/>
        </w:rPr>
      </w:pPr>
      <w:r w:rsidRPr="00700E81">
        <w:rPr>
          <w:rFonts w:cs="Calibri"/>
          <w:sz w:val="24"/>
          <w:szCs w:val="24"/>
        </w:rPr>
        <w:t xml:space="preserve">Provide a response for EACH Committee recommendation describing your rationale for implementing (or not) the recommendation and any additional considerations. </w:t>
      </w:r>
    </w:p>
    <w:p w:rsidR="001C7795" w:rsidRPr="00700E81" w:rsidRDefault="001C7795" w:rsidP="00B31D85">
      <w:pPr>
        <w:rPr>
          <w:rFonts w:cs="Calibri"/>
          <w:sz w:val="24"/>
          <w:szCs w:val="24"/>
        </w:rPr>
      </w:pPr>
      <w:r w:rsidRPr="00700E81">
        <w:rPr>
          <w:rFonts w:cs="Calibri"/>
          <w:sz w:val="24"/>
          <w:szCs w:val="24"/>
        </w:rPr>
        <w:t xml:space="preserve">Upload this document to your online measure submission form for review by the Committee in stage two.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4435"/>
        <w:gridCol w:w="4435"/>
      </w:tblGrid>
      <w:tr w:rsidR="001C7795" w:rsidRPr="00FD084D" w:rsidTr="000D4E8E">
        <w:trPr>
          <w:tblHeader/>
        </w:trPr>
        <w:tc>
          <w:tcPr>
            <w:tcW w:w="5000" w:type="pct"/>
            <w:gridSpan w:val="2"/>
            <w:shd w:val="clear" w:color="auto" w:fill="C6D9F1"/>
          </w:tcPr>
          <w:p w:rsidR="001C7795" w:rsidRPr="00700E81" w:rsidRDefault="001C7795" w:rsidP="007421DA">
            <w:pPr>
              <w:keepNext/>
              <w:keepLines/>
              <w:spacing w:before="120" w:after="60"/>
              <w:outlineLvl w:val="4"/>
              <w:rPr>
                <w:rFonts w:eastAsia="Times New Roman" w:cs="Calibri"/>
                <w:b/>
                <w:bCs/>
                <w:noProof/>
                <w:color w:val="5E88A2"/>
                <w:sz w:val="24"/>
                <w:szCs w:val="24"/>
              </w:rPr>
            </w:pPr>
            <w:r w:rsidRPr="00700E81">
              <w:rPr>
                <w:rFonts w:eastAsia="Times New Roman" w:cs="Calibri"/>
                <w:b/>
                <w:bCs/>
                <w:noProof/>
                <w:color w:val="5E88A2"/>
                <w:sz w:val="24"/>
                <w:szCs w:val="24"/>
              </w:rPr>
              <w:t>0658 Endoscopy/Polyp Surveillance: Appropriate follow-up interval for normal colonoscopy in average risk patients</w:t>
            </w:r>
          </w:p>
        </w:tc>
      </w:tr>
      <w:tr w:rsidR="001C7795" w:rsidRPr="00FD084D" w:rsidTr="000D4E8E">
        <w:tc>
          <w:tcPr>
            <w:tcW w:w="2500" w:type="pct"/>
          </w:tcPr>
          <w:p w:rsidR="001C7795" w:rsidRPr="00700E81" w:rsidRDefault="001C7795" w:rsidP="007421DA">
            <w:pPr>
              <w:spacing w:after="0" w:line="240" w:lineRule="auto"/>
              <w:rPr>
                <w:rFonts w:eastAsia="Times New Roman" w:cs="Calibri"/>
                <w:b/>
                <w:sz w:val="24"/>
                <w:szCs w:val="24"/>
              </w:rPr>
            </w:pPr>
            <w:r w:rsidRPr="00700E81">
              <w:rPr>
                <w:rFonts w:eastAsia="Times New Roman" w:cs="Calibri"/>
                <w:b/>
                <w:sz w:val="24"/>
                <w:szCs w:val="24"/>
              </w:rPr>
              <w:t>Committee Recommendations to Developer</w:t>
            </w:r>
          </w:p>
        </w:tc>
        <w:tc>
          <w:tcPr>
            <w:tcW w:w="2500" w:type="pct"/>
          </w:tcPr>
          <w:p w:rsidR="001C7795" w:rsidRPr="00700E81" w:rsidRDefault="001C7795" w:rsidP="007421DA">
            <w:pPr>
              <w:spacing w:after="0" w:line="240" w:lineRule="auto"/>
              <w:rPr>
                <w:rFonts w:eastAsia="Times New Roman" w:cs="Calibri"/>
                <w:b/>
                <w:sz w:val="24"/>
                <w:szCs w:val="24"/>
              </w:rPr>
            </w:pPr>
            <w:r w:rsidRPr="00700E81">
              <w:rPr>
                <w:rFonts w:eastAsia="Times New Roman" w:cs="Calibri"/>
                <w:b/>
                <w:sz w:val="24"/>
                <w:szCs w:val="24"/>
              </w:rPr>
              <w:t>Developer Response</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700E81">
              <w:rPr>
                <w:rFonts w:eastAsia="Times New Roman" w:cs="Calibri"/>
                <w:noProof/>
                <w:sz w:val="24"/>
                <w:szCs w:val="24"/>
              </w:rPr>
              <w:t>Rather than measuring whether the appropriate interval was recommended, consider specifying the measure to look at colonoscopies performed and then do a look back to when their last colonoscopy was performed to determine if it was in the last 10 years. Implementing these changes would make the measure closer to an outcome measure that would be more impactful. The Committee recognized that do a prospective outcome measure is difficult to  based on availability of data.</w:t>
            </w:r>
          </w:p>
        </w:tc>
        <w:tc>
          <w:tcPr>
            <w:tcW w:w="2500" w:type="pct"/>
          </w:tcPr>
          <w:p w:rsidR="001C7795" w:rsidRDefault="001C7795" w:rsidP="007421DA">
            <w:pPr>
              <w:spacing w:after="0" w:line="240" w:lineRule="auto"/>
              <w:rPr>
                <w:rFonts w:eastAsia="Times New Roman" w:cs="Calibri"/>
                <w:sz w:val="24"/>
                <w:szCs w:val="24"/>
              </w:rPr>
            </w:pPr>
            <w:r>
              <w:rPr>
                <w:rFonts w:eastAsia="Times New Roman" w:cs="Calibri"/>
                <w:sz w:val="24"/>
                <w:szCs w:val="24"/>
              </w:rPr>
              <w:t>Although the PCPI appreciates the suggestion, f</w:t>
            </w:r>
            <w:r w:rsidRPr="006E6644">
              <w:rPr>
                <w:rFonts w:eastAsia="Times New Roman" w:cs="Calibri"/>
                <w:sz w:val="24"/>
                <w:szCs w:val="24"/>
              </w:rPr>
              <w:t xml:space="preserve">or average risk individuals, there is concern that relying on confirmation of prior pathology and absolute intervals would place an undue burden on the referring and performing physician 10 years or more after the prior exam.  During that interval many patients relocate and employ different physicians or delivery systems.  Many patients change insurance carriers or migrate to Medicare coverage, yielding greater difficulty with tracking the index procedure at time of follow-up.  Pathology results are often missing at late follow-up 10 years later.  Appropriate guidance on follow-up intervals is an expectation of the consultation inherent in the procedure. Thereafter the patient management is primarily guided by the primary care physician.  </w:t>
            </w:r>
          </w:p>
          <w:p w:rsidR="001C7795" w:rsidRPr="006E6644" w:rsidRDefault="001C7795" w:rsidP="007421DA">
            <w:pPr>
              <w:spacing w:after="0" w:line="240" w:lineRule="auto"/>
              <w:rPr>
                <w:rFonts w:eastAsia="Times New Roman" w:cs="Calibri"/>
                <w:sz w:val="24"/>
                <w:szCs w:val="24"/>
              </w:rPr>
            </w:pPr>
            <w:r w:rsidRPr="006E6644">
              <w:rPr>
                <w:rFonts w:eastAsia="Times New Roman" w:cs="Calibri"/>
                <w:sz w:val="24"/>
                <w:szCs w:val="24"/>
              </w:rPr>
              <w:t xml:space="preserve">As for low risk patients, the performing endoscopist should be responsible for providing appropriate follow-up guidance, based not on subjectivity, but on the findings of his/her procedure, resulting pathology, the patient and family history, and national guidelines.  This becomes the basis for the patient, primary provider and subsequent endoscopist to anticipate and plan for the next surveillance interval.  The subsequent endoscopist should have access to the prior report and guidance and should adhere to standard guidelines based on the findings.  </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700E81">
              <w:rPr>
                <w:rFonts w:eastAsia="Times New Roman" w:cs="Calibri"/>
                <w:noProof/>
                <w:sz w:val="24"/>
                <w:szCs w:val="24"/>
              </w:rPr>
              <w:t>Patients aged 50 years and older receiving a screening colonoscopy who had a recommendation to repeat colonoscopy in 1 year or less due to poor bowel cleansing</w:t>
            </w:r>
          </w:p>
        </w:tc>
        <w:tc>
          <w:tcPr>
            <w:tcW w:w="2500" w:type="pct"/>
          </w:tcPr>
          <w:p w:rsidR="001C7795" w:rsidRPr="00C8219C" w:rsidRDefault="001C7795" w:rsidP="007421DA">
            <w:pPr>
              <w:spacing w:after="0" w:line="240" w:lineRule="auto"/>
              <w:rPr>
                <w:rFonts w:eastAsia="Times New Roman" w:cs="Calibri"/>
                <w:sz w:val="24"/>
                <w:szCs w:val="24"/>
              </w:rPr>
            </w:pPr>
            <w:r>
              <w:rPr>
                <w:rFonts w:eastAsia="Times New Roman" w:cs="Calibri"/>
                <w:sz w:val="24"/>
                <w:szCs w:val="24"/>
              </w:rPr>
              <w:t>T</w:t>
            </w:r>
            <w:r w:rsidRPr="00C8219C">
              <w:rPr>
                <w:rFonts w:eastAsia="Times New Roman" w:cs="Calibri"/>
                <w:sz w:val="24"/>
                <w:szCs w:val="24"/>
              </w:rPr>
              <w:t>he measure has a</w:t>
            </w:r>
            <w:r>
              <w:rPr>
                <w:rFonts w:eastAsia="Times New Roman" w:cs="Calibri"/>
                <w:sz w:val="24"/>
                <w:szCs w:val="24"/>
              </w:rPr>
              <w:t>n exception built in for</w:t>
            </w:r>
            <w:r w:rsidRPr="003C318E">
              <w:rPr>
                <w:rFonts w:eastAsia="Times New Roman" w:cs="Calibri"/>
                <w:sz w:val="24"/>
                <w:szCs w:val="24"/>
              </w:rPr>
              <w:t xml:space="preserve"> medical reason(s) for not recommending at least a 10 year follow-up interval (eg, above average risk patient, inadequate prep)</w:t>
            </w:r>
            <w:r>
              <w:rPr>
                <w:rFonts w:eastAsia="Times New Roman" w:cs="Calibri"/>
                <w:sz w:val="24"/>
                <w:szCs w:val="24"/>
              </w:rPr>
              <w:t>.</w:t>
            </w:r>
            <w:r w:rsidRPr="00C8219C">
              <w:rPr>
                <w:rFonts w:eastAsia="Times New Roman" w:cs="Calibri"/>
                <w:sz w:val="24"/>
                <w:szCs w:val="24"/>
              </w:rPr>
              <w:t xml:space="preserve">  </w:t>
            </w:r>
            <w:r>
              <w:rPr>
                <w:rFonts w:eastAsia="Times New Roman" w:cs="Calibri"/>
                <w:sz w:val="24"/>
                <w:szCs w:val="24"/>
              </w:rPr>
              <w:t>The PCPI recommends that exception rates be reported alongside performance rates.</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FD084D">
              <w:rPr>
                <w:rFonts w:cs="Calibri"/>
                <w:sz w:val="24"/>
                <w:szCs w:val="24"/>
              </w:rPr>
              <w:t>Consider adjusting the upper age limit for older patients, including inflammatory bowel disease, and better define "above average risk".</w:t>
            </w:r>
          </w:p>
        </w:tc>
        <w:tc>
          <w:tcPr>
            <w:tcW w:w="2500" w:type="pct"/>
          </w:tcPr>
          <w:p w:rsidR="001C7795" w:rsidRDefault="001C7795" w:rsidP="00D37C13">
            <w:pPr>
              <w:spacing w:after="0" w:line="240" w:lineRule="auto"/>
              <w:rPr>
                <w:rFonts w:eastAsia="Times New Roman" w:cs="Calibri"/>
                <w:sz w:val="24"/>
                <w:szCs w:val="24"/>
              </w:rPr>
            </w:pPr>
            <w:r>
              <w:rPr>
                <w:rFonts w:eastAsia="Times New Roman" w:cs="Calibri"/>
                <w:sz w:val="24"/>
                <w:szCs w:val="24"/>
              </w:rPr>
              <w:t>“Above average risk” is defined by the clinical guidelines; for example, the 2008</w:t>
            </w:r>
            <w:r w:rsidRPr="00D37C13">
              <w:rPr>
                <w:rFonts w:eastAsia="Times New Roman" w:cs="Calibri"/>
                <w:sz w:val="24"/>
                <w:szCs w:val="24"/>
              </w:rPr>
              <w:t xml:space="preserve"> joint guideline from the American Cancer Society, the US Multi-Society Task Force on Colorectal Cancer, and the American College of Radiology</w:t>
            </w:r>
            <w:r>
              <w:rPr>
                <w:rFonts w:eastAsia="Times New Roman" w:cs="Calibri"/>
                <w:sz w:val="24"/>
                <w:szCs w:val="24"/>
              </w:rPr>
              <w:t xml:space="preserve"> on </w:t>
            </w:r>
            <w:r w:rsidRPr="00D37C13">
              <w:rPr>
                <w:rFonts w:eastAsia="Times New Roman" w:cs="Calibri"/>
                <w:sz w:val="24"/>
                <w:szCs w:val="24"/>
              </w:rPr>
              <w:t>Screening and surveillance for the early detection of colorectal cancer and adenomatous polyps</w:t>
            </w:r>
            <w:r>
              <w:rPr>
                <w:rFonts w:eastAsia="Times New Roman" w:cs="Calibri"/>
                <w:sz w:val="24"/>
                <w:szCs w:val="24"/>
              </w:rPr>
              <w:t xml:space="preserve"> defines “increased or high risk” as</w:t>
            </w:r>
            <w:r w:rsidRPr="00D37C13">
              <w:rPr>
                <w:rFonts w:eastAsia="Times New Roman" w:cs="Calibri"/>
                <w:sz w:val="24"/>
                <w:szCs w:val="24"/>
              </w:rPr>
              <w:t xml:space="preserve"> </w:t>
            </w:r>
            <w:r>
              <w:rPr>
                <w:rFonts w:eastAsia="Times New Roman" w:cs="Calibri"/>
                <w:sz w:val="24"/>
                <w:szCs w:val="24"/>
              </w:rPr>
              <w:t>“</w:t>
            </w:r>
            <w:r w:rsidRPr="00D37C13">
              <w:rPr>
                <w:rFonts w:eastAsia="Times New Roman" w:cs="Calibri"/>
                <w:sz w:val="24"/>
                <w:szCs w:val="24"/>
              </w:rPr>
              <w:t>with a personal</w:t>
            </w:r>
            <w:r>
              <w:rPr>
                <w:rFonts w:eastAsia="Times New Roman" w:cs="Calibri"/>
                <w:sz w:val="24"/>
                <w:szCs w:val="24"/>
              </w:rPr>
              <w:t xml:space="preserve"> </w:t>
            </w:r>
            <w:r w:rsidRPr="00D37C13">
              <w:rPr>
                <w:rFonts w:eastAsia="Times New Roman" w:cs="Calibri"/>
                <w:sz w:val="24"/>
                <w:szCs w:val="24"/>
              </w:rPr>
              <w:t xml:space="preserve">or family history of </w:t>
            </w:r>
            <w:r w:rsidRPr="002E2131">
              <w:rPr>
                <w:rFonts w:eastAsia="Times New Roman" w:cs="Calibri"/>
                <w:sz w:val="24"/>
                <w:szCs w:val="24"/>
              </w:rPr>
              <w:t>colorectal cancer</w:t>
            </w:r>
            <w:r>
              <w:rPr>
                <w:rFonts w:eastAsia="Times New Roman" w:cs="Calibri"/>
                <w:sz w:val="24"/>
                <w:szCs w:val="24"/>
              </w:rPr>
              <w:t xml:space="preserve"> (CRC)</w:t>
            </w:r>
            <w:r w:rsidRPr="00D37C13">
              <w:rPr>
                <w:rFonts w:eastAsia="Times New Roman" w:cs="Calibri"/>
                <w:sz w:val="24"/>
                <w:szCs w:val="24"/>
              </w:rPr>
              <w:t xml:space="preserve"> or adenomas, inflammatory</w:t>
            </w:r>
            <w:r>
              <w:rPr>
                <w:rFonts w:eastAsia="Times New Roman" w:cs="Calibri"/>
                <w:sz w:val="24"/>
                <w:szCs w:val="24"/>
              </w:rPr>
              <w:t xml:space="preserve"> </w:t>
            </w:r>
            <w:r w:rsidRPr="00D37C13">
              <w:rPr>
                <w:rFonts w:eastAsia="Times New Roman" w:cs="Calibri"/>
                <w:sz w:val="24"/>
                <w:szCs w:val="24"/>
              </w:rPr>
              <w:t>bowel disease, or high-risk genetic syndromes</w:t>
            </w:r>
            <w:r>
              <w:rPr>
                <w:rFonts w:eastAsia="Times New Roman" w:cs="Calibri"/>
                <w:sz w:val="24"/>
                <w:szCs w:val="24"/>
              </w:rPr>
              <w:t>.”</w:t>
            </w:r>
          </w:p>
          <w:p w:rsidR="001C7795" w:rsidRPr="00C8219C" w:rsidRDefault="001C7795" w:rsidP="00D37C13">
            <w:pPr>
              <w:spacing w:after="0" w:line="240" w:lineRule="auto"/>
              <w:rPr>
                <w:rFonts w:eastAsia="Times New Roman" w:cs="Calibri"/>
                <w:sz w:val="24"/>
                <w:szCs w:val="24"/>
              </w:rPr>
            </w:pPr>
            <w:r>
              <w:rPr>
                <w:rFonts w:eastAsia="Times New Roman" w:cs="Calibri"/>
                <w:sz w:val="24"/>
                <w:szCs w:val="24"/>
              </w:rPr>
              <w:t>The PCPI thanks the SC for the recommendation of including an upper age limit and inflammatory bowel disease and will bring these concepts back to the Expert Work Group when the measure is due for review &amp; enhancement.</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700E81">
              <w:rPr>
                <w:rFonts w:eastAsia="Times New Roman" w:cs="Calibri"/>
                <w:noProof/>
                <w:sz w:val="24"/>
                <w:szCs w:val="24"/>
              </w:rPr>
              <w:t>Clarify in the specifications whether the exceptions are included in the denominator or should be calculated as a separate measure.</w:t>
            </w:r>
          </w:p>
        </w:tc>
        <w:tc>
          <w:tcPr>
            <w:tcW w:w="2500" w:type="pct"/>
          </w:tcPr>
          <w:p w:rsidR="001C7795" w:rsidRPr="003E0915" w:rsidRDefault="001C7795" w:rsidP="007421DA">
            <w:pPr>
              <w:spacing w:after="0" w:line="240" w:lineRule="auto"/>
              <w:rPr>
                <w:rFonts w:eastAsia="Times New Roman" w:cs="Calibri"/>
                <w:sz w:val="24"/>
                <w:szCs w:val="24"/>
              </w:rPr>
            </w:pPr>
            <w:r>
              <w:rPr>
                <w:rFonts w:eastAsia="Times New Roman" w:cs="Calibri"/>
                <w:sz w:val="24"/>
                <w:szCs w:val="24"/>
              </w:rPr>
              <w:t xml:space="preserve">No, the exceptions are not included in the denominator if there is a valid medical reason for </w:t>
            </w:r>
            <w:r w:rsidRPr="003C318E">
              <w:rPr>
                <w:rFonts w:eastAsia="Times New Roman" w:cs="Calibri"/>
                <w:sz w:val="24"/>
                <w:szCs w:val="24"/>
              </w:rPr>
              <w:t>not recommending at least a 10 year follow-up interval (eg, above average risk patient, inadequate prep)</w:t>
            </w:r>
            <w:r>
              <w:rPr>
                <w:rFonts w:eastAsia="Times New Roman" w:cs="Calibri"/>
                <w:sz w:val="24"/>
                <w:szCs w:val="24"/>
              </w:rPr>
              <w:t>.</w:t>
            </w:r>
            <w:r w:rsidRPr="00C8219C">
              <w:rPr>
                <w:rFonts w:eastAsia="Times New Roman" w:cs="Calibri"/>
                <w:sz w:val="24"/>
                <w:szCs w:val="24"/>
              </w:rPr>
              <w:t xml:space="preserve">  </w:t>
            </w:r>
            <w:r>
              <w:rPr>
                <w:rFonts w:eastAsia="Times New Roman" w:cs="Calibri"/>
                <w:sz w:val="24"/>
                <w:szCs w:val="24"/>
              </w:rPr>
              <w:t xml:space="preserve">We encourage exception rates to be reported alongside of performance rates, for increased transparency, but exceptions are not calculated as separate measures.  </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700E81">
              <w:rPr>
                <w:rFonts w:eastAsia="Times New Roman" w:cs="Calibri"/>
                <w:noProof/>
                <w:sz w:val="24"/>
                <w:szCs w:val="24"/>
              </w:rPr>
              <w:t>Due to the differences in populations and the measure focus, harmonization between this concept and 0659 will not be needed.</w:t>
            </w:r>
          </w:p>
        </w:tc>
        <w:tc>
          <w:tcPr>
            <w:tcW w:w="2500" w:type="pct"/>
          </w:tcPr>
          <w:p w:rsidR="001C7795" w:rsidRPr="003E0915" w:rsidRDefault="001C7795" w:rsidP="007421DA">
            <w:pPr>
              <w:spacing w:after="0" w:line="240" w:lineRule="auto"/>
              <w:rPr>
                <w:rFonts w:eastAsia="Times New Roman" w:cs="Calibri"/>
                <w:sz w:val="24"/>
                <w:szCs w:val="24"/>
              </w:rPr>
            </w:pPr>
            <w:r w:rsidRPr="003E0915">
              <w:rPr>
                <w:rFonts w:eastAsia="Times New Roman" w:cs="Calibri"/>
                <w:sz w:val="24"/>
                <w:szCs w:val="24"/>
              </w:rPr>
              <w:t>Thank you.</w:t>
            </w:r>
          </w:p>
        </w:tc>
      </w:tr>
    </w:tbl>
    <w:p w:rsidR="001C7795" w:rsidRPr="00700E81" w:rsidRDefault="001C7795" w:rsidP="001A3693">
      <w:pPr>
        <w:spacing w:after="0" w:line="240" w:lineRule="auto"/>
        <w:rPr>
          <w:sz w:val="24"/>
          <w:szCs w:val="24"/>
        </w:rPr>
      </w:pPr>
    </w:p>
    <w:p w:rsidR="001C7795" w:rsidRPr="00700E81" w:rsidRDefault="001C7795" w:rsidP="001A3693">
      <w:pPr>
        <w:spacing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tblPr>
      <w:tblGrid>
        <w:gridCol w:w="4435"/>
        <w:gridCol w:w="4435"/>
      </w:tblGrid>
      <w:tr w:rsidR="001C7795" w:rsidRPr="00FD084D" w:rsidTr="000D4E8E">
        <w:trPr>
          <w:tblHeader/>
        </w:trPr>
        <w:tc>
          <w:tcPr>
            <w:tcW w:w="5000" w:type="pct"/>
            <w:gridSpan w:val="2"/>
            <w:shd w:val="clear" w:color="auto" w:fill="C6D9F1"/>
          </w:tcPr>
          <w:p w:rsidR="001C7795" w:rsidRPr="00700E81" w:rsidRDefault="001C7795" w:rsidP="007421DA">
            <w:pPr>
              <w:keepNext/>
              <w:keepLines/>
              <w:spacing w:before="120" w:after="60"/>
              <w:outlineLvl w:val="4"/>
              <w:rPr>
                <w:rFonts w:eastAsia="Times New Roman" w:cs="Calibri"/>
                <w:b/>
                <w:bCs/>
                <w:noProof/>
                <w:color w:val="5E88A2"/>
                <w:sz w:val="24"/>
                <w:szCs w:val="24"/>
              </w:rPr>
            </w:pPr>
            <w:r w:rsidRPr="00700E81">
              <w:rPr>
                <w:rFonts w:eastAsia="Times New Roman" w:cs="Calibri"/>
                <w:b/>
                <w:bCs/>
                <w:noProof/>
                <w:color w:val="5E88A2"/>
                <w:sz w:val="24"/>
                <w:szCs w:val="24"/>
              </w:rPr>
              <w:t>0659 Endoscopy/Polyp Surveillance: Colonoscopy Interval for Patients with a History of Adenomatous Polyps-  Avoidance of Inappropriate Use</w:t>
            </w:r>
          </w:p>
        </w:tc>
      </w:tr>
      <w:tr w:rsidR="001C7795" w:rsidRPr="00FD084D" w:rsidTr="000D4E8E">
        <w:tc>
          <w:tcPr>
            <w:tcW w:w="2500" w:type="pct"/>
          </w:tcPr>
          <w:p w:rsidR="001C7795" w:rsidRPr="00700E81" w:rsidRDefault="001C7795" w:rsidP="007421DA">
            <w:pPr>
              <w:spacing w:after="0" w:line="240" w:lineRule="auto"/>
              <w:rPr>
                <w:rFonts w:eastAsia="Times New Roman" w:cs="Calibri"/>
                <w:b/>
                <w:sz w:val="24"/>
                <w:szCs w:val="24"/>
              </w:rPr>
            </w:pPr>
            <w:r w:rsidRPr="00700E81">
              <w:rPr>
                <w:rFonts w:eastAsia="Times New Roman" w:cs="Calibri"/>
                <w:b/>
                <w:sz w:val="24"/>
                <w:szCs w:val="24"/>
              </w:rPr>
              <w:t>Committee Recommendations to Developer</w:t>
            </w:r>
          </w:p>
        </w:tc>
        <w:tc>
          <w:tcPr>
            <w:tcW w:w="2500" w:type="pct"/>
          </w:tcPr>
          <w:p w:rsidR="001C7795" w:rsidRPr="00700E81" w:rsidRDefault="001C7795" w:rsidP="007421DA">
            <w:pPr>
              <w:spacing w:after="0" w:line="240" w:lineRule="auto"/>
              <w:rPr>
                <w:rFonts w:eastAsia="Times New Roman" w:cs="Calibri"/>
                <w:b/>
                <w:sz w:val="24"/>
                <w:szCs w:val="24"/>
              </w:rPr>
            </w:pPr>
            <w:r w:rsidRPr="00700E81">
              <w:rPr>
                <w:rFonts w:eastAsia="Times New Roman" w:cs="Calibri"/>
                <w:b/>
                <w:sz w:val="24"/>
                <w:szCs w:val="24"/>
              </w:rPr>
              <w:t>Developer Response</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FD084D">
              <w:rPr>
                <w:rFonts w:cs="Calibri"/>
                <w:sz w:val="24"/>
                <w:szCs w:val="24"/>
              </w:rPr>
              <w:t>The developer should expand on the available evidence and on the details of the meta-analysis to better demonstrate the body of evidence available to support this measure focus.</w:t>
            </w:r>
          </w:p>
        </w:tc>
        <w:tc>
          <w:tcPr>
            <w:tcW w:w="2500" w:type="pct"/>
          </w:tcPr>
          <w:p w:rsidR="001C7795" w:rsidRPr="00D13139" w:rsidRDefault="001C7795" w:rsidP="007421DA">
            <w:pPr>
              <w:spacing w:after="0" w:line="240" w:lineRule="auto"/>
              <w:rPr>
                <w:rFonts w:eastAsia="Times New Roman" w:cs="Calibri"/>
                <w:sz w:val="24"/>
                <w:szCs w:val="24"/>
              </w:rPr>
            </w:pPr>
            <w:r>
              <w:rPr>
                <w:rFonts w:eastAsia="Times New Roman" w:cs="Calibri"/>
                <w:sz w:val="24"/>
                <w:szCs w:val="24"/>
              </w:rPr>
              <w:t xml:space="preserve">We have done our best to present the body of evidence, and the NQF Steering Committee seemed satisfied with the available evidence and details described in the </w:t>
            </w:r>
            <w:r w:rsidRPr="00D76198">
              <w:rPr>
                <w:rFonts w:eastAsia="Times New Roman" w:cs="Calibri"/>
                <w:sz w:val="24"/>
                <w:szCs w:val="24"/>
              </w:rPr>
              <w:t xml:space="preserve">submission form </w:t>
            </w:r>
            <w:r>
              <w:rPr>
                <w:rFonts w:eastAsia="Times New Roman" w:cs="Calibri"/>
                <w:sz w:val="24"/>
                <w:szCs w:val="24"/>
              </w:rPr>
              <w:t>during stage 1 of this process.</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700E81">
              <w:rPr>
                <w:rFonts w:eastAsia="Times New Roman" w:cs="Calibri"/>
                <w:noProof/>
                <w:sz w:val="24"/>
                <w:szCs w:val="24"/>
              </w:rPr>
              <w:t>e</w:t>
            </w:r>
            <w:r>
              <w:rPr>
                <w:rFonts w:eastAsia="Times New Roman" w:cs="Calibri"/>
                <w:noProof/>
                <w:sz w:val="24"/>
                <w:szCs w:val="24"/>
              </w:rPr>
              <w:t>M</w:t>
            </w:r>
            <w:r w:rsidRPr="00700E81">
              <w:rPr>
                <w:rFonts w:eastAsia="Times New Roman" w:cs="Calibri"/>
                <w:noProof/>
                <w:sz w:val="24"/>
                <w:szCs w:val="24"/>
              </w:rPr>
              <w:t>easure specifications should be submitted in stage 2.</w:t>
            </w:r>
          </w:p>
        </w:tc>
        <w:tc>
          <w:tcPr>
            <w:tcW w:w="2500" w:type="pct"/>
          </w:tcPr>
          <w:p w:rsidR="001C7795" w:rsidRPr="006E30AF" w:rsidRDefault="001C7795" w:rsidP="007421DA">
            <w:pPr>
              <w:spacing w:after="0" w:line="240" w:lineRule="auto"/>
              <w:rPr>
                <w:rFonts w:eastAsia="Times New Roman" w:cs="Calibri"/>
                <w:sz w:val="24"/>
                <w:szCs w:val="24"/>
              </w:rPr>
            </w:pPr>
            <w:r>
              <w:rPr>
                <w:rFonts w:eastAsia="Times New Roman" w:cs="Calibri"/>
                <w:sz w:val="24"/>
                <w:szCs w:val="24"/>
              </w:rPr>
              <w:t>Yes, we have an HQMF eMeasure for 0659, which will be submitted in stage 2.</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700E81">
              <w:rPr>
                <w:rFonts w:eastAsia="Times New Roman" w:cs="Calibri"/>
                <w:noProof/>
                <w:sz w:val="24"/>
                <w:szCs w:val="24"/>
              </w:rPr>
              <w:t>The interval specified in the measure does not match the recommendations in the evidence 3+ years versus 5 years; consider how these can be aligned to ensure the measure is evidence-based.</w:t>
            </w:r>
          </w:p>
        </w:tc>
        <w:tc>
          <w:tcPr>
            <w:tcW w:w="2500" w:type="pct"/>
          </w:tcPr>
          <w:p w:rsidR="001C7795" w:rsidRDefault="001C7795" w:rsidP="006E30AF">
            <w:pPr>
              <w:spacing w:after="0" w:line="240" w:lineRule="auto"/>
              <w:rPr>
                <w:rFonts w:eastAsia="Times New Roman" w:cs="Calibri"/>
                <w:sz w:val="24"/>
                <w:szCs w:val="24"/>
              </w:rPr>
            </w:pPr>
            <w:r w:rsidRPr="006E30AF">
              <w:rPr>
                <w:rFonts w:eastAsia="Times New Roman" w:cs="Calibri"/>
                <w:sz w:val="24"/>
                <w:szCs w:val="24"/>
              </w:rPr>
              <w:t xml:space="preserve">The interval for this measure (at least 3 years) is consistent with the evidence-based guidelines that were the basis for the measure, which recommend an interval of 3-5 years for patients with adenomatous polyps that are less than 10 cm. </w:t>
            </w:r>
            <w:r>
              <w:rPr>
                <w:rFonts w:eastAsia="Times New Roman" w:cs="Calibri"/>
                <w:sz w:val="24"/>
                <w:szCs w:val="24"/>
              </w:rPr>
              <w:t xml:space="preserve"> </w:t>
            </w:r>
            <w:r w:rsidRPr="006E30AF">
              <w:rPr>
                <w:rFonts w:eastAsia="Times New Roman" w:cs="Calibri"/>
                <w:sz w:val="24"/>
                <w:szCs w:val="24"/>
              </w:rPr>
              <w:t>Additional medical reasons, such as high risk for colorectal cancer or family history of colorectal cancer, would qualify for the use of the medical exclusion.</w:t>
            </w:r>
            <w:r>
              <w:rPr>
                <w:rFonts w:eastAsia="Times New Roman" w:cs="Calibri"/>
                <w:sz w:val="24"/>
                <w:szCs w:val="24"/>
              </w:rPr>
              <w:t xml:space="preserve">  </w:t>
            </w:r>
          </w:p>
          <w:p w:rsidR="001C7795" w:rsidRPr="006E30AF" w:rsidRDefault="001C7795" w:rsidP="006E30AF">
            <w:pPr>
              <w:spacing w:after="0" w:line="240" w:lineRule="auto"/>
              <w:rPr>
                <w:rFonts w:eastAsia="Times New Roman" w:cs="Calibri"/>
                <w:sz w:val="24"/>
                <w:szCs w:val="24"/>
              </w:rPr>
            </w:pPr>
            <w:r w:rsidRPr="006E30AF">
              <w:rPr>
                <w:rFonts w:eastAsia="Times New Roman" w:cs="Calibri"/>
                <w:sz w:val="24"/>
                <w:szCs w:val="24"/>
              </w:rPr>
              <w:t xml:space="preserve">Several </w:t>
            </w:r>
            <w:r>
              <w:rPr>
                <w:rFonts w:eastAsia="Times New Roman" w:cs="Calibri"/>
                <w:sz w:val="24"/>
                <w:szCs w:val="24"/>
              </w:rPr>
              <w:t xml:space="preserve">public </w:t>
            </w:r>
            <w:r w:rsidRPr="006E30AF">
              <w:rPr>
                <w:rFonts w:eastAsia="Times New Roman" w:cs="Calibri"/>
                <w:sz w:val="24"/>
                <w:szCs w:val="24"/>
              </w:rPr>
              <w:t xml:space="preserve">comments </w:t>
            </w:r>
            <w:r>
              <w:rPr>
                <w:rFonts w:eastAsia="Times New Roman" w:cs="Calibri"/>
                <w:sz w:val="24"/>
                <w:szCs w:val="24"/>
              </w:rPr>
              <w:t xml:space="preserve">received during the measure development process </w:t>
            </w:r>
            <w:r w:rsidRPr="006E30AF">
              <w:rPr>
                <w:rFonts w:eastAsia="Times New Roman" w:cs="Calibri"/>
                <w:sz w:val="24"/>
                <w:szCs w:val="24"/>
              </w:rPr>
              <w:t>requested that the Work Group stratify the intervals based on the size of the polyps.  For example, recommended surveillance intervals for HP polyps, every 5-7 years, for TA polyps &lt; 10 mm, every 5 years, for TA polyps 10-20 mm, every 3 years, for TA polyps &gt;20 mm &amp; TVAs, every 1 year for 2-3 years, then every 3 years</w:t>
            </w:r>
            <w:r>
              <w:rPr>
                <w:rFonts w:eastAsia="Times New Roman" w:cs="Calibri"/>
                <w:sz w:val="24"/>
                <w:szCs w:val="24"/>
              </w:rPr>
              <w:t xml:space="preserve">.  </w:t>
            </w:r>
            <w:r w:rsidRPr="006E30AF">
              <w:rPr>
                <w:rFonts w:eastAsia="Times New Roman" w:cs="Calibri"/>
                <w:sz w:val="24"/>
                <w:szCs w:val="24"/>
              </w:rPr>
              <w:t>The Work Group spent co</w:t>
            </w:r>
            <w:r>
              <w:rPr>
                <w:rFonts w:eastAsia="Times New Roman" w:cs="Calibri"/>
                <w:sz w:val="24"/>
                <w:szCs w:val="24"/>
              </w:rPr>
              <w:t>nsiderable time</w:t>
            </w:r>
            <w:r w:rsidRPr="006E30AF">
              <w:rPr>
                <w:rFonts w:eastAsia="Times New Roman" w:cs="Calibri"/>
                <w:sz w:val="24"/>
                <w:szCs w:val="24"/>
              </w:rPr>
              <w:t xml:space="preserve"> discussing different intervals depending on size.  The Work Group decided that doing so would be problematic for the following reasons: </w:t>
            </w:r>
          </w:p>
          <w:p w:rsidR="001C7795" w:rsidRPr="006E30AF" w:rsidRDefault="001C7795" w:rsidP="006E30AF">
            <w:pPr>
              <w:spacing w:after="0" w:line="240" w:lineRule="auto"/>
              <w:rPr>
                <w:rFonts w:eastAsia="Times New Roman" w:cs="Calibri"/>
                <w:sz w:val="24"/>
                <w:szCs w:val="24"/>
              </w:rPr>
            </w:pPr>
            <w:r>
              <w:rPr>
                <w:rFonts w:eastAsia="Times New Roman" w:cs="Calibri"/>
                <w:sz w:val="24"/>
                <w:szCs w:val="24"/>
              </w:rPr>
              <w:t xml:space="preserve">1. </w:t>
            </w:r>
            <w:r w:rsidRPr="006E30AF">
              <w:rPr>
                <w:rFonts w:eastAsia="Times New Roman" w:cs="Calibri"/>
                <w:sz w:val="24"/>
                <w:szCs w:val="24"/>
              </w:rPr>
              <w:t>The measure</w:t>
            </w:r>
            <w:r>
              <w:rPr>
                <w:rFonts w:eastAsia="Times New Roman" w:cs="Calibri"/>
                <w:sz w:val="24"/>
                <w:szCs w:val="24"/>
              </w:rPr>
              <w:t xml:space="preserve"> would require a separate</w:t>
            </w:r>
            <w:r w:rsidRPr="006E30AF">
              <w:rPr>
                <w:rFonts w:eastAsia="Times New Roman" w:cs="Calibri"/>
                <w:sz w:val="24"/>
                <w:szCs w:val="24"/>
              </w:rPr>
              <w:t xml:space="preserve"> code for each interval, which would add additional burden on physicians reporting on the measure and would complicate documentation and feasibility. </w:t>
            </w:r>
          </w:p>
          <w:p w:rsidR="001C7795" w:rsidRPr="006E30AF" w:rsidRDefault="001C7795" w:rsidP="006E30AF">
            <w:pPr>
              <w:spacing w:after="0" w:line="240" w:lineRule="auto"/>
              <w:rPr>
                <w:rFonts w:eastAsia="Times New Roman" w:cs="Calibri"/>
                <w:sz w:val="24"/>
                <w:szCs w:val="24"/>
              </w:rPr>
            </w:pPr>
            <w:r>
              <w:rPr>
                <w:rFonts w:eastAsia="Times New Roman" w:cs="Calibri"/>
                <w:sz w:val="24"/>
                <w:szCs w:val="24"/>
              </w:rPr>
              <w:t>2. T</w:t>
            </w:r>
            <w:r w:rsidRPr="006E30AF">
              <w:rPr>
                <w:rFonts w:eastAsia="Times New Roman" w:cs="Calibri"/>
                <w:sz w:val="24"/>
                <w:szCs w:val="24"/>
              </w:rPr>
              <w:t>he guidelines are very specific for patients with a history of polyps; the general guideline recommends that patients receive follow-up in 3 to 5 years, a shorter interval of follow-up is recommended in those patients with numerous adenomatous (&gt;10) polyps and in those in whom the colonoscopy was incomplete or the preparation was inadequate.  The medical exc</w:t>
            </w:r>
            <w:r>
              <w:rPr>
                <w:rFonts w:eastAsia="Times New Roman" w:cs="Calibri"/>
                <w:sz w:val="24"/>
                <w:szCs w:val="24"/>
              </w:rPr>
              <w:t>eption</w:t>
            </w:r>
            <w:r w:rsidRPr="006E30AF">
              <w:rPr>
                <w:rFonts w:eastAsia="Times New Roman" w:cs="Calibri"/>
                <w:sz w:val="24"/>
                <w:szCs w:val="24"/>
              </w:rPr>
              <w:t xml:space="preserve"> in the mea</w:t>
            </w:r>
            <w:r>
              <w:rPr>
                <w:rFonts w:eastAsia="Times New Roman" w:cs="Calibri"/>
                <w:sz w:val="24"/>
                <w:szCs w:val="24"/>
              </w:rPr>
              <w:t>sure accounts for this difference</w:t>
            </w:r>
            <w:r w:rsidRPr="006E30AF">
              <w:rPr>
                <w:rFonts w:eastAsia="Times New Roman" w:cs="Calibri"/>
                <w:sz w:val="24"/>
                <w:szCs w:val="24"/>
              </w:rPr>
              <w:t xml:space="preserve">. </w:t>
            </w:r>
          </w:p>
        </w:tc>
      </w:tr>
      <w:tr w:rsidR="001C7795" w:rsidRPr="00FD084D" w:rsidTr="000D4E8E">
        <w:tc>
          <w:tcPr>
            <w:tcW w:w="2500" w:type="pct"/>
          </w:tcPr>
          <w:p w:rsidR="001C7795" w:rsidRPr="00700E81" w:rsidRDefault="001C7795" w:rsidP="007421DA">
            <w:pPr>
              <w:spacing w:after="0" w:line="240" w:lineRule="auto"/>
              <w:contextualSpacing/>
              <w:rPr>
                <w:rFonts w:eastAsia="Times New Roman" w:cs="Calibri"/>
                <w:noProof/>
                <w:sz w:val="24"/>
                <w:szCs w:val="24"/>
              </w:rPr>
            </w:pPr>
            <w:r w:rsidRPr="00FD084D">
              <w:rPr>
                <w:rFonts w:cs="Calibri"/>
                <w:sz w:val="24"/>
                <w:szCs w:val="24"/>
              </w:rPr>
              <w:t>Due to the differences in populations and the measure focus, harmonization between this concept and 0658 will not be needed.</w:t>
            </w:r>
          </w:p>
        </w:tc>
        <w:tc>
          <w:tcPr>
            <w:tcW w:w="2500" w:type="pct"/>
          </w:tcPr>
          <w:p w:rsidR="001C7795" w:rsidRPr="006E30AF" w:rsidRDefault="001C7795" w:rsidP="007421DA">
            <w:pPr>
              <w:spacing w:after="0" w:line="240" w:lineRule="auto"/>
              <w:rPr>
                <w:rFonts w:eastAsia="Times New Roman" w:cs="Calibri"/>
                <w:sz w:val="24"/>
                <w:szCs w:val="24"/>
              </w:rPr>
            </w:pPr>
            <w:r w:rsidRPr="006E30AF">
              <w:rPr>
                <w:rFonts w:eastAsia="Times New Roman" w:cs="Calibri"/>
                <w:sz w:val="24"/>
                <w:szCs w:val="24"/>
              </w:rPr>
              <w:t>Thank you.</w:t>
            </w:r>
          </w:p>
        </w:tc>
      </w:tr>
    </w:tbl>
    <w:p w:rsidR="001C7795" w:rsidRPr="00700E81" w:rsidRDefault="001C7795" w:rsidP="001A3693">
      <w:pPr>
        <w:spacing w:after="0" w:line="240" w:lineRule="auto"/>
        <w:rPr>
          <w:sz w:val="24"/>
          <w:szCs w:val="24"/>
        </w:rPr>
      </w:pPr>
    </w:p>
    <w:sectPr w:rsidR="001C7795" w:rsidRPr="00700E81" w:rsidSect="00203EF8">
      <w:headerReference w:type="default" r:id="rId8"/>
      <w:footerReference w:type="default" r:id="rId9"/>
      <w:headerReference w:type="first" r:id="rId10"/>
      <w:footerReference w:type="first" r:id="rId11"/>
      <w:pgSz w:w="12240" w:h="15840"/>
      <w:pgMar w:top="1800" w:right="1440" w:bottom="1440" w:left="2160" w:header="0" w:footer="4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795" w:rsidRDefault="001C7795" w:rsidP="0072536D">
      <w:r>
        <w:separator/>
      </w:r>
    </w:p>
  </w:endnote>
  <w:endnote w:type="continuationSeparator" w:id="0">
    <w:p w:rsidR="001C7795" w:rsidRDefault="001C7795" w:rsidP="00725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l?r ??f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l?r ?S?V?b?N"/>
    <w:panose1 w:val="020B0609070205080204"/>
    <w:charset w:val="80"/>
    <w:family w:val="modern"/>
    <w:pitch w:val="fixed"/>
    <w:sig w:usb0="A00002BF" w:usb1="68C7FCFB" w:usb2="00000010" w:usb3="00000000" w:csb0="000200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95" w:rsidRPr="005E2D17" w:rsidRDefault="001C7795" w:rsidP="0072536D">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49" type="#_x0000_t75" style="position:absolute;margin-left:-108pt;margin-top:-33pt;width:612pt;height:50.85pt;z-index:251657728;visibility:visible" wrapcoords="3785 4129 3785 6035 3971 6353 4738 6353 4897 6353 7332 6353 7571 6035 7491 4129 3785 4129">
          <v:imagedata r:id="rId1" o:title=""/>
          <w10:wrap type="tight"/>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95" w:rsidRPr="006A0E19" w:rsidRDefault="001C7795" w:rsidP="00B22E46">
    <w:pPr>
      <w:pStyle w:val="NoSpacing"/>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129pt;height:7.5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795" w:rsidRDefault="001C7795" w:rsidP="0072536D">
      <w:r>
        <w:separator/>
      </w:r>
    </w:p>
  </w:footnote>
  <w:footnote w:type="continuationSeparator" w:id="0">
    <w:p w:rsidR="001C7795" w:rsidRDefault="001C7795" w:rsidP="007253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95" w:rsidRDefault="001C7795" w:rsidP="0072536D">
    <w:pPr>
      <w:pStyle w:val="Header"/>
      <w:rPr>
        <w:rStyle w:val="PageNumber"/>
        <w:sz w:val="20"/>
      </w:rPr>
    </w:pPr>
  </w:p>
  <w:p w:rsidR="001C7795" w:rsidRDefault="001C7795" w:rsidP="00BA7F6C">
    <w:pPr>
      <w:pStyle w:val="Heading3"/>
      <w:rPr>
        <w:rStyle w:val="PageNumber"/>
        <w:sz w:val="20"/>
      </w:rPr>
    </w:pPr>
  </w:p>
  <w:p w:rsidR="001C7795" w:rsidRPr="00436543" w:rsidRDefault="001C7795" w:rsidP="0072536D"/>
  <w:p w:rsidR="001C7795" w:rsidRPr="0035662A" w:rsidRDefault="001C7795" w:rsidP="00BA7F6C">
    <w:pPr>
      <w:pStyle w:val="Heading3"/>
    </w:pPr>
    <w:r w:rsidRPr="0035662A">
      <w:rPr>
        <w:rStyle w:val="PageNumber"/>
      </w:rPr>
      <w:t xml:space="preserve">PAGE </w:t>
    </w:r>
    <w:r w:rsidRPr="0035662A">
      <w:rPr>
        <w:rStyle w:val="PageNumber"/>
      </w:rPr>
      <w:fldChar w:fldCharType="begin"/>
    </w:r>
    <w:r w:rsidRPr="0035662A">
      <w:rPr>
        <w:rStyle w:val="PageNumber"/>
      </w:rPr>
      <w:instrText xml:space="preserve"> PAGE </w:instrText>
    </w:r>
    <w:r w:rsidRPr="0035662A">
      <w:rPr>
        <w:rStyle w:val="PageNumber"/>
      </w:rPr>
      <w:fldChar w:fldCharType="separate"/>
    </w:r>
    <w:r>
      <w:rPr>
        <w:rStyle w:val="PageNumber"/>
        <w:noProof/>
      </w:rPr>
      <w:t>5</w:t>
    </w:r>
    <w:r w:rsidRPr="0035662A">
      <w:rPr>
        <w:rStyle w:val="PageNumber"/>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95" w:rsidRPr="00827ED4" w:rsidRDefault="001C7795" w:rsidP="0072536D">
    <w:pPr>
      <w:pStyle w:val="HeaderBox"/>
    </w:pPr>
    <w:r w:rsidRPr="00827ED4">
      <w:tab/>
    </w:r>
  </w:p>
  <w:p w:rsidR="001C7795" w:rsidRDefault="001C7795" w:rsidP="0072536D">
    <w:pPr>
      <w:pStyle w:val="HeaderBox"/>
    </w:pPr>
    <w:r>
      <w:pict>
        <v:shapetype id="_x0000_t202" coordsize="21600,21600" o:spt="202" path="m,l,21600r21600,l21600,xe">
          <v:stroke joinstyle="miter"/>
          <v:path gradientshapeok="t" o:connecttype="rect"/>
        </v:shapetype>
        <v:shape id="Text Box 3" o:spid="_x0000_s2050" type="#_x0000_t202" style="position:absolute;margin-left:306pt;margin-top:33pt;width:135pt;height:5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" filled="f" stroked="f">
          <v:textbox>
            <w:txbxContent>
              <w:p w:rsidR="001C7795" w:rsidRPr="00A93B3D" w:rsidRDefault="001C7795" w:rsidP="005E3E36">
                <w:pPr>
                  <w:pStyle w:val="Title"/>
                  <w:jc w:val="right"/>
                  <w:rPr>
                    <w:color w:val="B6BF34"/>
                  </w:rPr>
                </w:pPr>
                <w:r>
                  <w:rPr>
                    <w:color w:val="B6BF34"/>
                  </w:rPr>
                  <w:t>Memo</w:t>
                </w:r>
              </w:p>
            </w:txbxContent>
          </v:textbox>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2051" type="#_x0000_t75" style="position:absolute;margin-left:-107.95pt;margin-top:54pt;width:612pt;height:73.9pt;z-index:251656704;visibility:visible;mso-position-vertical-relative:page" wrapcoords="2038 2618 1429 2836 953 4364 953 6109 847 8509 821 10255 874 13091 1059 16582 1403 18982 1429 18982 2594 18982 2674 18982 2674 17891 2568 16582 5771 16582 8550 15055 8550 11564 8021 11127 5241 9600 6644 9600 6538 6109 3097 6109 3124 5236 2912 4145 2276 2618 2038 2618">
          <v:imagedata r:id="rId1" o:title=""/>
          <w10:wrap type="tight" anchory="page"/>
        </v:shape>
      </w:pict>
    </w:r>
    <w:r>
      <w:tab/>
    </w:r>
  </w:p>
  <w:p w:rsidR="001C7795" w:rsidRPr="00827ED4" w:rsidRDefault="001C7795" w:rsidP="0072536D">
    <w:pPr>
      <w:pStyle w:val="HeaderBox"/>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1F4D8E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01E4452"/>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A1027858"/>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89040374"/>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EBC8F5FE"/>
    <w:lvl w:ilvl="0">
      <w:start w:val="1"/>
      <w:numFmt w:val="decimal"/>
      <w:lvlText w:val="%1."/>
      <w:lvlJc w:val="left"/>
      <w:pPr>
        <w:tabs>
          <w:tab w:val="num" w:pos="720"/>
        </w:tabs>
        <w:ind w:left="720" w:hanging="360"/>
      </w:pPr>
      <w:rPr>
        <w:rFonts w:cs="Times New Roman"/>
      </w:rPr>
    </w:lvl>
  </w:abstractNum>
  <w:abstractNum w:abstractNumId="5">
    <w:nsid w:val="FFFFFF80"/>
    <w:multiLevelType w:val="singleLevel"/>
    <w:tmpl w:val="41F6D5F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32C858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278EE23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F24AFD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B1243700"/>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3EC0A2C6"/>
    <w:lvl w:ilvl="0">
      <w:start w:val="1"/>
      <w:numFmt w:val="bullet"/>
      <w:lvlText w:val=""/>
      <w:lvlJc w:val="left"/>
      <w:pPr>
        <w:tabs>
          <w:tab w:val="num" w:pos="360"/>
        </w:tabs>
        <w:ind w:left="360" w:hanging="360"/>
      </w:pPr>
      <w:rPr>
        <w:rFonts w:ascii="Symbol" w:hAnsi="Symbol" w:hint="default"/>
      </w:rPr>
    </w:lvl>
  </w:abstractNum>
  <w:abstractNum w:abstractNumId="11">
    <w:nsid w:val="17E84E87"/>
    <w:multiLevelType w:val="hybridMultilevel"/>
    <w:tmpl w:val="D320181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9535C79"/>
    <w:multiLevelType w:val="hybridMultilevel"/>
    <w:tmpl w:val="B2AE6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BD2201"/>
    <w:multiLevelType w:val="hybridMultilevel"/>
    <w:tmpl w:val="732A7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921770"/>
    <w:multiLevelType w:val="hybridMultilevel"/>
    <w:tmpl w:val="387A14F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4DD22B2C"/>
    <w:multiLevelType w:val="hybridMultilevel"/>
    <w:tmpl w:val="88A23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5667BE"/>
    <w:multiLevelType w:val="hybridMultilevel"/>
    <w:tmpl w:val="6BD07E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20C9C"/>
    <w:multiLevelType w:val="hybridMultilevel"/>
    <w:tmpl w:val="C6DC7B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762593"/>
    <w:multiLevelType w:val="hybridMultilevel"/>
    <w:tmpl w:val="46BE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573AE3"/>
    <w:multiLevelType w:val="hybridMultilevel"/>
    <w:tmpl w:val="9B94E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8"/>
  </w:num>
  <w:num w:numId="23">
    <w:abstractNumId w:val="7"/>
  </w:num>
  <w:num w:numId="24">
    <w:abstractNumId w:val="6"/>
  </w:num>
  <w:num w:numId="25">
    <w:abstractNumId w:val="5"/>
  </w:num>
  <w:num w:numId="26">
    <w:abstractNumId w:val="9"/>
  </w:num>
  <w:num w:numId="27">
    <w:abstractNumId w:val="4"/>
  </w:num>
  <w:num w:numId="28">
    <w:abstractNumId w:val="3"/>
  </w:num>
  <w:num w:numId="29">
    <w:abstractNumId w:val="2"/>
  </w:num>
  <w:num w:numId="30">
    <w:abstractNumId w:val="1"/>
  </w:num>
  <w:num w:numId="31">
    <w:abstractNumId w:val="0"/>
  </w:num>
  <w:num w:numId="32">
    <w:abstractNumId w:val="12"/>
  </w:num>
  <w:num w:numId="33">
    <w:abstractNumId w:val="19"/>
  </w:num>
  <w:num w:numId="34">
    <w:abstractNumId w:val="14"/>
  </w:num>
  <w:num w:numId="35">
    <w:abstractNumId w:val="18"/>
  </w:num>
  <w:num w:numId="36">
    <w:abstractNumId w:val="13"/>
  </w:num>
  <w:num w:numId="37">
    <w:abstractNumId w:val="16"/>
  </w:num>
  <w:num w:numId="38">
    <w:abstractNumId w:val="17"/>
  </w:num>
  <w:num w:numId="39">
    <w:abstractNumId w:val="15"/>
  </w:num>
  <w:num w:numId="4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04"/>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180"/>
    <w:rsid w:val="00057A89"/>
    <w:rsid w:val="000664D2"/>
    <w:rsid w:val="00072C8A"/>
    <w:rsid w:val="0009007B"/>
    <w:rsid w:val="0009576A"/>
    <w:rsid w:val="000C4A58"/>
    <w:rsid w:val="000D4E8E"/>
    <w:rsid w:val="00114C11"/>
    <w:rsid w:val="00123BB0"/>
    <w:rsid w:val="00161B8A"/>
    <w:rsid w:val="00170D60"/>
    <w:rsid w:val="00170FEA"/>
    <w:rsid w:val="00183B09"/>
    <w:rsid w:val="00194E60"/>
    <w:rsid w:val="001A3693"/>
    <w:rsid w:val="001C7795"/>
    <w:rsid w:val="0020100B"/>
    <w:rsid w:val="00201293"/>
    <w:rsid w:val="00203EF8"/>
    <w:rsid w:val="0022235E"/>
    <w:rsid w:val="00227B67"/>
    <w:rsid w:val="00241ACD"/>
    <w:rsid w:val="00242ED4"/>
    <w:rsid w:val="00260D7B"/>
    <w:rsid w:val="0028128D"/>
    <w:rsid w:val="002969FE"/>
    <w:rsid w:val="002C682A"/>
    <w:rsid w:val="002E2131"/>
    <w:rsid w:val="00303C73"/>
    <w:rsid w:val="0034566A"/>
    <w:rsid w:val="0035662A"/>
    <w:rsid w:val="00360CD0"/>
    <w:rsid w:val="00363D3E"/>
    <w:rsid w:val="00364038"/>
    <w:rsid w:val="003764EF"/>
    <w:rsid w:val="003850C0"/>
    <w:rsid w:val="003B5517"/>
    <w:rsid w:val="003C318E"/>
    <w:rsid w:val="003D0A58"/>
    <w:rsid w:val="003E0915"/>
    <w:rsid w:val="003F5140"/>
    <w:rsid w:val="004019F9"/>
    <w:rsid w:val="00430CA3"/>
    <w:rsid w:val="0043313C"/>
    <w:rsid w:val="00436543"/>
    <w:rsid w:val="00454613"/>
    <w:rsid w:val="004A4277"/>
    <w:rsid w:val="004B5C52"/>
    <w:rsid w:val="004D2C8C"/>
    <w:rsid w:val="004E1BE4"/>
    <w:rsid w:val="004F3C09"/>
    <w:rsid w:val="005052A6"/>
    <w:rsid w:val="00533AA0"/>
    <w:rsid w:val="00560400"/>
    <w:rsid w:val="0058636B"/>
    <w:rsid w:val="00587089"/>
    <w:rsid w:val="005B2D73"/>
    <w:rsid w:val="005C1BEC"/>
    <w:rsid w:val="005E2D17"/>
    <w:rsid w:val="005E3E36"/>
    <w:rsid w:val="005F66A8"/>
    <w:rsid w:val="00634194"/>
    <w:rsid w:val="00643866"/>
    <w:rsid w:val="006474CC"/>
    <w:rsid w:val="0066082C"/>
    <w:rsid w:val="006640C7"/>
    <w:rsid w:val="00671DA8"/>
    <w:rsid w:val="00672C87"/>
    <w:rsid w:val="00684617"/>
    <w:rsid w:val="006A0E19"/>
    <w:rsid w:val="006B3246"/>
    <w:rsid w:val="006E30AF"/>
    <w:rsid w:val="006E6644"/>
    <w:rsid w:val="00700E81"/>
    <w:rsid w:val="0072536D"/>
    <w:rsid w:val="007421DA"/>
    <w:rsid w:val="0074426B"/>
    <w:rsid w:val="00787DB8"/>
    <w:rsid w:val="00793033"/>
    <w:rsid w:val="007D3892"/>
    <w:rsid w:val="007E7D14"/>
    <w:rsid w:val="007E7F3D"/>
    <w:rsid w:val="007F0BD3"/>
    <w:rsid w:val="00817755"/>
    <w:rsid w:val="00827ED4"/>
    <w:rsid w:val="00841A78"/>
    <w:rsid w:val="0086624B"/>
    <w:rsid w:val="00872598"/>
    <w:rsid w:val="008864E2"/>
    <w:rsid w:val="00890CDC"/>
    <w:rsid w:val="008D6B24"/>
    <w:rsid w:val="008E0427"/>
    <w:rsid w:val="008F3038"/>
    <w:rsid w:val="008F45C9"/>
    <w:rsid w:val="008F7011"/>
    <w:rsid w:val="009107C9"/>
    <w:rsid w:val="00955C3B"/>
    <w:rsid w:val="00961B2F"/>
    <w:rsid w:val="0097319A"/>
    <w:rsid w:val="00993F8D"/>
    <w:rsid w:val="009C5BB2"/>
    <w:rsid w:val="009D6A42"/>
    <w:rsid w:val="00A4021B"/>
    <w:rsid w:val="00A61F93"/>
    <w:rsid w:val="00A652DA"/>
    <w:rsid w:val="00A84926"/>
    <w:rsid w:val="00A92DA4"/>
    <w:rsid w:val="00A93B3D"/>
    <w:rsid w:val="00AA0B35"/>
    <w:rsid w:val="00AA43F1"/>
    <w:rsid w:val="00AF6A6E"/>
    <w:rsid w:val="00B22E46"/>
    <w:rsid w:val="00B31D85"/>
    <w:rsid w:val="00B7696E"/>
    <w:rsid w:val="00B77616"/>
    <w:rsid w:val="00B84462"/>
    <w:rsid w:val="00B93FA4"/>
    <w:rsid w:val="00B95C1C"/>
    <w:rsid w:val="00BA7F6C"/>
    <w:rsid w:val="00BB4AAA"/>
    <w:rsid w:val="00BD4E94"/>
    <w:rsid w:val="00BE17F4"/>
    <w:rsid w:val="00C174A3"/>
    <w:rsid w:val="00C30CB5"/>
    <w:rsid w:val="00C33DFA"/>
    <w:rsid w:val="00C421E6"/>
    <w:rsid w:val="00C54D46"/>
    <w:rsid w:val="00C56E4A"/>
    <w:rsid w:val="00C6027B"/>
    <w:rsid w:val="00C8219C"/>
    <w:rsid w:val="00CA022F"/>
    <w:rsid w:val="00CA6C5E"/>
    <w:rsid w:val="00CC0924"/>
    <w:rsid w:val="00CC5E24"/>
    <w:rsid w:val="00CD3D01"/>
    <w:rsid w:val="00CE0C32"/>
    <w:rsid w:val="00D13139"/>
    <w:rsid w:val="00D36EAF"/>
    <w:rsid w:val="00D37C13"/>
    <w:rsid w:val="00D40180"/>
    <w:rsid w:val="00D56AF8"/>
    <w:rsid w:val="00D7276A"/>
    <w:rsid w:val="00D76198"/>
    <w:rsid w:val="00D80458"/>
    <w:rsid w:val="00DA0075"/>
    <w:rsid w:val="00DB5F25"/>
    <w:rsid w:val="00DC043E"/>
    <w:rsid w:val="00DC44F3"/>
    <w:rsid w:val="00DD112E"/>
    <w:rsid w:val="00DD507A"/>
    <w:rsid w:val="00E12E08"/>
    <w:rsid w:val="00E25696"/>
    <w:rsid w:val="00E302EF"/>
    <w:rsid w:val="00E4240D"/>
    <w:rsid w:val="00E43C94"/>
    <w:rsid w:val="00E53214"/>
    <w:rsid w:val="00E6567C"/>
    <w:rsid w:val="00E7068F"/>
    <w:rsid w:val="00E725D9"/>
    <w:rsid w:val="00ED52B5"/>
    <w:rsid w:val="00EE1A24"/>
    <w:rsid w:val="00F131C6"/>
    <w:rsid w:val="00F43D21"/>
    <w:rsid w:val="00F46A31"/>
    <w:rsid w:val="00F534E2"/>
    <w:rsid w:val="00F57F3E"/>
    <w:rsid w:val="00F63B91"/>
    <w:rsid w:val="00F81F8A"/>
    <w:rsid w:val="00F865E0"/>
    <w:rsid w:val="00FB1657"/>
    <w:rsid w:val="00FD084D"/>
    <w:rsid w:val="00FD19E0"/>
    <w:rsid w:val="00FE59D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1DA"/>
    <w:pPr>
      <w:spacing w:after="120" w:line="240" w:lineRule="exact"/>
    </w:pPr>
    <w:rPr>
      <w:rFonts w:ascii="Calibri" w:hAnsi="Calibri"/>
    </w:rPr>
  </w:style>
  <w:style w:type="paragraph" w:styleId="Heading1">
    <w:name w:val="heading 1"/>
    <w:basedOn w:val="Normal"/>
    <w:next w:val="Normal"/>
    <w:link w:val="Heading1Char"/>
    <w:uiPriority w:val="99"/>
    <w:qFormat/>
    <w:rsid w:val="00BA7F6C"/>
    <w:pPr>
      <w:keepNext/>
      <w:keepLines/>
      <w:spacing w:before="480"/>
      <w:outlineLvl w:val="0"/>
    </w:pPr>
    <w:rPr>
      <w:rFonts w:eastAsia="MS Gothic"/>
      <w:bCs/>
      <w:color w:val="345A8A"/>
      <w:sz w:val="32"/>
      <w:szCs w:val="32"/>
    </w:rPr>
  </w:style>
  <w:style w:type="paragraph" w:styleId="Heading2">
    <w:name w:val="heading 2"/>
    <w:basedOn w:val="Normal"/>
    <w:next w:val="Normal"/>
    <w:link w:val="Heading2Char"/>
    <w:uiPriority w:val="99"/>
    <w:qFormat/>
    <w:rsid w:val="00BA7F6C"/>
    <w:pPr>
      <w:keepNext/>
      <w:keepLines/>
      <w:spacing w:before="200"/>
      <w:outlineLvl w:val="1"/>
    </w:pPr>
    <w:rPr>
      <w:rFonts w:eastAsia="MS Gothic"/>
      <w:b/>
      <w:bCs/>
      <w:color w:val="435663"/>
      <w:sz w:val="26"/>
      <w:szCs w:val="26"/>
    </w:rPr>
  </w:style>
  <w:style w:type="paragraph" w:styleId="Heading3">
    <w:name w:val="heading 3"/>
    <w:basedOn w:val="Normal"/>
    <w:next w:val="Normal"/>
    <w:link w:val="Heading3Char"/>
    <w:uiPriority w:val="99"/>
    <w:qFormat/>
    <w:rsid w:val="00BA7F6C"/>
    <w:pPr>
      <w:keepNext/>
      <w:keepLines/>
      <w:spacing w:before="200"/>
      <w:outlineLvl w:val="2"/>
    </w:pPr>
    <w:rPr>
      <w:rFonts w:eastAsia="MS Gothic"/>
      <w:b/>
      <w:bCs/>
      <w:color w:val="435663"/>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7F6C"/>
    <w:rPr>
      <w:rFonts w:ascii="Calibri" w:eastAsia="MS Gothic" w:hAnsi="Calibri" w:cs="Times New Roman"/>
      <w:bCs/>
      <w:color w:val="345A8A"/>
      <w:sz w:val="32"/>
      <w:szCs w:val="32"/>
    </w:rPr>
  </w:style>
  <w:style w:type="character" w:customStyle="1" w:styleId="Heading2Char">
    <w:name w:val="Heading 2 Char"/>
    <w:basedOn w:val="DefaultParagraphFont"/>
    <w:link w:val="Heading2"/>
    <w:uiPriority w:val="99"/>
    <w:locked/>
    <w:rsid w:val="00BA7F6C"/>
    <w:rPr>
      <w:rFonts w:ascii="Calibri" w:eastAsia="MS Gothic" w:hAnsi="Calibri" w:cs="Times New Roman"/>
      <w:b/>
      <w:bCs/>
      <w:color w:val="435663"/>
      <w:sz w:val="26"/>
      <w:szCs w:val="26"/>
    </w:rPr>
  </w:style>
  <w:style w:type="character" w:customStyle="1" w:styleId="Heading3Char">
    <w:name w:val="Heading 3 Char"/>
    <w:basedOn w:val="DefaultParagraphFont"/>
    <w:link w:val="Heading3"/>
    <w:uiPriority w:val="99"/>
    <w:locked/>
    <w:rsid w:val="00BA7F6C"/>
    <w:rPr>
      <w:rFonts w:ascii="Calibri" w:eastAsia="MS Gothic" w:hAnsi="Calibri" w:cs="Times New Roman"/>
      <w:b/>
      <w:bCs/>
      <w:color w:val="435663"/>
      <w:sz w:val="22"/>
      <w:szCs w:val="22"/>
    </w:rPr>
  </w:style>
  <w:style w:type="paragraph" w:styleId="Header">
    <w:name w:val="header"/>
    <w:basedOn w:val="Normal"/>
    <w:link w:val="HeaderChar"/>
    <w:uiPriority w:val="99"/>
    <w:rsid w:val="00827ED4"/>
    <w:pPr>
      <w:tabs>
        <w:tab w:val="left" w:pos="1920"/>
      </w:tabs>
    </w:pPr>
    <w:rPr>
      <w:noProof/>
    </w:rPr>
  </w:style>
  <w:style w:type="character" w:customStyle="1" w:styleId="HeaderChar">
    <w:name w:val="Header Char"/>
    <w:basedOn w:val="DefaultParagraphFont"/>
    <w:link w:val="Header"/>
    <w:uiPriority w:val="99"/>
    <w:locked/>
    <w:rsid w:val="00827ED4"/>
    <w:rPr>
      <w:rFonts w:cs="Times New Roman"/>
      <w:noProof/>
    </w:rPr>
  </w:style>
  <w:style w:type="paragraph" w:styleId="Footer">
    <w:name w:val="footer"/>
    <w:basedOn w:val="Normal"/>
    <w:link w:val="FooterChar"/>
    <w:uiPriority w:val="99"/>
    <w:rsid w:val="005E2D17"/>
    <w:pPr>
      <w:tabs>
        <w:tab w:val="center" w:pos="4320"/>
        <w:tab w:val="right" w:pos="8640"/>
      </w:tabs>
    </w:pPr>
  </w:style>
  <w:style w:type="character" w:customStyle="1" w:styleId="FooterChar">
    <w:name w:val="Footer Char"/>
    <w:basedOn w:val="DefaultParagraphFont"/>
    <w:link w:val="Footer"/>
    <w:uiPriority w:val="99"/>
    <w:locked/>
    <w:rsid w:val="005E2D17"/>
    <w:rPr>
      <w:rFonts w:cs="Times New Roman"/>
    </w:rPr>
  </w:style>
  <w:style w:type="paragraph" w:styleId="BalloonText">
    <w:name w:val="Balloon Text"/>
    <w:basedOn w:val="Normal"/>
    <w:link w:val="BalloonTextChar"/>
    <w:uiPriority w:val="99"/>
    <w:semiHidden/>
    <w:rsid w:val="005E2D17"/>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5E2D17"/>
    <w:rPr>
      <w:rFonts w:ascii="Lucida Grande" w:hAnsi="Lucida Grande" w:cs="Times New Roman"/>
      <w:sz w:val="18"/>
      <w:szCs w:val="18"/>
    </w:rPr>
  </w:style>
  <w:style w:type="character" w:styleId="PageNumber">
    <w:name w:val="page number"/>
    <w:basedOn w:val="Heading3Char"/>
    <w:uiPriority w:val="99"/>
    <w:semiHidden/>
    <w:rsid w:val="0035662A"/>
  </w:style>
  <w:style w:type="paragraph" w:styleId="Title">
    <w:name w:val="Title"/>
    <w:basedOn w:val="Normal"/>
    <w:next w:val="Normal"/>
    <w:link w:val="TitleChar"/>
    <w:uiPriority w:val="99"/>
    <w:qFormat/>
    <w:rsid w:val="00BA7F6C"/>
    <w:pPr>
      <w:spacing w:after="300" w:line="520" w:lineRule="exact"/>
      <w:contextualSpacing/>
    </w:pPr>
    <w:rPr>
      <w:rFonts w:eastAsia="MS Gothic"/>
      <w:color w:val="435663"/>
      <w:spacing w:val="5"/>
      <w:kern w:val="28"/>
      <w:sz w:val="52"/>
      <w:szCs w:val="52"/>
    </w:rPr>
  </w:style>
  <w:style w:type="character" w:customStyle="1" w:styleId="TitleChar">
    <w:name w:val="Title Char"/>
    <w:basedOn w:val="DefaultParagraphFont"/>
    <w:link w:val="Title"/>
    <w:uiPriority w:val="99"/>
    <w:locked/>
    <w:rsid w:val="00BA7F6C"/>
    <w:rPr>
      <w:rFonts w:ascii="Calibri" w:eastAsia="MS Gothic" w:hAnsi="Calibri" w:cs="Times New Roman"/>
      <w:color w:val="435663"/>
      <w:spacing w:val="5"/>
      <w:kern w:val="28"/>
      <w:sz w:val="52"/>
      <w:szCs w:val="52"/>
    </w:rPr>
  </w:style>
  <w:style w:type="paragraph" w:styleId="Subtitle">
    <w:name w:val="Subtitle"/>
    <w:basedOn w:val="Normal"/>
    <w:next w:val="Normal"/>
    <w:link w:val="SubtitleChar"/>
    <w:uiPriority w:val="99"/>
    <w:qFormat/>
    <w:rsid w:val="00827ED4"/>
    <w:pPr>
      <w:numPr>
        <w:ilvl w:val="1"/>
      </w:numPr>
    </w:pPr>
    <w:rPr>
      <w:rFonts w:eastAsia="MS Gothic"/>
      <w:i/>
      <w:iCs/>
      <w:color w:val="4F81BD"/>
      <w:spacing w:val="15"/>
    </w:rPr>
  </w:style>
  <w:style w:type="character" w:customStyle="1" w:styleId="SubtitleChar">
    <w:name w:val="Subtitle Char"/>
    <w:basedOn w:val="DefaultParagraphFont"/>
    <w:link w:val="Subtitle"/>
    <w:uiPriority w:val="99"/>
    <w:locked/>
    <w:rsid w:val="00827ED4"/>
    <w:rPr>
      <w:rFonts w:ascii="Calibri" w:eastAsia="MS Gothic" w:hAnsi="Calibri" w:cs="Times New Roman"/>
      <w:i/>
      <w:iCs/>
      <w:color w:val="4F81BD"/>
      <w:spacing w:val="15"/>
    </w:rPr>
  </w:style>
  <w:style w:type="paragraph" w:customStyle="1" w:styleId="HeaderBox">
    <w:name w:val="Header Box"/>
    <w:basedOn w:val="Header"/>
    <w:uiPriority w:val="99"/>
    <w:rsid w:val="00436543"/>
    <w:pPr>
      <w:spacing w:after="840" w:line="120" w:lineRule="exact"/>
    </w:pPr>
  </w:style>
  <w:style w:type="paragraph" w:styleId="BodyText">
    <w:name w:val="Body Text"/>
    <w:basedOn w:val="Normal"/>
    <w:link w:val="BodyTextChar"/>
    <w:uiPriority w:val="99"/>
    <w:rsid w:val="0072536D"/>
  </w:style>
  <w:style w:type="character" w:customStyle="1" w:styleId="BodyTextChar">
    <w:name w:val="Body Text Char"/>
    <w:basedOn w:val="DefaultParagraphFont"/>
    <w:link w:val="BodyText"/>
    <w:uiPriority w:val="99"/>
    <w:locked/>
    <w:rsid w:val="0072536D"/>
    <w:rPr>
      <w:rFonts w:ascii="Calibri" w:hAnsi="Calibri" w:cs="Times New Roman"/>
      <w:sz w:val="22"/>
      <w:szCs w:val="22"/>
    </w:rPr>
  </w:style>
  <w:style w:type="paragraph" w:styleId="NormalWeb">
    <w:name w:val="Normal (Web)"/>
    <w:basedOn w:val="Normal"/>
    <w:uiPriority w:val="99"/>
    <w:semiHidden/>
    <w:rsid w:val="0072536D"/>
    <w:pPr>
      <w:spacing w:before="100" w:beforeAutospacing="1" w:after="100" w:afterAutospacing="1"/>
    </w:pPr>
    <w:rPr>
      <w:rFonts w:ascii="Times" w:hAnsi="Times"/>
      <w:sz w:val="20"/>
      <w:szCs w:val="20"/>
    </w:rPr>
  </w:style>
  <w:style w:type="paragraph" w:styleId="Date">
    <w:name w:val="Date"/>
    <w:basedOn w:val="Normal"/>
    <w:next w:val="Normal"/>
    <w:link w:val="DateChar"/>
    <w:uiPriority w:val="99"/>
    <w:rsid w:val="00BA7F6C"/>
    <w:rPr>
      <w:b/>
      <w:color w:val="435663"/>
    </w:rPr>
  </w:style>
  <w:style w:type="character" w:customStyle="1" w:styleId="DateChar">
    <w:name w:val="Date Char"/>
    <w:basedOn w:val="DefaultParagraphFont"/>
    <w:link w:val="Date"/>
    <w:uiPriority w:val="99"/>
    <w:locked/>
    <w:rsid w:val="00BA7F6C"/>
    <w:rPr>
      <w:rFonts w:ascii="Calibri" w:hAnsi="Calibri" w:cs="Times New Roman"/>
      <w:b/>
      <w:color w:val="435663"/>
      <w:sz w:val="22"/>
      <w:szCs w:val="22"/>
    </w:rPr>
  </w:style>
  <w:style w:type="character" w:styleId="SubtleEmphasis">
    <w:name w:val="Subtle Emphasis"/>
    <w:basedOn w:val="DefaultParagraphFont"/>
    <w:uiPriority w:val="99"/>
    <w:qFormat/>
    <w:rsid w:val="00533AA0"/>
    <w:rPr>
      <w:rFonts w:cs="Times New Roman"/>
      <w:i/>
    </w:rPr>
  </w:style>
  <w:style w:type="paragraph" w:styleId="ListBullet">
    <w:name w:val="List Bullet"/>
    <w:basedOn w:val="Normal"/>
    <w:uiPriority w:val="99"/>
    <w:rsid w:val="00533AA0"/>
    <w:pPr>
      <w:numPr>
        <w:numId w:val="2"/>
      </w:numPr>
      <w:contextualSpacing/>
    </w:pPr>
  </w:style>
  <w:style w:type="character" w:styleId="CommentReference">
    <w:name w:val="annotation reference"/>
    <w:basedOn w:val="DefaultParagraphFont"/>
    <w:uiPriority w:val="99"/>
    <w:semiHidden/>
    <w:rsid w:val="00FB1657"/>
    <w:rPr>
      <w:rFonts w:cs="Times New Roman"/>
      <w:sz w:val="16"/>
      <w:szCs w:val="16"/>
    </w:rPr>
  </w:style>
  <w:style w:type="paragraph" w:styleId="CommentText">
    <w:name w:val="annotation text"/>
    <w:basedOn w:val="Normal"/>
    <w:link w:val="CommentTextChar"/>
    <w:uiPriority w:val="99"/>
    <w:semiHidden/>
    <w:rsid w:val="00FB1657"/>
    <w:pPr>
      <w:spacing w:line="240" w:lineRule="auto"/>
    </w:pPr>
    <w:rPr>
      <w:sz w:val="20"/>
      <w:szCs w:val="20"/>
    </w:rPr>
  </w:style>
  <w:style w:type="character" w:customStyle="1" w:styleId="CommentTextChar">
    <w:name w:val="Comment Text Char"/>
    <w:basedOn w:val="DefaultParagraphFont"/>
    <w:link w:val="CommentText"/>
    <w:uiPriority w:val="99"/>
    <w:semiHidden/>
    <w:locked/>
    <w:rsid w:val="00FB1657"/>
    <w:rPr>
      <w:rFonts w:ascii="Calibri" w:hAnsi="Calibri" w:cs="Times New Roman"/>
      <w:sz w:val="20"/>
      <w:szCs w:val="20"/>
    </w:rPr>
  </w:style>
  <w:style w:type="paragraph" w:styleId="CommentSubject">
    <w:name w:val="annotation subject"/>
    <w:basedOn w:val="CommentText"/>
    <w:next w:val="CommentText"/>
    <w:link w:val="CommentSubjectChar"/>
    <w:uiPriority w:val="99"/>
    <w:semiHidden/>
    <w:rsid w:val="00FB1657"/>
    <w:rPr>
      <w:b/>
      <w:bCs/>
    </w:rPr>
  </w:style>
  <w:style w:type="character" w:customStyle="1" w:styleId="CommentSubjectChar">
    <w:name w:val="Comment Subject Char"/>
    <w:basedOn w:val="CommentTextChar"/>
    <w:link w:val="CommentSubject"/>
    <w:uiPriority w:val="99"/>
    <w:semiHidden/>
    <w:locked/>
    <w:rsid w:val="00FB1657"/>
    <w:rPr>
      <w:b/>
      <w:bCs/>
    </w:rPr>
  </w:style>
  <w:style w:type="paragraph" w:styleId="ListParagraph">
    <w:name w:val="List Paragraph"/>
    <w:basedOn w:val="Normal"/>
    <w:uiPriority w:val="99"/>
    <w:qFormat/>
    <w:rsid w:val="00FB1657"/>
    <w:pPr>
      <w:ind w:left="720"/>
      <w:contextualSpacing/>
    </w:pPr>
  </w:style>
  <w:style w:type="paragraph" w:customStyle="1" w:styleId="Default">
    <w:name w:val="Default"/>
    <w:uiPriority w:val="99"/>
    <w:rsid w:val="00A92DA4"/>
    <w:pPr>
      <w:autoSpaceDE w:val="0"/>
      <w:autoSpaceDN w:val="0"/>
      <w:adjustRightInd w:val="0"/>
    </w:pPr>
    <w:rPr>
      <w:rFonts w:ascii="Times New Roman" w:hAnsi="Times New Roman"/>
      <w:color w:val="000000"/>
      <w:sz w:val="24"/>
      <w:szCs w:val="24"/>
    </w:rPr>
  </w:style>
  <w:style w:type="paragraph" w:styleId="NoSpacing">
    <w:name w:val="No Spacing"/>
    <w:uiPriority w:val="99"/>
    <w:qFormat/>
    <w:rsid w:val="00E43C94"/>
    <w:rPr>
      <w:rFonts w:ascii="Calibri" w:hAnsi="Calibri"/>
    </w:rPr>
  </w:style>
  <w:style w:type="character" w:styleId="Hyperlink">
    <w:name w:val="Hyperlink"/>
    <w:basedOn w:val="DefaultParagraphFont"/>
    <w:uiPriority w:val="99"/>
    <w:rsid w:val="002969F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93032621">
      <w:marLeft w:val="0"/>
      <w:marRight w:val="0"/>
      <w:marTop w:val="0"/>
      <w:marBottom w:val="0"/>
      <w:divBdr>
        <w:top w:val="none" w:sz="0" w:space="0" w:color="auto"/>
        <w:left w:val="none" w:sz="0" w:space="0" w:color="auto"/>
        <w:bottom w:val="none" w:sz="0" w:space="0" w:color="auto"/>
        <w:right w:val="none" w:sz="0" w:space="0" w:color="auto"/>
      </w:divBdr>
      <w:divsChild>
        <w:div w:id="1893032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ualityforum.org/WorkArea/linkit.aspx?LinkIdentifier=id&amp;ItemID=5911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TotalTime>
  <Pages>5</Pages>
  <Words>1395</Words>
  <Characters>7955</Characters>
  <Application>Microsoft Office Outlook</Application>
  <DocSecurity>0</DocSecurity>
  <Lines>0</Lines>
  <Paragraphs>0</Paragraphs>
  <ScaleCrop>false</ScaleCrop>
  <Company>National Quality Forum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dc:title>
  <dc:subject/>
  <dc:creator>Elisa Munthali</dc:creator>
  <cp:keywords/>
  <dc:description/>
  <cp:lastModifiedBy>katherine ast</cp:lastModifiedBy>
  <cp:revision>13</cp:revision>
  <cp:lastPrinted>2012-07-17T19:29:00Z</cp:lastPrinted>
  <dcterms:created xsi:type="dcterms:W3CDTF">2012-12-07T21:57:00Z</dcterms:created>
  <dcterms:modified xsi:type="dcterms:W3CDTF">2013-01-11T17:37:00Z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0x010100CA042E0D0E698842B297453E56C96B8C00FBEB01C370F92E4DB7F2F8781B9A35D4</vt:lpwstr>
  </property>
  <property fmtid="{D5CDD505-2E9C-101B-9397-08002B2CF9AE}" pid="3" name="Topic">
    <vt:lpwstr>56;#Communications|c987c54a-4a85-4aa9-a0ee-b73e98c48e97</vt:lpwstr>
  </property>
  <property fmtid="{D5CDD505-2E9C-101B-9397-08002B2CF9AE}" pid="4" name="ifcabbe6e1f44a7d9da3a706514ebe24">
    <vt:lpwstr/>
  </property>
  <property fmtid="{D5CDD505-2E9C-101B-9397-08002B2CF9AE}" pid="5" name="_DCDateModified">
    <vt:lpwstr>2012-04-12T23:00:00Z</vt:lpwstr>
  </property>
  <property fmtid="{D5CDD505-2E9C-101B-9397-08002B2CF9AE}" pid="6" name="f0468c1f675443b8a836aadc96e695d3">
    <vt:lpwstr>Communicationsc987c54a-4a85-4aa9-a0ee-b73e98c48e97</vt:lpwstr>
  </property>
  <property fmtid="{D5CDD505-2E9C-101B-9397-08002B2CF9AE}" pid="7" name="TaxCatchAll">
    <vt:lpwstr>56;#</vt:lpwstr>
  </property>
</Properties>
</file>