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918CD" w14:textId="3D71028C" w:rsidR="00F44A21" w:rsidRDefault="00FB19DA" w:rsidP="00713CDD">
      <w:pPr>
        <w:spacing w:before="480" w:after="480"/>
        <w:jc w:val="center"/>
        <w:rPr>
          <w:b/>
          <w:sz w:val="24"/>
        </w:rPr>
      </w:pPr>
      <w:bookmarkStart w:id="0" w:name="NATIONAL_QUALITY_FORUM—Evidence_(subcrit"/>
      <w:bookmarkStart w:id="1" w:name="Instructions"/>
      <w:bookmarkStart w:id="2" w:name="1a._Evidence_to_Support_the_Measure_Focu"/>
      <w:bookmarkStart w:id="3" w:name="_GoBack"/>
      <w:bookmarkEnd w:id="0"/>
      <w:bookmarkEnd w:id="1"/>
      <w:bookmarkEnd w:id="2"/>
      <w:bookmarkEnd w:id="3"/>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—Evidence (</w:t>
      </w:r>
      <w:r w:rsidR="008E2707">
        <w:rPr>
          <w:b/>
          <w:sz w:val="24"/>
        </w:rPr>
        <w:t>S</w:t>
      </w:r>
      <w:r>
        <w:rPr>
          <w:b/>
          <w:sz w:val="24"/>
        </w:rPr>
        <w:t>ubcriterion 1a)</w:t>
      </w:r>
    </w:p>
    <w:p w14:paraId="1DF0A859" w14:textId="43003C7B" w:rsidR="00F44A21" w:rsidRDefault="00FB19DA" w:rsidP="00315E8D">
      <w:pPr>
        <w:spacing w:after="55"/>
        <w:ind w:left="360"/>
        <w:jc w:val="both"/>
      </w:pPr>
      <w:r>
        <w:rPr>
          <w:b/>
        </w:rPr>
        <w:t xml:space="preserve">Measure Number </w:t>
      </w:r>
      <w:r>
        <w:t>(</w:t>
      </w:r>
      <w:r>
        <w:rPr>
          <w:i/>
        </w:rPr>
        <w:t>if previously endorsed</w:t>
      </w:r>
      <w:r>
        <w:t>)</w:t>
      </w:r>
      <w:r>
        <w:rPr>
          <w:b/>
        </w:rPr>
        <w:t xml:space="preserve">: </w:t>
      </w:r>
      <w:sdt>
        <w:sdtPr>
          <w:rPr>
            <w:rStyle w:val="Style1"/>
            <w:highlight w:val="cyan"/>
          </w:rPr>
          <w:id w:val="1103681744"/>
          <w:placeholder>
            <w:docPart w:val="E923C315515D45D5ABF2B5A7B346F4C7"/>
          </w:placeholder>
        </w:sdtPr>
        <w:sdtEndPr>
          <w:rPr>
            <w:rStyle w:val="DefaultParagraphFont"/>
            <w:rFonts w:ascii="Calibri" w:hAnsi="Calibri" w:cstheme="minorHAnsi"/>
            <w:b/>
            <w:noProof/>
            <w:color w:val="auto"/>
          </w:rPr>
        </w:sdtEndPr>
        <w:sdtContent>
          <w:r w:rsidR="00CA0A58">
            <w:rPr>
              <w:rStyle w:val="Style1"/>
            </w:rPr>
            <w:t>0669</w:t>
          </w:r>
        </w:sdtContent>
      </w:sdt>
    </w:p>
    <w:p w14:paraId="347718B4" w14:textId="3FA95F0C" w:rsidR="00F44A21" w:rsidRPr="008E2707" w:rsidRDefault="00FB19DA" w:rsidP="00315E8D">
      <w:pPr>
        <w:spacing w:after="55"/>
        <w:ind w:left="360"/>
        <w:jc w:val="both"/>
        <w:rPr>
          <w:color w:val="0000FF"/>
          <w:highlight w:val="yellow"/>
        </w:rPr>
      </w:pPr>
      <w:r>
        <w:rPr>
          <w:b/>
        </w:rPr>
        <w:t>Measure Title</w:t>
      </w:r>
      <w:r>
        <w:t xml:space="preserve">: </w:t>
      </w:r>
      <w:sdt>
        <w:sdtPr>
          <w:rPr>
            <w:rStyle w:val="Style1"/>
          </w:rPr>
          <w:id w:val="-882640736"/>
          <w:placeholder>
            <w:docPart w:val="122576AD764C4EFCB88A6727F8E55A1B"/>
          </w:placeholder>
        </w:sdtPr>
        <w:sdtEndPr>
          <w:rPr>
            <w:rStyle w:val="DefaultParagraphFont"/>
            <w:rFonts w:ascii="Calibri" w:hAnsi="Calibri"/>
            <w:noProof/>
            <w:color w:val="auto"/>
            <w:highlight w:val="cyan"/>
          </w:rPr>
        </w:sdtEndPr>
        <w:sdtContent>
          <w:r w:rsidR="00CA0A58" w:rsidRPr="00CA0A58">
            <w:rPr>
              <w:rFonts w:cstheme="minorHAnsi"/>
              <w:color w:val="0000FF"/>
              <w:sz w:val="24"/>
            </w:rPr>
            <w:t>Cardiac Imaging for Preoperative Risk Assessment for Non-Cardiac</w:t>
          </w:r>
          <w:r w:rsidR="004805D8">
            <w:rPr>
              <w:rFonts w:cstheme="minorHAnsi"/>
              <w:color w:val="0000FF"/>
              <w:sz w:val="24"/>
            </w:rPr>
            <w:t>,</w:t>
          </w:r>
          <w:r w:rsidR="00CA0A58" w:rsidRPr="00CA0A58">
            <w:rPr>
              <w:rFonts w:cstheme="minorHAnsi"/>
              <w:color w:val="0000FF"/>
              <w:sz w:val="24"/>
            </w:rPr>
            <w:t xml:space="preserve"> Low-Risk Surgery </w:t>
          </w:r>
        </w:sdtContent>
      </w:sdt>
    </w:p>
    <w:p w14:paraId="57FB77F9" w14:textId="108F483F" w:rsidR="00F44A21" w:rsidRDefault="00FB19DA" w:rsidP="00315E8D">
      <w:pPr>
        <w:spacing w:after="55"/>
        <w:ind w:left="360"/>
        <w:jc w:val="both"/>
      </w:pPr>
      <w:r>
        <w:rPr>
          <w:b/>
        </w:rPr>
        <w:t xml:space="preserve">IF the measure is a component in a composite performance measure, provide the title of the Composite Measure here: </w:t>
      </w:r>
      <w:r w:rsidR="00517FB4">
        <w:rPr>
          <w:color w:val="0000FF"/>
        </w:rPr>
        <w:t xml:space="preserve">Not </w:t>
      </w:r>
      <w:r w:rsidR="00517FB4" w:rsidRPr="00CA0A58">
        <w:rPr>
          <w:color w:val="0000FF"/>
        </w:rPr>
        <w:t>applicable</w:t>
      </w:r>
      <w:r w:rsidR="00517FB4" w:rsidRPr="00315E8D">
        <w:rPr>
          <w:color w:val="000000" w:themeColor="text1"/>
        </w:rPr>
        <w:t xml:space="preserve"> </w:t>
      </w:r>
      <w:r w:rsidR="00315E8D" w:rsidRPr="00315E8D">
        <w:rPr>
          <w:color w:val="000000" w:themeColor="text1"/>
        </w:rPr>
        <w:t xml:space="preserve">| </w:t>
      </w:r>
      <w:r w:rsidR="00315E8D" w:rsidRPr="00315E8D">
        <w:rPr>
          <w:color w:val="FF0000"/>
        </w:rPr>
        <w:t>Not applicable</w:t>
      </w:r>
    </w:p>
    <w:p w14:paraId="65366957" w14:textId="783D2652" w:rsidR="00F44A21" w:rsidRDefault="00FB19DA" w:rsidP="00315E8D">
      <w:pPr>
        <w:spacing w:after="220"/>
        <w:ind w:left="360"/>
        <w:jc w:val="both"/>
      </w:pPr>
      <w:r>
        <w:rPr>
          <w:b/>
        </w:rPr>
        <w:t>Date of Submission</w:t>
      </w:r>
      <w:r>
        <w:t>:</w:t>
      </w:r>
      <w:r w:rsidRPr="008E2707">
        <w:rPr>
          <w:color w:val="0000FF"/>
        </w:rPr>
        <w:t xml:space="preserve"> </w:t>
      </w:r>
      <w:sdt>
        <w:sdtPr>
          <w:rPr>
            <w:rStyle w:val="Style2"/>
          </w:rPr>
          <w:id w:val="-1689821638"/>
          <w:placeholder>
            <w:docPart w:val="5170AE3F3728475E9DAEFDA3157B5A5A"/>
          </w:placeholder>
          <w:date w:fullDate="2015-06-30T00:00:00Z">
            <w:dateFormat w:val="M/d/yyyy"/>
            <w:lid w:val="en-US"/>
            <w:storeMappedDataAs w:val="dateTime"/>
            <w:calendar w:val="gregorian"/>
          </w:date>
        </w:sdtPr>
        <w:sdtEndPr>
          <w:rPr>
            <w:rStyle w:val="DefaultParagraphFont"/>
            <w:rFonts w:ascii="Calibri" w:hAnsi="Calibri"/>
            <w:noProof/>
            <w:color w:val="auto"/>
            <w:u w:val="none"/>
          </w:rPr>
        </w:sdtEndPr>
        <w:sdtContent>
          <w:r w:rsidR="00785D8C">
            <w:rPr>
              <w:rStyle w:val="Style2"/>
            </w:rPr>
            <w:t>6/30/2015</w:t>
          </w:r>
        </w:sdtContent>
      </w:sdt>
      <w:r w:rsidR="00785D8C" w:rsidRPr="00785D8C">
        <w:rPr>
          <w:rFonts w:cstheme="minorHAnsi"/>
        </w:rPr>
        <w:t xml:space="preserve"> </w:t>
      </w:r>
      <w:r w:rsidR="00785D8C" w:rsidRPr="004D4530">
        <w:rPr>
          <w:rFonts w:cstheme="minorHAnsi"/>
          <w:noProof/>
          <w:color w:val="0000FF"/>
        </w:rPr>
        <w:t xml:space="preserve"> (Spring 2016 Submission)</w:t>
      </w:r>
      <w:r w:rsidR="00785D8C">
        <w:rPr>
          <w:rFonts w:cstheme="minorHAnsi"/>
          <w:noProof/>
        </w:rPr>
        <w:t xml:space="preserve"> |</w:t>
      </w:r>
      <w:r w:rsidR="00785D8C" w:rsidRPr="00450C58">
        <w:rPr>
          <w:rFonts w:cstheme="minorHAnsi"/>
          <w:noProof/>
        </w:rPr>
        <w:t xml:space="preserve"> </w:t>
      </w:r>
      <w:sdt>
        <w:sdtPr>
          <w:rPr>
            <w:rStyle w:val="Style2"/>
            <w:rFonts w:cstheme="minorHAnsi"/>
            <w:color w:val="FF0000"/>
          </w:rPr>
          <w:id w:val="134378664"/>
          <w:placeholder>
            <w:docPart w:val="91DF22840667418E9B7F1A9CA4AF79AC"/>
          </w:placeholder>
          <w:date w:fullDate="2020-04-09T00:00:00Z">
            <w:dateFormat w:val="M/d/yyyy"/>
            <w:lid w:val="en-US"/>
            <w:storeMappedDataAs w:val="dateTime"/>
            <w:calendar w:val="gregorian"/>
          </w:date>
        </w:sdtPr>
        <w:sdtEndPr>
          <w:rPr>
            <w:rStyle w:val="DefaultParagraphFont"/>
            <w:rFonts w:ascii="Calibri" w:hAnsi="Calibri"/>
            <w:noProof/>
            <w:u w:val="none"/>
          </w:rPr>
        </w:sdtEndPr>
        <w:sdtContent>
          <w:r w:rsidR="00286F07">
            <w:rPr>
              <w:rStyle w:val="Style2"/>
              <w:rFonts w:cstheme="minorHAnsi"/>
              <w:color w:val="FF0000"/>
            </w:rPr>
            <w:t>4/9</w:t>
          </w:r>
          <w:r w:rsidR="00785D8C">
            <w:rPr>
              <w:rStyle w:val="Style2"/>
              <w:rFonts w:cstheme="minorHAnsi"/>
              <w:color w:val="FF0000"/>
            </w:rPr>
            <w:t>/2020</w:t>
          </w:r>
        </w:sdtContent>
      </w:sdt>
      <w:r w:rsidR="00785D8C">
        <w:rPr>
          <w:rFonts w:cstheme="minorHAnsi"/>
          <w:noProof/>
          <w:color w:val="FF0000"/>
        </w:rPr>
        <w:t xml:space="preserve"> (Spring 2020)</w:t>
      </w:r>
    </w:p>
    <w:p w14:paraId="73741F4B" w14:textId="00E46168" w:rsidR="00F44A21" w:rsidRDefault="00453771" w:rsidP="001259C9">
      <w:pPr>
        <w:pStyle w:val="BodyText"/>
        <w:spacing w:after="220"/>
        <w:rPr>
          <w:sz w:val="18"/>
        </w:rPr>
      </w:pPr>
      <w:r>
        <w:rPr>
          <w:noProof/>
          <w:lang w:bidi="ar-SA"/>
        </w:rPr>
        <mc:AlternateContent>
          <mc:Choice Requires="wps">
            <w:drawing>
              <wp:inline distT="0" distB="0" distL="0" distR="0" wp14:anchorId="2D96F92E" wp14:editId="6394E495">
                <wp:extent cx="6858000" cy="2009775"/>
                <wp:effectExtent l="0" t="0" r="19050" b="28575"/>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20097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3165617" w14:textId="77777777" w:rsidR="00D66D3F" w:rsidRPr="00890B62" w:rsidRDefault="00D66D3F" w:rsidP="00C122E3">
                            <w:pPr>
                              <w:spacing w:after="45"/>
                              <w:ind w:left="144"/>
                              <w:rPr>
                                <w:b/>
                                <w:sz w:val="18"/>
                                <w:szCs w:val="18"/>
                              </w:rPr>
                            </w:pPr>
                            <w:r w:rsidRPr="00890B62">
                              <w:rPr>
                                <w:b/>
                                <w:sz w:val="18"/>
                                <w:szCs w:val="18"/>
                              </w:rPr>
                              <w:t>Instructions</w:t>
                            </w:r>
                          </w:p>
                          <w:p w14:paraId="2AF17837" w14:textId="77777777" w:rsidR="00D66D3F" w:rsidRPr="00890B62" w:rsidRDefault="00D66D3F" w:rsidP="00C122E3">
                            <w:pPr>
                              <w:numPr>
                                <w:ilvl w:val="0"/>
                                <w:numId w:val="7"/>
                              </w:numPr>
                              <w:spacing w:after="45"/>
                              <w:ind w:left="504" w:hanging="360"/>
                              <w:rPr>
                                <w:i/>
                                <w:sz w:val="18"/>
                                <w:szCs w:val="18"/>
                              </w:rPr>
                            </w:pPr>
                            <w:r w:rsidRPr="00890B62">
                              <w:rPr>
                                <w:i/>
                                <w:sz w:val="18"/>
                                <w:szCs w:val="18"/>
                              </w:rPr>
                              <w:t>Complete 1a.1 and 1a.2 for all measures. If instrument-based measure, complete</w:t>
                            </w:r>
                            <w:r w:rsidRPr="00890B62">
                              <w:rPr>
                                <w:i/>
                                <w:spacing w:val="-13"/>
                                <w:sz w:val="18"/>
                                <w:szCs w:val="18"/>
                              </w:rPr>
                              <w:t xml:space="preserve"> </w:t>
                            </w:r>
                            <w:r w:rsidRPr="00890B62">
                              <w:rPr>
                                <w:i/>
                                <w:sz w:val="18"/>
                                <w:szCs w:val="18"/>
                              </w:rPr>
                              <w:t>1a.3.</w:t>
                            </w:r>
                          </w:p>
                          <w:p w14:paraId="0C9D90E1" w14:textId="77777777" w:rsidR="00D66D3F" w:rsidRPr="00890B62" w:rsidRDefault="00D66D3F" w:rsidP="00C122E3">
                            <w:pPr>
                              <w:numPr>
                                <w:ilvl w:val="0"/>
                                <w:numId w:val="7"/>
                              </w:numPr>
                              <w:tabs>
                                <w:tab w:val="left" w:pos="463"/>
                                <w:tab w:val="left" w:pos="464"/>
                              </w:tabs>
                              <w:spacing w:after="45"/>
                              <w:ind w:left="504" w:hanging="360"/>
                              <w:rPr>
                                <w:i/>
                                <w:sz w:val="18"/>
                                <w:szCs w:val="18"/>
                              </w:rPr>
                            </w:pPr>
                            <w:r w:rsidRPr="00890B62">
                              <w:rPr>
                                <w:i/>
                                <w:sz w:val="18"/>
                                <w:szCs w:val="18"/>
                              </w:rPr>
                              <w:t xml:space="preserve">Complete </w:t>
                            </w:r>
                            <w:r w:rsidRPr="00890B62">
                              <w:rPr>
                                <w:b/>
                                <w:i/>
                                <w:sz w:val="18"/>
                                <w:szCs w:val="18"/>
                              </w:rPr>
                              <w:t xml:space="preserve">EITHER 1a.2, 1a.3 or 1a.4 </w:t>
                            </w:r>
                            <w:r w:rsidRPr="00890B62">
                              <w:rPr>
                                <w:i/>
                                <w:sz w:val="18"/>
                                <w:szCs w:val="18"/>
                              </w:rPr>
                              <w:t>as applicable for the type of measure and</w:t>
                            </w:r>
                            <w:r w:rsidRPr="00890B62">
                              <w:rPr>
                                <w:i/>
                                <w:spacing w:val="-9"/>
                                <w:sz w:val="18"/>
                                <w:szCs w:val="18"/>
                              </w:rPr>
                              <w:t xml:space="preserve"> </w:t>
                            </w:r>
                            <w:r w:rsidRPr="00890B62">
                              <w:rPr>
                                <w:i/>
                                <w:sz w:val="18"/>
                                <w:szCs w:val="18"/>
                              </w:rPr>
                              <w:t>evidence.</w:t>
                            </w:r>
                          </w:p>
                          <w:p w14:paraId="13CBB260" w14:textId="77777777" w:rsidR="00D66D3F" w:rsidRPr="00890B62" w:rsidRDefault="00D66D3F" w:rsidP="00C122E3">
                            <w:pPr>
                              <w:numPr>
                                <w:ilvl w:val="0"/>
                                <w:numId w:val="7"/>
                              </w:numPr>
                              <w:tabs>
                                <w:tab w:val="left" w:pos="463"/>
                                <w:tab w:val="left" w:pos="464"/>
                              </w:tabs>
                              <w:spacing w:after="45"/>
                              <w:ind w:left="504" w:hanging="360"/>
                              <w:rPr>
                                <w:i/>
                                <w:sz w:val="18"/>
                                <w:szCs w:val="18"/>
                              </w:rPr>
                            </w:pPr>
                            <w:r w:rsidRPr="00890B62">
                              <w:rPr>
                                <w:i/>
                                <w:sz w:val="18"/>
                                <w:szCs w:val="18"/>
                              </w:rPr>
                              <w:t>For composite performance measures:</w:t>
                            </w:r>
                          </w:p>
                          <w:p w14:paraId="0886CDEB" w14:textId="77777777" w:rsidR="00D66D3F" w:rsidRPr="00890B62" w:rsidRDefault="00D66D3F" w:rsidP="00C122E3">
                            <w:pPr>
                              <w:numPr>
                                <w:ilvl w:val="1"/>
                                <w:numId w:val="7"/>
                              </w:numPr>
                              <w:tabs>
                                <w:tab w:val="left" w:pos="945"/>
                                <w:tab w:val="left" w:pos="946"/>
                              </w:tabs>
                              <w:spacing w:after="45"/>
                              <w:ind w:left="864" w:hanging="360"/>
                              <w:rPr>
                                <w:i/>
                                <w:sz w:val="18"/>
                                <w:szCs w:val="18"/>
                              </w:rPr>
                            </w:pPr>
                            <w:r w:rsidRPr="00890B62">
                              <w:rPr>
                                <w:i/>
                                <w:sz w:val="18"/>
                                <w:szCs w:val="18"/>
                              </w:rPr>
                              <w:t>A separate evidence form is required for each component measure unless several components were studied</w:t>
                            </w:r>
                            <w:r w:rsidRPr="00890B62">
                              <w:rPr>
                                <w:i/>
                                <w:spacing w:val="-2"/>
                                <w:sz w:val="18"/>
                                <w:szCs w:val="18"/>
                              </w:rPr>
                              <w:t xml:space="preserve"> </w:t>
                            </w:r>
                            <w:r w:rsidRPr="00890B62">
                              <w:rPr>
                                <w:i/>
                                <w:sz w:val="18"/>
                                <w:szCs w:val="18"/>
                              </w:rPr>
                              <w:t>together.</w:t>
                            </w:r>
                          </w:p>
                          <w:p w14:paraId="369656F6" w14:textId="77777777" w:rsidR="00D66D3F" w:rsidRPr="00890B62" w:rsidRDefault="00D66D3F" w:rsidP="00C122E3">
                            <w:pPr>
                              <w:numPr>
                                <w:ilvl w:val="1"/>
                                <w:numId w:val="7"/>
                              </w:numPr>
                              <w:tabs>
                                <w:tab w:val="left" w:pos="945"/>
                                <w:tab w:val="left" w:pos="946"/>
                              </w:tabs>
                              <w:spacing w:after="45"/>
                              <w:ind w:left="864" w:hanging="360"/>
                              <w:rPr>
                                <w:i/>
                                <w:sz w:val="18"/>
                                <w:szCs w:val="18"/>
                              </w:rPr>
                            </w:pPr>
                            <w:r w:rsidRPr="00890B62">
                              <w:rPr>
                                <w:i/>
                                <w:sz w:val="18"/>
                                <w:szCs w:val="18"/>
                              </w:rPr>
                              <w:t>If a component measure is submitted as an individual performance measure, attach the evidence form to the individual measure</w:t>
                            </w:r>
                            <w:r w:rsidRPr="00890B62">
                              <w:rPr>
                                <w:i/>
                                <w:spacing w:val="-3"/>
                                <w:sz w:val="18"/>
                                <w:szCs w:val="18"/>
                              </w:rPr>
                              <w:t xml:space="preserve"> </w:t>
                            </w:r>
                            <w:r w:rsidRPr="00890B62">
                              <w:rPr>
                                <w:i/>
                                <w:sz w:val="18"/>
                                <w:szCs w:val="18"/>
                              </w:rPr>
                              <w:t>submission.</w:t>
                            </w:r>
                          </w:p>
                          <w:p w14:paraId="4092E3C0"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 xml:space="preserve">All information needed to demonstrate meeting the evidence subcriterion (1a) must be in this form. An appendix of </w:t>
                            </w:r>
                            <w:r w:rsidRPr="00890B62">
                              <w:rPr>
                                <w:i/>
                                <w:sz w:val="18"/>
                                <w:szCs w:val="18"/>
                              </w:rPr>
                              <w:t xml:space="preserve">supplemental </w:t>
                            </w:r>
                            <w:r w:rsidRPr="00890B62">
                              <w:rPr>
                                <w:sz w:val="18"/>
                                <w:szCs w:val="18"/>
                              </w:rPr>
                              <w:t>materials may be submitted, but there is no guarantee it will be</w:t>
                            </w:r>
                            <w:r w:rsidRPr="00890B62">
                              <w:rPr>
                                <w:spacing w:val="-27"/>
                                <w:sz w:val="18"/>
                                <w:szCs w:val="18"/>
                              </w:rPr>
                              <w:t xml:space="preserve"> </w:t>
                            </w:r>
                            <w:r w:rsidRPr="00890B62">
                              <w:rPr>
                                <w:sz w:val="18"/>
                                <w:szCs w:val="18"/>
                              </w:rPr>
                              <w:t>reviewed.</w:t>
                            </w:r>
                          </w:p>
                          <w:p w14:paraId="5E38020F"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If you are unable to check a box, please highlight or shade the box for your</w:t>
                            </w:r>
                            <w:r w:rsidRPr="00890B62">
                              <w:rPr>
                                <w:spacing w:val="-15"/>
                                <w:sz w:val="18"/>
                                <w:szCs w:val="18"/>
                              </w:rPr>
                              <w:t xml:space="preserve"> </w:t>
                            </w:r>
                            <w:r w:rsidRPr="00890B62">
                              <w:rPr>
                                <w:sz w:val="18"/>
                                <w:szCs w:val="18"/>
                              </w:rPr>
                              <w:t>response.</w:t>
                            </w:r>
                          </w:p>
                          <w:p w14:paraId="25B3D3F7"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Contact NQF staff regarding questions. Check for resources at</w:t>
                            </w:r>
                            <w:r w:rsidRPr="00890B62">
                              <w:rPr>
                                <w:color w:val="0000FF"/>
                                <w:sz w:val="18"/>
                                <w:szCs w:val="18"/>
                              </w:rPr>
                              <w:t xml:space="preserve"> </w:t>
                            </w:r>
                            <w:hyperlink r:id="rId11">
                              <w:r w:rsidRPr="00890B62">
                                <w:rPr>
                                  <w:color w:val="0000FF"/>
                                  <w:sz w:val="18"/>
                                  <w:szCs w:val="18"/>
                                  <w:u w:val="single" w:color="0000FF"/>
                                </w:rPr>
                                <w:t>Submitting Standards</w:t>
                              </w:r>
                              <w:r w:rsidRPr="00890B62">
                                <w:rPr>
                                  <w:color w:val="0000FF"/>
                                  <w:spacing w:val="-15"/>
                                  <w:sz w:val="18"/>
                                  <w:szCs w:val="18"/>
                                  <w:u w:val="single" w:color="0000FF"/>
                                </w:rPr>
                                <w:t xml:space="preserve"> </w:t>
                              </w:r>
                              <w:r w:rsidRPr="00890B62">
                                <w:rPr>
                                  <w:color w:val="0000FF"/>
                                  <w:sz w:val="18"/>
                                  <w:szCs w:val="18"/>
                                  <w:u w:val="single" w:color="0000FF"/>
                                </w:rPr>
                                <w:t>webpage</w:t>
                              </w:r>
                              <w:r w:rsidRPr="00890B62">
                                <w:rPr>
                                  <w:sz w:val="18"/>
                                  <w:szCs w:val="18"/>
                                </w:rPr>
                                <w:t>.</w:t>
                              </w:r>
                            </w:hyperlink>
                          </w:p>
                        </w:txbxContent>
                      </wps:txbx>
                      <wps:bodyPr rot="0" vert="horz" wrap="square" lIns="0" tIns="0" rIns="0" bIns="0" anchor="t" anchorCtr="0" upright="1">
                        <a:noAutofit/>
                      </wps:bodyPr>
                    </wps:wsp>
                  </a:graphicData>
                </a:graphic>
              </wp:inline>
            </w:drawing>
          </mc:Choice>
          <mc:Fallback>
            <w:pict>
              <v:shapetype w14:anchorId="2D96F92E" id="_x0000_t202" coordsize="21600,21600" o:spt="202" path="m,l,21600r21600,l21600,xe">
                <v:stroke joinstyle="miter"/>
                <v:path gradientshapeok="t" o:connecttype="rect"/>
              </v:shapetype>
              <v:shape id="Text Box 15" o:spid="_x0000_s1026" type="#_x0000_t202" style="width:540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" filled="f" strokeweight=".48pt">
                <v:textbox inset="0,0,0,0">
                  <w:txbxContent>
                    <w:p w14:paraId="23165617" w14:textId="77777777" w:rsidR="00D66D3F" w:rsidRPr="00890B62" w:rsidRDefault="00D66D3F" w:rsidP="00C122E3">
                      <w:pPr>
                        <w:spacing w:after="45"/>
                        <w:ind w:left="144"/>
                        <w:rPr>
                          <w:b/>
                          <w:sz w:val="18"/>
                          <w:szCs w:val="18"/>
                        </w:rPr>
                      </w:pPr>
                      <w:r w:rsidRPr="00890B62">
                        <w:rPr>
                          <w:b/>
                          <w:sz w:val="18"/>
                          <w:szCs w:val="18"/>
                        </w:rPr>
                        <w:t>Instructions</w:t>
                      </w:r>
                    </w:p>
                    <w:p w14:paraId="2AF17837" w14:textId="77777777" w:rsidR="00D66D3F" w:rsidRPr="00890B62" w:rsidRDefault="00D66D3F" w:rsidP="00C122E3">
                      <w:pPr>
                        <w:numPr>
                          <w:ilvl w:val="0"/>
                          <w:numId w:val="7"/>
                        </w:numPr>
                        <w:spacing w:after="45"/>
                        <w:ind w:left="504" w:hanging="360"/>
                        <w:rPr>
                          <w:i/>
                          <w:sz w:val="18"/>
                          <w:szCs w:val="18"/>
                        </w:rPr>
                      </w:pPr>
                      <w:r w:rsidRPr="00890B62">
                        <w:rPr>
                          <w:i/>
                          <w:sz w:val="18"/>
                          <w:szCs w:val="18"/>
                        </w:rPr>
                        <w:t>Complete 1a.1 and 1a.2 for all measures. If instrument-based measure, complete</w:t>
                      </w:r>
                      <w:r w:rsidRPr="00890B62">
                        <w:rPr>
                          <w:i/>
                          <w:spacing w:val="-13"/>
                          <w:sz w:val="18"/>
                          <w:szCs w:val="18"/>
                        </w:rPr>
                        <w:t xml:space="preserve"> </w:t>
                      </w:r>
                      <w:r w:rsidRPr="00890B62">
                        <w:rPr>
                          <w:i/>
                          <w:sz w:val="18"/>
                          <w:szCs w:val="18"/>
                        </w:rPr>
                        <w:t>1a.3.</w:t>
                      </w:r>
                    </w:p>
                    <w:p w14:paraId="0C9D90E1" w14:textId="77777777" w:rsidR="00D66D3F" w:rsidRPr="00890B62" w:rsidRDefault="00D66D3F" w:rsidP="00C122E3">
                      <w:pPr>
                        <w:numPr>
                          <w:ilvl w:val="0"/>
                          <w:numId w:val="7"/>
                        </w:numPr>
                        <w:tabs>
                          <w:tab w:val="left" w:pos="463"/>
                          <w:tab w:val="left" w:pos="464"/>
                        </w:tabs>
                        <w:spacing w:after="45"/>
                        <w:ind w:left="504" w:hanging="360"/>
                        <w:rPr>
                          <w:i/>
                          <w:sz w:val="18"/>
                          <w:szCs w:val="18"/>
                        </w:rPr>
                      </w:pPr>
                      <w:r w:rsidRPr="00890B62">
                        <w:rPr>
                          <w:i/>
                          <w:sz w:val="18"/>
                          <w:szCs w:val="18"/>
                        </w:rPr>
                        <w:t xml:space="preserve">Complete </w:t>
                      </w:r>
                      <w:r w:rsidRPr="00890B62">
                        <w:rPr>
                          <w:b/>
                          <w:i/>
                          <w:sz w:val="18"/>
                          <w:szCs w:val="18"/>
                        </w:rPr>
                        <w:t xml:space="preserve">EITHER 1a.2, 1a.3 or 1a.4 </w:t>
                      </w:r>
                      <w:r w:rsidRPr="00890B62">
                        <w:rPr>
                          <w:i/>
                          <w:sz w:val="18"/>
                          <w:szCs w:val="18"/>
                        </w:rPr>
                        <w:t>as applicable for the type of measure and</w:t>
                      </w:r>
                      <w:r w:rsidRPr="00890B62">
                        <w:rPr>
                          <w:i/>
                          <w:spacing w:val="-9"/>
                          <w:sz w:val="18"/>
                          <w:szCs w:val="18"/>
                        </w:rPr>
                        <w:t xml:space="preserve"> </w:t>
                      </w:r>
                      <w:r w:rsidRPr="00890B62">
                        <w:rPr>
                          <w:i/>
                          <w:sz w:val="18"/>
                          <w:szCs w:val="18"/>
                        </w:rPr>
                        <w:t>evidence.</w:t>
                      </w:r>
                    </w:p>
                    <w:p w14:paraId="13CBB260" w14:textId="77777777" w:rsidR="00D66D3F" w:rsidRPr="00890B62" w:rsidRDefault="00D66D3F" w:rsidP="00C122E3">
                      <w:pPr>
                        <w:numPr>
                          <w:ilvl w:val="0"/>
                          <w:numId w:val="7"/>
                        </w:numPr>
                        <w:tabs>
                          <w:tab w:val="left" w:pos="463"/>
                          <w:tab w:val="left" w:pos="464"/>
                        </w:tabs>
                        <w:spacing w:after="45"/>
                        <w:ind w:left="504" w:hanging="360"/>
                        <w:rPr>
                          <w:i/>
                          <w:sz w:val="18"/>
                          <w:szCs w:val="18"/>
                        </w:rPr>
                      </w:pPr>
                      <w:r w:rsidRPr="00890B62">
                        <w:rPr>
                          <w:i/>
                          <w:sz w:val="18"/>
                          <w:szCs w:val="18"/>
                        </w:rPr>
                        <w:t>For composite performance measures:</w:t>
                      </w:r>
                    </w:p>
                    <w:p w14:paraId="0886CDEB" w14:textId="77777777" w:rsidR="00D66D3F" w:rsidRPr="00890B62" w:rsidRDefault="00D66D3F" w:rsidP="00C122E3">
                      <w:pPr>
                        <w:numPr>
                          <w:ilvl w:val="1"/>
                          <w:numId w:val="7"/>
                        </w:numPr>
                        <w:tabs>
                          <w:tab w:val="left" w:pos="945"/>
                          <w:tab w:val="left" w:pos="946"/>
                        </w:tabs>
                        <w:spacing w:after="45"/>
                        <w:ind w:left="864" w:hanging="360"/>
                        <w:rPr>
                          <w:i/>
                          <w:sz w:val="18"/>
                          <w:szCs w:val="18"/>
                        </w:rPr>
                      </w:pPr>
                      <w:r w:rsidRPr="00890B62">
                        <w:rPr>
                          <w:i/>
                          <w:sz w:val="18"/>
                          <w:szCs w:val="18"/>
                        </w:rPr>
                        <w:t>A separate evidence form is required for each component measure unless several components were studied</w:t>
                      </w:r>
                      <w:r w:rsidRPr="00890B62">
                        <w:rPr>
                          <w:i/>
                          <w:spacing w:val="-2"/>
                          <w:sz w:val="18"/>
                          <w:szCs w:val="18"/>
                        </w:rPr>
                        <w:t xml:space="preserve"> </w:t>
                      </w:r>
                      <w:r w:rsidRPr="00890B62">
                        <w:rPr>
                          <w:i/>
                          <w:sz w:val="18"/>
                          <w:szCs w:val="18"/>
                        </w:rPr>
                        <w:t>together.</w:t>
                      </w:r>
                    </w:p>
                    <w:p w14:paraId="369656F6" w14:textId="77777777" w:rsidR="00D66D3F" w:rsidRPr="00890B62" w:rsidRDefault="00D66D3F" w:rsidP="00C122E3">
                      <w:pPr>
                        <w:numPr>
                          <w:ilvl w:val="1"/>
                          <w:numId w:val="7"/>
                        </w:numPr>
                        <w:tabs>
                          <w:tab w:val="left" w:pos="945"/>
                          <w:tab w:val="left" w:pos="946"/>
                        </w:tabs>
                        <w:spacing w:after="45"/>
                        <w:ind w:left="864" w:hanging="360"/>
                        <w:rPr>
                          <w:i/>
                          <w:sz w:val="18"/>
                          <w:szCs w:val="18"/>
                        </w:rPr>
                      </w:pPr>
                      <w:r w:rsidRPr="00890B62">
                        <w:rPr>
                          <w:i/>
                          <w:sz w:val="18"/>
                          <w:szCs w:val="18"/>
                        </w:rPr>
                        <w:t>If a component measure is submitted as an individual performance measure, attach the evidence form to the individual measure</w:t>
                      </w:r>
                      <w:r w:rsidRPr="00890B62">
                        <w:rPr>
                          <w:i/>
                          <w:spacing w:val="-3"/>
                          <w:sz w:val="18"/>
                          <w:szCs w:val="18"/>
                        </w:rPr>
                        <w:t xml:space="preserve"> </w:t>
                      </w:r>
                      <w:r w:rsidRPr="00890B62">
                        <w:rPr>
                          <w:i/>
                          <w:sz w:val="18"/>
                          <w:szCs w:val="18"/>
                        </w:rPr>
                        <w:t>submission.</w:t>
                      </w:r>
                    </w:p>
                    <w:p w14:paraId="4092E3C0"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 xml:space="preserve">All information needed to demonstrate meeting the evidence subcriterion (1a) must be in this form. An appendix of </w:t>
                      </w:r>
                      <w:r w:rsidRPr="00890B62">
                        <w:rPr>
                          <w:i/>
                          <w:sz w:val="18"/>
                          <w:szCs w:val="18"/>
                        </w:rPr>
                        <w:t xml:space="preserve">supplemental </w:t>
                      </w:r>
                      <w:r w:rsidRPr="00890B62">
                        <w:rPr>
                          <w:sz w:val="18"/>
                          <w:szCs w:val="18"/>
                        </w:rPr>
                        <w:t>materials may be submitted, but there is no guarantee it will be</w:t>
                      </w:r>
                      <w:r w:rsidRPr="00890B62">
                        <w:rPr>
                          <w:spacing w:val="-27"/>
                          <w:sz w:val="18"/>
                          <w:szCs w:val="18"/>
                        </w:rPr>
                        <w:t xml:space="preserve"> </w:t>
                      </w:r>
                      <w:r w:rsidRPr="00890B62">
                        <w:rPr>
                          <w:sz w:val="18"/>
                          <w:szCs w:val="18"/>
                        </w:rPr>
                        <w:t>reviewed.</w:t>
                      </w:r>
                    </w:p>
                    <w:p w14:paraId="5E38020F"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If you are unable to check a box, please highlight or shade the box for your</w:t>
                      </w:r>
                      <w:r w:rsidRPr="00890B62">
                        <w:rPr>
                          <w:spacing w:val="-15"/>
                          <w:sz w:val="18"/>
                          <w:szCs w:val="18"/>
                        </w:rPr>
                        <w:t xml:space="preserve"> </w:t>
                      </w:r>
                      <w:r w:rsidRPr="00890B62">
                        <w:rPr>
                          <w:sz w:val="18"/>
                          <w:szCs w:val="18"/>
                        </w:rPr>
                        <w:t>response.</w:t>
                      </w:r>
                    </w:p>
                    <w:p w14:paraId="25B3D3F7" w14:textId="77777777" w:rsidR="00D66D3F" w:rsidRPr="00890B62" w:rsidRDefault="00D66D3F" w:rsidP="00C122E3">
                      <w:pPr>
                        <w:numPr>
                          <w:ilvl w:val="0"/>
                          <w:numId w:val="7"/>
                        </w:numPr>
                        <w:tabs>
                          <w:tab w:val="left" w:pos="463"/>
                          <w:tab w:val="left" w:pos="464"/>
                        </w:tabs>
                        <w:spacing w:after="45"/>
                        <w:ind w:left="504" w:hanging="360"/>
                        <w:rPr>
                          <w:sz w:val="18"/>
                          <w:szCs w:val="18"/>
                        </w:rPr>
                      </w:pPr>
                      <w:r w:rsidRPr="00890B62">
                        <w:rPr>
                          <w:sz w:val="18"/>
                          <w:szCs w:val="18"/>
                        </w:rPr>
                        <w:t>Contact NQF staff regarding questions. Check for resources at</w:t>
                      </w:r>
                      <w:r w:rsidRPr="00890B62">
                        <w:rPr>
                          <w:color w:val="0000FF"/>
                          <w:sz w:val="18"/>
                          <w:szCs w:val="18"/>
                        </w:rPr>
                        <w:t xml:space="preserve"> </w:t>
                      </w:r>
                      <w:hyperlink r:id="rId12">
                        <w:r w:rsidRPr="00890B62">
                          <w:rPr>
                            <w:color w:val="0000FF"/>
                            <w:sz w:val="18"/>
                            <w:szCs w:val="18"/>
                            <w:u w:val="single" w:color="0000FF"/>
                          </w:rPr>
                          <w:t>Submitting Standards</w:t>
                        </w:r>
                        <w:r w:rsidRPr="00890B62">
                          <w:rPr>
                            <w:color w:val="0000FF"/>
                            <w:spacing w:val="-15"/>
                            <w:sz w:val="18"/>
                            <w:szCs w:val="18"/>
                            <w:u w:val="single" w:color="0000FF"/>
                          </w:rPr>
                          <w:t xml:space="preserve"> </w:t>
                        </w:r>
                        <w:r w:rsidRPr="00890B62">
                          <w:rPr>
                            <w:color w:val="0000FF"/>
                            <w:sz w:val="18"/>
                            <w:szCs w:val="18"/>
                            <w:u w:val="single" w:color="0000FF"/>
                          </w:rPr>
                          <w:t>webpage</w:t>
                        </w:r>
                        <w:r w:rsidRPr="00890B62">
                          <w:rPr>
                            <w:sz w:val="18"/>
                            <w:szCs w:val="18"/>
                          </w:rPr>
                          <w:t>.</w:t>
                        </w:r>
                      </w:hyperlink>
                    </w:p>
                  </w:txbxContent>
                </v:textbox>
                <w10:anchorlock/>
              </v:shape>
            </w:pict>
          </mc:Fallback>
        </mc:AlternateContent>
      </w:r>
    </w:p>
    <w:p w14:paraId="248112D7" w14:textId="3FD28DA8" w:rsidR="00CF5137" w:rsidRDefault="00A54141" w:rsidP="00890B62">
      <w:pPr>
        <w:rPr>
          <w:b/>
        </w:rPr>
      </w:pPr>
      <w:r>
        <w:rPr>
          <w:noProof/>
          <w:lang w:bidi="ar-SA"/>
        </w:rPr>
        <mc:AlternateContent>
          <mc:Choice Requires="wps">
            <w:drawing>
              <wp:inline distT="0" distB="0" distL="0" distR="0" wp14:anchorId="40D44514" wp14:editId="6728F2F1">
                <wp:extent cx="6858000" cy="4457700"/>
                <wp:effectExtent l="0" t="0" r="19050"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4577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392EE8" w14:textId="02520C5B" w:rsidR="00D66D3F" w:rsidRPr="00780EA0" w:rsidRDefault="00D66D3F" w:rsidP="00C122E3">
                            <w:pPr>
                              <w:spacing w:after="45"/>
                              <w:ind w:left="144"/>
                              <w:rPr>
                                <w:sz w:val="18"/>
                                <w:szCs w:val="18"/>
                              </w:rPr>
                            </w:pPr>
                            <w:r>
                              <w:rPr>
                                <w:b/>
                                <w:i/>
                                <w:sz w:val="18"/>
                                <w:szCs w:val="18"/>
                              </w:rPr>
                              <w:t>N</w:t>
                            </w:r>
                            <w:r w:rsidRPr="00890B62">
                              <w:rPr>
                                <w:b/>
                                <w:i/>
                                <w:sz w:val="18"/>
                                <w:szCs w:val="18"/>
                              </w:rPr>
                              <w:t>ote:</w:t>
                            </w:r>
                            <w:r w:rsidRPr="00780EA0">
                              <w:rPr>
                                <w:sz w:val="18"/>
                                <w:szCs w:val="18"/>
                              </w:rPr>
                              <w:t xml:space="preserve"> </w:t>
                            </w:r>
                            <w:r w:rsidRPr="00890B62">
                              <w:rPr>
                                <w:b/>
                                <w:sz w:val="18"/>
                                <w:szCs w:val="18"/>
                              </w:rPr>
                              <w:t>The information provided in this form is intended to aid the Standing Committee and other stakeholders in understanding to what degree the evidence for this measure meets NQF’s evaluation criteria.</w:t>
                            </w:r>
                          </w:p>
                          <w:p w14:paraId="1814E44E" w14:textId="77777777" w:rsidR="00D66D3F" w:rsidRPr="00890B62" w:rsidRDefault="00D66D3F" w:rsidP="00C122E3">
                            <w:pPr>
                              <w:spacing w:after="45"/>
                              <w:ind w:left="504" w:hanging="360"/>
                              <w:rPr>
                                <w:b/>
                                <w:sz w:val="18"/>
                                <w:szCs w:val="18"/>
                              </w:rPr>
                            </w:pPr>
                            <w:r w:rsidRPr="00890B62">
                              <w:rPr>
                                <w:b/>
                                <w:sz w:val="18"/>
                                <w:szCs w:val="18"/>
                              </w:rPr>
                              <w:t>1a. Evidence to Support the Measure Focus</w:t>
                            </w:r>
                          </w:p>
                          <w:p w14:paraId="7487381C" w14:textId="77777777" w:rsidR="00D66D3F" w:rsidRPr="00780EA0" w:rsidRDefault="00D66D3F" w:rsidP="00C122E3">
                            <w:pPr>
                              <w:spacing w:after="45"/>
                              <w:ind w:left="504" w:hanging="360"/>
                              <w:rPr>
                                <w:sz w:val="18"/>
                                <w:szCs w:val="18"/>
                              </w:rPr>
                            </w:pPr>
                            <w:r w:rsidRPr="00780EA0">
                              <w:rPr>
                                <w:sz w:val="18"/>
                                <w:szCs w:val="18"/>
                              </w:rPr>
                              <w:t>The measure focus is evidence-based, demonstrated as follows:</w:t>
                            </w:r>
                          </w:p>
                          <w:p w14:paraId="028077B9" w14:textId="4DCBBEB8" w:rsidR="00D66D3F" w:rsidRPr="00DF2A7D" w:rsidRDefault="00D66D3F" w:rsidP="00C122E3">
                            <w:pPr>
                              <w:pStyle w:val="ListParagraph"/>
                              <w:numPr>
                                <w:ilvl w:val="0"/>
                                <w:numId w:val="15"/>
                              </w:numPr>
                              <w:spacing w:after="45"/>
                              <w:rPr>
                                <w:sz w:val="18"/>
                                <w:szCs w:val="18"/>
                              </w:rPr>
                            </w:pPr>
                            <w:r w:rsidRPr="00DF2A7D">
                              <w:rPr>
                                <w:i/>
                                <w:sz w:val="18"/>
                                <w:szCs w:val="18"/>
                              </w:rPr>
                              <w:t>Outcome:</w:t>
                            </w:r>
                            <w:r w:rsidRPr="00DF2A7D">
                              <w:rPr>
                                <w:sz w:val="18"/>
                                <w:szCs w:val="18"/>
                              </w:rPr>
                              <w:t xml:space="preserve"> 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w:t>
                            </w:r>
                          </w:p>
                          <w:p w14:paraId="157D96E7" w14:textId="32F98A04" w:rsidR="00D66D3F" w:rsidRPr="00DF2A7D" w:rsidRDefault="00D66D3F" w:rsidP="00C122E3">
                            <w:pPr>
                              <w:pStyle w:val="ListParagraph"/>
                              <w:numPr>
                                <w:ilvl w:val="0"/>
                                <w:numId w:val="15"/>
                              </w:numPr>
                              <w:spacing w:after="45"/>
                              <w:rPr>
                                <w:sz w:val="18"/>
                                <w:szCs w:val="18"/>
                              </w:rPr>
                            </w:pPr>
                            <w:r w:rsidRPr="00DF2A7D">
                              <w:rPr>
                                <w:i/>
                                <w:sz w:val="18"/>
                                <w:szCs w:val="18"/>
                              </w:rPr>
                              <w:t>Intermediate clinical outcome:</w:t>
                            </w:r>
                            <w:r w:rsidRPr="00DF2A7D">
                              <w:rPr>
                                <w:sz w:val="18"/>
                                <w:szCs w:val="18"/>
                              </w:rPr>
                              <w:t xml:space="preserve"> a systematic assessment and grading of the quantity, quality, and consistency of the body of evidence 4 that the measured intermediate clinical outcome leads to a desired health outcome.</w:t>
                            </w:r>
                          </w:p>
                          <w:p w14:paraId="0E12D339" w14:textId="4C2CF683" w:rsidR="00D66D3F" w:rsidRPr="00DF2A7D" w:rsidRDefault="00D66D3F" w:rsidP="00C122E3">
                            <w:pPr>
                              <w:pStyle w:val="ListParagraph"/>
                              <w:numPr>
                                <w:ilvl w:val="0"/>
                                <w:numId w:val="15"/>
                              </w:numPr>
                              <w:spacing w:after="45"/>
                              <w:rPr>
                                <w:sz w:val="18"/>
                                <w:szCs w:val="18"/>
                              </w:rPr>
                            </w:pPr>
                            <w:r w:rsidRPr="00DF2A7D">
                              <w:rPr>
                                <w:i/>
                                <w:sz w:val="18"/>
                                <w:szCs w:val="18"/>
                              </w:rPr>
                              <w:t>Process:</w:t>
                            </w:r>
                            <w:r w:rsidRPr="00DF2A7D">
                              <w:rPr>
                                <w:sz w:val="18"/>
                                <w:szCs w:val="18"/>
                              </w:rPr>
                              <w:t xml:space="preserve"> a systematic assessment and grading of the quantity, quality, and consi</w:t>
                            </w:r>
                            <w:r>
                              <w:rPr>
                                <w:sz w:val="18"/>
                                <w:szCs w:val="18"/>
                              </w:rPr>
                              <w:t>stency of the body of evidence</w:t>
                            </w:r>
                            <w:r w:rsidRPr="00DF2A7D">
                              <w:rPr>
                                <w:sz w:val="18"/>
                                <w:szCs w:val="18"/>
                              </w:rPr>
                              <w:t xml:space="preserve"> that the measured process leads to a desired health outcome.</w:t>
                            </w:r>
                          </w:p>
                          <w:p w14:paraId="033DD7C6" w14:textId="545BF405" w:rsidR="00D66D3F" w:rsidRPr="00DF2A7D" w:rsidRDefault="00D66D3F" w:rsidP="00C122E3">
                            <w:pPr>
                              <w:pStyle w:val="ListParagraph"/>
                              <w:numPr>
                                <w:ilvl w:val="0"/>
                                <w:numId w:val="15"/>
                              </w:numPr>
                              <w:spacing w:after="45"/>
                              <w:rPr>
                                <w:sz w:val="18"/>
                                <w:szCs w:val="18"/>
                              </w:rPr>
                            </w:pPr>
                            <w:r w:rsidRPr="00DF2A7D">
                              <w:rPr>
                                <w:i/>
                                <w:sz w:val="18"/>
                                <w:szCs w:val="18"/>
                              </w:rPr>
                              <w:t>Structure:</w:t>
                            </w:r>
                            <w:r w:rsidRPr="00DF2A7D">
                              <w:rPr>
                                <w:sz w:val="18"/>
                                <w:szCs w:val="18"/>
                              </w:rPr>
                              <w:t xml:space="preserve"> a systematic assessment and grading of the quantity, quality, and consi</w:t>
                            </w:r>
                            <w:r>
                              <w:rPr>
                                <w:sz w:val="18"/>
                                <w:szCs w:val="18"/>
                              </w:rPr>
                              <w:t>stency of the body of evidence</w:t>
                            </w:r>
                            <w:r w:rsidRPr="00DF2A7D">
                              <w:rPr>
                                <w:sz w:val="18"/>
                                <w:szCs w:val="18"/>
                              </w:rPr>
                              <w:t xml:space="preserve"> that the measured structure leads to a desired health outcome.</w:t>
                            </w:r>
                          </w:p>
                          <w:p w14:paraId="768B84E4" w14:textId="1E48B189" w:rsidR="00D66D3F" w:rsidRPr="00DF2A7D" w:rsidRDefault="00D66D3F" w:rsidP="00C122E3">
                            <w:pPr>
                              <w:pStyle w:val="ListParagraph"/>
                              <w:numPr>
                                <w:ilvl w:val="0"/>
                                <w:numId w:val="15"/>
                              </w:numPr>
                              <w:spacing w:after="45"/>
                              <w:rPr>
                                <w:sz w:val="18"/>
                                <w:szCs w:val="18"/>
                              </w:rPr>
                            </w:pPr>
                            <w:r w:rsidRPr="00DF2A7D">
                              <w:rPr>
                                <w:i/>
                                <w:sz w:val="18"/>
                                <w:szCs w:val="18"/>
                              </w:rPr>
                              <w:t>Efficiency:</w:t>
                            </w:r>
                            <w:r w:rsidRPr="00DF2A7D">
                              <w:rPr>
                                <w:sz w:val="18"/>
                                <w:szCs w:val="18"/>
                              </w:rPr>
                              <w:t xml:space="preserve"> evidence not required for the resource use component.</w:t>
                            </w:r>
                          </w:p>
                          <w:p w14:paraId="61762759" w14:textId="0184A952" w:rsidR="00D66D3F" w:rsidRPr="00DF2A7D" w:rsidRDefault="00D66D3F" w:rsidP="00C122E3">
                            <w:pPr>
                              <w:pStyle w:val="ListParagraph"/>
                              <w:numPr>
                                <w:ilvl w:val="1"/>
                                <w:numId w:val="15"/>
                              </w:numPr>
                              <w:spacing w:after="45"/>
                              <w:ind w:left="864"/>
                              <w:rPr>
                                <w:sz w:val="18"/>
                                <w:szCs w:val="18"/>
                              </w:rPr>
                            </w:pPr>
                            <w:r w:rsidRPr="00DF2A7D">
                              <w:rPr>
                                <w:sz w:val="18"/>
                                <w:szCs w:val="18"/>
                              </w:rPr>
                              <w:t>For measures derived from patient reports, evidence should demonstrate that the target population values the measured outcome, process, or structure and finds it meaningful.</w:t>
                            </w:r>
                          </w:p>
                          <w:p w14:paraId="0CD0704E" w14:textId="0B74D5E5" w:rsidR="00D66D3F" w:rsidRPr="00DF2A7D" w:rsidRDefault="00D66D3F" w:rsidP="00C122E3">
                            <w:pPr>
                              <w:pStyle w:val="ListParagraph"/>
                              <w:numPr>
                                <w:ilvl w:val="0"/>
                                <w:numId w:val="15"/>
                              </w:numPr>
                              <w:spacing w:after="90"/>
                              <w:rPr>
                                <w:sz w:val="18"/>
                                <w:szCs w:val="18"/>
                              </w:rPr>
                            </w:pPr>
                            <w:r w:rsidRPr="00DF2A7D">
                              <w:rPr>
                                <w:i/>
                                <w:sz w:val="18"/>
                                <w:szCs w:val="18"/>
                              </w:rPr>
                              <w:t>Process measures incorporating Appropriate Use Criteria:</w:t>
                            </w:r>
                            <w:r w:rsidRPr="00DF2A7D">
                              <w:rPr>
                                <w:sz w:val="18"/>
                                <w:szCs w:val="18"/>
                              </w:rPr>
                              <w:t xml:space="preserve"> See NQF’s guidance for evidence for measures, in general; guidance for measures specifically based on clinical practice guidelines apply as well.</w:t>
                            </w:r>
                          </w:p>
                          <w:p w14:paraId="14204397" w14:textId="77777777" w:rsidR="00D66D3F" w:rsidRPr="00DF2A7D" w:rsidRDefault="00D66D3F" w:rsidP="00C122E3">
                            <w:pPr>
                              <w:spacing w:after="45"/>
                              <w:ind w:left="504" w:hanging="360"/>
                              <w:rPr>
                                <w:b/>
                                <w:sz w:val="18"/>
                                <w:szCs w:val="18"/>
                              </w:rPr>
                            </w:pPr>
                            <w:r w:rsidRPr="00DF2A7D">
                              <w:rPr>
                                <w:b/>
                                <w:sz w:val="18"/>
                                <w:szCs w:val="18"/>
                              </w:rPr>
                              <w:t>Notes</w:t>
                            </w:r>
                          </w:p>
                          <w:p w14:paraId="34CDBCA4" w14:textId="570E39AD" w:rsidR="00D66D3F" w:rsidRPr="00AA6EE5" w:rsidRDefault="00D66D3F" w:rsidP="00C122E3">
                            <w:pPr>
                              <w:pStyle w:val="ListParagraph"/>
                              <w:numPr>
                                <w:ilvl w:val="0"/>
                                <w:numId w:val="16"/>
                              </w:numPr>
                              <w:spacing w:after="45"/>
                              <w:ind w:left="504"/>
                              <w:rPr>
                                <w:sz w:val="18"/>
                                <w:szCs w:val="18"/>
                              </w:rPr>
                            </w:pPr>
                            <w:r w:rsidRPr="00AA6EE5">
                              <w:rPr>
                                <w:sz w:val="18"/>
                                <w:szCs w:val="18"/>
                              </w:rPr>
                              <w:t>Generally, rare event outcomes do not provide adequate information for improvement or discrimination; however, serious reportable events that are compared to zero are appropriate outcomes for public reporting and quality improvement.</w:t>
                            </w:r>
                          </w:p>
                          <w:p w14:paraId="53CAAFAD" w14:textId="480E81A3" w:rsidR="00D66D3F" w:rsidRPr="00AA6EE5" w:rsidRDefault="00D66D3F" w:rsidP="00C122E3">
                            <w:pPr>
                              <w:pStyle w:val="ListParagraph"/>
                              <w:numPr>
                                <w:ilvl w:val="0"/>
                                <w:numId w:val="16"/>
                              </w:numPr>
                              <w:ind w:left="504"/>
                              <w:rPr>
                                <w:sz w:val="18"/>
                                <w:szCs w:val="18"/>
                              </w:rPr>
                            </w:pPr>
                            <w:r w:rsidRPr="00AA6EE5">
                              <w:rPr>
                                <w:sz w:val="18"/>
                                <w:szCs w:val="18"/>
                              </w:rPr>
                              <w:t>The preferred systems for grading the evidence are the Grading of Recommendations, Assessment, Development and Evaluation (GRADE) guidelines and/or modified GRADE.</w:t>
                            </w:r>
                          </w:p>
                          <w:p w14:paraId="21C2605C" w14:textId="77777777" w:rsidR="00D66D3F" w:rsidRPr="00780EA0" w:rsidRDefault="00D66D3F" w:rsidP="00C122E3">
                            <w:pPr>
                              <w:spacing w:after="45"/>
                              <w:ind w:left="504"/>
                              <w:rPr>
                                <w:sz w:val="18"/>
                                <w:szCs w:val="18"/>
                              </w:rPr>
                            </w:pPr>
                            <w:r w:rsidRPr="00780EA0">
                              <w:rPr>
                                <w:sz w:val="18"/>
                                <w:szCs w:val="18"/>
                              </w:rPr>
                              <w:t xml:space="preserve">Clinical care processes typically include multiple steps: assess </w:t>
                            </w:r>
                            <w:r w:rsidRPr="00780EA0">
                              <w:rPr>
                                <w:sz w:val="18"/>
                                <w:szCs w:val="18"/>
                              </w:rPr>
                              <w:t xml:space="preserve"> identify problem/potential problem </w:t>
                            </w:r>
                            <w:r w:rsidRPr="00780EA0">
                              <w:rPr>
                                <w:sz w:val="18"/>
                                <w:szCs w:val="18"/>
                              </w:rPr>
                              <w:t xml:space="preserve"> choose/plan intervention (with patient input) </w:t>
                            </w:r>
                            <w:r w:rsidRPr="00780EA0">
                              <w:rPr>
                                <w:sz w:val="18"/>
                                <w:szCs w:val="18"/>
                              </w:rPr>
                              <w:t xml:space="preserve"> provide intervention </w:t>
                            </w:r>
                            <w:r w:rsidRPr="00780EA0">
                              <w:rPr>
                                <w:sz w:val="18"/>
                                <w:szCs w:val="18"/>
                              </w:rPr>
                              <w:t>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7994E83" w14:textId="78495125" w:rsidR="00D66D3F" w:rsidRPr="00AA6EE5" w:rsidRDefault="00D66D3F" w:rsidP="00C122E3">
                            <w:pPr>
                              <w:pStyle w:val="ListParagraph"/>
                              <w:numPr>
                                <w:ilvl w:val="0"/>
                                <w:numId w:val="17"/>
                              </w:numPr>
                              <w:spacing w:after="45"/>
                              <w:ind w:left="504"/>
                              <w:rPr>
                                <w:sz w:val="18"/>
                                <w:szCs w:val="18"/>
                              </w:rPr>
                            </w:pPr>
                            <w:r w:rsidRPr="00AA6EE5">
                              <w:rPr>
                                <w:sz w:val="18"/>
                                <w:szCs w:val="18"/>
                              </w:rPr>
                              <w:t>Measures of efficiency combine the concepts of resource use and quality (see NQF’s Measurement Framework: Evaluating Efficiency Across Episodes of Care; AQA Principles of Efficiency Measures).</w:t>
                            </w:r>
                          </w:p>
                        </w:txbxContent>
                      </wps:txbx>
                      <wps:bodyPr rot="0" vert="horz" wrap="square" lIns="0" tIns="0" rIns="0" bIns="0" anchor="t" anchorCtr="0" upright="1">
                        <a:noAutofit/>
                      </wps:bodyPr>
                    </wps:wsp>
                  </a:graphicData>
                </a:graphic>
              </wp:inline>
            </w:drawing>
          </mc:Choice>
          <mc:Fallback>
            <w:pict>
              <v:shape w14:anchorId="40D44514" id="Text Box 40" o:spid="_x0000_s1027" type="#_x0000_t202" style="width:540pt;height:3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" filled="f" strokeweight=".48pt">
                <v:textbox inset="0,0,0,0">
                  <w:txbxContent>
                    <w:p w14:paraId="1F392EE8" w14:textId="02520C5B" w:rsidR="00D66D3F" w:rsidRPr="00780EA0" w:rsidRDefault="00D66D3F" w:rsidP="00C122E3">
                      <w:pPr>
                        <w:spacing w:after="45"/>
                        <w:ind w:left="144"/>
                        <w:rPr>
                          <w:sz w:val="18"/>
                          <w:szCs w:val="18"/>
                        </w:rPr>
                      </w:pPr>
                      <w:r>
                        <w:rPr>
                          <w:b/>
                          <w:i/>
                          <w:sz w:val="18"/>
                          <w:szCs w:val="18"/>
                        </w:rPr>
                        <w:t>N</w:t>
                      </w:r>
                      <w:r w:rsidRPr="00890B62">
                        <w:rPr>
                          <w:b/>
                          <w:i/>
                          <w:sz w:val="18"/>
                          <w:szCs w:val="18"/>
                        </w:rPr>
                        <w:t>ote:</w:t>
                      </w:r>
                      <w:r w:rsidRPr="00780EA0">
                        <w:rPr>
                          <w:sz w:val="18"/>
                          <w:szCs w:val="18"/>
                        </w:rPr>
                        <w:t xml:space="preserve"> </w:t>
                      </w:r>
                      <w:r w:rsidRPr="00890B62">
                        <w:rPr>
                          <w:b/>
                          <w:sz w:val="18"/>
                          <w:szCs w:val="18"/>
                        </w:rPr>
                        <w:t>The information provided in this form is intended to aid the Standing Committee and other stakeholders in understanding to what degree the evidence for this measure meets NQF’s evaluation criteria.</w:t>
                      </w:r>
                    </w:p>
                    <w:p w14:paraId="1814E44E" w14:textId="77777777" w:rsidR="00D66D3F" w:rsidRPr="00890B62" w:rsidRDefault="00D66D3F" w:rsidP="00C122E3">
                      <w:pPr>
                        <w:spacing w:after="45"/>
                        <w:ind w:left="504" w:hanging="360"/>
                        <w:rPr>
                          <w:b/>
                          <w:sz w:val="18"/>
                          <w:szCs w:val="18"/>
                        </w:rPr>
                      </w:pPr>
                      <w:r w:rsidRPr="00890B62">
                        <w:rPr>
                          <w:b/>
                          <w:sz w:val="18"/>
                          <w:szCs w:val="18"/>
                        </w:rPr>
                        <w:t>1a. Evidence to Support the Measure Focus</w:t>
                      </w:r>
                    </w:p>
                    <w:p w14:paraId="7487381C" w14:textId="77777777" w:rsidR="00D66D3F" w:rsidRPr="00780EA0" w:rsidRDefault="00D66D3F" w:rsidP="00C122E3">
                      <w:pPr>
                        <w:spacing w:after="45"/>
                        <w:ind w:left="504" w:hanging="360"/>
                        <w:rPr>
                          <w:sz w:val="18"/>
                          <w:szCs w:val="18"/>
                        </w:rPr>
                      </w:pPr>
                      <w:r w:rsidRPr="00780EA0">
                        <w:rPr>
                          <w:sz w:val="18"/>
                          <w:szCs w:val="18"/>
                        </w:rPr>
                        <w:t>The measure focus is evidence-based, demonstrated as follows:</w:t>
                      </w:r>
                    </w:p>
                    <w:p w14:paraId="028077B9" w14:textId="4DCBBEB8" w:rsidR="00D66D3F" w:rsidRPr="00DF2A7D" w:rsidRDefault="00D66D3F" w:rsidP="00C122E3">
                      <w:pPr>
                        <w:pStyle w:val="ListParagraph"/>
                        <w:numPr>
                          <w:ilvl w:val="0"/>
                          <w:numId w:val="15"/>
                        </w:numPr>
                        <w:spacing w:after="45"/>
                        <w:rPr>
                          <w:sz w:val="18"/>
                          <w:szCs w:val="18"/>
                        </w:rPr>
                      </w:pPr>
                      <w:r w:rsidRPr="00DF2A7D">
                        <w:rPr>
                          <w:i/>
                          <w:sz w:val="18"/>
                          <w:szCs w:val="18"/>
                        </w:rPr>
                        <w:t>Outcome:</w:t>
                      </w:r>
                      <w:r w:rsidRPr="00DF2A7D">
                        <w:rPr>
                          <w:sz w:val="18"/>
                          <w:szCs w:val="18"/>
                        </w:rPr>
                        <w:t xml:space="preserve"> 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w:t>
                      </w:r>
                    </w:p>
                    <w:p w14:paraId="157D96E7" w14:textId="32F98A04" w:rsidR="00D66D3F" w:rsidRPr="00DF2A7D" w:rsidRDefault="00D66D3F" w:rsidP="00C122E3">
                      <w:pPr>
                        <w:pStyle w:val="ListParagraph"/>
                        <w:numPr>
                          <w:ilvl w:val="0"/>
                          <w:numId w:val="15"/>
                        </w:numPr>
                        <w:spacing w:after="45"/>
                        <w:rPr>
                          <w:sz w:val="18"/>
                          <w:szCs w:val="18"/>
                        </w:rPr>
                      </w:pPr>
                      <w:r w:rsidRPr="00DF2A7D">
                        <w:rPr>
                          <w:i/>
                          <w:sz w:val="18"/>
                          <w:szCs w:val="18"/>
                        </w:rPr>
                        <w:t>Intermediate clinical outcome:</w:t>
                      </w:r>
                      <w:r w:rsidRPr="00DF2A7D">
                        <w:rPr>
                          <w:sz w:val="18"/>
                          <w:szCs w:val="18"/>
                        </w:rPr>
                        <w:t xml:space="preserve"> a systematic assessment and grading of the quantity, quality, and consistency of the body of evidence 4 that the measured intermediate clinical outcome leads to a desired health outcome.</w:t>
                      </w:r>
                    </w:p>
                    <w:p w14:paraId="0E12D339" w14:textId="4C2CF683" w:rsidR="00D66D3F" w:rsidRPr="00DF2A7D" w:rsidRDefault="00D66D3F" w:rsidP="00C122E3">
                      <w:pPr>
                        <w:pStyle w:val="ListParagraph"/>
                        <w:numPr>
                          <w:ilvl w:val="0"/>
                          <w:numId w:val="15"/>
                        </w:numPr>
                        <w:spacing w:after="45"/>
                        <w:rPr>
                          <w:sz w:val="18"/>
                          <w:szCs w:val="18"/>
                        </w:rPr>
                      </w:pPr>
                      <w:r w:rsidRPr="00DF2A7D">
                        <w:rPr>
                          <w:i/>
                          <w:sz w:val="18"/>
                          <w:szCs w:val="18"/>
                        </w:rPr>
                        <w:t>Process:</w:t>
                      </w:r>
                      <w:r w:rsidRPr="00DF2A7D">
                        <w:rPr>
                          <w:sz w:val="18"/>
                          <w:szCs w:val="18"/>
                        </w:rPr>
                        <w:t xml:space="preserve"> a systematic assessment and grading of the quantity, quality, and consi</w:t>
                      </w:r>
                      <w:r>
                        <w:rPr>
                          <w:sz w:val="18"/>
                          <w:szCs w:val="18"/>
                        </w:rPr>
                        <w:t>stency of the body of evidence</w:t>
                      </w:r>
                      <w:r w:rsidRPr="00DF2A7D">
                        <w:rPr>
                          <w:sz w:val="18"/>
                          <w:szCs w:val="18"/>
                        </w:rPr>
                        <w:t xml:space="preserve"> that the measured process leads to a desired health outcome.</w:t>
                      </w:r>
                    </w:p>
                    <w:p w14:paraId="033DD7C6" w14:textId="545BF405" w:rsidR="00D66D3F" w:rsidRPr="00DF2A7D" w:rsidRDefault="00D66D3F" w:rsidP="00C122E3">
                      <w:pPr>
                        <w:pStyle w:val="ListParagraph"/>
                        <w:numPr>
                          <w:ilvl w:val="0"/>
                          <w:numId w:val="15"/>
                        </w:numPr>
                        <w:spacing w:after="45"/>
                        <w:rPr>
                          <w:sz w:val="18"/>
                          <w:szCs w:val="18"/>
                        </w:rPr>
                      </w:pPr>
                      <w:r w:rsidRPr="00DF2A7D">
                        <w:rPr>
                          <w:i/>
                          <w:sz w:val="18"/>
                          <w:szCs w:val="18"/>
                        </w:rPr>
                        <w:t>Structure:</w:t>
                      </w:r>
                      <w:r w:rsidRPr="00DF2A7D">
                        <w:rPr>
                          <w:sz w:val="18"/>
                          <w:szCs w:val="18"/>
                        </w:rPr>
                        <w:t xml:space="preserve"> a systematic assessment and grading of the quantity, quality, and consi</w:t>
                      </w:r>
                      <w:r>
                        <w:rPr>
                          <w:sz w:val="18"/>
                          <w:szCs w:val="18"/>
                        </w:rPr>
                        <w:t>stency of the body of evidence</w:t>
                      </w:r>
                      <w:r w:rsidRPr="00DF2A7D">
                        <w:rPr>
                          <w:sz w:val="18"/>
                          <w:szCs w:val="18"/>
                        </w:rPr>
                        <w:t xml:space="preserve"> that the measured structure leads to a desired health outcome.</w:t>
                      </w:r>
                    </w:p>
                    <w:p w14:paraId="768B84E4" w14:textId="1E48B189" w:rsidR="00D66D3F" w:rsidRPr="00DF2A7D" w:rsidRDefault="00D66D3F" w:rsidP="00C122E3">
                      <w:pPr>
                        <w:pStyle w:val="ListParagraph"/>
                        <w:numPr>
                          <w:ilvl w:val="0"/>
                          <w:numId w:val="15"/>
                        </w:numPr>
                        <w:spacing w:after="45"/>
                        <w:rPr>
                          <w:sz w:val="18"/>
                          <w:szCs w:val="18"/>
                        </w:rPr>
                      </w:pPr>
                      <w:r w:rsidRPr="00DF2A7D">
                        <w:rPr>
                          <w:i/>
                          <w:sz w:val="18"/>
                          <w:szCs w:val="18"/>
                        </w:rPr>
                        <w:t>Efficiency:</w:t>
                      </w:r>
                      <w:r w:rsidRPr="00DF2A7D">
                        <w:rPr>
                          <w:sz w:val="18"/>
                          <w:szCs w:val="18"/>
                        </w:rPr>
                        <w:t xml:space="preserve"> evidence not required for the resource use component.</w:t>
                      </w:r>
                    </w:p>
                    <w:p w14:paraId="61762759" w14:textId="0184A952" w:rsidR="00D66D3F" w:rsidRPr="00DF2A7D" w:rsidRDefault="00D66D3F" w:rsidP="00C122E3">
                      <w:pPr>
                        <w:pStyle w:val="ListParagraph"/>
                        <w:numPr>
                          <w:ilvl w:val="1"/>
                          <w:numId w:val="15"/>
                        </w:numPr>
                        <w:spacing w:after="45"/>
                        <w:ind w:left="864"/>
                        <w:rPr>
                          <w:sz w:val="18"/>
                          <w:szCs w:val="18"/>
                        </w:rPr>
                      </w:pPr>
                      <w:r w:rsidRPr="00DF2A7D">
                        <w:rPr>
                          <w:sz w:val="18"/>
                          <w:szCs w:val="18"/>
                        </w:rPr>
                        <w:t>For measures derived from patient reports, evidence should demonstrate that the target population values the measured outcome, process, or structure and finds it meaningful.</w:t>
                      </w:r>
                    </w:p>
                    <w:p w14:paraId="0CD0704E" w14:textId="0B74D5E5" w:rsidR="00D66D3F" w:rsidRPr="00DF2A7D" w:rsidRDefault="00D66D3F" w:rsidP="00C122E3">
                      <w:pPr>
                        <w:pStyle w:val="ListParagraph"/>
                        <w:numPr>
                          <w:ilvl w:val="0"/>
                          <w:numId w:val="15"/>
                        </w:numPr>
                        <w:spacing w:after="90"/>
                        <w:rPr>
                          <w:sz w:val="18"/>
                          <w:szCs w:val="18"/>
                        </w:rPr>
                      </w:pPr>
                      <w:r w:rsidRPr="00DF2A7D">
                        <w:rPr>
                          <w:i/>
                          <w:sz w:val="18"/>
                          <w:szCs w:val="18"/>
                        </w:rPr>
                        <w:t>Process measures incorporating Appropriate Use Criteria:</w:t>
                      </w:r>
                      <w:r w:rsidRPr="00DF2A7D">
                        <w:rPr>
                          <w:sz w:val="18"/>
                          <w:szCs w:val="18"/>
                        </w:rPr>
                        <w:t xml:space="preserve"> See NQF’s guidance for evidence for measures, in general; guidance for measures specifically based on clinical practice guidelines apply as well.</w:t>
                      </w:r>
                    </w:p>
                    <w:p w14:paraId="14204397" w14:textId="77777777" w:rsidR="00D66D3F" w:rsidRPr="00DF2A7D" w:rsidRDefault="00D66D3F" w:rsidP="00C122E3">
                      <w:pPr>
                        <w:spacing w:after="45"/>
                        <w:ind w:left="504" w:hanging="360"/>
                        <w:rPr>
                          <w:b/>
                          <w:sz w:val="18"/>
                          <w:szCs w:val="18"/>
                        </w:rPr>
                      </w:pPr>
                      <w:r w:rsidRPr="00DF2A7D">
                        <w:rPr>
                          <w:b/>
                          <w:sz w:val="18"/>
                          <w:szCs w:val="18"/>
                        </w:rPr>
                        <w:t>Notes</w:t>
                      </w:r>
                    </w:p>
                    <w:p w14:paraId="34CDBCA4" w14:textId="570E39AD" w:rsidR="00D66D3F" w:rsidRPr="00AA6EE5" w:rsidRDefault="00D66D3F" w:rsidP="00C122E3">
                      <w:pPr>
                        <w:pStyle w:val="ListParagraph"/>
                        <w:numPr>
                          <w:ilvl w:val="0"/>
                          <w:numId w:val="16"/>
                        </w:numPr>
                        <w:spacing w:after="45"/>
                        <w:ind w:left="504"/>
                        <w:rPr>
                          <w:sz w:val="18"/>
                          <w:szCs w:val="18"/>
                        </w:rPr>
                      </w:pPr>
                      <w:r w:rsidRPr="00AA6EE5">
                        <w:rPr>
                          <w:sz w:val="18"/>
                          <w:szCs w:val="18"/>
                        </w:rPr>
                        <w:t>Generally, rare event outcomes do not provide adequate information for improvement or discrimination; however, serious reportable events that are compared to zero are appropriate outcomes for public reporting and quality improvement.</w:t>
                      </w:r>
                    </w:p>
                    <w:p w14:paraId="53CAAFAD" w14:textId="480E81A3" w:rsidR="00D66D3F" w:rsidRPr="00AA6EE5" w:rsidRDefault="00D66D3F" w:rsidP="00C122E3">
                      <w:pPr>
                        <w:pStyle w:val="ListParagraph"/>
                        <w:numPr>
                          <w:ilvl w:val="0"/>
                          <w:numId w:val="16"/>
                        </w:numPr>
                        <w:ind w:left="504"/>
                        <w:rPr>
                          <w:sz w:val="18"/>
                          <w:szCs w:val="18"/>
                        </w:rPr>
                      </w:pPr>
                      <w:r w:rsidRPr="00AA6EE5">
                        <w:rPr>
                          <w:sz w:val="18"/>
                          <w:szCs w:val="18"/>
                        </w:rPr>
                        <w:t>The preferred systems for grading the evidence are the Grading of Recommendations, Assessment, Development and Evaluation (GRADE) guidelines and/or modified GRADE.</w:t>
                      </w:r>
                    </w:p>
                    <w:p w14:paraId="21C2605C" w14:textId="77777777" w:rsidR="00D66D3F" w:rsidRPr="00780EA0" w:rsidRDefault="00D66D3F" w:rsidP="00C122E3">
                      <w:pPr>
                        <w:spacing w:after="45"/>
                        <w:ind w:left="504"/>
                        <w:rPr>
                          <w:sz w:val="18"/>
                          <w:szCs w:val="18"/>
                        </w:rPr>
                      </w:pPr>
                      <w:r w:rsidRPr="00780EA0">
                        <w:rPr>
                          <w:sz w:val="18"/>
                          <w:szCs w:val="18"/>
                        </w:rPr>
                        <w:t xml:space="preserve">Clinical care processes typically include multiple steps: assess </w:t>
                      </w:r>
                      <w:r w:rsidRPr="00780EA0">
                        <w:rPr>
                          <w:sz w:val="18"/>
                          <w:szCs w:val="18"/>
                        </w:rPr>
                        <w:t xml:space="preserve"> identify problem/potential problem </w:t>
                      </w:r>
                      <w:r w:rsidRPr="00780EA0">
                        <w:rPr>
                          <w:sz w:val="18"/>
                          <w:szCs w:val="18"/>
                        </w:rPr>
                        <w:t xml:space="preserve"> choose/plan intervention (with patient input) </w:t>
                      </w:r>
                      <w:r w:rsidRPr="00780EA0">
                        <w:rPr>
                          <w:sz w:val="18"/>
                          <w:szCs w:val="18"/>
                        </w:rPr>
                        <w:t xml:space="preserve"> provide intervention </w:t>
                      </w:r>
                      <w:r w:rsidRPr="00780EA0">
                        <w:rPr>
                          <w:sz w:val="18"/>
                          <w:szCs w:val="18"/>
                        </w:rPr>
                        <w:t>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17994E83" w14:textId="78495125" w:rsidR="00D66D3F" w:rsidRPr="00AA6EE5" w:rsidRDefault="00D66D3F" w:rsidP="00C122E3">
                      <w:pPr>
                        <w:pStyle w:val="ListParagraph"/>
                        <w:numPr>
                          <w:ilvl w:val="0"/>
                          <w:numId w:val="17"/>
                        </w:numPr>
                        <w:spacing w:after="45"/>
                        <w:ind w:left="504"/>
                        <w:rPr>
                          <w:sz w:val="18"/>
                          <w:szCs w:val="18"/>
                        </w:rPr>
                      </w:pPr>
                      <w:r w:rsidRPr="00AA6EE5">
                        <w:rPr>
                          <w:sz w:val="18"/>
                          <w:szCs w:val="18"/>
                        </w:rPr>
                        <w:t>Measures of efficiency combine the concepts of resource use and quality (see NQF’s Measurement Framework: Evaluating Efficiency Across Episodes of Care; AQA Principles of Efficiency Measures).</w:t>
                      </w:r>
                    </w:p>
                  </w:txbxContent>
                </v:textbox>
                <w10:anchorlock/>
              </v:shape>
            </w:pict>
          </mc:Fallback>
        </mc:AlternateContent>
      </w:r>
    </w:p>
    <w:p w14:paraId="39F37ECE" w14:textId="5C3D3AFD" w:rsidR="00F44A21" w:rsidRDefault="00567702" w:rsidP="00315E8D">
      <w:pPr>
        <w:keepNext/>
        <w:pageBreakBefore/>
        <w:spacing w:after="110"/>
        <w:ind w:left="720" w:hanging="720"/>
        <w:jc w:val="both"/>
      </w:pPr>
      <w:r>
        <w:rPr>
          <w:b/>
        </w:rPr>
        <w:lastRenderedPageBreak/>
        <w:t>1a.1</w:t>
      </w:r>
      <w:r>
        <w:rPr>
          <w:b/>
        </w:rPr>
        <w:tab/>
      </w:r>
      <w:r w:rsidR="00FB19DA">
        <w:rPr>
          <w:b/>
        </w:rPr>
        <w:t>This is a measure of</w:t>
      </w:r>
      <w:r w:rsidR="00FB19DA">
        <w:t>: (</w:t>
      </w:r>
      <w:r w:rsidR="00FB19DA">
        <w:rPr>
          <w:i/>
        </w:rPr>
        <w:t>should be consistent with type of measure entered in De.1</w:t>
      </w:r>
      <w:r w:rsidR="00FB19DA">
        <w:t>) Outcome</w:t>
      </w:r>
    </w:p>
    <w:p w14:paraId="4D548950" w14:textId="77777777" w:rsidR="00F44A21" w:rsidRDefault="00FB19DA" w:rsidP="00315E8D">
      <w:pPr>
        <w:pStyle w:val="Heading2"/>
        <w:numPr>
          <w:ilvl w:val="1"/>
          <w:numId w:val="5"/>
        </w:numPr>
        <w:tabs>
          <w:tab w:val="left" w:pos="851"/>
        </w:tabs>
        <w:spacing w:after="110"/>
        <w:ind w:left="1080" w:hanging="360"/>
        <w:jc w:val="both"/>
      </w:pPr>
      <w:r>
        <w:t>Outcome: Click here to name the health</w:t>
      </w:r>
      <w:r>
        <w:rPr>
          <w:spacing w:val="-7"/>
        </w:rPr>
        <w:t xml:space="preserve"> </w:t>
      </w:r>
      <w:r>
        <w:t>outcome</w:t>
      </w:r>
    </w:p>
    <w:p w14:paraId="3F24B228" w14:textId="77777777" w:rsidR="00F44A21" w:rsidRDefault="00FB19DA" w:rsidP="00315E8D">
      <w:pPr>
        <w:pStyle w:val="ListParagraph"/>
        <w:numPr>
          <w:ilvl w:val="2"/>
          <w:numId w:val="5"/>
        </w:numPr>
        <w:tabs>
          <w:tab w:val="left" w:pos="1234"/>
        </w:tabs>
        <w:spacing w:after="110"/>
        <w:ind w:left="1080" w:hanging="360"/>
        <w:jc w:val="both"/>
      </w:pPr>
      <w:r>
        <w:t xml:space="preserve">Patient-reported outcome (PRO): </w:t>
      </w:r>
      <w:r>
        <w:rPr>
          <w:color w:val="A7A8A7"/>
        </w:rPr>
        <w:t>Click here to name the</w:t>
      </w:r>
      <w:r>
        <w:rPr>
          <w:color w:val="A7A8A7"/>
          <w:spacing w:val="-16"/>
        </w:rPr>
        <w:t xml:space="preserve"> </w:t>
      </w:r>
      <w:r>
        <w:rPr>
          <w:color w:val="A7A8A7"/>
        </w:rPr>
        <w:t>PRO</w:t>
      </w:r>
    </w:p>
    <w:p w14:paraId="7DD3782D" w14:textId="79EC31B2" w:rsidR="00F44A21" w:rsidRDefault="00FB19DA" w:rsidP="00315E8D">
      <w:pPr>
        <w:spacing w:after="110"/>
        <w:ind w:left="1080"/>
        <w:jc w:val="both"/>
        <w:rPr>
          <w:i/>
        </w:rPr>
      </w:pPr>
      <w:r>
        <w:rPr>
          <w:i/>
        </w:rPr>
        <w:t>PROs include HRQoL/functional status, symptom/symptom burden</w:t>
      </w:r>
      <w:r w:rsidR="006D1A8A">
        <w:rPr>
          <w:i/>
        </w:rPr>
        <w:t>, experience with care, health-</w:t>
      </w:r>
      <w:r>
        <w:rPr>
          <w:i/>
        </w:rPr>
        <w:t xml:space="preserve">related behaviors. </w:t>
      </w:r>
      <w:r>
        <w:t>(</w:t>
      </w:r>
      <w:r>
        <w:rPr>
          <w:i/>
        </w:rPr>
        <w:t>A PRO-based performance measure is not a survey instrument. Data may be collected using a survey instrument to construct a PRO measure.)</w:t>
      </w:r>
    </w:p>
    <w:p w14:paraId="3EF5541A" w14:textId="2CF68C53" w:rsidR="009B584C" w:rsidRPr="0077673E" w:rsidRDefault="00FB19DA" w:rsidP="00315E8D">
      <w:pPr>
        <w:pStyle w:val="ListParagraph"/>
        <w:numPr>
          <w:ilvl w:val="0"/>
          <w:numId w:val="4"/>
        </w:numPr>
        <w:tabs>
          <w:tab w:val="left" w:pos="820"/>
        </w:tabs>
        <w:spacing w:after="110"/>
        <w:ind w:left="1080" w:hanging="360"/>
        <w:jc w:val="both"/>
      </w:pPr>
      <w:r>
        <w:t>Intermediate clinical outcome (</w:t>
      </w:r>
      <w:r>
        <w:rPr>
          <w:i/>
        </w:rPr>
        <w:t>e.g., lab value</w:t>
      </w:r>
      <w:r>
        <w:t xml:space="preserve">): </w:t>
      </w:r>
      <w:r>
        <w:rPr>
          <w:color w:val="A7A8A7"/>
        </w:rPr>
        <w:t>Click here to name the intermediate</w:t>
      </w:r>
      <w:r>
        <w:rPr>
          <w:color w:val="A7A8A7"/>
          <w:spacing w:val="-19"/>
        </w:rPr>
        <w:t xml:space="preserve"> </w:t>
      </w:r>
      <w:r>
        <w:rPr>
          <w:color w:val="A7A8A7"/>
        </w:rPr>
        <w:t>outcome</w:t>
      </w:r>
    </w:p>
    <w:p w14:paraId="5F02A908" w14:textId="4A4C2A78" w:rsidR="006D1A8A" w:rsidRPr="006D1A8A" w:rsidRDefault="006D1A8A" w:rsidP="00315E8D">
      <w:pPr>
        <w:pStyle w:val="ListParagraph"/>
        <w:numPr>
          <w:ilvl w:val="0"/>
          <w:numId w:val="18"/>
        </w:numPr>
        <w:tabs>
          <w:tab w:val="left" w:pos="820"/>
        </w:tabs>
        <w:spacing w:after="110"/>
        <w:ind w:left="1080"/>
        <w:jc w:val="both"/>
        <w:rPr>
          <w:color w:val="0000FF"/>
        </w:rPr>
      </w:pPr>
      <w:r>
        <w:t xml:space="preserve">Process: </w:t>
      </w:r>
      <w:sdt>
        <w:sdtPr>
          <w:rPr>
            <w:rStyle w:val="Style2"/>
            <w:rFonts w:cstheme="minorHAnsi"/>
          </w:rPr>
          <w:id w:val="2134442167"/>
        </w:sdtPr>
        <w:sdtEndPr>
          <w:rPr>
            <w:rStyle w:val="DefaultParagraphFont"/>
            <w:rFonts w:ascii="Calibri" w:hAnsi="Calibri" w:cs="Calibri"/>
            <w:bCs/>
            <w:color w:val="auto"/>
            <w:u w:val="none"/>
          </w:rPr>
        </w:sdtEndPr>
        <w:sdtContent>
          <w:r w:rsidRPr="006D1A8A">
            <w:rPr>
              <w:rStyle w:val="Style2"/>
              <w:rFonts w:cstheme="minorHAnsi"/>
              <w:u w:val="none"/>
            </w:rPr>
            <w:t>Overuse of cardiac imaging prior to non-cardiac, low-risk surgery for patients at low or moderate risk of cardiac involvement.</w:t>
          </w:r>
        </w:sdtContent>
      </w:sdt>
    </w:p>
    <w:p w14:paraId="6846EFCF" w14:textId="4EBFAB10" w:rsidR="0077673E" w:rsidRPr="001A37D9" w:rsidRDefault="0077673E" w:rsidP="00315E8D">
      <w:pPr>
        <w:pStyle w:val="ListParagraph"/>
        <w:numPr>
          <w:ilvl w:val="0"/>
          <w:numId w:val="38"/>
        </w:numPr>
        <w:tabs>
          <w:tab w:val="left" w:pos="820"/>
        </w:tabs>
        <w:spacing w:after="110"/>
        <w:ind w:left="1080"/>
        <w:jc w:val="both"/>
        <w:rPr>
          <w:color w:val="FF0000"/>
        </w:rPr>
      </w:pPr>
      <w:r w:rsidRPr="001A37D9">
        <w:rPr>
          <w:color w:val="FF0000"/>
        </w:rPr>
        <w:t xml:space="preserve">Appropriate use </w:t>
      </w:r>
      <w:r w:rsidRPr="001A37D9">
        <w:rPr>
          <w:rFonts w:asciiTheme="minorHAnsi" w:hAnsiTheme="minorHAnsi"/>
          <w:color w:val="FF0000"/>
        </w:rPr>
        <w:t xml:space="preserve">measure: </w:t>
      </w:r>
      <w:sdt>
        <w:sdtPr>
          <w:rPr>
            <w:rStyle w:val="Style1"/>
            <w:color w:val="FF0000"/>
          </w:rPr>
          <w:id w:val="-878550564"/>
          <w:placeholder>
            <w:docPart w:val="73C27948C814405CAF03649106F96794"/>
          </w:placeholder>
        </w:sdtPr>
        <w:sdtEndPr>
          <w:rPr>
            <w:rStyle w:val="DefaultParagraphFont"/>
            <w:rFonts w:ascii="Calibri" w:hAnsi="Calibri"/>
            <w:noProof/>
            <w:highlight w:val="cyan"/>
          </w:rPr>
        </w:sdtEndPr>
        <w:sdtContent>
          <w:r w:rsidR="00F255BC" w:rsidRPr="001A37D9">
            <w:rPr>
              <w:rFonts w:cstheme="minorHAnsi"/>
              <w:color w:val="FF0000"/>
            </w:rPr>
            <w:t xml:space="preserve">Cardiac Imaging for Preoperative Risk Assessment for Non-Cardiac, Low-Risk Surgery </w:t>
          </w:r>
        </w:sdtContent>
      </w:sdt>
      <w:r w:rsidR="00F255BC" w:rsidRPr="00EF5E88" w:rsidDel="00F255BC">
        <w:rPr>
          <w:rFonts w:asciiTheme="minorHAnsi" w:hAnsiTheme="minorHAnsi"/>
          <w:color w:val="FF0000"/>
          <w:spacing w:val="8"/>
          <w:shd w:val="clear" w:color="auto" w:fill="FFFFFF"/>
        </w:rPr>
        <w:t xml:space="preserve"> </w:t>
      </w:r>
    </w:p>
    <w:p w14:paraId="2DF060DB" w14:textId="77777777" w:rsidR="00F44A21" w:rsidRDefault="00FB19DA" w:rsidP="00315E8D">
      <w:pPr>
        <w:pStyle w:val="ListParagraph"/>
        <w:numPr>
          <w:ilvl w:val="0"/>
          <w:numId w:val="3"/>
        </w:numPr>
        <w:tabs>
          <w:tab w:val="left" w:pos="852"/>
        </w:tabs>
        <w:spacing w:after="110"/>
        <w:ind w:left="1080" w:hanging="360"/>
        <w:jc w:val="both"/>
        <w:rPr>
          <w:rFonts w:ascii="MS Gothic"/>
          <w:color w:val="0000FF"/>
        </w:rPr>
      </w:pPr>
      <w:r>
        <w:t xml:space="preserve">Structure: </w:t>
      </w:r>
      <w:r>
        <w:rPr>
          <w:color w:val="A7A8A7"/>
        </w:rPr>
        <w:t>Click here to name the</w:t>
      </w:r>
      <w:r>
        <w:rPr>
          <w:color w:val="A7A8A7"/>
          <w:spacing w:val="-5"/>
        </w:rPr>
        <w:t xml:space="preserve"> </w:t>
      </w:r>
      <w:r>
        <w:rPr>
          <w:color w:val="A7A8A7"/>
        </w:rPr>
        <w:t>structure</w:t>
      </w:r>
    </w:p>
    <w:p w14:paraId="79C08015" w14:textId="77777777" w:rsidR="00F44A21" w:rsidRDefault="00FB19DA" w:rsidP="00315E8D">
      <w:pPr>
        <w:pStyle w:val="ListParagraph"/>
        <w:numPr>
          <w:ilvl w:val="0"/>
          <w:numId w:val="3"/>
        </w:numPr>
        <w:tabs>
          <w:tab w:val="left" w:pos="852"/>
        </w:tabs>
        <w:spacing w:after="220"/>
        <w:ind w:left="1080" w:hanging="360"/>
        <w:jc w:val="both"/>
        <w:rPr>
          <w:rFonts w:ascii="MS Gothic"/>
          <w:color w:val="0000FF"/>
        </w:rPr>
      </w:pPr>
      <w:r>
        <w:t xml:space="preserve">Composite: </w:t>
      </w:r>
      <w:r>
        <w:rPr>
          <w:color w:val="A7A8A7"/>
        </w:rPr>
        <w:t>Click here to name what is being</w:t>
      </w:r>
      <w:r>
        <w:rPr>
          <w:color w:val="A7A8A7"/>
          <w:spacing w:val="-9"/>
        </w:rPr>
        <w:t xml:space="preserve"> </w:t>
      </w:r>
      <w:r>
        <w:rPr>
          <w:color w:val="A7A8A7"/>
        </w:rPr>
        <w:t>measured</w:t>
      </w:r>
    </w:p>
    <w:p w14:paraId="087DD88C" w14:textId="24FCADD9" w:rsidR="00F44A21" w:rsidRDefault="00567702" w:rsidP="00315E8D">
      <w:pPr>
        <w:spacing w:after="45"/>
        <w:ind w:left="720" w:hanging="720"/>
        <w:jc w:val="both"/>
      </w:pPr>
      <w:r>
        <w:rPr>
          <w:b/>
        </w:rPr>
        <w:t>1a.2</w:t>
      </w:r>
      <w:r>
        <w:rPr>
          <w:b/>
        </w:rPr>
        <w:tab/>
      </w:r>
      <w:r w:rsidR="00FB19DA">
        <w:rPr>
          <w:b/>
        </w:rPr>
        <w:t xml:space="preserve">LOGIC MODEL </w:t>
      </w:r>
      <w:r w:rsidR="00FB19DA">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1C6A74C5" w14:textId="77777777" w:rsidR="00822A8D" w:rsidRPr="00C1396F" w:rsidRDefault="00822A8D" w:rsidP="00315E8D">
      <w:pPr>
        <w:spacing w:after="110"/>
        <w:ind w:left="720"/>
        <w:jc w:val="both"/>
        <w:rPr>
          <w:color w:val="0000FF"/>
        </w:rPr>
      </w:pPr>
      <w:r w:rsidRPr="00C1396F">
        <w:rPr>
          <w:color w:val="0000FF"/>
        </w:rPr>
        <w:t>The process of identifying low-risk patients undergoing surgeries</w:t>
      </w:r>
      <w:r>
        <w:rPr>
          <w:color w:val="0000FF"/>
        </w:rPr>
        <w:t xml:space="preserve"> for which there is low or moderate risk of </w:t>
      </w:r>
      <w:r w:rsidRPr="00C1396F">
        <w:rPr>
          <w:color w:val="0000FF"/>
        </w:rPr>
        <w:t xml:space="preserve">cardiac </w:t>
      </w:r>
      <w:r>
        <w:rPr>
          <w:color w:val="0000FF"/>
        </w:rPr>
        <w:t>involvement</w:t>
      </w:r>
      <w:r w:rsidRPr="00C1396F">
        <w:rPr>
          <w:color w:val="0000FF"/>
        </w:rPr>
        <w:t xml:space="preserve"> prior to performing preoperative cardiac imaging is related to improved outcomes, including reduced exposure to radiation, reduced exposure to contrast agents, and more efficient use of imaging resources.</w:t>
      </w:r>
    </w:p>
    <w:p w14:paraId="64A1DAE4" w14:textId="7E15F96B" w:rsidR="00822A8D" w:rsidRPr="001A37D9" w:rsidRDefault="00F255BC" w:rsidP="00315E8D">
      <w:pPr>
        <w:spacing w:after="220"/>
        <w:ind w:left="720"/>
        <w:jc w:val="both"/>
        <w:rPr>
          <w:color w:val="FF0000"/>
        </w:rPr>
      </w:pPr>
      <w:r w:rsidRPr="001A37D9">
        <w:rPr>
          <w:color w:val="FF0000"/>
        </w:rPr>
        <w:t>The process of identifying low-risk patients undergoing surgeries for which there is low or moderate risk of cardiac involvement prior to performing preoperative cardiac imaging is related to improved outcomes, including reduced exposure to radiation, reduced exposure to contrast agents, and more efficient use of imaging resources.</w:t>
      </w:r>
    </w:p>
    <w:p w14:paraId="22450541" w14:textId="6627899D" w:rsidR="00F44A21" w:rsidRDefault="00567702" w:rsidP="00315E8D">
      <w:pPr>
        <w:spacing w:after="110"/>
        <w:ind w:left="720" w:hanging="720"/>
        <w:jc w:val="both"/>
      </w:pPr>
      <w:r>
        <w:rPr>
          <w:b/>
        </w:rPr>
        <w:t>1a.3</w:t>
      </w:r>
      <w:r>
        <w:rPr>
          <w:b/>
        </w:rPr>
        <w:tab/>
      </w:r>
      <w:r w:rsidR="00FB19DA">
        <w:rPr>
          <w:b/>
        </w:rPr>
        <w:t xml:space="preserve">Value and Meaningfulness: IF </w:t>
      </w:r>
      <w:r w:rsidR="00FB19DA">
        <w:t xml:space="preserve">this measure is derived from patient report, provide evidence that the target population values the measured </w:t>
      </w:r>
      <w:r w:rsidR="00FB19DA">
        <w:rPr>
          <w:b/>
          <w:i/>
        </w:rPr>
        <w:t xml:space="preserve">outcome, process, or structure </w:t>
      </w:r>
      <w:r w:rsidR="00FB19DA">
        <w:t>and finds it meaningful. (Describe how and from whom their input was obtained.)</w:t>
      </w:r>
    </w:p>
    <w:p w14:paraId="795AD001" w14:textId="77777777" w:rsidR="00CC2C4C" w:rsidRDefault="00516062" w:rsidP="00315E8D">
      <w:pPr>
        <w:pStyle w:val="BodyText"/>
        <w:spacing w:after="110"/>
        <w:jc w:val="both"/>
        <w:rPr>
          <w:color w:val="0000FF"/>
          <w:sz w:val="22"/>
        </w:rPr>
      </w:pPr>
      <w:r>
        <w:rPr>
          <w:sz w:val="22"/>
        </w:rPr>
        <w:tab/>
      </w:r>
      <w:r w:rsidR="006B7956">
        <w:rPr>
          <w:color w:val="0000FF"/>
          <w:sz w:val="22"/>
        </w:rPr>
        <w:t>Not applicable, as this measure is not derived from patient-reported data.</w:t>
      </w:r>
    </w:p>
    <w:p w14:paraId="46797082" w14:textId="66312D02" w:rsidR="00F44A21" w:rsidRPr="008E2707" w:rsidRDefault="00CC2C4C" w:rsidP="00315E8D">
      <w:pPr>
        <w:pStyle w:val="BodyText"/>
        <w:spacing w:after="220"/>
        <w:ind w:firstLine="720"/>
        <w:jc w:val="both"/>
        <w:rPr>
          <w:color w:val="0000FF"/>
          <w:sz w:val="22"/>
        </w:rPr>
      </w:pPr>
      <w:r w:rsidRPr="00CC2C4C">
        <w:rPr>
          <w:color w:val="FF0000"/>
          <w:sz w:val="22"/>
        </w:rPr>
        <w:t>Not applicable, as this measure is not derived from patient-reported data.</w:t>
      </w:r>
      <w:r w:rsidR="00517FB4">
        <w:rPr>
          <w:sz w:val="22"/>
        </w:rPr>
        <w:tab/>
      </w:r>
    </w:p>
    <w:p w14:paraId="4EA91807" w14:textId="77777777" w:rsidR="00F44A21" w:rsidRDefault="00FB19DA" w:rsidP="00315E8D">
      <w:pPr>
        <w:pStyle w:val="Heading1"/>
        <w:spacing w:after="220"/>
        <w:ind w:left="0"/>
        <w:jc w:val="both"/>
      </w:pPr>
      <w:r>
        <w:t>**RESPOND TO ONLY ONE SECTION BELOW -EITHER 1a.2, 1a.3 or 1a.4) **</w:t>
      </w:r>
    </w:p>
    <w:p w14:paraId="04515E8A" w14:textId="1835922D" w:rsidR="00F44A21" w:rsidRDefault="006B7956" w:rsidP="00315E8D">
      <w:pPr>
        <w:spacing w:after="110"/>
        <w:ind w:left="720" w:hanging="720"/>
        <w:jc w:val="both"/>
        <w:rPr>
          <w:b/>
        </w:rPr>
      </w:pPr>
      <w:r>
        <w:rPr>
          <w:b/>
        </w:rPr>
        <w:t>1a.2</w:t>
      </w:r>
      <w:r>
        <w:rPr>
          <w:b/>
        </w:rPr>
        <w:tab/>
      </w:r>
      <w:r w:rsidR="00FB19DA">
        <w:rPr>
          <w:b/>
        </w:rPr>
        <w:t>FOR OUTCOME MEASURES including PATIENT REPORTED OUTCOMES - Provide empirical data demonstrating the relationship between the outcome (or PRO) to at least one healthcare structure, process, intervention, or service.</w:t>
      </w:r>
    </w:p>
    <w:p w14:paraId="40A48D61" w14:textId="5A1CE97E" w:rsidR="00516062" w:rsidRDefault="00516062" w:rsidP="00315E8D">
      <w:pPr>
        <w:pStyle w:val="BodyText"/>
        <w:spacing w:after="110"/>
        <w:jc w:val="both"/>
        <w:rPr>
          <w:color w:val="0000FF"/>
          <w:sz w:val="22"/>
        </w:rPr>
      </w:pPr>
      <w:r>
        <w:rPr>
          <w:b/>
          <w:sz w:val="22"/>
        </w:rPr>
        <w:tab/>
      </w:r>
      <w:r>
        <w:rPr>
          <w:color w:val="0000FF"/>
          <w:sz w:val="22"/>
        </w:rPr>
        <w:t xml:space="preserve">This measure is not a health </w:t>
      </w:r>
      <w:r w:rsidR="006B7956">
        <w:rPr>
          <w:color w:val="0000FF"/>
          <w:sz w:val="22"/>
        </w:rPr>
        <w:t>outcome/PRO-PM.</w:t>
      </w:r>
    </w:p>
    <w:p w14:paraId="1BC32EE7" w14:textId="29EB127D" w:rsidR="00CC2C4C" w:rsidRPr="00CC2C4C" w:rsidRDefault="00CC2C4C" w:rsidP="00315E8D">
      <w:pPr>
        <w:pStyle w:val="BodyText"/>
        <w:spacing w:after="220"/>
        <w:ind w:firstLine="720"/>
        <w:jc w:val="both"/>
        <w:rPr>
          <w:color w:val="FF0000"/>
          <w:sz w:val="22"/>
        </w:rPr>
      </w:pPr>
      <w:r w:rsidRPr="00CC2C4C">
        <w:rPr>
          <w:color w:val="FF0000"/>
          <w:sz w:val="22"/>
        </w:rPr>
        <w:t>This measure is not a health outcome/PRO-PM.</w:t>
      </w:r>
    </w:p>
    <w:p w14:paraId="7917908B" w14:textId="76D600C6" w:rsidR="00F44A21" w:rsidRDefault="006B7956" w:rsidP="00315E8D">
      <w:pPr>
        <w:spacing w:after="110"/>
        <w:ind w:left="720" w:hanging="720"/>
        <w:jc w:val="both"/>
        <w:rPr>
          <w:b/>
        </w:rPr>
      </w:pPr>
      <w:r>
        <w:rPr>
          <w:b/>
        </w:rPr>
        <w:t>1a.3.</w:t>
      </w:r>
      <w:r>
        <w:rPr>
          <w:b/>
        </w:rPr>
        <w:tab/>
      </w:r>
      <w:r w:rsidR="00FB19DA">
        <w:rPr>
          <w:b/>
        </w:rPr>
        <w:t>SYSTEMATIC REVIEW(SR) OF THE EVIDENCE (for INTERMEDIATE OUTCOME, PROCESS, OR STRUCTURE PERFORMANCE MEASURES, INCLUDING THOSE THAT ARE INSTRUMENT-BASED) If the</w:t>
      </w:r>
      <w:r>
        <w:rPr>
          <w:b/>
        </w:rPr>
        <w:t xml:space="preserve"> </w:t>
      </w:r>
      <w:r w:rsidR="00FB19DA">
        <w:rPr>
          <w:b/>
        </w:rPr>
        <w:t>evidence is not based on a systematic review go to section 1a.4) If you wish to include more than one systematic review, add additional tables.</w:t>
      </w:r>
    </w:p>
    <w:p w14:paraId="611A715B" w14:textId="77777777" w:rsidR="00F44A21" w:rsidRDefault="00FB19DA" w:rsidP="00315E8D">
      <w:pPr>
        <w:spacing w:after="110"/>
        <w:ind w:left="720"/>
        <w:jc w:val="both"/>
        <w:rPr>
          <w:b/>
        </w:rPr>
      </w:pPr>
      <w:r>
        <w:rPr>
          <w:b/>
        </w:rPr>
        <w:t xml:space="preserve">What is the source of the </w:t>
      </w:r>
      <w:r>
        <w:rPr>
          <w:b/>
          <w:u w:val="single"/>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77A1E8FA" w14:textId="785074A3" w:rsidR="00F44A21" w:rsidRPr="00697B00" w:rsidRDefault="007E0FF4" w:rsidP="00315E8D">
      <w:pPr>
        <w:pStyle w:val="Heading2"/>
        <w:numPr>
          <w:ilvl w:val="0"/>
          <w:numId w:val="38"/>
        </w:numPr>
        <w:tabs>
          <w:tab w:val="left" w:pos="821"/>
        </w:tabs>
        <w:spacing w:after="110"/>
        <w:ind w:left="1080"/>
        <w:jc w:val="both"/>
        <w:rPr>
          <w:rFonts w:ascii="MS Gothic"/>
          <w:color w:val="0000FF"/>
        </w:rPr>
      </w:pPr>
      <w:r w:rsidRPr="00A82F72">
        <w:rPr>
          <w:color w:val="000000" w:themeColor="text1"/>
        </w:rPr>
        <w:lastRenderedPageBreak/>
        <w:t>Cli</w:t>
      </w:r>
      <w:r w:rsidR="00FB19DA" w:rsidRPr="00A82F72">
        <w:rPr>
          <w:color w:val="000000" w:themeColor="text1"/>
        </w:rPr>
        <w:t>nical Practice Guideline recommendation (with evidence</w:t>
      </w:r>
      <w:r w:rsidR="00FB19DA" w:rsidRPr="00A82F72">
        <w:rPr>
          <w:color w:val="000000" w:themeColor="text1"/>
          <w:spacing w:val="-3"/>
        </w:rPr>
        <w:t xml:space="preserve"> </w:t>
      </w:r>
      <w:r w:rsidR="00FB19DA" w:rsidRPr="00A82F72">
        <w:rPr>
          <w:color w:val="000000" w:themeColor="text1"/>
        </w:rPr>
        <w:t>review)</w:t>
      </w:r>
    </w:p>
    <w:p w14:paraId="1973C0F9" w14:textId="77777777" w:rsidR="00F44A21" w:rsidRDefault="00FB19DA" w:rsidP="00315E8D">
      <w:pPr>
        <w:pStyle w:val="ListParagraph"/>
        <w:numPr>
          <w:ilvl w:val="0"/>
          <w:numId w:val="3"/>
        </w:numPr>
        <w:tabs>
          <w:tab w:val="left" w:pos="821"/>
        </w:tabs>
        <w:spacing w:after="110"/>
        <w:ind w:left="1080" w:hanging="360"/>
        <w:jc w:val="both"/>
        <w:rPr>
          <w:rFonts w:ascii="MS Gothic"/>
          <w:color w:val="0000FF"/>
        </w:rPr>
      </w:pPr>
      <w:r>
        <w:t>US Preventive Services Task Force</w:t>
      </w:r>
      <w:r>
        <w:rPr>
          <w:spacing w:val="-4"/>
        </w:rPr>
        <w:t xml:space="preserve"> </w:t>
      </w:r>
      <w:r>
        <w:t>Recommendation</w:t>
      </w:r>
    </w:p>
    <w:p w14:paraId="08BED791" w14:textId="77777777" w:rsidR="00F44A21" w:rsidRDefault="00FB19DA" w:rsidP="00315E8D">
      <w:pPr>
        <w:pStyle w:val="ListParagraph"/>
        <w:numPr>
          <w:ilvl w:val="0"/>
          <w:numId w:val="3"/>
        </w:numPr>
        <w:tabs>
          <w:tab w:val="left" w:pos="821"/>
        </w:tabs>
        <w:spacing w:after="110"/>
        <w:ind w:left="1080" w:hanging="360"/>
        <w:jc w:val="both"/>
        <w:rPr>
          <w:rFonts w:ascii="MS Gothic"/>
          <w:color w:val="0000FF"/>
        </w:rPr>
      </w:pPr>
      <w:r>
        <w:t>Other systematic review and grading of the body of</w:t>
      </w:r>
      <w:r>
        <w:rPr>
          <w:spacing w:val="-36"/>
        </w:rPr>
        <w:t xml:space="preserve"> </w:t>
      </w:r>
      <w:r>
        <w:t>evidence (</w:t>
      </w:r>
      <w:r>
        <w:rPr>
          <w:i/>
        </w:rPr>
        <w:t>e.g., Cochrane Collaboration, AHRQ Evidence Practice</w:t>
      </w:r>
      <w:r>
        <w:rPr>
          <w:i/>
          <w:spacing w:val="-1"/>
        </w:rPr>
        <w:t xml:space="preserve"> </w:t>
      </w:r>
      <w:r>
        <w:rPr>
          <w:i/>
        </w:rPr>
        <w:t>Center</w:t>
      </w:r>
      <w:r>
        <w:t>)</w:t>
      </w:r>
    </w:p>
    <w:p w14:paraId="1C60979D" w14:textId="27901C92" w:rsidR="00F44A21" w:rsidRDefault="00FB19DA" w:rsidP="00315E8D">
      <w:pPr>
        <w:pStyle w:val="Heading2"/>
        <w:numPr>
          <w:ilvl w:val="0"/>
          <w:numId w:val="3"/>
        </w:numPr>
        <w:tabs>
          <w:tab w:val="left" w:pos="821"/>
        </w:tabs>
        <w:spacing w:after="220"/>
        <w:ind w:left="994" w:hanging="274"/>
        <w:jc w:val="both"/>
        <w:rPr>
          <w:rFonts w:ascii="MS Gothic"/>
          <w:color w:val="0000FF"/>
        </w:rPr>
      </w:pPr>
      <w:r>
        <w:t>Other</w:t>
      </w:r>
    </w:p>
    <w:tbl>
      <w:tblPr>
        <w:tblW w:w="10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7320"/>
      </w:tblGrid>
      <w:tr w:rsidR="00F44A21" w14:paraId="1C206EA1" w14:textId="77777777" w:rsidTr="00790A20">
        <w:trPr>
          <w:trHeight w:val="2073"/>
        </w:trPr>
        <w:tc>
          <w:tcPr>
            <w:tcW w:w="3380" w:type="dxa"/>
          </w:tcPr>
          <w:p w14:paraId="2AE3D87F" w14:textId="77777777" w:rsidR="00F44A21" w:rsidRDefault="00FB19DA" w:rsidP="008427CD">
            <w:pPr>
              <w:pStyle w:val="TableParagraph"/>
              <w:spacing w:after="45"/>
              <w:ind w:left="144" w:right="144"/>
              <w:rPr>
                <w:b/>
              </w:rPr>
            </w:pPr>
            <w:r>
              <w:rPr>
                <w:b/>
              </w:rPr>
              <w:t>Source of Systematic Review:</w:t>
            </w:r>
          </w:p>
          <w:p w14:paraId="01F556C2" w14:textId="77777777" w:rsidR="00F44A21" w:rsidRDefault="00FB19DA" w:rsidP="008427CD">
            <w:pPr>
              <w:pStyle w:val="TableParagraph"/>
              <w:numPr>
                <w:ilvl w:val="0"/>
                <w:numId w:val="2"/>
              </w:numPr>
              <w:tabs>
                <w:tab w:val="left" w:pos="827"/>
                <w:tab w:val="left" w:pos="828"/>
              </w:tabs>
              <w:spacing w:after="45"/>
              <w:ind w:left="504" w:right="144" w:hanging="360"/>
              <w:rPr>
                <w:b/>
              </w:rPr>
            </w:pPr>
            <w:r>
              <w:rPr>
                <w:b/>
              </w:rPr>
              <w:t>Title</w:t>
            </w:r>
          </w:p>
          <w:p w14:paraId="3C0E030E" w14:textId="77777777" w:rsidR="00F44A21" w:rsidRDefault="00FB19DA" w:rsidP="008427CD">
            <w:pPr>
              <w:pStyle w:val="TableParagraph"/>
              <w:numPr>
                <w:ilvl w:val="0"/>
                <w:numId w:val="2"/>
              </w:numPr>
              <w:tabs>
                <w:tab w:val="left" w:pos="827"/>
                <w:tab w:val="left" w:pos="828"/>
              </w:tabs>
              <w:spacing w:after="45"/>
              <w:ind w:left="504" w:right="144" w:hanging="360"/>
              <w:rPr>
                <w:b/>
              </w:rPr>
            </w:pPr>
            <w:r>
              <w:rPr>
                <w:b/>
              </w:rPr>
              <w:t>Author</w:t>
            </w:r>
          </w:p>
          <w:p w14:paraId="0097FADF" w14:textId="77777777" w:rsidR="00F44A21" w:rsidRDefault="00FB19DA" w:rsidP="008427CD">
            <w:pPr>
              <w:pStyle w:val="TableParagraph"/>
              <w:numPr>
                <w:ilvl w:val="0"/>
                <w:numId w:val="2"/>
              </w:numPr>
              <w:tabs>
                <w:tab w:val="left" w:pos="827"/>
                <w:tab w:val="left" w:pos="828"/>
              </w:tabs>
              <w:spacing w:after="45"/>
              <w:ind w:left="504" w:right="144" w:hanging="360"/>
              <w:rPr>
                <w:b/>
              </w:rPr>
            </w:pPr>
            <w:r>
              <w:rPr>
                <w:b/>
              </w:rPr>
              <w:t>Date</w:t>
            </w:r>
          </w:p>
          <w:p w14:paraId="617FEBC4" w14:textId="77777777" w:rsidR="00F44A21" w:rsidRDefault="00FB19DA" w:rsidP="008427CD">
            <w:pPr>
              <w:pStyle w:val="TableParagraph"/>
              <w:numPr>
                <w:ilvl w:val="0"/>
                <w:numId w:val="2"/>
              </w:numPr>
              <w:tabs>
                <w:tab w:val="left" w:pos="827"/>
                <w:tab w:val="left" w:pos="828"/>
              </w:tabs>
              <w:spacing w:after="45"/>
              <w:ind w:left="504" w:right="144" w:hanging="360"/>
              <w:rPr>
                <w:b/>
              </w:rPr>
            </w:pPr>
            <w:r>
              <w:rPr>
                <w:b/>
              </w:rPr>
              <w:t>Citation, including page</w:t>
            </w:r>
            <w:r>
              <w:rPr>
                <w:b/>
                <w:spacing w:val="-4"/>
              </w:rPr>
              <w:t xml:space="preserve"> </w:t>
            </w:r>
            <w:r>
              <w:rPr>
                <w:b/>
              </w:rPr>
              <w:t>number</w:t>
            </w:r>
          </w:p>
          <w:p w14:paraId="0384A53C" w14:textId="77777777" w:rsidR="00F44A21" w:rsidRDefault="00FB19DA" w:rsidP="008427CD">
            <w:pPr>
              <w:pStyle w:val="TableParagraph"/>
              <w:numPr>
                <w:ilvl w:val="0"/>
                <w:numId w:val="2"/>
              </w:numPr>
              <w:tabs>
                <w:tab w:val="left" w:pos="827"/>
                <w:tab w:val="left" w:pos="828"/>
              </w:tabs>
              <w:spacing w:after="45"/>
              <w:ind w:left="504" w:right="144" w:hanging="360"/>
              <w:rPr>
                <w:b/>
              </w:rPr>
            </w:pPr>
            <w:r>
              <w:rPr>
                <w:b/>
              </w:rPr>
              <w:t>URL</w:t>
            </w:r>
          </w:p>
        </w:tc>
        <w:tc>
          <w:tcPr>
            <w:tcW w:w="7110" w:type="dxa"/>
          </w:tcPr>
          <w:p w14:paraId="27AEF0D7" w14:textId="74883672" w:rsidR="00822A8D" w:rsidRPr="00C1396F" w:rsidRDefault="00822A8D" w:rsidP="00315E8D">
            <w:pPr>
              <w:spacing w:before="110" w:after="110"/>
              <w:ind w:left="72" w:right="72"/>
              <w:jc w:val="both"/>
              <w:rPr>
                <w:color w:val="0000FF"/>
              </w:rPr>
            </w:pPr>
            <w:r w:rsidRPr="00822A8D">
              <w:rPr>
                <w:color w:val="0000FF"/>
              </w:rPr>
              <w:t xml:space="preserve">Two clinical practice guidelines are provided based on their relevance and sample size for the measure. The first guideline, developed by the European Society of Cardiology and the European Society of Anaesthesiology, evaluates </w:t>
            </w:r>
            <w:r w:rsidRPr="00822A8D">
              <w:rPr>
                <w:rFonts w:cs="AdvOT9069d8b3.B"/>
                <w:color w:val="0000FF"/>
              </w:rPr>
              <w:t>cardiovascular assessment and management for non-cardiac surgery</w:t>
            </w:r>
            <w:r w:rsidRPr="00822A8D">
              <w:rPr>
                <w:color w:val="0000FF"/>
              </w:rPr>
              <w:t>.</w:t>
            </w:r>
            <w:r w:rsidRPr="00822A8D">
              <w:rPr>
                <w:color w:val="0000FF"/>
                <w:sz w:val="14"/>
              </w:rPr>
              <w:t xml:space="preserve"> </w:t>
            </w:r>
            <w:r w:rsidRPr="00822A8D">
              <w:rPr>
                <w:color w:val="0000FF"/>
              </w:rPr>
              <w:t xml:space="preserve">The second guideline, from the American College of Cardiology and American Heart Association, evaluates </w:t>
            </w:r>
            <w:r w:rsidRPr="00822A8D">
              <w:rPr>
                <w:rFonts w:cs="Helvetica"/>
                <w:color w:val="0000FF"/>
                <w:szCs w:val="20"/>
              </w:rPr>
              <w:t>preoperative cardiovascular evaluation and management of the adult patient undergoing non-cardiac surgery. Citations for the two guidelines follow:</w:t>
            </w:r>
          </w:p>
          <w:p w14:paraId="7D5A367A" w14:textId="77777777" w:rsidR="00822A8D" w:rsidRPr="00C1396F" w:rsidRDefault="00822A8D" w:rsidP="00315E8D">
            <w:pPr>
              <w:spacing w:after="110"/>
              <w:ind w:left="72" w:right="72"/>
              <w:jc w:val="both"/>
              <w:rPr>
                <w:color w:val="0000FF"/>
              </w:rPr>
            </w:pPr>
            <w:r>
              <w:rPr>
                <w:color w:val="0000FF"/>
              </w:rPr>
              <w:t>1 –</w:t>
            </w:r>
            <w:r w:rsidRPr="00C1396F">
              <w:rPr>
                <w:color w:val="0000FF"/>
              </w:rPr>
              <w:t xml:space="preserve"> Kristensen SD, Knuuti J, Saraste A, et al. ESC/ESA Guidelines on non-cardiac surgery: cardiovascular assessment and management: The Joint Task Force on non-cardiac surgery: cardiovascular assessment and management of the European Society of Cardiology (ESC) and the European Society of Anaesthesiology (ESA). European Heart Journal. 2014. Guideline available at: </w:t>
            </w:r>
            <w:hyperlink r:id="rId13" w:history="1">
              <w:r w:rsidRPr="00C1396F">
                <w:rPr>
                  <w:rStyle w:val="Hyperlink"/>
                </w:rPr>
                <w:t>http://eurheartj.oxfordjournals.org/content/ehj/35/35/2383.full.pdf</w:t>
              </w:r>
            </w:hyperlink>
            <w:r w:rsidRPr="00C1396F">
              <w:rPr>
                <w:color w:val="0000FF"/>
              </w:rPr>
              <w:t xml:space="preserve">.  </w:t>
            </w:r>
          </w:p>
          <w:p w14:paraId="575BE12D" w14:textId="07A7B605" w:rsidR="00822A8D" w:rsidRDefault="00822A8D" w:rsidP="00315E8D">
            <w:pPr>
              <w:spacing w:after="220"/>
              <w:ind w:left="72" w:right="72"/>
              <w:jc w:val="both"/>
              <w:rPr>
                <w:color w:val="0000FF"/>
              </w:rPr>
            </w:pPr>
            <w:r>
              <w:rPr>
                <w:color w:val="0000FF"/>
              </w:rPr>
              <w:t>2 –</w:t>
            </w:r>
            <w:r w:rsidRPr="00C1396F">
              <w:rPr>
                <w:color w:val="0000FF"/>
              </w:rPr>
              <w:t xml:space="preserve"> ACC/AHA 2014 Guidelines on Perioperative Cardiovascular Evaluation and Care for Non- cardiac Surgery: a report of the American College of Cardiology/American Heart Association task force on practice guidelines. J Am Coll Cardiol. 2007; 50: e159-e242. Guideline available at: </w:t>
            </w:r>
            <w:hyperlink r:id="rId14" w:history="1">
              <w:r w:rsidRPr="00C1396F">
                <w:rPr>
                  <w:rStyle w:val="Hyperlink"/>
                </w:rPr>
                <w:t>http://content.onlinejacc.org/article.aspx?articleid=1893784</w:t>
              </w:r>
            </w:hyperlink>
            <w:r w:rsidRPr="00C1396F">
              <w:rPr>
                <w:color w:val="0000FF"/>
              </w:rPr>
              <w:t xml:space="preserve">. </w:t>
            </w:r>
          </w:p>
          <w:p w14:paraId="64EAEE95" w14:textId="6BB24AB3" w:rsidR="00847A02" w:rsidRPr="00822A8D" w:rsidRDefault="00847A02" w:rsidP="00315E8D">
            <w:pPr>
              <w:spacing w:after="110"/>
              <w:ind w:left="72" w:right="72"/>
              <w:jc w:val="both"/>
              <w:rPr>
                <w:color w:val="FF0000"/>
              </w:rPr>
            </w:pPr>
            <w:r w:rsidRPr="00822A8D">
              <w:rPr>
                <w:color w:val="FF0000"/>
              </w:rPr>
              <w:t xml:space="preserve">Two clinical practice guidelines are provided based on their relevance to the measure. </w:t>
            </w:r>
            <w:r w:rsidR="004311AA" w:rsidRPr="001A37D9">
              <w:rPr>
                <w:color w:val="FF0000"/>
              </w:rPr>
              <w:t xml:space="preserve">The first guideline, developed by the European Society of Cardiology and the European Society of Anaesthesiology, evaluates </w:t>
            </w:r>
            <w:r w:rsidR="004311AA" w:rsidRPr="001A37D9">
              <w:rPr>
                <w:rFonts w:cs="AdvOT9069d8b3.B"/>
                <w:color w:val="FF0000"/>
              </w:rPr>
              <w:t>cardiovascular assessment and management for non-cardiac surgery</w:t>
            </w:r>
            <w:r w:rsidR="004311AA" w:rsidRPr="001A37D9">
              <w:rPr>
                <w:color w:val="FF0000"/>
              </w:rPr>
              <w:t>.</w:t>
            </w:r>
            <w:r w:rsidR="004311AA" w:rsidRPr="001A37D9">
              <w:rPr>
                <w:color w:val="FF0000"/>
                <w:sz w:val="14"/>
              </w:rPr>
              <w:t xml:space="preserve"> </w:t>
            </w:r>
            <w:r w:rsidR="004311AA" w:rsidRPr="001A37D9">
              <w:rPr>
                <w:color w:val="FF0000"/>
              </w:rPr>
              <w:t xml:space="preserve">The second guideline, from the American College of Cardiology and American Heart Association, evaluates </w:t>
            </w:r>
            <w:r w:rsidR="004311AA" w:rsidRPr="001A37D9">
              <w:rPr>
                <w:rFonts w:cs="Helvetica"/>
                <w:color w:val="FF0000"/>
                <w:szCs w:val="20"/>
              </w:rPr>
              <w:t>preoperative cardiovascular evaluation and management of the adult patient undergoing non-cardiac surgery. Citations for the two guidelines follow:</w:t>
            </w:r>
          </w:p>
          <w:p w14:paraId="23CFB14F" w14:textId="44418F6D" w:rsidR="00847A02" w:rsidRPr="00822A8D" w:rsidRDefault="00847A02" w:rsidP="00315E8D">
            <w:pPr>
              <w:spacing w:after="110"/>
              <w:ind w:left="72" w:right="72"/>
              <w:jc w:val="both"/>
              <w:rPr>
                <w:color w:val="FF0000"/>
              </w:rPr>
            </w:pPr>
            <w:r w:rsidRPr="00822A8D">
              <w:rPr>
                <w:color w:val="FF0000"/>
              </w:rPr>
              <w:t>1—</w:t>
            </w:r>
            <w:r w:rsidRPr="001A37D9">
              <w:rPr>
                <w:color w:val="FF0000"/>
              </w:rPr>
              <w:t xml:space="preserve"> </w:t>
            </w:r>
            <w:r w:rsidR="00162719" w:rsidRPr="001A37D9">
              <w:rPr>
                <w:color w:val="FF0000"/>
              </w:rPr>
              <w:t xml:space="preserve">Kristensen SD, Knuuti J, Saraste A, et al. ESC/ESA Guidelines on non-cardiac surgery: cardiovascular assessment and management: The Joint Task Force on non-cardiac surgery: cardiovascular assessment and management of the European Society of Cardiology (ESC) and the European Society of Anaesthesiology (ESA). European Heart Journal. 2014. Guideline available at: </w:t>
            </w:r>
            <w:hyperlink r:id="rId15" w:history="1">
              <w:r w:rsidR="00162719" w:rsidRPr="00C1396F">
                <w:rPr>
                  <w:rStyle w:val="Hyperlink"/>
                </w:rPr>
                <w:t>http://eurheartj.oxfordjournals.org/content/ehj/35/35/2383.full.pdf</w:t>
              </w:r>
            </w:hyperlink>
            <w:r w:rsidR="00162719" w:rsidRPr="00C1396F">
              <w:rPr>
                <w:color w:val="0000FF"/>
              </w:rPr>
              <w:t xml:space="preserve">.  </w:t>
            </w:r>
          </w:p>
          <w:p w14:paraId="0D374360" w14:textId="7804291E" w:rsidR="00B079BA" w:rsidRPr="00822A8D" w:rsidRDefault="00847A02" w:rsidP="00315E8D">
            <w:pPr>
              <w:spacing w:after="110"/>
              <w:ind w:left="72" w:right="72"/>
              <w:jc w:val="both"/>
              <w:rPr>
                <w:color w:val="FF0000"/>
              </w:rPr>
            </w:pPr>
            <w:r w:rsidRPr="00822A8D">
              <w:rPr>
                <w:color w:val="FF0000"/>
              </w:rPr>
              <w:t xml:space="preserve">2— </w:t>
            </w:r>
            <w:r w:rsidR="00162719" w:rsidRPr="001A37D9">
              <w:rPr>
                <w:color w:val="FF0000"/>
              </w:rPr>
              <w:t>ACC/AHA 2014 Guidelines on Perioperative Cardiovascul</w:t>
            </w:r>
            <w:r w:rsidR="00995E01">
              <w:rPr>
                <w:color w:val="FF0000"/>
              </w:rPr>
              <w:t>ar Evaluation and Care for Non-C</w:t>
            </w:r>
            <w:r w:rsidR="00162719" w:rsidRPr="001A37D9">
              <w:rPr>
                <w:color w:val="FF0000"/>
              </w:rPr>
              <w:t xml:space="preserve">ardiac Surgery: a report of the American College of Cardiology/American Heart Association task force on practice guidelines. J Am Coll Cardiol. 2007; 50: e159-e242. Guideline available at: </w:t>
            </w:r>
            <w:hyperlink r:id="rId16" w:history="1">
              <w:r w:rsidR="00162719" w:rsidRPr="00C1396F">
                <w:rPr>
                  <w:rStyle w:val="Hyperlink"/>
                </w:rPr>
                <w:t>http://content.onlinejacc.org/article.aspx?articleid=1893784</w:t>
              </w:r>
            </w:hyperlink>
            <w:r w:rsidR="00162719" w:rsidRPr="00C1396F">
              <w:rPr>
                <w:color w:val="0000FF"/>
              </w:rPr>
              <w:t xml:space="preserve">. </w:t>
            </w:r>
          </w:p>
        </w:tc>
      </w:tr>
      <w:tr w:rsidR="00F44A21" w14:paraId="0409BCF6" w14:textId="77777777" w:rsidTr="00790A20">
        <w:trPr>
          <w:trHeight w:val="1070"/>
        </w:trPr>
        <w:tc>
          <w:tcPr>
            <w:tcW w:w="3380" w:type="dxa"/>
          </w:tcPr>
          <w:p w14:paraId="06D8E2AF" w14:textId="3BC20ABC" w:rsidR="00F44A21" w:rsidRDefault="00FB19DA" w:rsidP="008427CD">
            <w:pPr>
              <w:pStyle w:val="TableParagraph"/>
              <w:ind w:left="144" w:right="144"/>
            </w:pPr>
            <w:r>
              <w:t xml:space="preserve">Quote the guideline or recommendation verbatim about the process, structure or intermediate outcome being </w:t>
            </w:r>
            <w:r>
              <w:lastRenderedPageBreak/>
              <w:t>measured. If not a guideline, summarize the</w:t>
            </w:r>
            <w:r w:rsidR="008427CD">
              <w:t xml:space="preserve"> </w:t>
            </w:r>
            <w:r>
              <w:t>conclusions from the SR.</w:t>
            </w:r>
          </w:p>
        </w:tc>
        <w:tc>
          <w:tcPr>
            <w:tcW w:w="7110" w:type="dxa"/>
          </w:tcPr>
          <w:p w14:paraId="7E53E8DE" w14:textId="77777777" w:rsidR="00EF5E88" w:rsidRPr="009020DF" w:rsidRDefault="00EF5E88" w:rsidP="00315E8D">
            <w:pPr>
              <w:spacing w:before="110" w:after="110"/>
              <w:ind w:left="72" w:right="72"/>
              <w:jc w:val="both"/>
              <w:rPr>
                <w:color w:val="0000FF"/>
              </w:rPr>
            </w:pPr>
            <w:r w:rsidRPr="00EF5E88">
              <w:rPr>
                <w:i/>
                <w:color w:val="0000FF"/>
              </w:rPr>
              <w:lastRenderedPageBreak/>
              <w:t>Guideline 1</w:t>
            </w:r>
            <w:r w:rsidRPr="00EF5E88">
              <w:rPr>
                <w:color w:val="0000FF"/>
              </w:rPr>
              <w:t xml:space="preserve"> recommends that patients undergoing low-risk, non-cardiac surgery should not have stress image testing. </w:t>
            </w:r>
            <w:r w:rsidRPr="00681326">
              <w:rPr>
                <w:color w:val="0000FF"/>
              </w:rPr>
              <w:t xml:space="preserve">For intermediate- to high-risk, non-cardiac surgeries, only patients with one to two clinical risk factors and poor functional capacity should undergo imaging stress testing prior to the non-cardiac surgery. </w:t>
            </w:r>
            <w:r w:rsidRPr="009020DF">
              <w:rPr>
                <w:i/>
                <w:color w:val="0000FF"/>
              </w:rPr>
              <w:lastRenderedPageBreak/>
              <w:t>Guideline 1</w:t>
            </w:r>
            <w:r w:rsidRPr="009020DF">
              <w:rPr>
                <w:color w:val="0000FF"/>
              </w:rPr>
              <w:t xml:space="preserve"> provides four recommendations to support the measure’s clinical intent.</w:t>
            </w:r>
          </w:p>
          <w:p w14:paraId="11744D6F" w14:textId="77777777" w:rsidR="00EF5E88" w:rsidRPr="00EF5E88" w:rsidRDefault="00EF5E88" w:rsidP="00315E8D">
            <w:pPr>
              <w:spacing w:after="110"/>
              <w:ind w:left="72" w:right="72"/>
              <w:jc w:val="both"/>
              <w:rPr>
                <w:color w:val="0000FF"/>
              </w:rPr>
            </w:pPr>
            <w:r w:rsidRPr="001A1F37">
              <w:rPr>
                <w:i/>
                <w:color w:val="0000FF"/>
              </w:rPr>
              <w:t>Guideline 2</w:t>
            </w:r>
            <w:r w:rsidRPr="00FD1480">
              <w:rPr>
                <w:color w:val="0000FF"/>
              </w:rPr>
              <w:t xml:space="preserve"> recommends that patients undergoing low-risk, non-cardiac surgery should not have stress image testing. For patients with elevated risk and poor/unknown functional capacity, it may be reasonable to perform exercise stress-image testing. </w:t>
            </w:r>
            <w:r w:rsidRPr="007D00CD">
              <w:rPr>
                <w:i/>
                <w:color w:val="0000FF"/>
              </w:rPr>
              <w:t>Guideline 2</w:t>
            </w:r>
            <w:r w:rsidRPr="007D00CD">
              <w:rPr>
                <w:color w:val="0000FF"/>
              </w:rPr>
              <w:t xml:space="preserve"> provides five recommendations to support the measure’s clinical intent.</w:t>
            </w:r>
          </w:p>
          <w:p w14:paraId="0FAA10C5" w14:textId="09DC7670" w:rsidR="00822A8D" w:rsidRPr="00EF5E88" w:rsidRDefault="00822A8D" w:rsidP="00315E8D">
            <w:pPr>
              <w:spacing w:after="45"/>
              <w:ind w:left="72" w:right="72"/>
              <w:jc w:val="both"/>
              <w:rPr>
                <w:i/>
                <w:color w:val="0000FF"/>
              </w:rPr>
            </w:pPr>
            <w:r w:rsidRPr="00EF5E88">
              <w:rPr>
                <w:i/>
                <w:color w:val="0000FF"/>
              </w:rPr>
              <w:t xml:space="preserve">Guideline 1 Recommendations: </w:t>
            </w:r>
          </w:p>
          <w:p w14:paraId="0A52060C" w14:textId="3206EED8" w:rsidR="00822A8D" w:rsidRPr="00E01FBD" w:rsidRDefault="00822A8D" w:rsidP="00315E8D">
            <w:pPr>
              <w:pStyle w:val="ListParagraph"/>
              <w:widowControl/>
              <w:numPr>
                <w:ilvl w:val="0"/>
                <w:numId w:val="35"/>
              </w:numPr>
              <w:autoSpaceDE/>
              <w:autoSpaceDN/>
              <w:spacing w:after="45"/>
              <w:ind w:left="432" w:right="72"/>
              <w:jc w:val="both"/>
              <w:rPr>
                <w:color w:val="0000FF"/>
              </w:rPr>
            </w:pPr>
            <w:r w:rsidRPr="00EF5E88">
              <w:rPr>
                <w:color w:val="0000FF"/>
              </w:rPr>
              <w:t>Selected patients with cardiac disease undergoing low-and intermediate-risk non-cardiac surgery may be referred by the anaesthesiologist for cardiological evaluation and medical optimization (Class IIb, Level C; pg. 2388).</w:t>
            </w:r>
          </w:p>
          <w:p w14:paraId="07BEC1D8" w14:textId="38D789E2" w:rsidR="00822A8D" w:rsidRPr="00E01FBD" w:rsidRDefault="00822A8D" w:rsidP="00315E8D">
            <w:pPr>
              <w:pStyle w:val="ListParagraph"/>
              <w:widowControl/>
              <w:numPr>
                <w:ilvl w:val="0"/>
                <w:numId w:val="35"/>
              </w:numPr>
              <w:autoSpaceDE/>
              <w:autoSpaceDN/>
              <w:spacing w:after="45"/>
              <w:ind w:left="432" w:right="72"/>
              <w:jc w:val="both"/>
              <w:rPr>
                <w:color w:val="0000FF"/>
              </w:rPr>
            </w:pPr>
            <w:r w:rsidRPr="00E01FBD">
              <w:rPr>
                <w:color w:val="0000FF"/>
              </w:rPr>
              <w:t>Imaging stress testing is recommended before high-risk surgery in patients with more than two clinical risk factors and poor functional capacity (&lt;4 METs) (Class I, Level C; pg. 2394).</w:t>
            </w:r>
          </w:p>
          <w:p w14:paraId="3C1F39E2" w14:textId="152943F9" w:rsidR="00822A8D" w:rsidRPr="00E01FBD" w:rsidRDefault="00822A8D" w:rsidP="00315E8D">
            <w:pPr>
              <w:pStyle w:val="ListParagraph"/>
              <w:widowControl/>
              <w:numPr>
                <w:ilvl w:val="0"/>
                <w:numId w:val="35"/>
              </w:numPr>
              <w:autoSpaceDE/>
              <w:autoSpaceDN/>
              <w:spacing w:after="45"/>
              <w:ind w:left="432" w:right="72"/>
              <w:jc w:val="both"/>
              <w:rPr>
                <w:color w:val="0000FF"/>
              </w:rPr>
            </w:pPr>
            <w:r w:rsidRPr="00E01FBD">
              <w:rPr>
                <w:color w:val="0000FF"/>
              </w:rPr>
              <w:t>Imaging stress testing may be considered before high- or intermediate-risk surgery in patients with one or two clinical risk factors and poor functional capacity (&lt;4 METs) (Class IIb, Level C; pg. 2394).</w:t>
            </w:r>
          </w:p>
          <w:p w14:paraId="14FC78B5" w14:textId="7D398B7F" w:rsidR="00822A8D" w:rsidRPr="00681326" w:rsidRDefault="00822A8D" w:rsidP="00315E8D">
            <w:pPr>
              <w:pStyle w:val="ListParagraph"/>
              <w:widowControl/>
              <w:numPr>
                <w:ilvl w:val="0"/>
                <w:numId w:val="35"/>
              </w:numPr>
              <w:autoSpaceDE/>
              <w:autoSpaceDN/>
              <w:spacing w:after="110"/>
              <w:ind w:left="432" w:right="72"/>
              <w:jc w:val="both"/>
              <w:rPr>
                <w:color w:val="0000FF"/>
              </w:rPr>
            </w:pPr>
            <w:r w:rsidRPr="00681326">
              <w:rPr>
                <w:color w:val="0000FF"/>
              </w:rPr>
              <w:t xml:space="preserve">Imaging stress testing is not recommended before low-risk surgery, regardless of the patient’s clinical risk (Class III, Level C; pg. 2394). </w:t>
            </w:r>
          </w:p>
          <w:p w14:paraId="34AF76EB" w14:textId="77777777" w:rsidR="00822A8D" w:rsidRPr="009020DF" w:rsidRDefault="00822A8D" w:rsidP="00315E8D">
            <w:pPr>
              <w:spacing w:after="110"/>
              <w:ind w:left="72" w:right="72"/>
              <w:jc w:val="both"/>
              <w:rPr>
                <w:color w:val="0000FF"/>
              </w:rPr>
            </w:pPr>
            <w:r w:rsidRPr="00681326">
              <w:rPr>
                <w:color w:val="0000FF"/>
                <w:u w:val="single"/>
              </w:rPr>
              <w:t>Guideline 1</w:t>
            </w:r>
            <w:r w:rsidRPr="009020DF">
              <w:rPr>
                <w:color w:val="0000FF"/>
              </w:rPr>
              <w:t xml:space="preserve">: European Society of Cardiology/European Society of Anaesthesiology </w:t>
            </w:r>
          </w:p>
          <w:p w14:paraId="4A71F3EE" w14:textId="77777777" w:rsidR="00822A8D" w:rsidRPr="00E70AEE" w:rsidRDefault="00822A8D" w:rsidP="00315E8D">
            <w:pPr>
              <w:spacing w:after="110"/>
              <w:ind w:left="72" w:right="72"/>
              <w:jc w:val="both"/>
              <w:rPr>
                <w:color w:val="0000FF"/>
              </w:rPr>
            </w:pPr>
            <w:r w:rsidRPr="00E70AEE">
              <w:rPr>
                <w:color w:val="0000FF"/>
              </w:rPr>
              <w:t>Surgical risk estimate according to type of surgery or intervention:</w:t>
            </w:r>
          </w:p>
          <w:p w14:paraId="10A7D425" w14:textId="77777777" w:rsidR="00822A8D" w:rsidRPr="001A1F37" w:rsidRDefault="00822A8D" w:rsidP="00315E8D">
            <w:pPr>
              <w:spacing w:after="110"/>
              <w:ind w:left="72" w:right="72"/>
              <w:jc w:val="both"/>
              <w:rPr>
                <w:i/>
                <w:color w:val="0000FF"/>
              </w:rPr>
            </w:pPr>
            <w:r w:rsidRPr="001A1F37">
              <w:rPr>
                <w:i/>
                <w:color w:val="0000FF"/>
              </w:rPr>
              <w:t>Low Risk (&lt;1%)</w:t>
            </w:r>
          </w:p>
          <w:p w14:paraId="11824B63" w14:textId="77777777" w:rsidR="00822A8D" w:rsidRPr="00FD1480" w:rsidRDefault="00822A8D" w:rsidP="00315E8D">
            <w:pPr>
              <w:pStyle w:val="ListParagraph"/>
              <w:widowControl/>
              <w:numPr>
                <w:ilvl w:val="0"/>
                <w:numId w:val="32"/>
              </w:numPr>
              <w:autoSpaceDE/>
              <w:autoSpaceDN/>
              <w:spacing w:after="45"/>
              <w:ind w:left="432" w:right="72"/>
              <w:jc w:val="both"/>
              <w:rPr>
                <w:color w:val="0000FF"/>
              </w:rPr>
            </w:pPr>
            <w:r w:rsidRPr="00FD1480">
              <w:rPr>
                <w:color w:val="0000FF"/>
              </w:rPr>
              <w:t>Superficial surgery</w:t>
            </w:r>
          </w:p>
          <w:p w14:paraId="4E92D46E" w14:textId="77777777" w:rsidR="00822A8D" w:rsidRPr="007D00CD" w:rsidRDefault="00822A8D" w:rsidP="00315E8D">
            <w:pPr>
              <w:pStyle w:val="ListParagraph"/>
              <w:widowControl/>
              <w:numPr>
                <w:ilvl w:val="0"/>
                <w:numId w:val="32"/>
              </w:numPr>
              <w:autoSpaceDE/>
              <w:autoSpaceDN/>
              <w:spacing w:after="45"/>
              <w:ind w:left="432" w:right="72"/>
              <w:jc w:val="both"/>
              <w:rPr>
                <w:color w:val="0000FF"/>
              </w:rPr>
            </w:pPr>
            <w:r w:rsidRPr="007D00CD">
              <w:rPr>
                <w:color w:val="0000FF"/>
              </w:rPr>
              <w:t>Breast</w:t>
            </w:r>
          </w:p>
          <w:p w14:paraId="71EC5407"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Dental</w:t>
            </w:r>
          </w:p>
          <w:p w14:paraId="1260891B"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Endocrine: thyroid</w:t>
            </w:r>
          </w:p>
          <w:p w14:paraId="1C788E54"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Eye</w:t>
            </w:r>
          </w:p>
          <w:p w14:paraId="57F8E4DC"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Reconstructive</w:t>
            </w:r>
          </w:p>
          <w:p w14:paraId="0270BC8B"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Carotid asymptomatic (CEA or CAS)</w:t>
            </w:r>
          </w:p>
          <w:p w14:paraId="39FDD433"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Gynaecology: minor</w:t>
            </w:r>
          </w:p>
          <w:p w14:paraId="59C268BE" w14:textId="77777777" w:rsidR="00822A8D" w:rsidRPr="00EF5E88" w:rsidRDefault="00822A8D" w:rsidP="00315E8D">
            <w:pPr>
              <w:pStyle w:val="ListParagraph"/>
              <w:widowControl/>
              <w:numPr>
                <w:ilvl w:val="0"/>
                <w:numId w:val="32"/>
              </w:numPr>
              <w:autoSpaceDE/>
              <w:autoSpaceDN/>
              <w:spacing w:after="45"/>
              <w:ind w:left="432" w:right="72"/>
              <w:jc w:val="both"/>
              <w:rPr>
                <w:color w:val="0000FF"/>
              </w:rPr>
            </w:pPr>
            <w:r w:rsidRPr="00EF5E88">
              <w:rPr>
                <w:color w:val="0000FF"/>
              </w:rPr>
              <w:t>Orthopaedic: minor (meniscectomy)</w:t>
            </w:r>
          </w:p>
          <w:p w14:paraId="1239250E" w14:textId="77777777" w:rsidR="00822A8D" w:rsidRPr="00EF5E88" w:rsidRDefault="00822A8D" w:rsidP="00315E8D">
            <w:pPr>
              <w:pStyle w:val="ListParagraph"/>
              <w:widowControl/>
              <w:numPr>
                <w:ilvl w:val="0"/>
                <w:numId w:val="32"/>
              </w:numPr>
              <w:autoSpaceDE/>
              <w:autoSpaceDN/>
              <w:spacing w:after="110"/>
              <w:ind w:left="432" w:right="72"/>
              <w:jc w:val="both"/>
              <w:rPr>
                <w:color w:val="0000FF"/>
              </w:rPr>
            </w:pPr>
            <w:r w:rsidRPr="00EF5E88">
              <w:rPr>
                <w:color w:val="0000FF"/>
              </w:rPr>
              <w:t>Urological: minor (transurethral resection of the prostate)</w:t>
            </w:r>
          </w:p>
          <w:p w14:paraId="354F505F" w14:textId="77777777" w:rsidR="00822A8D" w:rsidRPr="00EF5E88" w:rsidRDefault="00822A8D" w:rsidP="00315E8D">
            <w:pPr>
              <w:spacing w:after="45"/>
              <w:ind w:left="72" w:right="72"/>
              <w:jc w:val="both"/>
              <w:rPr>
                <w:i/>
                <w:color w:val="0000FF"/>
              </w:rPr>
            </w:pPr>
            <w:r w:rsidRPr="00EF5E88">
              <w:rPr>
                <w:i/>
                <w:color w:val="0000FF"/>
              </w:rPr>
              <w:t>Intermediate Risk (1% to 5%)</w:t>
            </w:r>
          </w:p>
          <w:p w14:paraId="3ECB0E86"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Intraperitoneal: splenectomy, hiatal hernia repair, cholecystectomy</w:t>
            </w:r>
          </w:p>
          <w:p w14:paraId="0EF9057F"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Carotid symptomatic (CEA or CAS)</w:t>
            </w:r>
          </w:p>
          <w:p w14:paraId="02549250"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Peripheral arterial angioplasty</w:t>
            </w:r>
          </w:p>
          <w:p w14:paraId="017DAAE2"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Endovascular aneurysm repair</w:t>
            </w:r>
          </w:p>
          <w:p w14:paraId="4D114CD6"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Head and neck surgery</w:t>
            </w:r>
          </w:p>
          <w:p w14:paraId="2BBD8913"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Neurological or orthopaedic: major (hip and spine surgery)</w:t>
            </w:r>
          </w:p>
          <w:p w14:paraId="214074BF"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Urological or gynaecological: major</w:t>
            </w:r>
          </w:p>
          <w:p w14:paraId="40CB8ADE"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Renal transplant</w:t>
            </w:r>
          </w:p>
          <w:p w14:paraId="5B9B4B6D" w14:textId="77777777" w:rsidR="00822A8D" w:rsidRPr="00EF5E88" w:rsidRDefault="00822A8D" w:rsidP="00315E8D">
            <w:pPr>
              <w:pStyle w:val="ListParagraph"/>
              <w:widowControl/>
              <w:numPr>
                <w:ilvl w:val="0"/>
                <w:numId w:val="33"/>
              </w:numPr>
              <w:autoSpaceDE/>
              <w:autoSpaceDN/>
              <w:spacing w:after="45"/>
              <w:ind w:left="432" w:right="72"/>
              <w:jc w:val="both"/>
              <w:rPr>
                <w:color w:val="0000FF"/>
              </w:rPr>
            </w:pPr>
            <w:r w:rsidRPr="00EF5E88">
              <w:rPr>
                <w:color w:val="0000FF"/>
              </w:rPr>
              <w:t>Intra-thoracic: non-major</w:t>
            </w:r>
          </w:p>
          <w:p w14:paraId="6FA97A33" w14:textId="77777777" w:rsidR="00822A8D" w:rsidRPr="00EF5E88" w:rsidRDefault="00822A8D" w:rsidP="00315E8D">
            <w:pPr>
              <w:spacing w:after="45"/>
              <w:ind w:left="72" w:right="72"/>
              <w:jc w:val="both"/>
              <w:rPr>
                <w:i/>
                <w:color w:val="0000FF"/>
              </w:rPr>
            </w:pPr>
            <w:r w:rsidRPr="00EF5E88">
              <w:rPr>
                <w:i/>
                <w:color w:val="0000FF"/>
              </w:rPr>
              <w:lastRenderedPageBreak/>
              <w:t>High-risk (&gt;5%)</w:t>
            </w:r>
          </w:p>
          <w:p w14:paraId="53C1DC0E"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Aortic and major vascular surgery</w:t>
            </w:r>
          </w:p>
          <w:p w14:paraId="4F23E3B8"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Open lower limb revascularization or amputation or thromboembolectomy</w:t>
            </w:r>
          </w:p>
          <w:p w14:paraId="2EE3F37E"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Duodeno-pancreatic surgery</w:t>
            </w:r>
          </w:p>
          <w:p w14:paraId="7A0106F5"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Liver resection, bile duct surgery</w:t>
            </w:r>
          </w:p>
          <w:p w14:paraId="1474CB36"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Oesophagectomy</w:t>
            </w:r>
          </w:p>
          <w:p w14:paraId="5FA480CD"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Repair of perforated bowel</w:t>
            </w:r>
          </w:p>
          <w:p w14:paraId="44EE1C6D"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Adrenal resection</w:t>
            </w:r>
          </w:p>
          <w:p w14:paraId="7DC56746"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Total cystectomy</w:t>
            </w:r>
          </w:p>
          <w:p w14:paraId="1917D4EE" w14:textId="77777777" w:rsidR="00822A8D" w:rsidRPr="00EF5E88" w:rsidRDefault="00822A8D" w:rsidP="00315E8D">
            <w:pPr>
              <w:pStyle w:val="ListParagraph"/>
              <w:widowControl/>
              <w:numPr>
                <w:ilvl w:val="0"/>
                <w:numId w:val="34"/>
              </w:numPr>
              <w:autoSpaceDE/>
              <w:autoSpaceDN/>
              <w:spacing w:after="45"/>
              <w:ind w:left="432" w:right="72"/>
              <w:jc w:val="both"/>
              <w:rPr>
                <w:color w:val="0000FF"/>
              </w:rPr>
            </w:pPr>
            <w:r w:rsidRPr="00EF5E88">
              <w:rPr>
                <w:color w:val="0000FF"/>
              </w:rPr>
              <w:t>Pneumonectomy</w:t>
            </w:r>
          </w:p>
          <w:p w14:paraId="42506289" w14:textId="77777777" w:rsidR="00822A8D" w:rsidRPr="00EF5E88" w:rsidRDefault="00822A8D" w:rsidP="00315E8D">
            <w:pPr>
              <w:pStyle w:val="ListParagraph"/>
              <w:widowControl/>
              <w:numPr>
                <w:ilvl w:val="0"/>
                <w:numId w:val="34"/>
              </w:numPr>
              <w:autoSpaceDE/>
              <w:autoSpaceDN/>
              <w:spacing w:after="110"/>
              <w:ind w:left="432" w:right="72"/>
              <w:jc w:val="both"/>
              <w:rPr>
                <w:color w:val="0000FF"/>
              </w:rPr>
            </w:pPr>
            <w:r w:rsidRPr="00EF5E88">
              <w:rPr>
                <w:color w:val="0000FF"/>
              </w:rPr>
              <w:t>Pulmonary or liver transplant</w:t>
            </w:r>
          </w:p>
          <w:p w14:paraId="0F6540FE" w14:textId="6A118AB3" w:rsidR="00822A8D" w:rsidRPr="00EF5E88" w:rsidDel="003C6EA0" w:rsidRDefault="00822A8D" w:rsidP="00315E8D">
            <w:pPr>
              <w:spacing w:after="45"/>
              <w:ind w:left="72" w:right="72"/>
              <w:jc w:val="both"/>
              <w:rPr>
                <w:color w:val="0000FF"/>
              </w:rPr>
            </w:pPr>
            <w:r w:rsidRPr="00EF5E88" w:rsidDel="003C6EA0">
              <w:rPr>
                <w:color w:val="0000FF"/>
                <w:u w:val="single"/>
              </w:rPr>
              <w:t xml:space="preserve">Guideline </w:t>
            </w:r>
            <w:r w:rsidRPr="00EF5E88">
              <w:rPr>
                <w:color w:val="0000FF"/>
                <w:u w:val="single"/>
              </w:rPr>
              <w:t>#</w:t>
            </w:r>
            <w:r w:rsidRPr="00EF5E88" w:rsidDel="003C6EA0">
              <w:rPr>
                <w:color w:val="0000FF"/>
                <w:u w:val="single"/>
              </w:rPr>
              <w:t>2</w:t>
            </w:r>
            <w:r w:rsidRPr="00EF5E88">
              <w:rPr>
                <w:color w:val="0000FF"/>
                <w:u w:val="single"/>
              </w:rPr>
              <w:t xml:space="preserve"> Recommendations</w:t>
            </w:r>
            <w:r w:rsidRPr="00EF5E88" w:rsidDel="003C6EA0">
              <w:rPr>
                <w:color w:val="0000FF"/>
              </w:rPr>
              <w:t xml:space="preserve">: </w:t>
            </w:r>
            <w:r w:rsidRPr="00EF5E88">
              <w:rPr>
                <w:color w:val="0000FF"/>
              </w:rPr>
              <w:t xml:space="preserve"> </w:t>
            </w:r>
            <w:r w:rsidRPr="00EF5E88" w:rsidDel="003C6EA0">
              <w:rPr>
                <w:color w:val="0000FF"/>
              </w:rPr>
              <w:t>American College of Cardiology/American Heart Association</w:t>
            </w:r>
          </w:p>
          <w:p w14:paraId="3A7B07CC" w14:textId="77777777" w:rsidR="00822A8D" w:rsidRPr="00EF5E88" w:rsidDel="003C6EA0" w:rsidRDefault="00822A8D" w:rsidP="00315E8D">
            <w:pPr>
              <w:pStyle w:val="ListParagraph"/>
              <w:widowControl/>
              <w:numPr>
                <w:ilvl w:val="0"/>
                <w:numId w:val="36"/>
              </w:numPr>
              <w:autoSpaceDE/>
              <w:autoSpaceDN/>
              <w:spacing w:after="45"/>
              <w:ind w:left="432" w:right="72"/>
              <w:jc w:val="both"/>
              <w:rPr>
                <w:color w:val="0000FF"/>
              </w:rPr>
            </w:pPr>
            <w:r w:rsidRPr="00EF5E88" w:rsidDel="003C6EA0">
              <w:rPr>
                <w:color w:val="0000FF"/>
              </w:rPr>
              <w:t>For patients with elevated risk and excellent functional capacity, it is reasonable to forgo further exercise testing and proceed to surgery (Class IIa, Level B; pg. e96).</w:t>
            </w:r>
          </w:p>
          <w:p w14:paraId="1CE6E771" w14:textId="77777777" w:rsidR="00822A8D" w:rsidRPr="00EF5E88" w:rsidDel="003C6EA0" w:rsidRDefault="00822A8D" w:rsidP="00315E8D">
            <w:pPr>
              <w:pStyle w:val="ListParagraph"/>
              <w:widowControl/>
              <w:numPr>
                <w:ilvl w:val="0"/>
                <w:numId w:val="36"/>
              </w:numPr>
              <w:autoSpaceDE/>
              <w:autoSpaceDN/>
              <w:spacing w:after="45"/>
              <w:ind w:left="432" w:right="72"/>
              <w:jc w:val="both"/>
              <w:rPr>
                <w:color w:val="0000FF"/>
              </w:rPr>
            </w:pPr>
            <w:r w:rsidRPr="00EF5E88" w:rsidDel="003C6EA0">
              <w:rPr>
                <w:color w:val="0000FF"/>
              </w:rPr>
              <w:t>For patients with elevated risk and unknown functional capacity it may be reasonable to perform exercise testing to assess for functional capacity if it will change management (Class IIb, Level B; pg. 396).</w:t>
            </w:r>
          </w:p>
          <w:p w14:paraId="614994B8" w14:textId="77777777" w:rsidR="00822A8D" w:rsidRPr="00EF5E88" w:rsidDel="003C6EA0" w:rsidRDefault="00822A8D" w:rsidP="00315E8D">
            <w:pPr>
              <w:pStyle w:val="ListParagraph"/>
              <w:widowControl/>
              <w:numPr>
                <w:ilvl w:val="0"/>
                <w:numId w:val="36"/>
              </w:numPr>
              <w:autoSpaceDE/>
              <w:autoSpaceDN/>
              <w:spacing w:after="45"/>
              <w:ind w:left="432" w:right="72"/>
              <w:jc w:val="both"/>
              <w:rPr>
                <w:color w:val="0000FF"/>
              </w:rPr>
            </w:pPr>
            <w:r w:rsidRPr="00EF5E88" w:rsidDel="003C6EA0">
              <w:rPr>
                <w:color w:val="0000FF"/>
              </w:rPr>
              <w:t>For patients with elevated risk and moderate to good functional capacity, it may be reasonable to forgo further exercise testing and proceed to surgery (Class IIb, Level B; pg. e96).</w:t>
            </w:r>
          </w:p>
          <w:p w14:paraId="1042BE33" w14:textId="5B7506CC" w:rsidR="00E01FBD" w:rsidRPr="00681326" w:rsidRDefault="00822A8D" w:rsidP="00315E8D">
            <w:pPr>
              <w:pStyle w:val="ListParagraph"/>
              <w:widowControl/>
              <w:numPr>
                <w:ilvl w:val="0"/>
                <w:numId w:val="36"/>
              </w:numPr>
              <w:autoSpaceDE/>
              <w:autoSpaceDN/>
              <w:spacing w:after="45"/>
              <w:ind w:left="432" w:right="72"/>
              <w:jc w:val="both"/>
              <w:rPr>
                <w:color w:val="0000FF"/>
              </w:rPr>
            </w:pPr>
            <w:r w:rsidRPr="00EF5E88" w:rsidDel="003C6EA0">
              <w:rPr>
                <w:color w:val="0000FF"/>
              </w:rPr>
              <w:t>For patients with elevated risk and poor or unknown functional capacity it may be reasonable to perform exercise testing with cardiac imaging to assess for myocardial ischemia (Class IIb, Level C; pg. e96).</w:t>
            </w:r>
          </w:p>
          <w:p w14:paraId="20CC3607" w14:textId="3392A2F1" w:rsidR="00E01FBD" w:rsidRPr="001A37D9" w:rsidRDefault="00822A8D" w:rsidP="00315E8D">
            <w:pPr>
              <w:pStyle w:val="ListParagraph"/>
              <w:widowControl/>
              <w:numPr>
                <w:ilvl w:val="0"/>
                <w:numId w:val="36"/>
              </w:numPr>
              <w:autoSpaceDE/>
              <w:autoSpaceDN/>
              <w:spacing w:after="220"/>
              <w:ind w:left="432" w:right="72"/>
              <w:jc w:val="both"/>
              <w:rPr>
                <w:i/>
                <w:color w:val="0000FF"/>
              </w:rPr>
            </w:pPr>
            <w:r w:rsidRPr="001A37D9" w:rsidDel="003C6EA0">
              <w:rPr>
                <w:color w:val="0000FF"/>
              </w:rPr>
              <w:t>Routine screening with noninvasive stress testing is not useful for low-risk noncardiac surgery (Class III, Level B; pg. e96).</w:t>
            </w:r>
          </w:p>
          <w:p w14:paraId="5088874D" w14:textId="77777777" w:rsidR="00E01FBD" w:rsidRPr="001A37D9" w:rsidRDefault="00E01FBD" w:rsidP="00315E8D">
            <w:pPr>
              <w:widowControl/>
              <w:autoSpaceDE/>
              <w:autoSpaceDN/>
              <w:spacing w:after="110"/>
              <w:ind w:left="72" w:right="72"/>
              <w:jc w:val="both"/>
              <w:rPr>
                <w:color w:val="FF0000"/>
              </w:rPr>
            </w:pPr>
            <w:r w:rsidRPr="001A37D9">
              <w:rPr>
                <w:i/>
                <w:color w:val="FF0000"/>
              </w:rPr>
              <w:t>Guideline 1</w:t>
            </w:r>
            <w:r w:rsidRPr="001A37D9">
              <w:rPr>
                <w:color w:val="FF0000"/>
              </w:rPr>
              <w:t xml:space="preserve"> recommends that patients undergoing low-risk, non-cardiac surgery should not have stress image testing. For intermediate- to high-risk, non-cardiac surgeries, only patients with one to two clinical risk factors and poor functional capacity should undergo imaging stress testing prior to the non-cardiac surgery. </w:t>
            </w:r>
            <w:r w:rsidRPr="001A37D9">
              <w:rPr>
                <w:i/>
                <w:color w:val="FF0000"/>
              </w:rPr>
              <w:t xml:space="preserve">Guideline 1 </w:t>
            </w:r>
            <w:r w:rsidRPr="001A37D9">
              <w:rPr>
                <w:color w:val="FF0000"/>
              </w:rPr>
              <w:t>provides four recommendations to support the measure’s clinical intent.</w:t>
            </w:r>
          </w:p>
          <w:p w14:paraId="54BBCF06" w14:textId="77777777" w:rsidR="00E01FBD" w:rsidRPr="001A37D9" w:rsidRDefault="00E01FBD" w:rsidP="00315E8D">
            <w:pPr>
              <w:widowControl/>
              <w:autoSpaceDE/>
              <w:autoSpaceDN/>
              <w:spacing w:after="110"/>
              <w:ind w:left="72" w:right="72"/>
              <w:jc w:val="both"/>
              <w:rPr>
                <w:color w:val="FF0000"/>
              </w:rPr>
            </w:pPr>
            <w:r w:rsidRPr="001A37D9">
              <w:rPr>
                <w:i/>
                <w:color w:val="FF0000"/>
              </w:rPr>
              <w:t>Guideline 2</w:t>
            </w:r>
            <w:r w:rsidRPr="001A37D9">
              <w:rPr>
                <w:color w:val="FF0000"/>
              </w:rPr>
              <w:t xml:space="preserve"> recommends that patients undergoing low-risk, non-cardiac surgery should not have stress image testing. For patients with elevated risk and poor/unknown functional capacity, it may be reasonable to perform exercise stress-image testing. </w:t>
            </w:r>
            <w:r w:rsidRPr="001A37D9">
              <w:rPr>
                <w:i/>
                <w:color w:val="FF0000"/>
              </w:rPr>
              <w:t>Guideline 2</w:t>
            </w:r>
            <w:r w:rsidRPr="001A37D9">
              <w:rPr>
                <w:color w:val="FF0000"/>
              </w:rPr>
              <w:t xml:space="preserve"> provides five recommendations to support the measure’s clinical intent.</w:t>
            </w:r>
          </w:p>
          <w:p w14:paraId="19509E71" w14:textId="77777777" w:rsidR="00E01FBD" w:rsidRPr="001A37D9" w:rsidRDefault="00E01FBD" w:rsidP="00315E8D">
            <w:pPr>
              <w:widowControl/>
              <w:autoSpaceDE/>
              <w:autoSpaceDN/>
              <w:spacing w:after="45"/>
              <w:ind w:left="72" w:right="72"/>
              <w:jc w:val="both"/>
              <w:rPr>
                <w:i/>
                <w:color w:val="FF0000"/>
              </w:rPr>
            </w:pPr>
            <w:r w:rsidRPr="001A37D9">
              <w:rPr>
                <w:i/>
                <w:color w:val="FF0000"/>
              </w:rPr>
              <w:t xml:space="preserve">Guideline 1 Recommendations: </w:t>
            </w:r>
          </w:p>
          <w:p w14:paraId="20E58EC2" w14:textId="77777777" w:rsidR="009D721B" w:rsidRPr="001A37D9" w:rsidRDefault="00E01FBD" w:rsidP="00315E8D">
            <w:pPr>
              <w:pStyle w:val="ListParagraph"/>
              <w:widowControl/>
              <w:numPr>
                <w:ilvl w:val="0"/>
                <w:numId w:val="39"/>
              </w:numPr>
              <w:autoSpaceDE/>
              <w:autoSpaceDN/>
              <w:spacing w:after="45"/>
              <w:ind w:left="432" w:right="72"/>
              <w:jc w:val="both"/>
              <w:rPr>
                <w:color w:val="FF0000"/>
              </w:rPr>
            </w:pPr>
            <w:r w:rsidRPr="001A37D9">
              <w:rPr>
                <w:color w:val="FF0000"/>
              </w:rPr>
              <w:t>Selected patients with cardiac disease undergoing low-and intermediate-risk non-cardiac surgery may be referred by the anaesthesiologist for cardiological evaluation and medical optimization (Class IIb, Level C; pg. 2388).</w:t>
            </w:r>
          </w:p>
          <w:p w14:paraId="66B95841" w14:textId="77777777" w:rsidR="009D721B" w:rsidRPr="001A37D9" w:rsidRDefault="00E01FBD" w:rsidP="00315E8D">
            <w:pPr>
              <w:pStyle w:val="ListParagraph"/>
              <w:widowControl/>
              <w:numPr>
                <w:ilvl w:val="0"/>
                <w:numId w:val="39"/>
              </w:numPr>
              <w:autoSpaceDE/>
              <w:autoSpaceDN/>
              <w:spacing w:after="45"/>
              <w:ind w:left="432" w:right="72"/>
              <w:jc w:val="both"/>
              <w:rPr>
                <w:color w:val="FF0000"/>
              </w:rPr>
            </w:pPr>
            <w:r w:rsidRPr="001A37D9">
              <w:rPr>
                <w:color w:val="FF0000"/>
              </w:rPr>
              <w:t>Imaging stress testing is recommended before high-risk surgery in patients with more than two clinical risk factors and poor functional capacity (&lt;4 METs) (Class I, Level C; pg. 2394).</w:t>
            </w:r>
          </w:p>
          <w:p w14:paraId="6FD52CF8" w14:textId="77777777" w:rsidR="009D721B" w:rsidRPr="001A37D9" w:rsidRDefault="00E01FBD" w:rsidP="00315E8D">
            <w:pPr>
              <w:pStyle w:val="ListParagraph"/>
              <w:widowControl/>
              <w:numPr>
                <w:ilvl w:val="0"/>
                <w:numId w:val="39"/>
              </w:numPr>
              <w:autoSpaceDE/>
              <w:autoSpaceDN/>
              <w:spacing w:after="45"/>
              <w:ind w:left="432" w:right="72"/>
              <w:jc w:val="both"/>
              <w:rPr>
                <w:color w:val="FF0000"/>
              </w:rPr>
            </w:pPr>
            <w:r w:rsidRPr="001A37D9">
              <w:rPr>
                <w:color w:val="FF0000"/>
              </w:rPr>
              <w:lastRenderedPageBreak/>
              <w:t>Imaging stress testing may be considered before high- or intermediate-risk surgery in patients with one or two clinical risk factors and poor functional capacity (&lt;4 METs) (Class IIb, Level C; pg. 2394).</w:t>
            </w:r>
          </w:p>
          <w:p w14:paraId="31A796F0" w14:textId="4F28EB3C" w:rsidR="00E01FBD" w:rsidRPr="001A37D9" w:rsidRDefault="00E01FBD" w:rsidP="00315E8D">
            <w:pPr>
              <w:pStyle w:val="ListParagraph"/>
              <w:widowControl/>
              <w:numPr>
                <w:ilvl w:val="0"/>
                <w:numId w:val="39"/>
              </w:numPr>
              <w:autoSpaceDE/>
              <w:autoSpaceDN/>
              <w:spacing w:after="110"/>
              <w:ind w:left="432" w:right="72"/>
              <w:jc w:val="both"/>
              <w:rPr>
                <w:color w:val="FF0000"/>
              </w:rPr>
            </w:pPr>
            <w:r w:rsidRPr="001A37D9">
              <w:rPr>
                <w:color w:val="FF0000"/>
              </w:rPr>
              <w:t xml:space="preserve">Imaging stress testing is not recommended before low-risk surgery, regardless of the patient’s clinical risk (Class III, Level C; pg. 2394). </w:t>
            </w:r>
          </w:p>
          <w:p w14:paraId="05564CA2" w14:textId="43A235F4" w:rsidR="00E01FBD" w:rsidRPr="001A37D9" w:rsidRDefault="00E01FBD" w:rsidP="00315E8D">
            <w:pPr>
              <w:widowControl/>
              <w:autoSpaceDE/>
              <w:autoSpaceDN/>
              <w:spacing w:after="45"/>
              <w:ind w:left="72" w:right="72"/>
              <w:jc w:val="both"/>
              <w:rPr>
                <w:color w:val="FF0000"/>
                <w:u w:val="single"/>
              </w:rPr>
            </w:pPr>
            <w:r w:rsidRPr="001A37D9">
              <w:rPr>
                <w:color w:val="FF0000"/>
                <w:u w:val="single"/>
              </w:rPr>
              <w:t>Guideline 1</w:t>
            </w:r>
            <w:r w:rsidRPr="001A37D9">
              <w:rPr>
                <w:color w:val="FF0000"/>
              </w:rPr>
              <w:t>: European Society of Cardiology/</w:t>
            </w:r>
            <w:r w:rsidR="00A75AF9">
              <w:rPr>
                <w:color w:val="FF0000"/>
              </w:rPr>
              <w:t xml:space="preserve"> </w:t>
            </w:r>
            <w:r w:rsidRPr="001A37D9">
              <w:rPr>
                <w:color w:val="FF0000"/>
              </w:rPr>
              <w:t xml:space="preserve">European Society of </w:t>
            </w:r>
            <w:r w:rsidR="00A75AF9" w:rsidRPr="001A37D9">
              <w:rPr>
                <w:color w:val="FF0000"/>
              </w:rPr>
              <w:t>Anesthesiology</w:t>
            </w:r>
          </w:p>
          <w:p w14:paraId="5AC6955A" w14:textId="77777777" w:rsidR="00E01FBD" w:rsidRPr="001A37D9" w:rsidRDefault="00E01FBD" w:rsidP="00A75AF9">
            <w:pPr>
              <w:widowControl/>
              <w:autoSpaceDE/>
              <w:autoSpaceDN/>
              <w:spacing w:after="110"/>
              <w:ind w:left="72" w:right="72"/>
              <w:jc w:val="both"/>
              <w:rPr>
                <w:color w:val="FF0000"/>
              </w:rPr>
            </w:pPr>
            <w:r w:rsidRPr="001A37D9">
              <w:rPr>
                <w:color w:val="FF0000"/>
              </w:rPr>
              <w:t>Surgical risk estimate according to type of surgery or intervention:</w:t>
            </w:r>
          </w:p>
          <w:p w14:paraId="0F5C87DF" w14:textId="77777777" w:rsidR="00E01FBD" w:rsidRPr="00A75AF9" w:rsidRDefault="00E01FBD" w:rsidP="00A75AF9">
            <w:pPr>
              <w:widowControl/>
              <w:autoSpaceDE/>
              <w:autoSpaceDN/>
              <w:spacing w:after="45"/>
              <w:ind w:left="72" w:right="72"/>
              <w:jc w:val="both"/>
              <w:rPr>
                <w:i/>
                <w:color w:val="FF0000"/>
              </w:rPr>
            </w:pPr>
            <w:r w:rsidRPr="00A75AF9">
              <w:rPr>
                <w:i/>
                <w:color w:val="FF0000"/>
              </w:rPr>
              <w:t>Low Risk (&lt;1%)</w:t>
            </w:r>
          </w:p>
          <w:p w14:paraId="062DD11C"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Superficial surgery</w:t>
            </w:r>
          </w:p>
          <w:p w14:paraId="32C0F5E2"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Breast</w:t>
            </w:r>
          </w:p>
          <w:p w14:paraId="1FB6F1A1"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Dental</w:t>
            </w:r>
          </w:p>
          <w:p w14:paraId="16269981"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Endocrine: thyroid</w:t>
            </w:r>
          </w:p>
          <w:p w14:paraId="69556253"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Eye</w:t>
            </w:r>
          </w:p>
          <w:p w14:paraId="3B5B1D0A"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Reconstructive</w:t>
            </w:r>
          </w:p>
          <w:p w14:paraId="766F87DA"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Carotid asymptomatic (CEA or CAS)</w:t>
            </w:r>
          </w:p>
          <w:p w14:paraId="492A6142"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Gynaecology: minor</w:t>
            </w:r>
          </w:p>
          <w:p w14:paraId="51552701" w14:textId="77777777" w:rsidR="009D721B" w:rsidRPr="001A37D9" w:rsidRDefault="00E01FBD" w:rsidP="00A75AF9">
            <w:pPr>
              <w:pStyle w:val="ListParagraph"/>
              <w:widowControl/>
              <w:numPr>
                <w:ilvl w:val="0"/>
                <w:numId w:val="40"/>
              </w:numPr>
              <w:autoSpaceDE/>
              <w:autoSpaceDN/>
              <w:spacing w:after="45"/>
              <w:ind w:left="432" w:right="72"/>
              <w:jc w:val="both"/>
              <w:rPr>
                <w:color w:val="FF0000"/>
              </w:rPr>
            </w:pPr>
            <w:r w:rsidRPr="001A37D9">
              <w:rPr>
                <w:color w:val="FF0000"/>
              </w:rPr>
              <w:t>Orthopaedic: minor (meniscectomy)</w:t>
            </w:r>
          </w:p>
          <w:p w14:paraId="7F3D9571" w14:textId="181DFBE4" w:rsidR="00E01FBD" w:rsidRPr="001A37D9" w:rsidRDefault="00E01FBD" w:rsidP="00A75AF9">
            <w:pPr>
              <w:pStyle w:val="ListParagraph"/>
              <w:widowControl/>
              <w:numPr>
                <w:ilvl w:val="0"/>
                <w:numId w:val="40"/>
              </w:numPr>
              <w:autoSpaceDE/>
              <w:autoSpaceDN/>
              <w:spacing w:after="110"/>
              <w:ind w:left="432" w:right="72"/>
              <w:jc w:val="both"/>
              <w:rPr>
                <w:color w:val="FF0000"/>
              </w:rPr>
            </w:pPr>
            <w:r w:rsidRPr="001A37D9">
              <w:rPr>
                <w:color w:val="FF0000"/>
              </w:rPr>
              <w:t>Urological: minor (transurethral resection of the prostate)</w:t>
            </w:r>
          </w:p>
          <w:p w14:paraId="789B0709" w14:textId="77777777" w:rsidR="00E01FBD" w:rsidRPr="00331DA5" w:rsidRDefault="00E01FBD" w:rsidP="00331DA5">
            <w:pPr>
              <w:widowControl/>
              <w:autoSpaceDE/>
              <w:autoSpaceDN/>
              <w:spacing w:after="45"/>
              <w:ind w:left="72" w:right="72"/>
              <w:jc w:val="both"/>
              <w:rPr>
                <w:i/>
                <w:color w:val="FF0000"/>
              </w:rPr>
            </w:pPr>
            <w:r w:rsidRPr="00331DA5">
              <w:rPr>
                <w:i/>
                <w:color w:val="FF0000"/>
              </w:rPr>
              <w:t>Intermediate Risk (1% to 5%)</w:t>
            </w:r>
          </w:p>
          <w:p w14:paraId="00715B19"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Intraperitoneal: splenectomy, hiatal hernia repair, cholecystectomy</w:t>
            </w:r>
          </w:p>
          <w:p w14:paraId="09CE9FD9"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Carotid symptomatic (CEA or CAS)</w:t>
            </w:r>
          </w:p>
          <w:p w14:paraId="72AE7327"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Peripheral arterial angioplasty</w:t>
            </w:r>
          </w:p>
          <w:p w14:paraId="597DC11E"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Endovascular aneurysm repair</w:t>
            </w:r>
          </w:p>
          <w:p w14:paraId="6D8438DF"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Head and neck surgery</w:t>
            </w:r>
          </w:p>
          <w:p w14:paraId="69A50777"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Neurological or orthopaedic: major (hip and spine surgery)</w:t>
            </w:r>
          </w:p>
          <w:p w14:paraId="25B99670"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Urological or gynaecological: major</w:t>
            </w:r>
          </w:p>
          <w:p w14:paraId="308F11EB" w14:textId="77777777" w:rsidR="009D721B" w:rsidRPr="001A37D9" w:rsidRDefault="00E01FBD" w:rsidP="00331DA5">
            <w:pPr>
              <w:pStyle w:val="ListParagraph"/>
              <w:widowControl/>
              <w:numPr>
                <w:ilvl w:val="1"/>
                <w:numId w:val="4"/>
              </w:numPr>
              <w:autoSpaceDE/>
              <w:autoSpaceDN/>
              <w:spacing w:after="45"/>
              <w:ind w:left="432" w:right="72" w:hanging="360"/>
              <w:jc w:val="both"/>
              <w:rPr>
                <w:color w:val="FF0000"/>
              </w:rPr>
            </w:pPr>
            <w:r w:rsidRPr="001A37D9">
              <w:rPr>
                <w:color w:val="FF0000"/>
              </w:rPr>
              <w:t>Renal transplant</w:t>
            </w:r>
          </w:p>
          <w:p w14:paraId="5A8F0554" w14:textId="5EEC769B" w:rsidR="00E01FBD" w:rsidRPr="001A37D9" w:rsidRDefault="00E01FBD" w:rsidP="00331DA5">
            <w:pPr>
              <w:pStyle w:val="ListParagraph"/>
              <w:widowControl/>
              <w:numPr>
                <w:ilvl w:val="1"/>
                <w:numId w:val="4"/>
              </w:numPr>
              <w:autoSpaceDE/>
              <w:autoSpaceDN/>
              <w:spacing w:after="110"/>
              <w:ind w:left="432" w:right="72" w:hanging="360"/>
              <w:jc w:val="both"/>
              <w:rPr>
                <w:color w:val="FF0000"/>
              </w:rPr>
            </w:pPr>
            <w:r w:rsidRPr="001A37D9">
              <w:rPr>
                <w:color w:val="FF0000"/>
              </w:rPr>
              <w:t>Intra-thoracic: non-major</w:t>
            </w:r>
          </w:p>
          <w:p w14:paraId="7EE8356E" w14:textId="77777777" w:rsidR="009D721B" w:rsidRPr="00331DA5" w:rsidRDefault="009D721B" w:rsidP="00331DA5">
            <w:pPr>
              <w:widowControl/>
              <w:autoSpaceDE/>
              <w:autoSpaceDN/>
              <w:spacing w:after="45"/>
              <w:ind w:left="72" w:right="72"/>
              <w:jc w:val="both"/>
              <w:rPr>
                <w:i/>
                <w:color w:val="FF0000"/>
              </w:rPr>
            </w:pPr>
            <w:r w:rsidRPr="00331DA5">
              <w:rPr>
                <w:i/>
                <w:color w:val="FF0000"/>
              </w:rPr>
              <w:t>High-risk (&gt;5%)</w:t>
            </w:r>
          </w:p>
          <w:p w14:paraId="5BC8A6A9"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Aortic and major vascular surgery</w:t>
            </w:r>
          </w:p>
          <w:p w14:paraId="1D3BFD1C"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Open lower limb revascularization or amputation or thromboembolectomy</w:t>
            </w:r>
          </w:p>
          <w:p w14:paraId="641210C4"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Duodeno-pancreatic surgery</w:t>
            </w:r>
          </w:p>
          <w:p w14:paraId="14FD54ED"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Liver resection, bile duct surgery</w:t>
            </w:r>
          </w:p>
          <w:p w14:paraId="501BDB60"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Oesophagectomy</w:t>
            </w:r>
          </w:p>
          <w:p w14:paraId="48DCF6A8"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Repair of perforated bowel</w:t>
            </w:r>
          </w:p>
          <w:p w14:paraId="1DB62735"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Adrenal resection</w:t>
            </w:r>
          </w:p>
          <w:p w14:paraId="4BB29746"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Total cystectomy</w:t>
            </w:r>
          </w:p>
          <w:p w14:paraId="6BFF64F7" w14:textId="77777777" w:rsidR="009D721B" w:rsidRPr="001A37D9" w:rsidRDefault="00E01FBD" w:rsidP="00331DA5">
            <w:pPr>
              <w:pStyle w:val="ListParagraph"/>
              <w:widowControl/>
              <w:numPr>
                <w:ilvl w:val="0"/>
                <w:numId w:val="43"/>
              </w:numPr>
              <w:autoSpaceDE/>
              <w:autoSpaceDN/>
              <w:spacing w:after="45"/>
              <w:ind w:left="432" w:right="72"/>
              <w:jc w:val="both"/>
              <w:rPr>
                <w:color w:val="FF0000"/>
              </w:rPr>
            </w:pPr>
            <w:r w:rsidRPr="001A37D9">
              <w:rPr>
                <w:color w:val="FF0000"/>
              </w:rPr>
              <w:t>Pneumonectomy</w:t>
            </w:r>
          </w:p>
          <w:p w14:paraId="6E2ED573" w14:textId="5C600DD4" w:rsidR="00E01FBD" w:rsidRPr="001A37D9" w:rsidRDefault="00E01FBD" w:rsidP="00331DA5">
            <w:pPr>
              <w:pStyle w:val="ListParagraph"/>
              <w:widowControl/>
              <w:numPr>
                <w:ilvl w:val="0"/>
                <w:numId w:val="43"/>
              </w:numPr>
              <w:autoSpaceDE/>
              <w:autoSpaceDN/>
              <w:spacing w:after="110"/>
              <w:ind w:left="432" w:right="72"/>
              <w:jc w:val="both"/>
              <w:rPr>
                <w:color w:val="FF0000"/>
              </w:rPr>
            </w:pPr>
            <w:r w:rsidRPr="001A37D9">
              <w:rPr>
                <w:color w:val="FF0000"/>
              </w:rPr>
              <w:t>Pulmonary or liver transplant</w:t>
            </w:r>
          </w:p>
          <w:p w14:paraId="15BF99C3" w14:textId="262B2100" w:rsidR="00E01FBD" w:rsidRPr="001A37D9" w:rsidRDefault="00E01FBD" w:rsidP="00331DA5">
            <w:pPr>
              <w:widowControl/>
              <w:autoSpaceDE/>
              <w:autoSpaceDN/>
              <w:spacing w:after="110"/>
              <w:ind w:left="72" w:right="72"/>
              <w:jc w:val="both"/>
              <w:rPr>
                <w:color w:val="FF0000"/>
              </w:rPr>
            </w:pPr>
            <w:r w:rsidRPr="001A37D9">
              <w:rPr>
                <w:color w:val="FF0000"/>
                <w:u w:val="single"/>
              </w:rPr>
              <w:t>Guideline #2 Recommendations</w:t>
            </w:r>
            <w:r w:rsidRPr="001A37D9">
              <w:rPr>
                <w:color w:val="FF0000"/>
              </w:rPr>
              <w:t>:  American College of Cardiology/</w:t>
            </w:r>
            <w:r w:rsidR="00331DA5">
              <w:rPr>
                <w:color w:val="FF0000"/>
              </w:rPr>
              <w:t xml:space="preserve"> </w:t>
            </w:r>
            <w:r w:rsidRPr="001A37D9">
              <w:rPr>
                <w:color w:val="FF0000"/>
              </w:rPr>
              <w:t>American Heart Association</w:t>
            </w:r>
          </w:p>
          <w:p w14:paraId="51CCEC01" w14:textId="77777777" w:rsidR="009D721B" w:rsidRPr="001A37D9" w:rsidRDefault="00E01FBD" w:rsidP="00331DA5">
            <w:pPr>
              <w:pStyle w:val="ListParagraph"/>
              <w:widowControl/>
              <w:numPr>
                <w:ilvl w:val="0"/>
                <w:numId w:val="44"/>
              </w:numPr>
              <w:autoSpaceDE/>
              <w:autoSpaceDN/>
              <w:spacing w:after="45"/>
              <w:ind w:left="432" w:right="72"/>
              <w:jc w:val="both"/>
              <w:rPr>
                <w:color w:val="FF0000"/>
              </w:rPr>
            </w:pPr>
            <w:r w:rsidRPr="001A37D9">
              <w:rPr>
                <w:color w:val="FF0000"/>
              </w:rPr>
              <w:lastRenderedPageBreak/>
              <w:t>For patients with elevated risk and excellent functional capacity, it is reasonable to forgo further exercise testing and proceed to surgery (Class IIa, Level B; pg. e96).</w:t>
            </w:r>
          </w:p>
          <w:p w14:paraId="42C125BF" w14:textId="77777777" w:rsidR="009D721B" w:rsidRPr="001A37D9" w:rsidRDefault="00E01FBD" w:rsidP="00331DA5">
            <w:pPr>
              <w:pStyle w:val="ListParagraph"/>
              <w:widowControl/>
              <w:numPr>
                <w:ilvl w:val="0"/>
                <w:numId w:val="44"/>
              </w:numPr>
              <w:autoSpaceDE/>
              <w:autoSpaceDN/>
              <w:spacing w:after="45"/>
              <w:ind w:left="432" w:right="72"/>
              <w:jc w:val="both"/>
              <w:rPr>
                <w:color w:val="FF0000"/>
              </w:rPr>
            </w:pPr>
            <w:r w:rsidRPr="001A37D9">
              <w:rPr>
                <w:color w:val="FF0000"/>
              </w:rPr>
              <w:t>For patients with elevated risk and unknown functional capacity it may be reasonable to perform exercise testing to assess for functional capacity if it will change management (Class IIb, Level B; pg. 396).</w:t>
            </w:r>
          </w:p>
          <w:p w14:paraId="0E4A9650" w14:textId="77777777" w:rsidR="009D721B" w:rsidRPr="001A37D9" w:rsidRDefault="00E01FBD" w:rsidP="00331DA5">
            <w:pPr>
              <w:pStyle w:val="ListParagraph"/>
              <w:widowControl/>
              <w:numPr>
                <w:ilvl w:val="0"/>
                <w:numId w:val="44"/>
              </w:numPr>
              <w:autoSpaceDE/>
              <w:autoSpaceDN/>
              <w:spacing w:after="45"/>
              <w:ind w:left="432" w:right="72"/>
              <w:jc w:val="both"/>
              <w:rPr>
                <w:color w:val="FF0000"/>
              </w:rPr>
            </w:pPr>
            <w:r w:rsidRPr="001A37D9">
              <w:rPr>
                <w:color w:val="FF0000"/>
              </w:rPr>
              <w:t>For patients with elevated risk and moderate to good functional capacity, it may be reasonable to forgo further exercise testing and proceed to surgery (Class IIb, Level B; pg. e96).</w:t>
            </w:r>
          </w:p>
          <w:p w14:paraId="3397AFB9" w14:textId="77777777" w:rsidR="009D721B" w:rsidRPr="00331DA5" w:rsidRDefault="00E01FBD" w:rsidP="00331DA5">
            <w:pPr>
              <w:pStyle w:val="ListParagraph"/>
              <w:widowControl/>
              <w:numPr>
                <w:ilvl w:val="0"/>
                <w:numId w:val="44"/>
              </w:numPr>
              <w:autoSpaceDE/>
              <w:autoSpaceDN/>
              <w:spacing w:after="45"/>
              <w:ind w:left="432" w:right="72"/>
              <w:jc w:val="both"/>
              <w:rPr>
                <w:color w:val="FF0000"/>
              </w:rPr>
            </w:pPr>
            <w:r w:rsidRPr="00331DA5">
              <w:rPr>
                <w:color w:val="FF0000"/>
              </w:rPr>
              <w:t>For patients with elevated risk and poor or unknown functional capacity it may be reasonable to perform exercise testing with cardiac imaging to assess for myocardial ischemia (Class IIb, Level C; pg. e96).</w:t>
            </w:r>
          </w:p>
          <w:p w14:paraId="79DBE5BF" w14:textId="16D5C5B7" w:rsidR="00B079BA" w:rsidRPr="001A37D9" w:rsidRDefault="00E01FBD" w:rsidP="00331DA5">
            <w:pPr>
              <w:pStyle w:val="ListParagraph"/>
              <w:widowControl/>
              <w:numPr>
                <w:ilvl w:val="0"/>
                <w:numId w:val="44"/>
              </w:numPr>
              <w:autoSpaceDE/>
              <w:autoSpaceDN/>
              <w:spacing w:after="110"/>
              <w:ind w:left="432" w:right="72"/>
              <w:jc w:val="both"/>
            </w:pPr>
            <w:r w:rsidRPr="00331DA5">
              <w:rPr>
                <w:color w:val="FF0000"/>
              </w:rPr>
              <w:t>Routine screening with noninvasive stress testing is not useful for low-risk noncardiac surgery (Class III, Level B; pg. e96).</w:t>
            </w:r>
          </w:p>
        </w:tc>
      </w:tr>
      <w:tr w:rsidR="00F44A21" w14:paraId="2C6DF062" w14:textId="77777777" w:rsidTr="00790A20">
        <w:trPr>
          <w:trHeight w:val="806"/>
        </w:trPr>
        <w:tc>
          <w:tcPr>
            <w:tcW w:w="3380" w:type="dxa"/>
          </w:tcPr>
          <w:p w14:paraId="04A2E47D" w14:textId="77777777" w:rsidR="00F44A21" w:rsidRDefault="00FB19DA" w:rsidP="00225CBD">
            <w:pPr>
              <w:pStyle w:val="TableParagraph"/>
              <w:ind w:left="144"/>
            </w:pPr>
            <w:r>
              <w:lastRenderedPageBreak/>
              <w:t xml:space="preserve">Grade assigned to the </w:t>
            </w:r>
            <w:r>
              <w:rPr>
                <w:b/>
              </w:rPr>
              <w:t xml:space="preserve">evidence </w:t>
            </w:r>
            <w:r>
              <w:t>associated with the recommendation with the</w:t>
            </w:r>
          </w:p>
          <w:p w14:paraId="78244EF2" w14:textId="77777777" w:rsidR="00F44A21" w:rsidRDefault="00FB19DA" w:rsidP="00225CBD">
            <w:pPr>
              <w:pStyle w:val="TableParagraph"/>
              <w:ind w:left="144"/>
            </w:pPr>
            <w:r>
              <w:t>definition of the grade</w:t>
            </w:r>
          </w:p>
        </w:tc>
        <w:tc>
          <w:tcPr>
            <w:tcW w:w="7110" w:type="dxa"/>
          </w:tcPr>
          <w:p w14:paraId="053C346E" w14:textId="77777777" w:rsidR="00D61BC5" w:rsidRPr="00D054F5" w:rsidRDefault="00D61BC5" w:rsidP="00A64BA4">
            <w:pPr>
              <w:spacing w:before="110" w:after="110"/>
              <w:ind w:left="72" w:right="72"/>
              <w:jc w:val="both"/>
              <w:rPr>
                <w:color w:val="0000FF"/>
              </w:rPr>
            </w:pPr>
            <w:r w:rsidRPr="00D054F5">
              <w:rPr>
                <w:color w:val="0000FF"/>
              </w:rPr>
              <w:t xml:space="preserve">Recommendations made within </w:t>
            </w:r>
            <w:r w:rsidRPr="00D054F5">
              <w:rPr>
                <w:i/>
                <w:color w:val="0000FF"/>
              </w:rPr>
              <w:t>Guideline 1</w:t>
            </w:r>
            <w:r w:rsidRPr="00D054F5">
              <w:rPr>
                <w:color w:val="0000FF"/>
              </w:rPr>
              <w:t xml:space="preserve"> ranged from </w:t>
            </w:r>
            <w:r w:rsidRPr="00D054F5">
              <w:rPr>
                <w:color w:val="0000FF"/>
                <w:u w:val="single"/>
              </w:rPr>
              <w:t>Class I</w:t>
            </w:r>
            <w:r w:rsidRPr="00D054F5">
              <w:rPr>
                <w:color w:val="0000FF"/>
              </w:rPr>
              <w:t xml:space="preserve"> through </w:t>
            </w:r>
            <w:r w:rsidRPr="0091294E">
              <w:rPr>
                <w:color w:val="0000FF"/>
                <w:u w:val="single"/>
              </w:rPr>
              <w:t>Class III</w:t>
            </w:r>
            <w:r w:rsidRPr="00D054F5">
              <w:rPr>
                <w:color w:val="0000FF"/>
              </w:rPr>
              <w:t>. The evidence supporting these recommendations demonstrates consensus within the clinical community that cardiac imaging is appropriate for patients with a history of cardiac disease or for whom cardiac involvement is likely, and that it is unnecessary for those patients for whom no risk factors exist.</w:t>
            </w:r>
          </w:p>
          <w:p w14:paraId="21FBFCA6" w14:textId="77777777" w:rsidR="00D61BC5" w:rsidRPr="0069029A" w:rsidRDefault="00D61BC5" w:rsidP="00A64BA4">
            <w:pPr>
              <w:spacing w:after="110"/>
              <w:ind w:left="72" w:right="72"/>
              <w:jc w:val="both"/>
              <w:rPr>
                <w:color w:val="0000FF"/>
                <w:u w:val="single"/>
              </w:rPr>
            </w:pPr>
            <w:r w:rsidRPr="00D054F5">
              <w:rPr>
                <w:color w:val="0000FF"/>
              </w:rPr>
              <w:t xml:space="preserve">Recommendations made within </w:t>
            </w:r>
            <w:r w:rsidRPr="00D054F5">
              <w:rPr>
                <w:i/>
                <w:color w:val="0000FF"/>
              </w:rPr>
              <w:t>Guideline 2</w:t>
            </w:r>
            <w:r w:rsidRPr="00D054F5">
              <w:rPr>
                <w:color w:val="0000FF"/>
              </w:rPr>
              <w:t xml:space="preserve"> ranged from </w:t>
            </w:r>
            <w:r>
              <w:rPr>
                <w:color w:val="0000FF"/>
                <w:u w:val="single"/>
              </w:rPr>
              <w:t>Class IIa</w:t>
            </w:r>
            <w:r w:rsidRPr="000F1898">
              <w:rPr>
                <w:color w:val="0000FF"/>
              </w:rPr>
              <w:t xml:space="preserve"> through </w:t>
            </w:r>
            <w:r>
              <w:rPr>
                <w:color w:val="0000FF"/>
                <w:u w:val="single"/>
              </w:rPr>
              <w:t>Class III</w:t>
            </w:r>
            <w:r w:rsidRPr="000F1898">
              <w:rPr>
                <w:color w:val="0000FF"/>
              </w:rPr>
              <w:t>. The evidence for these recommendations is supported by either a single randomized control trial or a non-randomized study. Generally, the evidence available suggests consensus within the clinical community that cardiac imaging in</w:t>
            </w:r>
            <w:r>
              <w:rPr>
                <w:color w:val="0000FF"/>
              </w:rPr>
              <w:t xml:space="preserve"> patients with low likelihood of cardiac involvement is well accepted (though there may be some conflicting evidence within single randomized or non-randomized studies).</w:t>
            </w:r>
          </w:p>
          <w:p w14:paraId="354C76FA" w14:textId="121FBD9B" w:rsidR="00D61BC5" w:rsidRPr="00C1396F" w:rsidRDefault="00D61BC5" w:rsidP="00A64BA4">
            <w:pPr>
              <w:spacing w:after="45"/>
              <w:ind w:left="72" w:right="72"/>
              <w:jc w:val="both"/>
              <w:rPr>
                <w:color w:val="0000FF"/>
              </w:rPr>
            </w:pPr>
            <w:r w:rsidRPr="00CC2C4C">
              <w:rPr>
                <w:b/>
                <w:color w:val="0000FF"/>
                <w:u w:val="single"/>
              </w:rPr>
              <w:t xml:space="preserve">The following evidence scales apply to recommendations from </w:t>
            </w:r>
            <w:r w:rsidRPr="00CC2C4C">
              <w:rPr>
                <w:b/>
                <w:i/>
                <w:color w:val="0000FF"/>
                <w:u w:val="single"/>
              </w:rPr>
              <w:t>Guideline 1</w:t>
            </w:r>
            <w:r w:rsidRPr="00D37975">
              <w:rPr>
                <w:color w:val="0000FF"/>
                <w:u w:val="single"/>
              </w:rPr>
              <w:t>:</w:t>
            </w:r>
          </w:p>
          <w:p w14:paraId="517D1D46" w14:textId="6EEE1142" w:rsidR="00D61BC5" w:rsidRPr="00C1396F" w:rsidRDefault="008B5EB2" w:rsidP="00A64BA4">
            <w:pPr>
              <w:spacing w:after="45"/>
              <w:ind w:left="72" w:right="72"/>
              <w:jc w:val="both"/>
              <w:rPr>
                <w:color w:val="0000FF"/>
              </w:rPr>
            </w:pPr>
            <w:r>
              <w:rPr>
                <w:color w:val="0000FF"/>
              </w:rPr>
              <w:t>One</w:t>
            </w:r>
            <w:r w:rsidR="00D61BC5" w:rsidRPr="00C1396F">
              <w:rPr>
                <w:color w:val="0000FF"/>
              </w:rPr>
              <w:t xml:space="preserve"> level of evidence: Level C. </w:t>
            </w:r>
          </w:p>
          <w:p w14:paraId="3CB9EF2A" w14:textId="24A8D7ED" w:rsidR="00D61BC5" w:rsidRDefault="00D61BC5" w:rsidP="00A64BA4">
            <w:pPr>
              <w:spacing w:after="110"/>
              <w:ind w:left="72" w:right="72"/>
              <w:jc w:val="both"/>
              <w:rPr>
                <w:color w:val="0000FF"/>
              </w:rPr>
            </w:pPr>
            <w:r w:rsidRPr="00474DF7">
              <w:rPr>
                <w:i/>
                <w:color w:val="0000FF"/>
              </w:rPr>
              <w:t>Level C:</w:t>
            </w:r>
            <w:r w:rsidRPr="00C1396F">
              <w:rPr>
                <w:color w:val="0000FF"/>
              </w:rPr>
              <w:t xml:space="preserve"> Consensus of opinion of the experts and/or small studies, retrospective studies, registries.  </w:t>
            </w:r>
            <w:r w:rsidR="00681326">
              <w:rPr>
                <w:color w:val="0000FF"/>
              </w:rPr>
              <w:t xml:space="preserve"> </w:t>
            </w:r>
          </w:p>
          <w:p w14:paraId="4418E956" w14:textId="77777777" w:rsidR="00D61BC5" w:rsidRPr="00C1396F" w:rsidRDefault="00D61BC5" w:rsidP="00A64BA4">
            <w:pPr>
              <w:spacing w:after="45"/>
              <w:ind w:left="72" w:right="72"/>
              <w:jc w:val="both"/>
              <w:rPr>
                <w:color w:val="0000FF"/>
              </w:rPr>
            </w:pPr>
            <w:r w:rsidRPr="00CC2C4C">
              <w:rPr>
                <w:b/>
                <w:color w:val="0000FF"/>
                <w:u w:val="single"/>
              </w:rPr>
              <w:t xml:space="preserve">The following evidence scales apply to recommendations from </w:t>
            </w:r>
            <w:r w:rsidRPr="00AD2B72">
              <w:rPr>
                <w:b/>
                <w:i/>
                <w:color w:val="0000FF"/>
                <w:u w:val="single"/>
              </w:rPr>
              <w:t>Guideline 2</w:t>
            </w:r>
            <w:r w:rsidRPr="00D37975">
              <w:rPr>
                <w:color w:val="0000FF"/>
                <w:u w:val="single"/>
              </w:rPr>
              <w:t>:</w:t>
            </w:r>
          </w:p>
          <w:p w14:paraId="0ABC623C" w14:textId="3E05B3B5" w:rsidR="00D61BC5" w:rsidRPr="00C1396F" w:rsidRDefault="00D61BC5" w:rsidP="00A64BA4">
            <w:pPr>
              <w:spacing w:after="45"/>
              <w:ind w:left="72" w:right="72"/>
              <w:jc w:val="both"/>
              <w:rPr>
                <w:color w:val="0000FF"/>
              </w:rPr>
            </w:pPr>
            <w:r w:rsidRPr="00C1396F">
              <w:rPr>
                <w:color w:val="0000FF"/>
              </w:rPr>
              <w:t>T</w:t>
            </w:r>
            <w:r w:rsidR="008B5EB2">
              <w:rPr>
                <w:color w:val="0000FF"/>
              </w:rPr>
              <w:t>wo</w:t>
            </w:r>
            <w:r w:rsidRPr="00C1396F">
              <w:rPr>
                <w:color w:val="0000FF"/>
              </w:rPr>
              <w:t xml:space="preserve"> levels of evidence: Level B and Level C. </w:t>
            </w:r>
          </w:p>
          <w:p w14:paraId="4B5EE425" w14:textId="77777777" w:rsidR="00D61BC5" w:rsidRPr="00C1396F" w:rsidRDefault="00D61BC5" w:rsidP="00A64BA4">
            <w:pPr>
              <w:spacing w:after="45"/>
              <w:ind w:left="72" w:right="72"/>
              <w:jc w:val="both"/>
              <w:rPr>
                <w:color w:val="0000FF"/>
              </w:rPr>
            </w:pPr>
            <w:r w:rsidRPr="00147889">
              <w:rPr>
                <w:i/>
                <w:color w:val="0000FF"/>
              </w:rPr>
              <w:t>Level B:</w:t>
            </w:r>
            <w:r w:rsidRPr="00C1396F">
              <w:rPr>
                <w:color w:val="0000FF"/>
              </w:rPr>
              <w:t xml:space="preserve"> Limited populations evaluated. Data derived from single randomized trial or nonrandomized studies.</w:t>
            </w:r>
          </w:p>
          <w:p w14:paraId="5899F877" w14:textId="5C2899EC" w:rsidR="00E70AEE" w:rsidRPr="00C1396F" w:rsidRDefault="00D61BC5" w:rsidP="00A64BA4">
            <w:pPr>
              <w:spacing w:after="220"/>
              <w:ind w:left="72" w:right="72"/>
              <w:jc w:val="both"/>
              <w:rPr>
                <w:color w:val="0000FF"/>
              </w:rPr>
            </w:pPr>
            <w:r w:rsidRPr="00147889">
              <w:rPr>
                <w:i/>
                <w:color w:val="0000FF"/>
              </w:rPr>
              <w:t>Level C:</w:t>
            </w:r>
            <w:r w:rsidRPr="00C1396F">
              <w:rPr>
                <w:color w:val="0000FF"/>
              </w:rPr>
              <w:t xml:space="preserve"> Very limited populations evaluated. Only consensus opinion of experts, case studies or standard of care</w:t>
            </w:r>
            <w:r>
              <w:rPr>
                <w:color w:val="0000FF"/>
              </w:rPr>
              <w:t>.</w:t>
            </w:r>
          </w:p>
          <w:p w14:paraId="372AF669" w14:textId="77777777" w:rsidR="001A1F37" w:rsidRPr="001A37D9" w:rsidRDefault="001A1F37" w:rsidP="00A64BA4">
            <w:pPr>
              <w:spacing w:after="110"/>
              <w:ind w:left="72" w:right="72"/>
              <w:jc w:val="both"/>
              <w:rPr>
                <w:color w:val="FF0000"/>
              </w:rPr>
            </w:pPr>
            <w:r w:rsidRPr="001A37D9">
              <w:rPr>
                <w:color w:val="FF0000"/>
              </w:rPr>
              <w:t xml:space="preserve">Recommendations made within </w:t>
            </w:r>
            <w:r w:rsidRPr="001A37D9">
              <w:rPr>
                <w:i/>
                <w:color w:val="FF0000"/>
              </w:rPr>
              <w:t>Guideline 1</w:t>
            </w:r>
            <w:r w:rsidRPr="001A37D9">
              <w:rPr>
                <w:color w:val="FF0000"/>
              </w:rPr>
              <w:t xml:space="preserve"> ranged from </w:t>
            </w:r>
            <w:r w:rsidRPr="001A37D9">
              <w:rPr>
                <w:color w:val="FF0000"/>
                <w:u w:val="single"/>
              </w:rPr>
              <w:t>Class I</w:t>
            </w:r>
            <w:r w:rsidRPr="001A37D9">
              <w:rPr>
                <w:color w:val="FF0000"/>
              </w:rPr>
              <w:t xml:space="preserve"> through </w:t>
            </w:r>
            <w:r w:rsidRPr="001A37D9">
              <w:rPr>
                <w:color w:val="FF0000"/>
                <w:u w:val="single"/>
              </w:rPr>
              <w:t>Class III</w:t>
            </w:r>
            <w:r w:rsidRPr="001A37D9">
              <w:rPr>
                <w:color w:val="FF0000"/>
              </w:rPr>
              <w:t>. The evidence supporting these recommendations demonstrates consensus within the clinical community that cardiac imaging is appropriate for patients with a history of cardiac disease or for whom cardiac involvement is likely, and that it is unnecessary for those patients for whom no risk factors exist.</w:t>
            </w:r>
          </w:p>
          <w:p w14:paraId="6C3F33FF" w14:textId="1F76788F" w:rsidR="00681326" w:rsidRPr="001A37D9" w:rsidRDefault="00772AE3" w:rsidP="00A64BA4">
            <w:pPr>
              <w:spacing w:after="110"/>
              <w:ind w:left="72" w:right="72"/>
              <w:jc w:val="both"/>
              <w:rPr>
                <w:b/>
                <w:color w:val="FF0000"/>
                <w:u w:val="single"/>
              </w:rPr>
            </w:pPr>
            <w:r w:rsidRPr="001A37D9">
              <w:rPr>
                <w:color w:val="FF0000"/>
              </w:rPr>
              <w:t xml:space="preserve">Recommendations made within </w:t>
            </w:r>
            <w:r w:rsidRPr="001A37D9">
              <w:rPr>
                <w:i/>
                <w:color w:val="FF0000"/>
              </w:rPr>
              <w:t>Guideline 2</w:t>
            </w:r>
            <w:r w:rsidRPr="001A37D9">
              <w:rPr>
                <w:color w:val="FF0000"/>
              </w:rPr>
              <w:t xml:space="preserve"> ranged from </w:t>
            </w:r>
            <w:r w:rsidRPr="001A37D9">
              <w:rPr>
                <w:color w:val="FF0000"/>
                <w:u w:val="single"/>
              </w:rPr>
              <w:t>Class IIa</w:t>
            </w:r>
            <w:r w:rsidRPr="001A37D9">
              <w:rPr>
                <w:color w:val="FF0000"/>
              </w:rPr>
              <w:t xml:space="preserve"> through </w:t>
            </w:r>
            <w:r w:rsidRPr="001A37D9">
              <w:rPr>
                <w:color w:val="FF0000"/>
                <w:u w:val="single"/>
              </w:rPr>
              <w:t>Class III</w:t>
            </w:r>
            <w:r w:rsidRPr="001A37D9">
              <w:rPr>
                <w:color w:val="FF0000"/>
              </w:rPr>
              <w:t>. The evidence for these recommendations is supported by either a single randomized control trial or a non-randomized study. Generally, the evidence available suggests consensus within the clinical community that cardiac imaging in patients with low likelihood of cardiac involvement is well accepted (though there may be some conflicting evidence within single randomized or non-</w:t>
            </w:r>
            <w:r w:rsidRPr="001A37D9">
              <w:rPr>
                <w:color w:val="FF0000"/>
              </w:rPr>
              <w:lastRenderedPageBreak/>
              <w:t>randomized studies).</w:t>
            </w:r>
          </w:p>
          <w:p w14:paraId="10953E76" w14:textId="77777777" w:rsidR="008B5EB2" w:rsidRPr="001A37D9" w:rsidRDefault="008B5EB2" w:rsidP="00A64BA4">
            <w:pPr>
              <w:spacing w:after="45"/>
              <w:ind w:left="72" w:right="72"/>
              <w:jc w:val="both"/>
              <w:rPr>
                <w:color w:val="FF0000"/>
              </w:rPr>
            </w:pPr>
            <w:r w:rsidRPr="001A37D9">
              <w:rPr>
                <w:b/>
                <w:color w:val="FF0000"/>
                <w:u w:val="single"/>
              </w:rPr>
              <w:t xml:space="preserve">The following evidence scales apply to recommendations from </w:t>
            </w:r>
            <w:r w:rsidRPr="001A37D9">
              <w:rPr>
                <w:b/>
                <w:i/>
                <w:color w:val="FF0000"/>
                <w:u w:val="single"/>
              </w:rPr>
              <w:t>Guideline 1</w:t>
            </w:r>
            <w:r w:rsidRPr="001A37D9">
              <w:rPr>
                <w:color w:val="FF0000"/>
                <w:u w:val="single"/>
              </w:rPr>
              <w:t>:</w:t>
            </w:r>
          </w:p>
          <w:p w14:paraId="4889F6E2" w14:textId="77777777" w:rsidR="008B5EB2" w:rsidRPr="001A37D9" w:rsidRDefault="008B5EB2" w:rsidP="00A64BA4">
            <w:pPr>
              <w:spacing w:after="45"/>
              <w:ind w:left="72" w:right="72"/>
              <w:jc w:val="both"/>
              <w:rPr>
                <w:color w:val="FF0000"/>
              </w:rPr>
            </w:pPr>
            <w:r w:rsidRPr="001A37D9">
              <w:rPr>
                <w:color w:val="FF0000"/>
              </w:rPr>
              <w:t xml:space="preserve">One level of evidence: Level C. </w:t>
            </w:r>
          </w:p>
          <w:p w14:paraId="6FD1078D" w14:textId="77777777" w:rsidR="008B5EB2" w:rsidRPr="001A37D9" w:rsidRDefault="008B5EB2" w:rsidP="00A64BA4">
            <w:pPr>
              <w:spacing w:after="110"/>
              <w:ind w:left="72" w:right="72"/>
              <w:jc w:val="both"/>
              <w:rPr>
                <w:color w:val="FF0000"/>
              </w:rPr>
            </w:pPr>
            <w:r w:rsidRPr="001A37D9">
              <w:rPr>
                <w:i/>
                <w:color w:val="FF0000"/>
              </w:rPr>
              <w:t>Level C:</w:t>
            </w:r>
            <w:r w:rsidRPr="001A37D9">
              <w:rPr>
                <w:color w:val="FF0000"/>
              </w:rPr>
              <w:t xml:space="preserve"> Consensus of opinion of the experts and/or small studies, retrospective studies, registries.   </w:t>
            </w:r>
          </w:p>
          <w:p w14:paraId="411BA90E" w14:textId="77777777" w:rsidR="008B5EB2" w:rsidRPr="001A37D9" w:rsidRDefault="008B5EB2" w:rsidP="00A64BA4">
            <w:pPr>
              <w:spacing w:after="45"/>
              <w:ind w:left="72" w:right="72"/>
              <w:jc w:val="both"/>
              <w:rPr>
                <w:color w:val="FF0000"/>
              </w:rPr>
            </w:pPr>
            <w:r w:rsidRPr="001A37D9">
              <w:rPr>
                <w:b/>
                <w:color w:val="FF0000"/>
                <w:u w:val="single"/>
              </w:rPr>
              <w:t xml:space="preserve">The following evidence scales apply to recommendations from </w:t>
            </w:r>
            <w:r w:rsidRPr="001A37D9">
              <w:rPr>
                <w:b/>
                <w:i/>
                <w:color w:val="FF0000"/>
                <w:u w:val="single"/>
              </w:rPr>
              <w:t>Guideline 2</w:t>
            </w:r>
            <w:r w:rsidRPr="001A37D9">
              <w:rPr>
                <w:color w:val="FF0000"/>
                <w:u w:val="single"/>
              </w:rPr>
              <w:t>:</w:t>
            </w:r>
          </w:p>
          <w:p w14:paraId="5D31493D" w14:textId="77777777" w:rsidR="008B5EB2" w:rsidRPr="001A37D9" w:rsidRDefault="008B5EB2" w:rsidP="00A64BA4">
            <w:pPr>
              <w:spacing w:after="45"/>
              <w:ind w:left="72" w:right="72"/>
              <w:jc w:val="both"/>
              <w:rPr>
                <w:color w:val="FF0000"/>
              </w:rPr>
            </w:pPr>
            <w:r w:rsidRPr="001A37D9">
              <w:rPr>
                <w:color w:val="FF0000"/>
              </w:rPr>
              <w:t xml:space="preserve">Two levels of evidence: Level B and Level C. </w:t>
            </w:r>
          </w:p>
          <w:p w14:paraId="46D38A1E" w14:textId="77777777" w:rsidR="008B5EB2" w:rsidRPr="001A37D9" w:rsidRDefault="008B5EB2" w:rsidP="00A64BA4">
            <w:pPr>
              <w:spacing w:after="45"/>
              <w:ind w:left="72" w:right="72"/>
              <w:jc w:val="both"/>
              <w:rPr>
                <w:color w:val="FF0000"/>
              </w:rPr>
            </w:pPr>
            <w:r w:rsidRPr="001A37D9">
              <w:rPr>
                <w:i/>
                <w:color w:val="FF0000"/>
              </w:rPr>
              <w:t>Level B:</w:t>
            </w:r>
            <w:r w:rsidRPr="001A37D9">
              <w:rPr>
                <w:color w:val="FF0000"/>
              </w:rPr>
              <w:t xml:space="preserve"> Limited populations evaluated. Data derived from single randomized trial or nonrandomized studies.</w:t>
            </w:r>
          </w:p>
          <w:p w14:paraId="1B231875" w14:textId="75F885D9" w:rsidR="00315E8D" w:rsidRPr="00315E8D" w:rsidRDefault="008B5EB2" w:rsidP="00A64BA4">
            <w:pPr>
              <w:spacing w:after="110"/>
              <w:ind w:left="72" w:right="72"/>
              <w:jc w:val="both"/>
              <w:rPr>
                <w:color w:val="FF0000"/>
              </w:rPr>
            </w:pPr>
            <w:r w:rsidRPr="001A37D9">
              <w:rPr>
                <w:i/>
                <w:color w:val="FF0000"/>
              </w:rPr>
              <w:t>Level C:</w:t>
            </w:r>
            <w:r w:rsidRPr="001A37D9">
              <w:rPr>
                <w:color w:val="FF0000"/>
              </w:rPr>
              <w:t xml:space="preserve"> Very limited populations evaluated. Only consensus opinion of experts, case studies or standard of care.</w:t>
            </w:r>
          </w:p>
        </w:tc>
      </w:tr>
      <w:tr w:rsidR="00F44A21" w14:paraId="1455D1CA" w14:textId="77777777" w:rsidTr="00790A20">
        <w:trPr>
          <w:trHeight w:val="537"/>
        </w:trPr>
        <w:tc>
          <w:tcPr>
            <w:tcW w:w="3380" w:type="dxa"/>
          </w:tcPr>
          <w:p w14:paraId="275A9133" w14:textId="33366248" w:rsidR="00F44A21" w:rsidRDefault="00FB19DA" w:rsidP="0038625E">
            <w:pPr>
              <w:pStyle w:val="TableParagraph"/>
              <w:ind w:left="144"/>
            </w:pPr>
            <w:r>
              <w:lastRenderedPageBreak/>
              <w:t>Provide all other grades and definitions</w:t>
            </w:r>
            <w:r w:rsidR="0038625E">
              <w:t xml:space="preserve"> </w:t>
            </w:r>
            <w:r>
              <w:t>from the evidence grading system</w:t>
            </w:r>
          </w:p>
        </w:tc>
        <w:tc>
          <w:tcPr>
            <w:tcW w:w="7110" w:type="dxa"/>
          </w:tcPr>
          <w:p w14:paraId="6B1BF081" w14:textId="36D143E0" w:rsidR="001A1F37" w:rsidRPr="00FD1480" w:rsidRDefault="001A1F37" w:rsidP="00D65571">
            <w:pPr>
              <w:spacing w:after="45"/>
              <w:ind w:left="72" w:right="72"/>
              <w:jc w:val="both"/>
              <w:rPr>
                <w:color w:val="0000FF"/>
              </w:rPr>
            </w:pPr>
            <w:r w:rsidRPr="001A37D9">
              <w:rPr>
                <w:b/>
                <w:color w:val="0000FF"/>
                <w:u w:val="single"/>
              </w:rPr>
              <w:t xml:space="preserve">The following evidence scales does not apply to recommendations from </w:t>
            </w:r>
            <w:r w:rsidRPr="001A37D9">
              <w:rPr>
                <w:b/>
                <w:i/>
                <w:color w:val="0000FF"/>
                <w:u w:val="single"/>
              </w:rPr>
              <w:t>Guideline 1</w:t>
            </w:r>
            <w:r w:rsidRPr="001A37D9">
              <w:rPr>
                <w:color w:val="0000FF"/>
                <w:u w:val="single"/>
              </w:rPr>
              <w:t>:</w:t>
            </w:r>
          </w:p>
          <w:p w14:paraId="316D7C3E" w14:textId="77777777" w:rsidR="00660A97" w:rsidRPr="007D00CD" w:rsidRDefault="00660A97" w:rsidP="00D65571">
            <w:pPr>
              <w:spacing w:after="45"/>
              <w:ind w:left="72" w:right="72"/>
              <w:jc w:val="both"/>
              <w:rPr>
                <w:color w:val="0000FF"/>
              </w:rPr>
            </w:pPr>
            <w:r w:rsidRPr="00FD1480">
              <w:rPr>
                <w:i/>
                <w:color w:val="0000FF"/>
              </w:rPr>
              <w:t>Level A:</w:t>
            </w:r>
            <w:r w:rsidRPr="007D00CD">
              <w:rPr>
                <w:color w:val="0000FF"/>
              </w:rPr>
              <w:t xml:space="preserve"> Data derived from multiple randomized clinical trials or meta-analyses. </w:t>
            </w:r>
          </w:p>
          <w:p w14:paraId="47F08D38" w14:textId="28CF2605" w:rsidR="001A1F37" w:rsidRPr="00FD1480" w:rsidRDefault="00660A97" w:rsidP="00D65571">
            <w:pPr>
              <w:spacing w:after="110"/>
              <w:ind w:left="72" w:right="72"/>
              <w:jc w:val="both"/>
              <w:rPr>
                <w:color w:val="0000FF"/>
              </w:rPr>
            </w:pPr>
            <w:r w:rsidRPr="007D00CD">
              <w:rPr>
                <w:i/>
                <w:color w:val="0000FF"/>
              </w:rPr>
              <w:t>Level B:</w:t>
            </w:r>
            <w:r w:rsidRPr="007D00CD">
              <w:rPr>
                <w:color w:val="0000FF"/>
              </w:rPr>
              <w:t xml:space="preserve"> Data derived from a single randomized clinical trial or large non-randomized studies. </w:t>
            </w:r>
          </w:p>
          <w:p w14:paraId="36E6622B" w14:textId="70C7860D" w:rsidR="00660A97" w:rsidRPr="00FD1480" w:rsidRDefault="00660A97" w:rsidP="00D65571">
            <w:pPr>
              <w:spacing w:after="45"/>
              <w:ind w:left="72" w:right="72"/>
              <w:jc w:val="both"/>
              <w:rPr>
                <w:color w:val="0000FF"/>
              </w:rPr>
            </w:pPr>
            <w:r w:rsidRPr="00FD1480">
              <w:rPr>
                <w:b/>
                <w:color w:val="0000FF"/>
                <w:u w:val="single"/>
              </w:rPr>
              <w:t xml:space="preserve">The following evidence scales does not apply to recommendations from </w:t>
            </w:r>
            <w:r w:rsidRPr="00FD1480">
              <w:rPr>
                <w:b/>
                <w:i/>
                <w:color w:val="0000FF"/>
                <w:u w:val="single"/>
              </w:rPr>
              <w:t>Guideline 2</w:t>
            </w:r>
            <w:r w:rsidRPr="00FD1480">
              <w:rPr>
                <w:color w:val="0000FF"/>
                <w:u w:val="single"/>
              </w:rPr>
              <w:t>:</w:t>
            </w:r>
          </w:p>
          <w:p w14:paraId="5FC21D95" w14:textId="77777777" w:rsidR="00E249B4" w:rsidRPr="00E249B4" w:rsidRDefault="00E249B4" w:rsidP="00365AC3">
            <w:pPr>
              <w:spacing w:after="220"/>
              <w:ind w:left="72" w:right="72"/>
              <w:jc w:val="both"/>
              <w:rPr>
                <w:i/>
                <w:color w:val="0000FF"/>
              </w:rPr>
            </w:pPr>
            <w:r w:rsidRPr="00E249B4">
              <w:rPr>
                <w:i/>
                <w:color w:val="0000FF"/>
              </w:rPr>
              <w:t xml:space="preserve">Level A: </w:t>
            </w:r>
            <w:r w:rsidRPr="001A37D9">
              <w:rPr>
                <w:color w:val="0000FF"/>
              </w:rPr>
              <w:t>Multiple populations evaluated. Data derived from multiple randomized clinical trials or meta-analyses.</w:t>
            </w:r>
          </w:p>
          <w:p w14:paraId="39BEC8AB" w14:textId="77777777" w:rsidR="00660A97" w:rsidRPr="001A37D9" w:rsidRDefault="00660A97" w:rsidP="00365AC3">
            <w:pPr>
              <w:spacing w:after="45"/>
              <w:ind w:left="72" w:right="72"/>
              <w:jc w:val="both"/>
              <w:rPr>
                <w:color w:val="FF0000"/>
              </w:rPr>
            </w:pPr>
            <w:r w:rsidRPr="001A37D9">
              <w:rPr>
                <w:b/>
                <w:color w:val="FF0000"/>
                <w:u w:val="single"/>
              </w:rPr>
              <w:t xml:space="preserve">The following evidence scales does not apply to recommendations from </w:t>
            </w:r>
            <w:r w:rsidRPr="001A37D9">
              <w:rPr>
                <w:b/>
                <w:i/>
                <w:color w:val="FF0000"/>
                <w:u w:val="single"/>
              </w:rPr>
              <w:t>Guideline 1</w:t>
            </w:r>
            <w:r w:rsidRPr="001A37D9">
              <w:rPr>
                <w:color w:val="FF0000"/>
                <w:u w:val="single"/>
              </w:rPr>
              <w:t>:</w:t>
            </w:r>
          </w:p>
          <w:p w14:paraId="6725245B" w14:textId="77777777" w:rsidR="00660A97" w:rsidRPr="001A37D9" w:rsidRDefault="00660A97" w:rsidP="00365AC3">
            <w:pPr>
              <w:spacing w:after="45"/>
              <w:ind w:left="72" w:right="72"/>
              <w:jc w:val="both"/>
              <w:rPr>
                <w:color w:val="FF0000"/>
              </w:rPr>
            </w:pPr>
            <w:r w:rsidRPr="001A37D9">
              <w:rPr>
                <w:i/>
                <w:color w:val="FF0000"/>
              </w:rPr>
              <w:t>Level A:</w:t>
            </w:r>
            <w:r w:rsidRPr="001A37D9">
              <w:rPr>
                <w:color w:val="FF0000"/>
              </w:rPr>
              <w:t xml:space="preserve"> Data derived from multiple randomized clinical trials or meta-analyses. </w:t>
            </w:r>
          </w:p>
          <w:p w14:paraId="16F0A7E7" w14:textId="77777777" w:rsidR="00660A97" w:rsidRPr="001A37D9" w:rsidRDefault="00660A97" w:rsidP="00D65571">
            <w:pPr>
              <w:spacing w:after="110"/>
              <w:ind w:left="72" w:right="72"/>
              <w:jc w:val="both"/>
              <w:rPr>
                <w:color w:val="FF0000"/>
              </w:rPr>
            </w:pPr>
            <w:r w:rsidRPr="001A37D9">
              <w:rPr>
                <w:i/>
                <w:color w:val="FF0000"/>
              </w:rPr>
              <w:t>Level B:</w:t>
            </w:r>
            <w:r w:rsidRPr="001A37D9">
              <w:rPr>
                <w:color w:val="FF0000"/>
              </w:rPr>
              <w:t xml:space="preserve"> Data derived from a single randomized clinical trial or large non-randomized studies. </w:t>
            </w:r>
          </w:p>
          <w:p w14:paraId="37A96AC1" w14:textId="77777777" w:rsidR="00660A97" w:rsidRPr="001A37D9" w:rsidRDefault="00660A97" w:rsidP="00365AC3">
            <w:pPr>
              <w:spacing w:after="45"/>
              <w:ind w:left="72" w:right="72"/>
              <w:jc w:val="both"/>
              <w:rPr>
                <w:color w:val="FF0000"/>
              </w:rPr>
            </w:pPr>
            <w:r w:rsidRPr="001A37D9">
              <w:rPr>
                <w:b/>
                <w:color w:val="FF0000"/>
                <w:u w:val="single"/>
              </w:rPr>
              <w:t xml:space="preserve">The following evidence scales does not apply to recommendations from </w:t>
            </w:r>
            <w:r w:rsidRPr="001A37D9">
              <w:rPr>
                <w:b/>
                <w:i/>
                <w:color w:val="FF0000"/>
                <w:u w:val="single"/>
              </w:rPr>
              <w:t>Guideline 2</w:t>
            </w:r>
            <w:r w:rsidRPr="001A37D9">
              <w:rPr>
                <w:color w:val="FF0000"/>
                <w:u w:val="single"/>
              </w:rPr>
              <w:t>:</w:t>
            </w:r>
          </w:p>
          <w:p w14:paraId="7235C865" w14:textId="782F2E82" w:rsidR="005947BA" w:rsidRPr="00365AC3" w:rsidRDefault="00E249B4" w:rsidP="00365AC3">
            <w:pPr>
              <w:spacing w:after="110"/>
              <w:ind w:left="72" w:right="72"/>
              <w:jc w:val="both"/>
              <w:rPr>
                <w:i/>
                <w:color w:val="FF0000"/>
              </w:rPr>
            </w:pPr>
            <w:r w:rsidRPr="00E249B4">
              <w:rPr>
                <w:i/>
                <w:color w:val="FF0000"/>
              </w:rPr>
              <w:t>Level A</w:t>
            </w:r>
            <w:r w:rsidRPr="001A37D9">
              <w:rPr>
                <w:color w:val="FF0000"/>
              </w:rPr>
              <w:t>: Multiple populations evaluated. Data derived from multiple randomized clinical trials or meta-analyses.</w:t>
            </w:r>
          </w:p>
        </w:tc>
      </w:tr>
      <w:tr w:rsidR="00F44A21" w14:paraId="6B1A6B7A" w14:textId="77777777" w:rsidTr="00790A20">
        <w:trPr>
          <w:trHeight w:val="537"/>
        </w:trPr>
        <w:tc>
          <w:tcPr>
            <w:tcW w:w="3380" w:type="dxa"/>
          </w:tcPr>
          <w:p w14:paraId="1F27D97D" w14:textId="6ACC8210" w:rsidR="00F44A21" w:rsidRDefault="00FB19DA" w:rsidP="0038625E">
            <w:pPr>
              <w:pStyle w:val="TableParagraph"/>
              <w:ind w:left="144"/>
            </w:pPr>
            <w:r>
              <w:t xml:space="preserve">Grade assigned to the </w:t>
            </w:r>
            <w:r>
              <w:rPr>
                <w:b/>
              </w:rPr>
              <w:t>recommendation</w:t>
            </w:r>
            <w:r w:rsidR="0038625E">
              <w:rPr>
                <w:b/>
              </w:rPr>
              <w:t xml:space="preserve"> </w:t>
            </w:r>
            <w:r>
              <w:t>with definition of the grade</w:t>
            </w:r>
          </w:p>
        </w:tc>
        <w:tc>
          <w:tcPr>
            <w:tcW w:w="7110" w:type="dxa"/>
          </w:tcPr>
          <w:p w14:paraId="446427A5" w14:textId="77777777" w:rsidR="00D61BC5" w:rsidRPr="00D61BC5" w:rsidRDefault="00D61BC5" w:rsidP="00D8754C">
            <w:pPr>
              <w:spacing w:before="110" w:after="45"/>
              <w:ind w:left="72" w:right="72"/>
              <w:jc w:val="both"/>
              <w:rPr>
                <w:b/>
                <w:color w:val="0000FF"/>
              </w:rPr>
            </w:pPr>
            <w:r w:rsidRPr="00D61BC5">
              <w:rPr>
                <w:b/>
                <w:color w:val="0000FF"/>
                <w:u w:val="single"/>
              </w:rPr>
              <w:t xml:space="preserve">The following grading scale applies to recommendations from </w:t>
            </w:r>
            <w:r w:rsidRPr="00D61BC5">
              <w:rPr>
                <w:b/>
                <w:i/>
                <w:color w:val="0000FF"/>
                <w:u w:val="single"/>
              </w:rPr>
              <w:t>Guideline 1</w:t>
            </w:r>
            <w:r w:rsidRPr="00D61BC5">
              <w:rPr>
                <w:b/>
                <w:color w:val="0000FF"/>
                <w:u w:val="single"/>
              </w:rPr>
              <w:t>:</w:t>
            </w:r>
          </w:p>
          <w:p w14:paraId="5151C8E5" w14:textId="66E9C649" w:rsidR="00D61BC5" w:rsidRPr="001A37D9" w:rsidRDefault="00D61BC5" w:rsidP="00D8754C">
            <w:pPr>
              <w:spacing w:after="45"/>
              <w:ind w:left="72" w:right="72"/>
              <w:jc w:val="both"/>
              <w:rPr>
                <w:b/>
                <w:color w:val="0000FF"/>
              </w:rPr>
            </w:pPr>
            <w:r w:rsidRPr="00E05D6F">
              <w:rPr>
                <w:i/>
                <w:color w:val="0000FF"/>
                <w:u w:val="single"/>
              </w:rPr>
              <w:t>Recommendation A:</w:t>
            </w:r>
            <w:r w:rsidRPr="00BA25D2">
              <w:rPr>
                <w:i/>
                <w:color w:val="0000FF"/>
              </w:rPr>
              <w:t xml:space="preserve"> Class IIb:</w:t>
            </w:r>
            <w:r w:rsidRPr="00C1396F">
              <w:rPr>
                <w:color w:val="0000FF"/>
              </w:rPr>
              <w:t xml:space="preserve"> Usefulness/efficacy is less well established by evidence/opinion.</w:t>
            </w:r>
            <w:r w:rsidR="00D66D3F">
              <w:rPr>
                <w:color w:val="0000FF"/>
              </w:rPr>
              <w:t xml:space="preserve"> </w:t>
            </w:r>
          </w:p>
          <w:p w14:paraId="4994DEDE" w14:textId="77777777" w:rsidR="00D61BC5" w:rsidRPr="00C1396F" w:rsidRDefault="00D61BC5" w:rsidP="00D8754C">
            <w:pPr>
              <w:spacing w:after="45"/>
              <w:ind w:left="72" w:right="72"/>
              <w:jc w:val="both"/>
              <w:rPr>
                <w:color w:val="0000FF"/>
              </w:rPr>
            </w:pPr>
            <w:r w:rsidRPr="00E05D6F">
              <w:rPr>
                <w:i/>
                <w:color w:val="0000FF"/>
                <w:u w:val="single"/>
              </w:rPr>
              <w:t>Recommendation B:</w:t>
            </w:r>
            <w:r w:rsidRPr="00BA25D2">
              <w:rPr>
                <w:i/>
                <w:color w:val="0000FF"/>
              </w:rPr>
              <w:t xml:space="preserve"> Class I:</w:t>
            </w:r>
            <w:r w:rsidRPr="00C1396F">
              <w:rPr>
                <w:color w:val="0000FF"/>
              </w:rPr>
              <w:t xml:space="preserve"> Evidence and/or general agreement that a given treatment or procedure is beneficial, useful, and effective. </w:t>
            </w:r>
          </w:p>
          <w:p w14:paraId="6F36D724" w14:textId="4B8C3B75" w:rsidR="00D61BC5" w:rsidRPr="00C1396F" w:rsidRDefault="00D61BC5" w:rsidP="00D8754C">
            <w:pPr>
              <w:spacing w:after="45"/>
              <w:ind w:left="72" w:right="72"/>
              <w:jc w:val="both"/>
              <w:rPr>
                <w:color w:val="0000FF"/>
              </w:rPr>
            </w:pPr>
            <w:r w:rsidRPr="00E05D6F">
              <w:rPr>
                <w:i/>
                <w:color w:val="0000FF"/>
                <w:u w:val="single"/>
              </w:rPr>
              <w:t>Recommendation C:</w:t>
            </w:r>
            <w:r w:rsidRPr="00BA25D2">
              <w:rPr>
                <w:i/>
                <w:color w:val="0000FF"/>
              </w:rPr>
              <w:t xml:space="preserve"> Class IIb:</w:t>
            </w:r>
            <w:r w:rsidRPr="00C1396F">
              <w:rPr>
                <w:color w:val="0000FF"/>
              </w:rPr>
              <w:t xml:space="preserve"> Usefulness/efficacy is less well established by evidence/opinion.</w:t>
            </w:r>
            <w:r w:rsidR="00D66D3F">
              <w:rPr>
                <w:color w:val="0000FF"/>
              </w:rPr>
              <w:t xml:space="preserve"> </w:t>
            </w:r>
          </w:p>
          <w:p w14:paraId="25E880E2" w14:textId="77777777" w:rsidR="00D61BC5" w:rsidRPr="00C1396F" w:rsidRDefault="00D61BC5" w:rsidP="00D8754C">
            <w:pPr>
              <w:spacing w:after="110"/>
              <w:ind w:left="72" w:right="72"/>
              <w:jc w:val="both"/>
              <w:rPr>
                <w:color w:val="0000FF"/>
              </w:rPr>
            </w:pPr>
            <w:r w:rsidRPr="00E05D6F">
              <w:rPr>
                <w:i/>
                <w:color w:val="0000FF"/>
                <w:u w:val="single"/>
              </w:rPr>
              <w:t>Recommendation D:</w:t>
            </w:r>
            <w:r w:rsidRPr="00BA25D2">
              <w:rPr>
                <w:i/>
                <w:color w:val="0000FF"/>
              </w:rPr>
              <w:t xml:space="preserve"> Class </w:t>
            </w:r>
            <w:r>
              <w:rPr>
                <w:i/>
                <w:color w:val="0000FF"/>
              </w:rPr>
              <w:t>III</w:t>
            </w:r>
            <w:r w:rsidRPr="00BA25D2">
              <w:rPr>
                <w:i/>
                <w:color w:val="0000FF"/>
              </w:rPr>
              <w:t>:</w:t>
            </w:r>
            <w:r w:rsidRPr="00C1396F">
              <w:rPr>
                <w:color w:val="0000FF"/>
              </w:rPr>
              <w:t xml:space="preserve"> </w:t>
            </w:r>
            <w:r w:rsidRPr="00AB592A">
              <w:rPr>
                <w:color w:val="0000FF"/>
              </w:rPr>
              <w:t>Evidence or general agreement that the given treatment or procedure is not useful/effective, and in some cases may be harmful</w:t>
            </w:r>
            <w:r>
              <w:rPr>
                <w:color w:val="0000FF"/>
              </w:rPr>
              <w:t>.</w:t>
            </w:r>
          </w:p>
          <w:p w14:paraId="11DB8BDB" w14:textId="77777777" w:rsidR="00D61BC5" w:rsidRPr="00D61BC5" w:rsidRDefault="00D61BC5" w:rsidP="00D8754C">
            <w:pPr>
              <w:spacing w:after="45"/>
              <w:ind w:left="72" w:right="72"/>
              <w:jc w:val="both"/>
              <w:rPr>
                <w:b/>
                <w:color w:val="0000FF"/>
              </w:rPr>
            </w:pPr>
            <w:r w:rsidRPr="00D61BC5">
              <w:rPr>
                <w:b/>
                <w:color w:val="0000FF"/>
                <w:u w:val="single"/>
              </w:rPr>
              <w:t xml:space="preserve">The following grading scale applies to recommendations from </w:t>
            </w:r>
            <w:r w:rsidRPr="00D61BC5">
              <w:rPr>
                <w:b/>
                <w:i/>
                <w:color w:val="0000FF"/>
                <w:u w:val="single"/>
              </w:rPr>
              <w:t>Guideline 2</w:t>
            </w:r>
            <w:r w:rsidRPr="00D61BC5">
              <w:rPr>
                <w:b/>
                <w:color w:val="0000FF"/>
                <w:u w:val="single"/>
              </w:rPr>
              <w:t>:</w:t>
            </w:r>
          </w:p>
          <w:p w14:paraId="2E9117AB" w14:textId="77777777" w:rsidR="00D61BC5" w:rsidRPr="00C1396F" w:rsidRDefault="00D61BC5" w:rsidP="00D8754C">
            <w:pPr>
              <w:spacing w:after="45"/>
              <w:ind w:left="72" w:right="72"/>
              <w:jc w:val="both"/>
              <w:rPr>
                <w:color w:val="0000FF"/>
              </w:rPr>
            </w:pPr>
            <w:r w:rsidRPr="00E05D6F">
              <w:rPr>
                <w:i/>
                <w:color w:val="0000FF"/>
                <w:u w:val="single"/>
              </w:rPr>
              <w:t>Recommendation A:</w:t>
            </w:r>
            <w:r w:rsidRPr="00474DF7">
              <w:rPr>
                <w:i/>
                <w:color w:val="0000FF"/>
              </w:rPr>
              <w:t xml:space="preserve"> Class IIa, Level B:</w:t>
            </w:r>
            <w:r w:rsidRPr="00C1396F">
              <w:rPr>
                <w:color w:val="0000FF"/>
              </w:rPr>
              <w:t xml:space="preserve"> Recommendation in favor of treatment or procedure being</w:t>
            </w:r>
            <w:r>
              <w:rPr>
                <w:color w:val="0000FF"/>
              </w:rPr>
              <w:t xml:space="preserve"> </w:t>
            </w:r>
            <w:r w:rsidRPr="00C1396F">
              <w:rPr>
                <w:color w:val="0000FF"/>
              </w:rPr>
              <w:t>useful/effective; some conflicting evidence from single randomized trial or nonrandomized studies</w:t>
            </w:r>
          </w:p>
          <w:p w14:paraId="0F45BD10" w14:textId="5461879C" w:rsidR="00D61BC5" w:rsidRPr="00C1396F" w:rsidRDefault="00D61BC5" w:rsidP="00D8754C">
            <w:pPr>
              <w:spacing w:after="45"/>
              <w:ind w:left="72" w:right="72"/>
              <w:jc w:val="both"/>
              <w:rPr>
                <w:color w:val="0000FF"/>
              </w:rPr>
            </w:pPr>
            <w:r w:rsidRPr="00E05D6F">
              <w:rPr>
                <w:i/>
                <w:color w:val="0000FF"/>
                <w:u w:val="single"/>
              </w:rPr>
              <w:t>Recommendation B:</w:t>
            </w:r>
            <w:r w:rsidRPr="00474DF7">
              <w:rPr>
                <w:i/>
                <w:color w:val="0000FF"/>
              </w:rPr>
              <w:t xml:space="preserve"> Class IIb, Level B:</w:t>
            </w:r>
            <w:r w:rsidRPr="00C1396F">
              <w:rPr>
                <w:color w:val="0000FF"/>
              </w:rPr>
              <w:t xml:space="preserve"> Recommendation’s usefulness/efficacy less well established; </w:t>
            </w:r>
            <w:r w:rsidR="00240CF1">
              <w:rPr>
                <w:color w:val="0000FF"/>
              </w:rPr>
              <w:t>g</w:t>
            </w:r>
            <w:r w:rsidRPr="00C1396F">
              <w:rPr>
                <w:color w:val="0000FF"/>
              </w:rPr>
              <w:t xml:space="preserve">reater conflicting evidence from single randomized trial or </w:t>
            </w:r>
            <w:r w:rsidRPr="00C1396F">
              <w:rPr>
                <w:color w:val="0000FF"/>
              </w:rPr>
              <w:lastRenderedPageBreak/>
              <w:t>nonrandomized studies.</w:t>
            </w:r>
          </w:p>
          <w:p w14:paraId="0172BC4C" w14:textId="3C9C4942" w:rsidR="00D61BC5" w:rsidRPr="00C1396F" w:rsidRDefault="00D61BC5" w:rsidP="00D8754C">
            <w:pPr>
              <w:spacing w:after="45"/>
              <w:ind w:left="72" w:right="72"/>
              <w:jc w:val="both"/>
              <w:rPr>
                <w:color w:val="0000FF"/>
              </w:rPr>
            </w:pPr>
            <w:r w:rsidRPr="00E05D6F">
              <w:rPr>
                <w:i/>
                <w:color w:val="0000FF"/>
                <w:u w:val="single"/>
              </w:rPr>
              <w:t>Recommendation C:</w:t>
            </w:r>
            <w:r w:rsidRPr="00474DF7">
              <w:rPr>
                <w:i/>
                <w:color w:val="0000FF"/>
              </w:rPr>
              <w:t xml:space="preserve"> Class IIb, Level B:</w:t>
            </w:r>
            <w:r w:rsidRPr="00C1396F">
              <w:rPr>
                <w:color w:val="0000FF"/>
              </w:rPr>
              <w:t xml:space="preserve"> Recommendation’s usefulness/efficacy less well established; </w:t>
            </w:r>
            <w:r w:rsidR="00240CF1">
              <w:rPr>
                <w:color w:val="0000FF"/>
              </w:rPr>
              <w:t>g</w:t>
            </w:r>
            <w:r w:rsidRPr="00C1396F">
              <w:rPr>
                <w:color w:val="0000FF"/>
              </w:rPr>
              <w:t>reater conflicting evidence from single randomized trial or nonrandomized studies.</w:t>
            </w:r>
          </w:p>
          <w:p w14:paraId="29AE6CE7" w14:textId="77777777" w:rsidR="00D61BC5" w:rsidRPr="00C1396F" w:rsidRDefault="00D61BC5" w:rsidP="00D8754C">
            <w:pPr>
              <w:spacing w:after="45"/>
              <w:ind w:left="72" w:right="72"/>
              <w:jc w:val="both"/>
              <w:rPr>
                <w:color w:val="0000FF"/>
              </w:rPr>
            </w:pPr>
            <w:r w:rsidRPr="00E05D6F">
              <w:rPr>
                <w:i/>
                <w:color w:val="0000FF"/>
                <w:u w:val="single"/>
              </w:rPr>
              <w:t>Recommendation D:</w:t>
            </w:r>
            <w:r w:rsidRPr="00474DF7">
              <w:rPr>
                <w:i/>
                <w:color w:val="0000FF"/>
              </w:rPr>
              <w:t xml:space="preserve"> Class IIb, Level C:</w:t>
            </w:r>
            <w:r w:rsidRPr="00C1396F">
              <w:rPr>
                <w:color w:val="0000FF"/>
              </w:rPr>
              <w:t xml:space="preserve"> Recommendation’s usefulness/efficacy less well established; only diverging expert opinion, case studies, or standard of care.</w:t>
            </w:r>
          </w:p>
          <w:p w14:paraId="2394A3BA" w14:textId="77777777" w:rsidR="00D61BC5" w:rsidRDefault="00D61BC5" w:rsidP="00D8754C">
            <w:pPr>
              <w:spacing w:after="220"/>
              <w:ind w:left="72" w:right="72"/>
              <w:jc w:val="both"/>
              <w:rPr>
                <w:color w:val="0000FF"/>
              </w:rPr>
            </w:pPr>
            <w:r w:rsidRPr="00E05D6F">
              <w:rPr>
                <w:i/>
                <w:color w:val="0000FF"/>
                <w:u w:val="single"/>
              </w:rPr>
              <w:t>Recommendation E:</w:t>
            </w:r>
            <w:r w:rsidRPr="00474DF7">
              <w:rPr>
                <w:i/>
                <w:color w:val="0000FF"/>
              </w:rPr>
              <w:t xml:space="preserve"> Class III, Level B:</w:t>
            </w:r>
            <w:r w:rsidRPr="00C1396F">
              <w:rPr>
                <w:color w:val="0000FF"/>
              </w:rPr>
              <w:t xml:space="preserve"> Recommendation that procedure or treatment is not useful/ineffective and may be harmful; </w:t>
            </w:r>
            <w:r>
              <w:rPr>
                <w:color w:val="0000FF"/>
              </w:rPr>
              <w:t>e</w:t>
            </w:r>
            <w:r w:rsidRPr="00C1396F">
              <w:rPr>
                <w:color w:val="0000FF"/>
              </w:rPr>
              <w:t xml:space="preserve">vidence from single randomized trial or nonrandomized studies. </w:t>
            </w:r>
          </w:p>
          <w:p w14:paraId="44D2E206" w14:textId="77777777" w:rsidR="00C00DA5" w:rsidRDefault="00847A02" w:rsidP="00D8754C">
            <w:pPr>
              <w:spacing w:after="110"/>
              <w:ind w:left="72" w:right="72"/>
              <w:jc w:val="both"/>
              <w:rPr>
                <w:color w:val="FF0000"/>
              </w:rPr>
            </w:pPr>
            <w:r w:rsidRPr="00822A8D">
              <w:rPr>
                <w:color w:val="FF0000"/>
              </w:rPr>
              <w:t xml:space="preserve">Recommendations from </w:t>
            </w:r>
            <w:r w:rsidRPr="00822A8D">
              <w:rPr>
                <w:i/>
                <w:color w:val="FF0000"/>
              </w:rPr>
              <w:t>Guideline 1</w:t>
            </w:r>
            <w:r w:rsidRPr="00822A8D">
              <w:rPr>
                <w:color w:val="FF0000"/>
              </w:rPr>
              <w:t xml:space="preserve"> received either a </w:t>
            </w:r>
            <w:r w:rsidRPr="00822A8D">
              <w:rPr>
                <w:color w:val="FF0000"/>
                <w:u w:val="single"/>
              </w:rPr>
              <w:t>Class IIa, Class IIb, or Class III</w:t>
            </w:r>
            <w:r w:rsidRPr="00822A8D">
              <w:rPr>
                <w:color w:val="FF0000"/>
              </w:rPr>
              <w:t xml:space="preserve"> designation. The ES</w:t>
            </w:r>
            <w:r w:rsidR="00C00DA5">
              <w:rPr>
                <w:color w:val="FF0000"/>
              </w:rPr>
              <w:t>C/ESA guideline</w:t>
            </w:r>
            <w:r w:rsidRPr="00822A8D">
              <w:rPr>
                <w:color w:val="FF0000"/>
              </w:rPr>
              <w:t xml:space="preserve"> make</w:t>
            </w:r>
            <w:r w:rsidR="00C00DA5">
              <w:rPr>
                <w:color w:val="FF0000"/>
              </w:rPr>
              <w:t>s</w:t>
            </w:r>
            <w:r w:rsidRPr="00822A8D">
              <w:rPr>
                <w:color w:val="FF0000"/>
              </w:rPr>
              <w:t xml:space="preserve"> consistent recommendations and support the measures clinical intent. </w:t>
            </w:r>
          </w:p>
          <w:p w14:paraId="79AFCD51" w14:textId="77777777" w:rsidR="00FD1480" w:rsidRPr="001A37D9" w:rsidRDefault="00FD1480" w:rsidP="00D8754C">
            <w:pPr>
              <w:spacing w:after="45"/>
              <w:ind w:left="72" w:right="72"/>
              <w:jc w:val="both"/>
              <w:rPr>
                <w:b/>
                <w:color w:val="FF0000"/>
              </w:rPr>
            </w:pPr>
            <w:r w:rsidRPr="001A37D9">
              <w:rPr>
                <w:b/>
                <w:color w:val="FF0000"/>
                <w:u w:val="single"/>
              </w:rPr>
              <w:t xml:space="preserve">The following grading scale applies to recommendations from </w:t>
            </w:r>
            <w:r w:rsidRPr="001A37D9">
              <w:rPr>
                <w:b/>
                <w:i/>
                <w:color w:val="FF0000"/>
                <w:u w:val="single"/>
              </w:rPr>
              <w:t>Guideline 1</w:t>
            </w:r>
            <w:r w:rsidRPr="001A37D9">
              <w:rPr>
                <w:b/>
                <w:color w:val="FF0000"/>
                <w:u w:val="single"/>
              </w:rPr>
              <w:t>:</w:t>
            </w:r>
          </w:p>
          <w:p w14:paraId="686486E6" w14:textId="6C0BCFD3" w:rsidR="00FD1480" w:rsidRPr="001A37D9" w:rsidRDefault="00FD1480" w:rsidP="00D8754C">
            <w:pPr>
              <w:spacing w:after="45"/>
              <w:ind w:left="72" w:right="72"/>
              <w:jc w:val="both"/>
              <w:rPr>
                <w:color w:val="FF0000"/>
              </w:rPr>
            </w:pPr>
            <w:r w:rsidRPr="001A37D9">
              <w:rPr>
                <w:i/>
                <w:color w:val="FF0000"/>
                <w:u w:val="single"/>
              </w:rPr>
              <w:t>Recommendation A:</w:t>
            </w:r>
            <w:r w:rsidRPr="001A37D9">
              <w:rPr>
                <w:i/>
                <w:color w:val="FF0000"/>
              </w:rPr>
              <w:t xml:space="preserve"> Class IIb:</w:t>
            </w:r>
            <w:r w:rsidRPr="001A37D9">
              <w:rPr>
                <w:color w:val="FF0000"/>
              </w:rPr>
              <w:t xml:space="preserve"> Usefulness/efficacy is less well established by evidence/opinion.</w:t>
            </w:r>
            <w:r w:rsidR="00D66D3F">
              <w:rPr>
                <w:color w:val="FF0000"/>
              </w:rPr>
              <w:t xml:space="preserve"> </w:t>
            </w:r>
            <w:r w:rsidR="00D66D3F" w:rsidRPr="001A37D9">
              <w:rPr>
                <w:color w:val="FF0000"/>
              </w:rPr>
              <w:t>Procedure/treatment MAY be considered.</w:t>
            </w:r>
          </w:p>
          <w:p w14:paraId="739803BD" w14:textId="67C6976D" w:rsidR="00FD1480" w:rsidRPr="001A37D9" w:rsidRDefault="00FD1480" w:rsidP="00D8754C">
            <w:pPr>
              <w:spacing w:after="45"/>
              <w:ind w:left="72" w:right="72"/>
              <w:jc w:val="both"/>
              <w:rPr>
                <w:color w:val="FF0000"/>
              </w:rPr>
            </w:pPr>
            <w:r w:rsidRPr="001A37D9">
              <w:rPr>
                <w:i/>
                <w:color w:val="FF0000"/>
                <w:u w:val="single"/>
              </w:rPr>
              <w:t>Recommendation B:</w:t>
            </w:r>
            <w:r w:rsidRPr="001A37D9">
              <w:rPr>
                <w:i/>
                <w:color w:val="FF0000"/>
              </w:rPr>
              <w:t xml:space="preserve"> Class I:</w:t>
            </w:r>
            <w:r w:rsidRPr="001A37D9">
              <w:rPr>
                <w:color w:val="FF0000"/>
              </w:rPr>
              <w:t xml:space="preserve"> Evidence and/or general agreement that a given treatment or procedure is beneficial, useful, and effective. </w:t>
            </w:r>
            <w:r w:rsidR="00D66D3F">
              <w:rPr>
                <w:color w:val="FF0000"/>
              </w:rPr>
              <w:t>Procedure/treatment is recommended/is indicated.</w:t>
            </w:r>
          </w:p>
          <w:p w14:paraId="29D44FDD" w14:textId="07AB06B8" w:rsidR="00FD1480" w:rsidRPr="001A37D9" w:rsidRDefault="00FD1480" w:rsidP="00D8754C">
            <w:pPr>
              <w:spacing w:after="45"/>
              <w:ind w:left="72" w:right="72"/>
              <w:jc w:val="both"/>
              <w:rPr>
                <w:color w:val="FF0000"/>
              </w:rPr>
            </w:pPr>
            <w:r w:rsidRPr="001A37D9">
              <w:rPr>
                <w:i/>
                <w:color w:val="FF0000"/>
                <w:u w:val="single"/>
              </w:rPr>
              <w:t>Recommendation C:</w:t>
            </w:r>
            <w:r w:rsidRPr="001A37D9">
              <w:rPr>
                <w:i/>
                <w:color w:val="FF0000"/>
              </w:rPr>
              <w:t xml:space="preserve"> Class IIb:</w:t>
            </w:r>
            <w:r w:rsidRPr="001A37D9">
              <w:rPr>
                <w:color w:val="FF0000"/>
              </w:rPr>
              <w:t xml:space="preserve"> Usefulness/efficacy is less well established by evidence/opinion.</w:t>
            </w:r>
            <w:r w:rsidR="00D66D3F">
              <w:rPr>
                <w:color w:val="FF0000"/>
              </w:rPr>
              <w:t xml:space="preserve"> </w:t>
            </w:r>
            <w:r w:rsidR="00D66D3F" w:rsidRPr="001A37D9">
              <w:rPr>
                <w:color w:val="FF0000"/>
              </w:rPr>
              <w:t>Procedure/treatment MAY be considered.</w:t>
            </w:r>
          </w:p>
          <w:p w14:paraId="5108A1D5" w14:textId="36D40B32" w:rsidR="00FD1480" w:rsidRPr="001A37D9" w:rsidRDefault="00FD1480" w:rsidP="00D8754C">
            <w:pPr>
              <w:spacing w:after="110"/>
              <w:ind w:left="72" w:right="72"/>
              <w:jc w:val="both"/>
              <w:rPr>
                <w:color w:val="FF0000"/>
              </w:rPr>
            </w:pPr>
            <w:r w:rsidRPr="001A37D9">
              <w:rPr>
                <w:i/>
                <w:color w:val="FF0000"/>
                <w:u w:val="single"/>
              </w:rPr>
              <w:t>Recommendation D:</w:t>
            </w:r>
            <w:r w:rsidRPr="001A37D9">
              <w:rPr>
                <w:i/>
                <w:color w:val="FF0000"/>
              </w:rPr>
              <w:t xml:space="preserve"> Class III:</w:t>
            </w:r>
            <w:r w:rsidRPr="001A37D9">
              <w:rPr>
                <w:color w:val="FF0000"/>
              </w:rPr>
              <w:t xml:space="preserve"> Evidence or general agreement that the given treatment or procedure is not useful/effective, and in some cases may be harmful.</w:t>
            </w:r>
            <w:r w:rsidR="00D66D3F">
              <w:rPr>
                <w:color w:val="FF0000"/>
              </w:rPr>
              <w:t xml:space="preserve"> Procedure/treatment is not recommended. </w:t>
            </w:r>
          </w:p>
          <w:p w14:paraId="73F99904" w14:textId="21A90475" w:rsidR="00C00DA5" w:rsidRPr="00822A8D" w:rsidRDefault="00C00DA5" w:rsidP="00D8754C">
            <w:pPr>
              <w:spacing w:after="110"/>
              <w:ind w:left="72" w:right="72"/>
              <w:jc w:val="both"/>
              <w:rPr>
                <w:color w:val="FF0000"/>
              </w:rPr>
            </w:pPr>
            <w:r w:rsidRPr="00822A8D">
              <w:rPr>
                <w:color w:val="FF0000"/>
              </w:rPr>
              <w:t xml:space="preserve">The recommendations from </w:t>
            </w:r>
            <w:r>
              <w:rPr>
                <w:i/>
                <w:color w:val="FF0000"/>
              </w:rPr>
              <w:t xml:space="preserve">Guideline 2 </w:t>
            </w:r>
            <w:r w:rsidRPr="00822A8D">
              <w:rPr>
                <w:color w:val="FF0000"/>
              </w:rPr>
              <w:t xml:space="preserve">represent evidence and/or general agreement on the statement. Recommendations </w:t>
            </w:r>
            <w:r w:rsidR="00240CF1">
              <w:rPr>
                <w:color w:val="FF0000"/>
              </w:rPr>
              <w:t>A</w:t>
            </w:r>
            <w:r w:rsidRPr="00822A8D">
              <w:rPr>
                <w:color w:val="FF0000"/>
              </w:rPr>
              <w:t xml:space="preserve">, </w:t>
            </w:r>
            <w:r w:rsidR="00240CF1">
              <w:rPr>
                <w:color w:val="FF0000"/>
              </w:rPr>
              <w:t>B</w:t>
            </w:r>
            <w:r w:rsidRPr="00822A8D">
              <w:rPr>
                <w:color w:val="FF0000"/>
              </w:rPr>
              <w:t xml:space="preserve">, </w:t>
            </w:r>
            <w:r w:rsidR="00240CF1">
              <w:rPr>
                <w:color w:val="FF0000"/>
              </w:rPr>
              <w:t>C</w:t>
            </w:r>
            <w:r w:rsidRPr="00822A8D">
              <w:rPr>
                <w:color w:val="FF0000"/>
              </w:rPr>
              <w:t xml:space="preserve">, and </w:t>
            </w:r>
            <w:r w:rsidR="00240CF1">
              <w:rPr>
                <w:color w:val="FF0000"/>
              </w:rPr>
              <w:t>E</w:t>
            </w:r>
            <w:r w:rsidRPr="00822A8D">
              <w:rPr>
                <w:color w:val="FF0000"/>
              </w:rPr>
              <w:t xml:space="preserve"> are based on a single RCT or large non-randomized study. </w:t>
            </w:r>
            <w:r w:rsidR="00162719">
              <w:rPr>
                <w:color w:val="FF0000"/>
              </w:rPr>
              <w:t>R</w:t>
            </w:r>
            <w:r w:rsidRPr="00822A8D">
              <w:rPr>
                <w:color w:val="FF0000"/>
              </w:rPr>
              <w:t>ecommendation</w:t>
            </w:r>
            <w:r w:rsidR="00162719">
              <w:rPr>
                <w:color w:val="FF0000"/>
              </w:rPr>
              <w:t xml:space="preserve"> D</w:t>
            </w:r>
            <w:r w:rsidRPr="00822A8D">
              <w:rPr>
                <w:color w:val="FF0000"/>
              </w:rPr>
              <w:t xml:space="preserve"> is based on consensus opinion of experts, case studies or standard of care. While the evidence to support individual recommendations is moderate, collectively, the recommendations were based on consistent findings across studies and further bolstered by recommendations in other publications. </w:t>
            </w:r>
          </w:p>
          <w:p w14:paraId="5789BDD5" w14:textId="77777777" w:rsidR="00FD1480" w:rsidRPr="001A37D9" w:rsidRDefault="00FD1480" w:rsidP="00D8754C">
            <w:pPr>
              <w:spacing w:after="45"/>
              <w:ind w:left="72" w:right="72"/>
              <w:jc w:val="both"/>
              <w:rPr>
                <w:b/>
                <w:color w:val="FF0000"/>
              </w:rPr>
            </w:pPr>
            <w:r w:rsidRPr="001A37D9">
              <w:rPr>
                <w:b/>
                <w:color w:val="FF0000"/>
                <w:u w:val="single"/>
              </w:rPr>
              <w:t xml:space="preserve">The following grading scale applies to recommendations from </w:t>
            </w:r>
            <w:r w:rsidRPr="001A37D9">
              <w:rPr>
                <w:b/>
                <w:i/>
                <w:color w:val="FF0000"/>
                <w:u w:val="single"/>
              </w:rPr>
              <w:t>Guideline 2</w:t>
            </w:r>
            <w:r w:rsidRPr="001A37D9">
              <w:rPr>
                <w:b/>
                <w:color w:val="FF0000"/>
                <w:u w:val="single"/>
              </w:rPr>
              <w:t>:</w:t>
            </w:r>
          </w:p>
          <w:p w14:paraId="5A44806D" w14:textId="77777777" w:rsidR="00FD1480" w:rsidRPr="001A37D9" w:rsidRDefault="00FD1480" w:rsidP="00D8754C">
            <w:pPr>
              <w:spacing w:after="45"/>
              <w:ind w:left="72" w:right="72"/>
              <w:jc w:val="both"/>
              <w:rPr>
                <w:color w:val="FF0000"/>
              </w:rPr>
            </w:pPr>
            <w:r w:rsidRPr="001A37D9">
              <w:rPr>
                <w:i/>
                <w:color w:val="FF0000"/>
                <w:u w:val="single"/>
              </w:rPr>
              <w:t>Recommendation A:</w:t>
            </w:r>
            <w:r w:rsidRPr="001A37D9">
              <w:rPr>
                <w:i/>
                <w:color w:val="FF0000"/>
              </w:rPr>
              <w:t xml:space="preserve"> Class IIa, Level B:</w:t>
            </w:r>
            <w:r w:rsidRPr="001A37D9">
              <w:rPr>
                <w:color w:val="FF0000"/>
              </w:rPr>
              <w:t xml:space="preserve"> Recommendation in favor of treatment or procedure being useful/effective; some conflicting evidence from single randomized trial or nonrandomized studies</w:t>
            </w:r>
          </w:p>
          <w:p w14:paraId="10FFAC98" w14:textId="7942AC56" w:rsidR="00FD1480" w:rsidRPr="001A37D9" w:rsidRDefault="00FD1480" w:rsidP="00D8754C">
            <w:pPr>
              <w:spacing w:after="45"/>
              <w:ind w:left="72" w:right="72"/>
              <w:jc w:val="both"/>
              <w:rPr>
                <w:color w:val="FF0000"/>
              </w:rPr>
            </w:pPr>
            <w:r w:rsidRPr="001A37D9">
              <w:rPr>
                <w:i/>
                <w:color w:val="FF0000"/>
                <w:u w:val="single"/>
              </w:rPr>
              <w:t>Recommendation B:</w:t>
            </w:r>
            <w:r w:rsidRPr="001A37D9">
              <w:rPr>
                <w:i/>
                <w:color w:val="FF0000"/>
              </w:rPr>
              <w:t xml:space="preserve"> Class IIb, Level B:</w:t>
            </w:r>
            <w:r w:rsidRPr="001A37D9">
              <w:rPr>
                <w:color w:val="FF0000"/>
              </w:rPr>
              <w:t xml:space="preserve"> Recommendation’s usefulness/e</w:t>
            </w:r>
            <w:r w:rsidR="00240CF1" w:rsidRPr="001A37D9">
              <w:rPr>
                <w:color w:val="FF0000"/>
              </w:rPr>
              <w:t>fficacy less well established; g</w:t>
            </w:r>
            <w:r w:rsidRPr="001A37D9">
              <w:rPr>
                <w:color w:val="FF0000"/>
              </w:rPr>
              <w:t>reater conflicting evidence from single randomized trial or nonrandomized studies.</w:t>
            </w:r>
          </w:p>
          <w:p w14:paraId="3B8CF246" w14:textId="488A0E4A" w:rsidR="00FD1480" w:rsidRPr="001A37D9" w:rsidRDefault="00FD1480" w:rsidP="00D8754C">
            <w:pPr>
              <w:spacing w:after="45"/>
              <w:ind w:left="72" w:right="72"/>
              <w:jc w:val="both"/>
              <w:rPr>
                <w:color w:val="FF0000"/>
              </w:rPr>
            </w:pPr>
            <w:r w:rsidRPr="001A37D9">
              <w:rPr>
                <w:i/>
                <w:color w:val="FF0000"/>
                <w:u w:val="single"/>
              </w:rPr>
              <w:t>Recommendation C:</w:t>
            </w:r>
            <w:r w:rsidRPr="001A37D9">
              <w:rPr>
                <w:i/>
                <w:color w:val="FF0000"/>
              </w:rPr>
              <w:t xml:space="preserve"> Class IIb, Level B:</w:t>
            </w:r>
            <w:r w:rsidRPr="001A37D9">
              <w:rPr>
                <w:color w:val="FF0000"/>
              </w:rPr>
              <w:t xml:space="preserve"> Recommendation’s usefulness/e</w:t>
            </w:r>
            <w:r w:rsidR="00240CF1" w:rsidRPr="001A37D9">
              <w:rPr>
                <w:color w:val="FF0000"/>
              </w:rPr>
              <w:t>fficacy less well established; g</w:t>
            </w:r>
            <w:r w:rsidRPr="001A37D9">
              <w:rPr>
                <w:color w:val="FF0000"/>
              </w:rPr>
              <w:t>reater conflicting evidence from single randomized trial or nonrandomized studies.</w:t>
            </w:r>
          </w:p>
          <w:p w14:paraId="293743F8" w14:textId="77777777" w:rsidR="00FD1480" w:rsidRPr="001A37D9" w:rsidRDefault="00FD1480" w:rsidP="00D8754C">
            <w:pPr>
              <w:spacing w:after="45"/>
              <w:ind w:left="72" w:right="72"/>
              <w:jc w:val="both"/>
              <w:rPr>
                <w:color w:val="FF0000"/>
              </w:rPr>
            </w:pPr>
            <w:r w:rsidRPr="001A37D9">
              <w:rPr>
                <w:i/>
                <w:color w:val="FF0000"/>
                <w:u w:val="single"/>
              </w:rPr>
              <w:t>Recommendation D:</w:t>
            </w:r>
            <w:r w:rsidRPr="001A37D9">
              <w:rPr>
                <w:i/>
                <w:color w:val="FF0000"/>
              </w:rPr>
              <w:t xml:space="preserve"> Class IIb, Level C:</w:t>
            </w:r>
            <w:r w:rsidRPr="001A37D9">
              <w:rPr>
                <w:color w:val="FF0000"/>
              </w:rPr>
              <w:t xml:space="preserve"> Recommendation’s usefulness/efficacy less well established; only diverging expert opinion, case studies, or standard of care.</w:t>
            </w:r>
          </w:p>
          <w:p w14:paraId="4A599E4A" w14:textId="1CCD25F1" w:rsidR="00F44A21" w:rsidRPr="00315E8D" w:rsidRDefault="00FD1480" w:rsidP="00D8754C">
            <w:pPr>
              <w:spacing w:after="110"/>
              <w:ind w:left="72" w:right="72"/>
              <w:jc w:val="both"/>
              <w:rPr>
                <w:color w:val="0000FF"/>
              </w:rPr>
            </w:pPr>
            <w:r w:rsidRPr="001A37D9">
              <w:rPr>
                <w:i/>
                <w:color w:val="FF0000"/>
                <w:u w:val="single"/>
              </w:rPr>
              <w:t>Recommendation E:</w:t>
            </w:r>
            <w:r w:rsidRPr="001A37D9">
              <w:rPr>
                <w:i/>
                <w:color w:val="FF0000"/>
              </w:rPr>
              <w:t xml:space="preserve"> Class III, Level B:</w:t>
            </w:r>
            <w:r w:rsidRPr="001A37D9">
              <w:rPr>
                <w:color w:val="FF0000"/>
              </w:rPr>
              <w:t xml:space="preserve"> Recommendation that procedure or treatment is not useful/ineffective and may be harmful; evidence from single randomized trial or nonrandomized studies. </w:t>
            </w:r>
          </w:p>
        </w:tc>
      </w:tr>
      <w:tr w:rsidR="00F44A21" w14:paraId="2C8896F0" w14:textId="77777777" w:rsidTr="00790A20">
        <w:trPr>
          <w:trHeight w:val="537"/>
        </w:trPr>
        <w:tc>
          <w:tcPr>
            <w:tcW w:w="3380" w:type="dxa"/>
          </w:tcPr>
          <w:p w14:paraId="0478990F" w14:textId="1218CC67" w:rsidR="00F44A21" w:rsidRDefault="00FB19DA" w:rsidP="0038625E">
            <w:pPr>
              <w:pStyle w:val="TableParagraph"/>
              <w:ind w:left="144"/>
            </w:pPr>
            <w:r>
              <w:lastRenderedPageBreak/>
              <w:t>Provide all other grades and definitions</w:t>
            </w:r>
            <w:r w:rsidR="0038625E">
              <w:t xml:space="preserve"> </w:t>
            </w:r>
            <w:r>
              <w:t xml:space="preserve">from the </w:t>
            </w:r>
            <w:r w:rsidRPr="008E2707">
              <w:rPr>
                <w:b/>
              </w:rPr>
              <w:t>recommendation</w:t>
            </w:r>
            <w:r>
              <w:t xml:space="preserve"> grading system</w:t>
            </w:r>
          </w:p>
        </w:tc>
        <w:tc>
          <w:tcPr>
            <w:tcW w:w="7110" w:type="dxa"/>
          </w:tcPr>
          <w:p w14:paraId="79A2604F" w14:textId="77777777" w:rsidR="008B5EB2" w:rsidRPr="001A37D9" w:rsidRDefault="008B5EB2" w:rsidP="00B648F4">
            <w:pPr>
              <w:spacing w:before="110" w:after="45"/>
              <w:ind w:left="72" w:right="72"/>
              <w:jc w:val="both"/>
              <w:rPr>
                <w:b/>
                <w:color w:val="0000FF"/>
                <w:u w:val="single"/>
              </w:rPr>
            </w:pPr>
            <w:r w:rsidRPr="001A37D9">
              <w:rPr>
                <w:b/>
                <w:color w:val="0000FF"/>
                <w:u w:val="single"/>
              </w:rPr>
              <w:t xml:space="preserve">The following grading scales do not apply to recommendations from </w:t>
            </w:r>
            <w:r w:rsidRPr="001A37D9">
              <w:rPr>
                <w:b/>
                <w:i/>
                <w:color w:val="0000FF"/>
                <w:u w:val="single"/>
              </w:rPr>
              <w:t>Guideline 1</w:t>
            </w:r>
            <w:r w:rsidRPr="001A37D9">
              <w:rPr>
                <w:b/>
                <w:color w:val="0000FF"/>
                <w:u w:val="single"/>
              </w:rPr>
              <w:t>:</w:t>
            </w:r>
          </w:p>
          <w:p w14:paraId="6555B88C" w14:textId="5C687479" w:rsidR="008B5EB2" w:rsidRPr="001A37D9" w:rsidRDefault="008B5EB2" w:rsidP="00B648F4">
            <w:pPr>
              <w:spacing w:after="45"/>
              <w:ind w:left="72" w:right="72"/>
              <w:jc w:val="both"/>
              <w:rPr>
                <w:color w:val="0000FF"/>
              </w:rPr>
            </w:pPr>
            <w:r w:rsidRPr="001A37D9">
              <w:rPr>
                <w:i/>
                <w:color w:val="0000FF"/>
              </w:rPr>
              <w:t>Class II:</w:t>
            </w:r>
            <w:r w:rsidRPr="001A37D9">
              <w:rPr>
                <w:color w:val="0000FF"/>
              </w:rPr>
              <w:t xml:space="preserve"> Conflicting evidence and/or a divergence of opinion about the usefulness/</w:t>
            </w:r>
            <w:r w:rsidR="00B648F4">
              <w:rPr>
                <w:color w:val="0000FF"/>
              </w:rPr>
              <w:t xml:space="preserve"> </w:t>
            </w:r>
            <w:r w:rsidRPr="001A37D9">
              <w:rPr>
                <w:color w:val="0000FF"/>
              </w:rPr>
              <w:t xml:space="preserve">efficacy of the given treatment or procedure. </w:t>
            </w:r>
          </w:p>
          <w:p w14:paraId="7E409CFE" w14:textId="078CE0B2" w:rsidR="00FD1480" w:rsidRDefault="008B5EB2" w:rsidP="00B648F4">
            <w:pPr>
              <w:spacing w:after="110"/>
              <w:ind w:left="72" w:right="72"/>
              <w:jc w:val="both"/>
              <w:rPr>
                <w:color w:val="0000FF"/>
              </w:rPr>
            </w:pPr>
            <w:r w:rsidRPr="001A37D9">
              <w:rPr>
                <w:i/>
                <w:color w:val="0000FF"/>
              </w:rPr>
              <w:t>Class IIA:</w:t>
            </w:r>
            <w:r w:rsidRPr="001A37D9">
              <w:rPr>
                <w:color w:val="0000FF"/>
              </w:rPr>
              <w:t xml:space="preserve"> Weight of evidence/opinion is in favor of usefulness/efficacy.</w:t>
            </w:r>
            <w:r w:rsidR="00D66D3F" w:rsidRPr="001A37D9">
              <w:rPr>
                <w:color w:val="0000FF"/>
              </w:rPr>
              <w:t xml:space="preserve"> </w:t>
            </w:r>
          </w:p>
          <w:p w14:paraId="7A7985A7" w14:textId="77777777" w:rsidR="008B5EB2" w:rsidRPr="001A37D9" w:rsidRDefault="008B5EB2" w:rsidP="00B648F4">
            <w:pPr>
              <w:spacing w:after="45"/>
              <w:ind w:left="72" w:right="72"/>
              <w:jc w:val="both"/>
              <w:rPr>
                <w:b/>
                <w:color w:val="0000FF"/>
                <w:u w:val="single"/>
              </w:rPr>
            </w:pPr>
            <w:r w:rsidRPr="001A37D9">
              <w:rPr>
                <w:b/>
                <w:color w:val="0000FF"/>
                <w:u w:val="single"/>
              </w:rPr>
              <w:t xml:space="preserve">The following grading scales do not apply to recommendations from </w:t>
            </w:r>
            <w:r w:rsidRPr="001A37D9">
              <w:rPr>
                <w:b/>
                <w:i/>
                <w:color w:val="0000FF"/>
                <w:u w:val="single"/>
              </w:rPr>
              <w:t>Guideline 2</w:t>
            </w:r>
            <w:r w:rsidRPr="001A37D9">
              <w:rPr>
                <w:b/>
                <w:color w:val="0000FF"/>
                <w:u w:val="single"/>
              </w:rPr>
              <w:t>:</w:t>
            </w:r>
          </w:p>
          <w:p w14:paraId="39D0418E" w14:textId="66C121B3" w:rsidR="00E97524" w:rsidRPr="001A37D9" w:rsidRDefault="00E97524" w:rsidP="00B648F4">
            <w:pPr>
              <w:spacing w:after="220"/>
              <w:ind w:left="72" w:right="72"/>
              <w:jc w:val="both"/>
              <w:rPr>
                <w:color w:val="0000FF"/>
              </w:rPr>
            </w:pPr>
            <w:r w:rsidRPr="00E97524">
              <w:rPr>
                <w:i/>
                <w:color w:val="0000FF"/>
              </w:rPr>
              <w:t>Class I</w:t>
            </w:r>
            <w:r w:rsidRPr="001A37D9">
              <w:rPr>
                <w:color w:val="0000FF"/>
              </w:rPr>
              <w:t>: Benefit &gt;&gt;&gt; Risk. Procedure/treatment SHOULD be performed/</w:t>
            </w:r>
            <w:r w:rsidR="00B648F4">
              <w:rPr>
                <w:color w:val="0000FF"/>
              </w:rPr>
              <w:t xml:space="preserve"> </w:t>
            </w:r>
            <w:r w:rsidRPr="001A37D9">
              <w:rPr>
                <w:color w:val="0000FF"/>
              </w:rPr>
              <w:t xml:space="preserve">administered. </w:t>
            </w:r>
          </w:p>
          <w:p w14:paraId="70DB3810" w14:textId="04A922F2" w:rsidR="008B5EB2" w:rsidRPr="0065065A" w:rsidRDefault="008B5EB2" w:rsidP="00B648F4">
            <w:pPr>
              <w:spacing w:after="45"/>
              <w:ind w:left="72" w:right="72"/>
              <w:jc w:val="both"/>
              <w:rPr>
                <w:b/>
                <w:color w:val="FF0000"/>
                <w:u w:val="single"/>
              </w:rPr>
            </w:pPr>
            <w:r w:rsidRPr="0065065A">
              <w:rPr>
                <w:b/>
                <w:color w:val="FF0000"/>
                <w:u w:val="single"/>
              </w:rPr>
              <w:t xml:space="preserve">The following grading scales do not apply to recommendations from </w:t>
            </w:r>
            <w:r w:rsidRPr="0065065A">
              <w:rPr>
                <w:b/>
                <w:i/>
                <w:color w:val="FF0000"/>
                <w:u w:val="single"/>
              </w:rPr>
              <w:t>Guideline 1</w:t>
            </w:r>
            <w:r w:rsidRPr="0065065A">
              <w:rPr>
                <w:b/>
                <w:color w:val="FF0000"/>
                <w:u w:val="single"/>
              </w:rPr>
              <w:t>:</w:t>
            </w:r>
          </w:p>
          <w:p w14:paraId="2502B639" w14:textId="21F539FA" w:rsidR="008B5EB2" w:rsidRPr="0065065A" w:rsidRDefault="008B5EB2" w:rsidP="00B648F4">
            <w:pPr>
              <w:spacing w:after="45"/>
              <w:ind w:left="72" w:right="72"/>
              <w:jc w:val="both"/>
              <w:rPr>
                <w:color w:val="FF0000"/>
              </w:rPr>
            </w:pPr>
            <w:r w:rsidRPr="0065065A">
              <w:rPr>
                <w:i/>
                <w:color w:val="FF0000"/>
              </w:rPr>
              <w:t>Class II:</w:t>
            </w:r>
            <w:r w:rsidRPr="0065065A">
              <w:rPr>
                <w:color w:val="FF0000"/>
              </w:rPr>
              <w:t xml:space="preserve"> Conflicting evidence and/or a divergence of opinion about the usefulness/</w:t>
            </w:r>
            <w:r w:rsidR="00B648F4">
              <w:rPr>
                <w:color w:val="FF0000"/>
              </w:rPr>
              <w:t xml:space="preserve"> </w:t>
            </w:r>
            <w:r w:rsidRPr="0065065A">
              <w:rPr>
                <w:color w:val="FF0000"/>
              </w:rPr>
              <w:t xml:space="preserve">efficacy of the given treatment or procedure. </w:t>
            </w:r>
          </w:p>
          <w:p w14:paraId="4029FF42" w14:textId="45DEDF57" w:rsidR="008B5EB2" w:rsidRDefault="008B5EB2" w:rsidP="00B648F4">
            <w:pPr>
              <w:spacing w:after="110"/>
              <w:ind w:left="72" w:right="72"/>
              <w:jc w:val="both"/>
              <w:rPr>
                <w:color w:val="FF0000"/>
              </w:rPr>
            </w:pPr>
            <w:r w:rsidRPr="0065065A">
              <w:rPr>
                <w:i/>
                <w:color w:val="FF0000"/>
              </w:rPr>
              <w:t>Class IIA:</w:t>
            </w:r>
            <w:r w:rsidRPr="0065065A">
              <w:rPr>
                <w:color w:val="FF0000"/>
              </w:rPr>
              <w:t xml:space="preserve"> Weight of evidence/opinion is in favor of usefulness/efficacy. </w:t>
            </w:r>
            <w:r w:rsidR="00D66D3F" w:rsidRPr="001A37D9">
              <w:rPr>
                <w:color w:val="FF0000"/>
              </w:rPr>
              <w:t>Procedure/</w:t>
            </w:r>
            <w:r w:rsidR="00B648F4">
              <w:rPr>
                <w:color w:val="FF0000"/>
              </w:rPr>
              <w:t xml:space="preserve"> </w:t>
            </w:r>
            <w:r w:rsidR="00D66D3F" w:rsidRPr="001A37D9">
              <w:rPr>
                <w:color w:val="FF0000"/>
              </w:rPr>
              <w:t>treatment SHOULD be considered.</w:t>
            </w:r>
          </w:p>
          <w:p w14:paraId="774B9F1D" w14:textId="77777777" w:rsidR="00E97524" w:rsidRPr="00E97524" w:rsidRDefault="00E97524" w:rsidP="00B648F4">
            <w:pPr>
              <w:spacing w:after="45"/>
              <w:ind w:left="72" w:right="72"/>
              <w:jc w:val="both"/>
              <w:rPr>
                <w:b/>
                <w:color w:val="FF0000"/>
                <w:u w:val="single"/>
              </w:rPr>
            </w:pPr>
            <w:r w:rsidRPr="00E97524">
              <w:rPr>
                <w:b/>
                <w:color w:val="FF0000"/>
                <w:u w:val="single"/>
              </w:rPr>
              <w:t xml:space="preserve">The following grading scales do not apply to recommendations from </w:t>
            </w:r>
            <w:r w:rsidRPr="00E97524">
              <w:rPr>
                <w:b/>
                <w:i/>
                <w:color w:val="FF0000"/>
                <w:u w:val="single"/>
              </w:rPr>
              <w:t>Guideline 2</w:t>
            </w:r>
            <w:r w:rsidRPr="00E97524">
              <w:rPr>
                <w:b/>
                <w:color w:val="FF0000"/>
                <w:u w:val="single"/>
              </w:rPr>
              <w:t>:</w:t>
            </w:r>
          </w:p>
          <w:p w14:paraId="57A9EA26" w14:textId="6202F674" w:rsidR="00AD2B72" w:rsidRPr="00B648F4" w:rsidRDefault="00E97524" w:rsidP="00B648F4">
            <w:pPr>
              <w:spacing w:after="110"/>
              <w:ind w:left="72" w:right="72"/>
              <w:jc w:val="both"/>
              <w:rPr>
                <w:color w:val="FF0000"/>
              </w:rPr>
            </w:pPr>
            <w:r w:rsidRPr="001A37D9">
              <w:rPr>
                <w:i/>
                <w:color w:val="FF0000"/>
              </w:rPr>
              <w:t>Class I</w:t>
            </w:r>
            <w:r w:rsidRPr="001A37D9">
              <w:rPr>
                <w:color w:val="FF0000"/>
              </w:rPr>
              <w:t>: Benefit &gt;&gt;&gt; Risk. Procedure/treatment SHOULD be performed/</w:t>
            </w:r>
            <w:r w:rsidR="00B648F4">
              <w:rPr>
                <w:color w:val="FF0000"/>
              </w:rPr>
              <w:t xml:space="preserve"> administered.</w:t>
            </w:r>
          </w:p>
        </w:tc>
      </w:tr>
      <w:tr w:rsidR="00F44A21" w14:paraId="2DF74AFE" w14:textId="77777777" w:rsidTr="001A37D9">
        <w:trPr>
          <w:trHeight w:val="611"/>
        </w:trPr>
        <w:tc>
          <w:tcPr>
            <w:tcW w:w="3380" w:type="dxa"/>
          </w:tcPr>
          <w:p w14:paraId="0F133495" w14:textId="45E1EA67" w:rsidR="00F44A21" w:rsidRPr="005B5F8B" w:rsidRDefault="00FB19DA" w:rsidP="005B5F8B">
            <w:pPr>
              <w:pStyle w:val="TableParagraph"/>
              <w:spacing w:after="45"/>
              <w:ind w:left="144"/>
              <w:rPr>
                <w:b/>
              </w:rPr>
            </w:pPr>
            <w:r w:rsidRPr="005B5F8B">
              <w:rPr>
                <w:b/>
              </w:rPr>
              <w:t>Body of evidence:</w:t>
            </w:r>
          </w:p>
          <w:p w14:paraId="6ED4DEDD" w14:textId="3C11BA10" w:rsidR="00F44A21" w:rsidRPr="005B5F8B" w:rsidRDefault="005B5F8B" w:rsidP="005B5F8B">
            <w:pPr>
              <w:pStyle w:val="TableParagraph"/>
              <w:numPr>
                <w:ilvl w:val="0"/>
                <w:numId w:val="1"/>
              </w:numPr>
              <w:tabs>
                <w:tab w:val="left" w:pos="827"/>
                <w:tab w:val="left" w:pos="828"/>
              </w:tabs>
              <w:spacing w:after="45"/>
              <w:ind w:left="504" w:hanging="360"/>
              <w:rPr>
                <w:b/>
              </w:rPr>
            </w:pPr>
            <w:r>
              <w:rPr>
                <w:b/>
              </w:rPr>
              <w:t>Quantity—</w:t>
            </w:r>
            <w:r w:rsidR="00FB19DA" w:rsidRPr="005B5F8B">
              <w:rPr>
                <w:b/>
              </w:rPr>
              <w:t>how many</w:t>
            </w:r>
            <w:r w:rsidR="00FB19DA" w:rsidRPr="005B5F8B">
              <w:rPr>
                <w:b/>
                <w:spacing w:val="-7"/>
              </w:rPr>
              <w:t xml:space="preserve"> </w:t>
            </w:r>
            <w:r w:rsidR="00FB19DA" w:rsidRPr="005B5F8B">
              <w:rPr>
                <w:b/>
              </w:rPr>
              <w:t>studies?</w:t>
            </w:r>
          </w:p>
          <w:p w14:paraId="7776C0F6" w14:textId="328F5DF8" w:rsidR="00F44A21" w:rsidRDefault="005B5F8B" w:rsidP="005B5F8B">
            <w:pPr>
              <w:pStyle w:val="TableParagraph"/>
              <w:numPr>
                <w:ilvl w:val="0"/>
                <w:numId w:val="1"/>
              </w:numPr>
              <w:tabs>
                <w:tab w:val="left" w:pos="827"/>
                <w:tab w:val="left" w:pos="828"/>
              </w:tabs>
              <w:spacing w:after="45"/>
              <w:ind w:left="504" w:hanging="360"/>
            </w:pPr>
            <w:r>
              <w:rPr>
                <w:b/>
              </w:rPr>
              <w:t>Quality—</w:t>
            </w:r>
            <w:r w:rsidR="00FB19DA" w:rsidRPr="005B5F8B">
              <w:rPr>
                <w:b/>
              </w:rPr>
              <w:t>what type of</w:t>
            </w:r>
            <w:r w:rsidR="00FB19DA" w:rsidRPr="005B5F8B">
              <w:rPr>
                <w:b/>
                <w:spacing w:val="-8"/>
              </w:rPr>
              <w:t xml:space="preserve"> </w:t>
            </w:r>
            <w:r w:rsidR="00FB19DA" w:rsidRPr="005B5F8B">
              <w:rPr>
                <w:b/>
              </w:rPr>
              <w:t>studies?</w:t>
            </w:r>
          </w:p>
        </w:tc>
        <w:tc>
          <w:tcPr>
            <w:tcW w:w="7110" w:type="dxa"/>
          </w:tcPr>
          <w:p w14:paraId="48229B77" w14:textId="6D470D21" w:rsidR="00447D71" w:rsidRPr="00447D71" w:rsidRDefault="00447D71" w:rsidP="00B648F4">
            <w:pPr>
              <w:spacing w:before="220" w:after="110"/>
              <w:ind w:left="72" w:right="72"/>
              <w:jc w:val="both"/>
              <w:rPr>
                <w:noProof/>
                <w:color w:val="0000FF"/>
              </w:rPr>
            </w:pPr>
            <w:r w:rsidRPr="00447D71">
              <w:rPr>
                <w:i/>
                <w:noProof/>
                <w:color w:val="0000FF"/>
              </w:rPr>
              <w:t>Guideline 2</w:t>
            </w:r>
            <w:r w:rsidRPr="00447D71">
              <w:rPr>
                <w:noProof/>
                <w:color w:val="0000FF"/>
              </w:rPr>
              <w:t xml:space="preserve"> </w:t>
            </w:r>
            <w:r>
              <w:rPr>
                <w:noProof/>
                <w:color w:val="0000FF"/>
              </w:rPr>
              <w:t xml:space="preserve">includes </w:t>
            </w:r>
            <w:r w:rsidRPr="00C1396F">
              <w:rPr>
                <w:noProof/>
                <w:color w:val="0000FF"/>
              </w:rPr>
              <w:t xml:space="preserve">213 articles in the body of evidence, 7 of which were directly related to preoperative stress testing for noncardiac low-risk surgery. Of these </w:t>
            </w:r>
            <w:r>
              <w:rPr>
                <w:noProof/>
                <w:color w:val="0000FF"/>
              </w:rPr>
              <w:t>seven</w:t>
            </w:r>
            <w:r w:rsidRPr="00C1396F">
              <w:rPr>
                <w:noProof/>
                <w:color w:val="0000FF"/>
              </w:rPr>
              <w:t xml:space="preserve">, </w:t>
            </w:r>
            <w:r>
              <w:rPr>
                <w:noProof/>
                <w:color w:val="0000FF"/>
              </w:rPr>
              <w:t>two</w:t>
            </w:r>
            <w:r w:rsidRPr="00C1396F">
              <w:rPr>
                <w:noProof/>
                <w:color w:val="0000FF"/>
              </w:rPr>
              <w:t xml:space="preserve"> of t</w:t>
            </w:r>
            <w:r>
              <w:rPr>
                <w:noProof/>
                <w:color w:val="0000FF"/>
              </w:rPr>
              <w:t>he studies were observational, two</w:t>
            </w:r>
            <w:r w:rsidRPr="00C1396F">
              <w:rPr>
                <w:noProof/>
                <w:color w:val="0000FF"/>
              </w:rPr>
              <w:t xml:space="preserve"> were prospective, </w:t>
            </w:r>
            <w:r>
              <w:rPr>
                <w:noProof/>
                <w:color w:val="0000FF"/>
              </w:rPr>
              <w:t>two</w:t>
            </w:r>
            <w:r w:rsidRPr="00C1396F">
              <w:rPr>
                <w:noProof/>
                <w:color w:val="0000FF"/>
              </w:rPr>
              <w:t xml:space="preserve"> were consecutive case series, and </w:t>
            </w:r>
            <w:r>
              <w:rPr>
                <w:noProof/>
                <w:color w:val="0000FF"/>
              </w:rPr>
              <w:t>one</w:t>
            </w:r>
            <w:r w:rsidRPr="00C1396F">
              <w:rPr>
                <w:noProof/>
                <w:color w:val="0000FF"/>
              </w:rPr>
              <w:t xml:space="preserve"> was a retrospective analysis. </w:t>
            </w:r>
          </w:p>
          <w:p w14:paraId="55F3F2A9" w14:textId="77777777" w:rsidR="00447D71" w:rsidRPr="00C1396F" w:rsidRDefault="00447D71" w:rsidP="00B648F4">
            <w:pPr>
              <w:spacing w:after="220"/>
              <w:ind w:left="72" w:right="72"/>
              <w:jc w:val="both"/>
            </w:pPr>
            <w:r>
              <w:rPr>
                <w:noProof/>
                <w:color w:val="0000FF"/>
              </w:rPr>
              <w:t xml:space="preserve">Consistency was seen in the outcomes of the seven studies cited by </w:t>
            </w:r>
            <w:r w:rsidRPr="00391F2F">
              <w:rPr>
                <w:i/>
                <w:noProof/>
                <w:color w:val="0000FF"/>
              </w:rPr>
              <w:t>Guideline 2</w:t>
            </w:r>
            <w:r>
              <w:rPr>
                <w:noProof/>
                <w:color w:val="0000FF"/>
              </w:rPr>
              <w:t xml:space="preserve"> within the ACC/AHA task force Data Supplement. Of the seven studies cited, some limitations were identified, including small sample sizes for each study and potential concerns with patient assignment into the experimental and control arms. Collectively, however, the results cited within the body of evidence for the recommendations made in </w:t>
            </w:r>
            <w:r w:rsidRPr="00391F2F">
              <w:rPr>
                <w:i/>
                <w:noProof/>
                <w:color w:val="0000FF"/>
              </w:rPr>
              <w:t>Guideline 2</w:t>
            </w:r>
            <w:r>
              <w:rPr>
                <w:noProof/>
                <w:color w:val="0000FF"/>
              </w:rPr>
              <w:t xml:space="preserve"> were consistent across studies and were of moderate quality.</w:t>
            </w:r>
          </w:p>
          <w:p w14:paraId="2806FBD5" w14:textId="200941B9" w:rsidR="007147B9" w:rsidRPr="001A37D9" w:rsidRDefault="007147B9" w:rsidP="00B648F4">
            <w:pPr>
              <w:pStyle w:val="Default"/>
              <w:spacing w:after="110"/>
              <w:ind w:left="72" w:right="72"/>
              <w:jc w:val="both"/>
              <w:rPr>
                <w:rFonts w:asciiTheme="minorHAnsi" w:hAnsiTheme="minorHAnsi"/>
                <w:color w:val="FF0000"/>
                <w:sz w:val="22"/>
                <w:szCs w:val="22"/>
                <w:lang w:bidi="en-US"/>
              </w:rPr>
            </w:pPr>
            <w:r w:rsidRPr="001A37D9">
              <w:rPr>
                <w:rFonts w:asciiTheme="minorHAnsi" w:hAnsiTheme="minorHAnsi"/>
                <w:i/>
                <w:color w:val="FF0000"/>
                <w:sz w:val="22"/>
                <w:szCs w:val="22"/>
                <w:lang w:bidi="en-US"/>
              </w:rPr>
              <w:t>Guideline 2</w:t>
            </w:r>
            <w:r w:rsidRPr="001A37D9">
              <w:rPr>
                <w:rFonts w:asciiTheme="minorHAnsi" w:hAnsiTheme="minorHAnsi"/>
                <w:color w:val="FF0000"/>
                <w:sz w:val="22"/>
                <w:szCs w:val="22"/>
                <w:lang w:bidi="en-US"/>
              </w:rPr>
              <w:t xml:space="preserve"> includes 213 art</w:t>
            </w:r>
            <w:r w:rsidR="00A547C8" w:rsidRPr="001A37D9">
              <w:rPr>
                <w:rFonts w:asciiTheme="minorHAnsi" w:hAnsiTheme="minorHAnsi"/>
                <w:color w:val="FF0000"/>
                <w:sz w:val="22"/>
                <w:szCs w:val="22"/>
                <w:lang w:bidi="en-US"/>
              </w:rPr>
              <w:t>icles in the body of evidence, seven</w:t>
            </w:r>
            <w:r w:rsidRPr="001A37D9">
              <w:rPr>
                <w:rFonts w:asciiTheme="minorHAnsi" w:hAnsiTheme="minorHAnsi"/>
                <w:color w:val="FF0000"/>
                <w:sz w:val="22"/>
                <w:szCs w:val="22"/>
                <w:lang w:bidi="en-US"/>
              </w:rPr>
              <w:t xml:space="preserve"> of which were directly related to preoperative stress testing for noncardiac low-risk surgery. Of these seven, two of the studies were observational, two were prospective, two were consecutive case series, and one</w:t>
            </w:r>
            <w:r w:rsidR="00A547C8" w:rsidRPr="001A37D9">
              <w:rPr>
                <w:rFonts w:asciiTheme="minorHAnsi" w:hAnsiTheme="minorHAnsi"/>
                <w:color w:val="FF0000"/>
                <w:sz w:val="22"/>
                <w:szCs w:val="22"/>
                <w:lang w:bidi="en-US"/>
              </w:rPr>
              <w:t xml:space="preserve"> was a retrospective analysis. </w:t>
            </w:r>
          </w:p>
          <w:p w14:paraId="4C066FAE" w14:textId="73856D15" w:rsidR="002E64CC" w:rsidRPr="00822A8D" w:rsidRDefault="007147B9" w:rsidP="00B648F4">
            <w:pPr>
              <w:pStyle w:val="Default"/>
              <w:spacing w:after="110"/>
              <w:ind w:left="72" w:right="72"/>
              <w:jc w:val="both"/>
              <w:rPr>
                <w:rFonts w:asciiTheme="minorHAnsi" w:hAnsiTheme="minorHAnsi"/>
                <w:color w:val="FF0000"/>
                <w:sz w:val="22"/>
                <w:highlight w:val="yellow"/>
                <w:u w:val="single"/>
              </w:rPr>
            </w:pPr>
            <w:r w:rsidRPr="001A37D9">
              <w:rPr>
                <w:rFonts w:asciiTheme="minorHAnsi" w:hAnsiTheme="minorHAnsi"/>
                <w:color w:val="FF0000"/>
                <w:sz w:val="22"/>
                <w:szCs w:val="22"/>
              </w:rPr>
              <w:t>Consistency was seen in the outcomes of the seven studies cited by Guideline 2 within the ACC/AHA task force Data Supplement. Of the seven studies cited, some limitations were identified, including small sample sizes for each study and potential concerns with patient assignment into the experimental and control arms. Collectively, however, the results cited within the body of evidence for the recommendations made in Guideline 2 were consistent across studies and were of moderate quality.</w:t>
            </w:r>
          </w:p>
        </w:tc>
      </w:tr>
      <w:tr w:rsidR="00F44A21" w14:paraId="4AF13E7F" w14:textId="77777777" w:rsidTr="001A37D9">
        <w:trPr>
          <w:trHeight w:val="4760"/>
        </w:trPr>
        <w:tc>
          <w:tcPr>
            <w:tcW w:w="3380" w:type="dxa"/>
          </w:tcPr>
          <w:p w14:paraId="0304B184" w14:textId="0EBC080D" w:rsidR="00F44A21" w:rsidRPr="002C1EBF" w:rsidRDefault="00FB19DA" w:rsidP="002C1EBF">
            <w:pPr>
              <w:pStyle w:val="TableParagraph"/>
              <w:ind w:left="144"/>
              <w:rPr>
                <w:b/>
              </w:rPr>
            </w:pPr>
            <w:r w:rsidRPr="002C1EBF">
              <w:rPr>
                <w:b/>
              </w:rPr>
              <w:lastRenderedPageBreak/>
              <w:t>Estimates of benefit and consistency</w:t>
            </w:r>
          </w:p>
          <w:p w14:paraId="661AD41E" w14:textId="77777777" w:rsidR="00F44A21" w:rsidRDefault="00FB19DA" w:rsidP="002C1EBF">
            <w:pPr>
              <w:pStyle w:val="TableParagraph"/>
              <w:ind w:left="144"/>
            </w:pPr>
            <w:r w:rsidRPr="002C1EBF">
              <w:rPr>
                <w:b/>
              </w:rPr>
              <w:t>across studies</w:t>
            </w:r>
          </w:p>
        </w:tc>
        <w:tc>
          <w:tcPr>
            <w:tcW w:w="7110" w:type="dxa"/>
            <w:vAlign w:val="center"/>
          </w:tcPr>
          <w:p w14:paraId="74F921B4" w14:textId="60B6BF6E" w:rsidR="00447D71" w:rsidRDefault="00447D71" w:rsidP="00B648F4">
            <w:pPr>
              <w:spacing w:before="110" w:after="220"/>
              <w:ind w:left="72" w:right="72"/>
              <w:jc w:val="both"/>
            </w:pPr>
            <w:r w:rsidRPr="00C1396F">
              <w:rPr>
                <w:noProof/>
                <w:color w:val="0000FF"/>
              </w:rPr>
              <w:t>Given the high costs associated with performing unnecessary cardiac stress te</w:t>
            </w:r>
            <w:r>
              <w:rPr>
                <w:noProof/>
                <w:color w:val="0000FF"/>
              </w:rPr>
              <w:t>sting prior to non-cardiac, low-</w:t>
            </w:r>
            <w:r w:rsidRPr="00C1396F">
              <w:rPr>
                <w:noProof/>
                <w:color w:val="0000FF"/>
              </w:rPr>
              <w:t>risk surgeries, the increased level of radiation to which these patients are exposed unnecessarily, and the fact that preoperative stress te</w:t>
            </w:r>
            <w:r>
              <w:rPr>
                <w:noProof/>
                <w:color w:val="0000FF"/>
              </w:rPr>
              <w:t>sting prior to non-cardiac, low-</w:t>
            </w:r>
            <w:r w:rsidRPr="00C1396F">
              <w:rPr>
                <w:noProof/>
                <w:color w:val="0000FF"/>
              </w:rPr>
              <w:t>risk surgery is unlikely to change the outcome of the patient’s operative or treatment plan</w:t>
            </w:r>
            <w:r>
              <w:rPr>
                <w:noProof/>
                <w:color w:val="0000FF"/>
              </w:rPr>
              <w:t>.</w:t>
            </w:r>
            <w:r w:rsidRPr="00C1396F">
              <w:rPr>
                <w:noProof/>
                <w:color w:val="0000FF"/>
              </w:rPr>
              <w:t xml:space="preserve"> </w:t>
            </w:r>
            <w:r>
              <w:rPr>
                <w:noProof/>
                <w:color w:val="0000FF"/>
              </w:rPr>
              <w:t>T</w:t>
            </w:r>
            <w:r w:rsidRPr="00C1396F">
              <w:rPr>
                <w:noProof/>
                <w:color w:val="0000FF"/>
              </w:rPr>
              <w:t>he overall net benefit in reducing overuse of cardiac stress testin</w:t>
            </w:r>
            <w:r>
              <w:rPr>
                <w:noProof/>
                <w:color w:val="0000FF"/>
              </w:rPr>
              <w:t>g prior to non-cardiac, low-</w:t>
            </w:r>
            <w:r w:rsidRPr="00C1396F">
              <w:rPr>
                <w:noProof/>
                <w:color w:val="0000FF"/>
              </w:rPr>
              <w:t>risk surgery is a reduction in cost, a reduction in radiation exposure, and a reduction in the number of procedures performed, per beneficiary.</w:t>
            </w:r>
          </w:p>
          <w:p w14:paraId="200A6C80" w14:textId="14013C55" w:rsidR="00F44A21" w:rsidRPr="00B648F4" w:rsidRDefault="007147B9" w:rsidP="00B648F4">
            <w:pPr>
              <w:pStyle w:val="TableParagraph"/>
              <w:spacing w:after="110"/>
              <w:ind w:left="72" w:right="72"/>
              <w:jc w:val="both"/>
              <w:rPr>
                <w:rFonts w:asciiTheme="minorHAnsi" w:hAnsiTheme="minorHAnsi"/>
                <w:color w:val="FF0000"/>
              </w:rPr>
            </w:pPr>
            <w:r w:rsidRPr="007147B9">
              <w:rPr>
                <w:rFonts w:asciiTheme="minorHAnsi" w:hAnsiTheme="minorHAnsi"/>
                <w:color w:val="FF0000"/>
              </w:rPr>
              <w:t>Given the high costs associated with performing unnecessary cardiac stress testing prior to non-cardiac, low-risk surgeries, the increased level of radiation to which these patients are exposed unnecessarily, and the fact that preoperative stress testing prior to non-cardiac, low-risk surgery is unlikely to change the outcome of the patient’s operative or treatment plan. The overall net benefit in reducing overuse of cardiac stress testing prior to non-cardiac, low-risk surgery is a reduction in cost, a reduction in radiation exposure, and a reduction in the number of procedures performed, per beneficiary.</w:t>
            </w:r>
          </w:p>
        </w:tc>
      </w:tr>
      <w:tr w:rsidR="00F44A21" w14:paraId="30BC197C" w14:textId="77777777" w:rsidTr="00790A20">
        <w:trPr>
          <w:trHeight w:val="268"/>
        </w:trPr>
        <w:tc>
          <w:tcPr>
            <w:tcW w:w="3380" w:type="dxa"/>
          </w:tcPr>
          <w:p w14:paraId="23F7595E" w14:textId="54405066" w:rsidR="00F44A21" w:rsidRPr="000763E0" w:rsidRDefault="00FB19DA">
            <w:pPr>
              <w:pStyle w:val="TableParagraph"/>
              <w:spacing w:line="248" w:lineRule="exact"/>
              <w:rPr>
                <w:b/>
              </w:rPr>
            </w:pPr>
            <w:r w:rsidRPr="000763E0">
              <w:rPr>
                <w:b/>
              </w:rPr>
              <w:t>What harms were identified?</w:t>
            </w:r>
          </w:p>
        </w:tc>
        <w:tc>
          <w:tcPr>
            <w:tcW w:w="7110" w:type="dxa"/>
            <w:vAlign w:val="center"/>
          </w:tcPr>
          <w:p w14:paraId="0E4F9EF0" w14:textId="1F9112EA" w:rsidR="00AD2B72" w:rsidRDefault="00AD2B72" w:rsidP="00B648F4">
            <w:pPr>
              <w:spacing w:before="110" w:after="220"/>
              <w:ind w:left="72" w:right="72"/>
              <w:jc w:val="both"/>
              <w:rPr>
                <w:rFonts w:asciiTheme="minorHAnsi" w:hAnsiTheme="minorHAnsi"/>
                <w:color w:val="FF0000"/>
              </w:rPr>
            </w:pPr>
            <w:r w:rsidRPr="00C1396F">
              <w:rPr>
                <w:noProof/>
                <w:color w:val="0000FF"/>
              </w:rPr>
              <w:t>No harms in measure implementation were identified to counter the net benefit of the measure.</w:t>
            </w:r>
          </w:p>
          <w:p w14:paraId="632C2CB5" w14:textId="08826A07" w:rsidR="00F44A21" w:rsidRPr="00B648F4" w:rsidRDefault="007147B9" w:rsidP="00B648F4">
            <w:pPr>
              <w:spacing w:after="110"/>
              <w:ind w:left="72" w:right="72"/>
              <w:jc w:val="both"/>
              <w:rPr>
                <w:rFonts w:asciiTheme="minorHAnsi" w:hAnsiTheme="minorHAnsi"/>
                <w:color w:val="FF0000"/>
              </w:rPr>
            </w:pPr>
            <w:r w:rsidRPr="007147B9">
              <w:rPr>
                <w:rFonts w:asciiTheme="minorHAnsi" w:hAnsiTheme="minorHAnsi"/>
                <w:color w:val="FF0000"/>
              </w:rPr>
              <w:t>No harms in measure implementation were identified to counter the net benefit of the measure.</w:t>
            </w:r>
          </w:p>
        </w:tc>
      </w:tr>
      <w:tr w:rsidR="00F44A21" w14:paraId="2F8AF18B" w14:textId="77777777" w:rsidTr="00790A20">
        <w:trPr>
          <w:trHeight w:val="805"/>
        </w:trPr>
        <w:tc>
          <w:tcPr>
            <w:tcW w:w="3380" w:type="dxa"/>
          </w:tcPr>
          <w:p w14:paraId="67E1BAD8" w14:textId="118AA298" w:rsidR="00F44A21" w:rsidRPr="000763E0" w:rsidRDefault="00FB19DA" w:rsidP="000763E0">
            <w:pPr>
              <w:pStyle w:val="TableParagraph"/>
              <w:ind w:left="144"/>
              <w:rPr>
                <w:b/>
              </w:rPr>
            </w:pPr>
            <w:r w:rsidRPr="000763E0">
              <w:rPr>
                <w:b/>
              </w:rPr>
              <w:t>Identify any new studies conducted since</w:t>
            </w:r>
            <w:r w:rsidR="000763E0" w:rsidRPr="000763E0">
              <w:rPr>
                <w:b/>
              </w:rPr>
              <w:t xml:space="preserve"> </w:t>
            </w:r>
            <w:r w:rsidRPr="000763E0">
              <w:rPr>
                <w:b/>
              </w:rPr>
              <w:t>the SR. Do the new studies change the conclusions from the SR?</w:t>
            </w:r>
          </w:p>
        </w:tc>
        <w:tc>
          <w:tcPr>
            <w:tcW w:w="7110" w:type="dxa"/>
            <w:vAlign w:val="center"/>
          </w:tcPr>
          <w:p w14:paraId="4AD29A05" w14:textId="77777777" w:rsidR="007147B9" w:rsidRPr="007147B9" w:rsidRDefault="007147B9" w:rsidP="00B648F4">
            <w:pPr>
              <w:spacing w:before="110" w:after="110"/>
              <w:ind w:left="72" w:right="72"/>
              <w:jc w:val="both"/>
              <w:rPr>
                <w:color w:val="0000FF"/>
              </w:rPr>
            </w:pPr>
            <w:r w:rsidRPr="007147B9">
              <w:rPr>
                <w:color w:val="0000FF"/>
              </w:rPr>
              <w:t xml:space="preserve">In addition to the two guidelines cited above, a review of the clinical literature was conducted during the measure contractor’s annual review of the literature for additional evidence and/or new studies that support the measure’s intent. The measure contractor identified relevant peer-reviewed publications by searching the PubMed MEDLINE database from January 1, 2013 to January 16, 2015, limiting included results to those published in the English language and that had abstracts available in PubMed. The search initially identified 96 articles; a further review by the contractor’s clinical and measure-development team resulted in the inclusion of 14 articles in the body of evidence below. Citations and summaries for the 14 items included in this review can be found in </w:t>
            </w:r>
            <w:r w:rsidRPr="007147B9">
              <w:rPr>
                <w:b/>
                <w:color w:val="0000FF"/>
              </w:rPr>
              <w:t>Section 1a.8.2</w:t>
            </w:r>
            <w:r w:rsidRPr="007147B9">
              <w:rPr>
                <w:color w:val="0000FF"/>
              </w:rPr>
              <w:t>.</w:t>
            </w:r>
          </w:p>
          <w:p w14:paraId="59C9D8B1" w14:textId="3A5ACAAE" w:rsidR="00F44A21" w:rsidRPr="001A37D9" w:rsidRDefault="00570FCA" w:rsidP="00B648F4">
            <w:pPr>
              <w:pStyle w:val="TableParagraph"/>
              <w:spacing w:after="110"/>
              <w:ind w:left="72" w:right="72"/>
              <w:jc w:val="both"/>
              <w:rPr>
                <w:rFonts w:asciiTheme="minorHAnsi" w:hAnsiTheme="minorHAnsi"/>
                <w:color w:val="FF0000"/>
              </w:rPr>
            </w:pPr>
            <w:r w:rsidRPr="00570FCA">
              <w:rPr>
                <w:rFonts w:asciiTheme="minorHAnsi" w:hAnsiTheme="minorHAnsi"/>
                <w:color w:val="FF0000"/>
              </w:rPr>
              <w:t xml:space="preserve">In addition to the two guidelines cited above, a review of the clinical literature and related policy was conducted during the measure contractor’s annual review of the literature for additional evidence and/or new studies that support the measure’s intent. The measure contractor identified relevant peer-reviewed publications by searching the PubMed MEDLINE database from </w:t>
            </w:r>
            <w:r w:rsidR="006C2A63">
              <w:rPr>
                <w:rFonts w:asciiTheme="minorHAnsi" w:hAnsiTheme="minorHAnsi"/>
                <w:color w:val="FF0000"/>
              </w:rPr>
              <w:t>January 1, 2014 to J</w:t>
            </w:r>
            <w:r w:rsidR="00A547C8">
              <w:rPr>
                <w:rFonts w:asciiTheme="minorHAnsi" w:hAnsiTheme="minorHAnsi"/>
                <w:color w:val="FF0000"/>
              </w:rPr>
              <w:t xml:space="preserve">anuary 15, 2016, </w:t>
            </w:r>
            <w:r w:rsidRPr="00570FCA">
              <w:rPr>
                <w:rFonts w:asciiTheme="minorHAnsi" w:hAnsiTheme="minorHAnsi"/>
                <w:color w:val="FF0000"/>
              </w:rPr>
              <w:t>January 1, 2016 to June 23, 2017</w:t>
            </w:r>
            <w:r w:rsidR="00A547C8">
              <w:rPr>
                <w:rFonts w:asciiTheme="minorHAnsi" w:hAnsiTheme="minorHAnsi"/>
                <w:color w:val="FF0000"/>
              </w:rPr>
              <w:t xml:space="preserve">, June 1, 2017 to May 25, 2018, May 25, 2018 to January 14, 2019, and </w:t>
            </w:r>
            <w:r w:rsidR="00143BD6">
              <w:rPr>
                <w:rFonts w:asciiTheme="minorHAnsi" w:hAnsiTheme="minorHAnsi"/>
                <w:color w:val="FF0000"/>
              </w:rPr>
              <w:t>January 14, 2019 to September 30, 2019</w:t>
            </w:r>
            <w:r w:rsidRPr="00570FCA">
              <w:rPr>
                <w:rFonts w:asciiTheme="minorHAnsi" w:hAnsiTheme="minorHAnsi"/>
                <w:color w:val="FF0000"/>
              </w:rPr>
              <w:t>. Search results were limited to those published in the English language and that had abstracts available in PubMed. A further review by the contractor’s clinica</w:t>
            </w:r>
            <w:r w:rsidR="006C2A63">
              <w:rPr>
                <w:rFonts w:asciiTheme="minorHAnsi" w:hAnsiTheme="minorHAnsi"/>
                <w:color w:val="FF0000"/>
              </w:rPr>
              <w:t xml:space="preserve">l and measure-development team did not identify any articles relevant to the measure for inclusion. </w:t>
            </w:r>
          </w:p>
        </w:tc>
      </w:tr>
    </w:tbl>
    <w:p w14:paraId="29850E13" w14:textId="5DEE3959" w:rsidR="00F44A21" w:rsidRDefault="0002213A" w:rsidP="00B648F4">
      <w:pPr>
        <w:spacing w:before="220" w:after="45"/>
        <w:ind w:left="720" w:hanging="720"/>
        <w:jc w:val="both"/>
        <w:rPr>
          <w:b/>
        </w:rPr>
      </w:pPr>
      <w:r>
        <w:rPr>
          <w:b/>
        </w:rPr>
        <w:t>1a.4</w:t>
      </w:r>
      <w:r>
        <w:rPr>
          <w:b/>
        </w:rPr>
        <w:tab/>
      </w:r>
      <w:r w:rsidR="00FB19DA">
        <w:rPr>
          <w:b/>
        </w:rPr>
        <w:t>OTHER SOURCE OF EVIDENCE</w:t>
      </w:r>
    </w:p>
    <w:p w14:paraId="7079C90A" w14:textId="77777777" w:rsidR="00F44A21" w:rsidRDefault="00FB19DA" w:rsidP="00B648F4">
      <w:pPr>
        <w:spacing w:after="220"/>
        <w:ind w:left="720"/>
        <w:jc w:val="both"/>
        <w:rPr>
          <w:i/>
        </w:rPr>
      </w:pPr>
      <w:r>
        <w:rPr>
          <w:i/>
        </w:rPr>
        <w:t>If source of evidence is NOT from a clinical practice guideline, USPSTF, or systematic review, please describe the evidence on which you are basing the performance measure.</w:t>
      </w:r>
    </w:p>
    <w:p w14:paraId="5176461B" w14:textId="4E30EE8C" w:rsidR="00822A8D" w:rsidRPr="00447D71" w:rsidRDefault="0002213A" w:rsidP="00995E01">
      <w:pPr>
        <w:keepNext/>
        <w:keepLines/>
        <w:spacing w:after="45"/>
        <w:ind w:left="720" w:hanging="720"/>
        <w:jc w:val="both"/>
      </w:pPr>
      <w:r>
        <w:rPr>
          <w:b/>
        </w:rPr>
        <w:lastRenderedPageBreak/>
        <w:t>1a.4.1</w:t>
      </w:r>
      <w:r>
        <w:rPr>
          <w:b/>
        </w:rPr>
        <w:tab/>
      </w:r>
      <w:r w:rsidR="00FB19DA">
        <w:rPr>
          <w:b/>
        </w:rPr>
        <w:t xml:space="preserve">Briefly SYNTHESIZE the evidence that supports the measure. </w:t>
      </w:r>
      <w:r w:rsidR="00FB19DA">
        <w:t>A list of references without a summary is not acceptable.</w:t>
      </w:r>
    </w:p>
    <w:p w14:paraId="14EA6598" w14:textId="4E722FE5" w:rsidR="00447D71" w:rsidRDefault="00447D71" w:rsidP="00995E01">
      <w:pPr>
        <w:spacing w:after="110"/>
        <w:ind w:left="720"/>
        <w:jc w:val="both"/>
        <w:rPr>
          <w:color w:val="0000FF"/>
        </w:rPr>
      </w:pPr>
      <w:r w:rsidRPr="00C1396F">
        <w:rPr>
          <w:color w:val="0000FF"/>
        </w:rPr>
        <w:t xml:space="preserve">In addition to the two guidelines cited above, a review of the clinical literature was conducted during the measure contractor’s annual review of the literature for additional evidence and/or new studies that substantiate the measure’s intent. Citations and summaries for the 14 </w:t>
      </w:r>
      <w:r w:rsidR="00E9523C">
        <w:rPr>
          <w:color w:val="0000FF"/>
        </w:rPr>
        <w:t>articles and/or other sources</w:t>
      </w:r>
      <w:r w:rsidRPr="00C1396F">
        <w:rPr>
          <w:color w:val="0000FF"/>
        </w:rPr>
        <w:t xml:space="preserve"> included in this review can be found in </w:t>
      </w:r>
      <w:r w:rsidR="00570FCA" w:rsidRPr="007147B9">
        <w:rPr>
          <w:b/>
          <w:color w:val="0000FF"/>
        </w:rPr>
        <w:t>Section 1a.8.2</w:t>
      </w:r>
      <w:r w:rsidR="00570FCA" w:rsidRPr="007147B9">
        <w:rPr>
          <w:color w:val="0000FF"/>
        </w:rPr>
        <w:t>.</w:t>
      </w:r>
    </w:p>
    <w:p w14:paraId="183BC8F2" w14:textId="5371DEB6" w:rsidR="00847A02" w:rsidRPr="00822A8D" w:rsidRDefault="006C2A63" w:rsidP="00995E01">
      <w:pPr>
        <w:spacing w:after="220"/>
        <w:ind w:left="720"/>
        <w:jc w:val="both"/>
        <w:rPr>
          <w:color w:val="FF0000"/>
        </w:rPr>
      </w:pPr>
      <w:r>
        <w:rPr>
          <w:color w:val="FF0000"/>
        </w:rPr>
        <w:t xml:space="preserve">During the contractor’s annual review of the clinical literature, no additional evidence supporting the measure was identified since the measure’s last endorsement maintenance review in Spring 2016. </w:t>
      </w:r>
    </w:p>
    <w:p w14:paraId="59A06ABE" w14:textId="77777777" w:rsidR="0002213A" w:rsidRDefault="0002213A" w:rsidP="00B648F4">
      <w:pPr>
        <w:pStyle w:val="Heading1"/>
        <w:spacing w:after="45"/>
        <w:ind w:left="720" w:hanging="720"/>
        <w:jc w:val="both"/>
      </w:pPr>
      <w:r>
        <w:t>1a.4.2</w:t>
      </w:r>
      <w:r>
        <w:tab/>
      </w:r>
      <w:r w:rsidR="00FB19DA">
        <w:t xml:space="preserve">What process was used to identify the evidence? </w:t>
      </w:r>
    </w:p>
    <w:p w14:paraId="0B4E30F2" w14:textId="77777777" w:rsidR="00447D71" w:rsidRPr="00C1396F" w:rsidRDefault="00447D71" w:rsidP="00995E01">
      <w:pPr>
        <w:spacing w:after="110"/>
        <w:ind w:left="720"/>
        <w:jc w:val="both"/>
        <w:rPr>
          <w:color w:val="0000FF"/>
        </w:rPr>
      </w:pPr>
      <w:r w:rsidRPr="00C1396F">
        <w:rPr>
          <w:color w:val="0000FF"/>
        </w:rPr>
        <w:t xml:space="preserve">In addition to the two guidelines cited above, a review of the clinical literature was conducted during the measure contractor’s annual review of the literature for additional evidence and/or new studies that support the measure’s intent. </w:t>
      </w:r>
      <w:r>
        <w:rPr>
          <w:color w:val="0000FF"/>
        </w:rPr>
        <w:t>The measure contractor</w:t>
      </w:r>
      <w:r w:rsidRPr="00AC4A61">
        <w:rPr>
          <w:color w:val="0000FF"/>
        </w:rPr>
        <w:t xml:space="preserve"> identified relevant peer-reviewed publications by searching the PubMed MEDLINE database from January 1, 2013 to January 16, 2015</w:t>
      </w:r>
      <w:r>
        <w:rPr>
          <w:color w:val="0000FF"/>
        </w:rPr>
        <w:t xml:space="preserve">, </w:t>
      </w:r>
      <w:r w:rsidRPr="00AC4A61">
        <w:rPr>
          <w:color w:val="0000FF"/>
        </w:rPr>
        <w:t>limit</w:t>
      </w:r>
      <w:r>
        <w:rPr>
          <w:color w:val="0000FF"/>
        </w:rPr>
        <w:t xml:space="preserve">ing </w:t>
      </w:r>
      <w:r w:rsidRPr="00AC4A61">
        <w:rPr>
          <w:color w:val="0000FF"/>
        </w:rPr>
        <w:t>included results to those published in the English language and that had abstracts available in PubMed. The search initially identified 96 articles</w:t>
      </w:r>
      <w:r>
        <w:rPr>
          <w:color w:val="0000FF"/>
        </w:rPr>
        <w:t xml:space="preserve">; a further review by the contractor’s clinical and measure-development team resulted in the inclusion of 14 articles in the body of evidence below. </w:t>
      </w:r>
      <w:r w:rsidRPr="00C1396F">
        <w:rPr>
          <w:color w:val="0000FF"/>
        </w:rPr>
        <w:t xml:space="preserve">Citations and summaries for the 14 items included in this review can be found in </w:t>
      </w:r>
      <w:r w:rsidRPr="00132BAA">
        <w:rPr>
          <w:b/>
          <w:color w:val="0000FF"/>
        </w:rPr>
        <w:t>Section 1a.8.2</w:t>
      </w:r>
      <w:r w:rsidRPr="00C1396F">
        <w:rPr>
          <w:color w:val="0000FF"/>
        </w:rPr>
        <w:t>.</w:t>
      </w:r>
    </w:p>
    <w:p w14:paraId="78F4994B" w14:textId="0598D037" w:rsidR="00F20FF9" w:rsidRPr="00694743" w:rsidRDefault="00F20FF9" w:rsidP="00995E01">
      <w:pPr>
        <w:spacing w:after="220"/>
        <w:ind w:left="720"/>
        <w:jc w:val="both"/>
        <w:rPr>
          <w:b/>
          <w:color w:val="0000FF"/>
        </w:rPr>
      </w:pPr>
      <w:r w:rsidRPr="00447D71">
        <w:rPr>
          <w:color w:val="FF0000"/>
        </w:rPr>
        <w:t xml:space="preserve">In addition to the two guidelines cited above, a review of the clinical literature and related policy was conducted during the measure contractor’s annual review of the literature for additional evidence and/or new studies that support the measure’s intent. The measure contractor identified relevant peer-reviewed publications by searching the PubMed MEDLINE database from </w:t>
      </w:r>
      <w:r w:rsidR="00143BD6">
        <w:rPr>
          <w:rFonts w:asciiTheme="minorHAnsi" w:hAnsiTheme="minorHAnsi"/>
          <w:color w:val="FF0000"/>
        </w:rPr>
        <w:t xml:space="preserve">January 1, 2014 to January 15, 2016, </w:t>
      </w:r>
      <w:r w:rsidR="00143BD6" w:rsidRPr="00570FCA">
        <w:rPr>
          <w:rFonts w:asciiTheme="minorHAnsi" w:hAnsiTheme="minorHAnsi"/>
          <w:color w:val="FF0000"/>
        </w:rPr>
        <w:t>January 1, 2016 to June 23, 2017</w:t>
      </w:r>
      <w:r w:rsidR="00143BD6">
        <w:rPr>
          <w:rFonts w:asciiTheme="minorHAnsi" w:hAnsiTheme="minorHAnsi"/>
          <w:color w:val="FF0000"/>
        </w:rPr>
        <w:t>, June 1, 2017 to May 25, 2018, May 25, 2018 to January 14, 2019, and January 14, 2019 to September 30, 2019</w:t>
      </w:r>
      <w:r w:rsidRPr="00447D71">
        <w:rPr>
          <w:color w:val="FF0000"/>
        </w:rPr>
        <w:t xml:space="preserve">. Search results were limited to those published in the English language and that had abstracts available in PubMed. A further review by the contractor’s clinical and measure-development team </w:t>
      </w:r>
      <w:r w:rsidR="006C2A63">
        <w:rPr>
          <w:rFonts w:asciiTheme="minorHAnsi" w:hAnsiTheme="minorHAnsi"/>
          <w:color w:val="FF0000"/>
        </w:rPr>
        <w:t xml:space="preserve">did not identify any articles relevant to the measure for inclusion. </w:t>
      </w:r>
    </w:p>
    <w:p w14:paraId="5641B960" w14:textId="25C38221" w:rsidR="00FB19DA" w:rsidRDefault="00EA7F75" w:rsidP="00B648F4">
      <w:pPr>
        <w:pStyle w:val="Heading1"/>
        <w:spacing w:after="45"/>
        <w:ind w:left="720" w:hanging="720"/>
        <w:jc w:val="both"/>
      </w:pPr>
      <w:r>
        <w:t>1a.4.3.</w:t>
      </w:r>
      <w:r>
        <w:tab/>
      </w:r>
      <w:r w:rsidR="00FB19DA">
        <w:t>Provide the citation(s) for the evidence.</w:t>
      </w:r>
    </w:p>
    <w:p w14:paraId="526A5FC2" w14:textId="77777777" w:rsidR="00447D71" w:rsidRPr="00132BAA" w:rsidRDefault="00447D71" w:rsidP="00995E01">
      <w:pPr>
        <w:spacing w:after="45"/>
        <w:ind w:left="720"/>
        <w:jc w:val="both"/>
        <w:rPr>
          <w:color w:val="0000FF"/>
          <w:u w:val="single"/>
        </w:rPr>
      </w:pPr>
      <w:r w:rsidRPr="00132BAA">
        <w:rPr>
          <w:color w:val="0000FF"/>
          <w:u w:val="single"/>
        </w:rPr>
        <w:t>Augoustides JG, Neuman MD, Al-Ghofaily L, Silvay G. Preoperative cardiac risk assessment for non-cardiac surgery: defining costs and risks. J Cardiothorac Vasc Anesth. 2013; 27(2):395-9.</w:t>
      </w:r>
    </w:p>
    <w:p w14:paraId="55E87456" w14:textId="77777777" w:rsidR="00447D71" w:rsidRPr="00132BAA" w:rsidRDefault="00447D71" w:rsidP="00995E01">
      <w:pPr>
        <w:tabs>
          <w:tab w:val="left" w:pos="0"/>
        </w:tabs>
        <w:spacing w:after="110"/>
        <w:ind w:left="720"/>
        <w:jc w:val="both"/>
        <w:rPr>
          <w:rFonts w:eastAsia="Times New Roman" w:cs="Times New Roman"/>
          <w:color w:val="0000FF"/>
          <w:spacing w:val="-1"/>
          <w:szCs w:val="24"/>
        </w:rPr>
      </w:pPr>
      <w:r w:rsidRPr="00C05737">
        <w:rPr>
          <w:color w:val="0000FF"/>
        </w:rPr>
        <w:t>Augoustides et al. reviewed literature on the appropriateness of preoperative cardiac risk assessment prior to non-cardiac surgery. The review notes that cardiac stress testing in Ontario acute care hospitals was associated with harm in low-risk patients (hazard ratio 1.35; 95% CI 1.05–1.74). However, preoperative cardiac stress testing was associated with benefits for intermediate-risk (hazard ratio 0.92; 95% CI 0.85–0.99) and high-risk patients (hazard ratio 0.80; 95% CI 0.67–0.97). Reducing cardiac stress testing prior to non-cardiac surgery for low-risk cases presents a cost-saving opportunity and a reduction in unnecessary testing. The study also notes that risk stratification tools such as the thoracic risk index effectively stratify patient risks and identify patients for whom additional cardiac stress testing may be appropriate.</w:t>
      </w:r>
    </w:p>
    <w:p w14:paraId="625F7725" w14:textId="77777777" w:rsidR="00447D71" w:rsidRPr="00BA31A7" w:rsidRDefault="00447D71" w:rsidP="00995E01">
      <w:pPr>
        <w:spacing w:after="45"/>
        <w:ind w:left="720"/>
        <w:jc w:val="both"/>
        <w:rPr>
          <w:color w:val="0000FF"/>
          <w:u w:val="single"/>
        </w:rPr>
      </w:pPr>
      <w:r w:rsidRPr="00BA31A7">
        <w:rPr>
          <w:color w:val="0000FF"/>
          <w:u w:val="single"/>
        </w:rPr>
        <w:t>Carryer D, Hodge D, Miller T, Askew J, Gibbons R. Application of appropriateness criteria to stress single photon emission computed tomography sestamibi studies: a comparison of the 2009 revised appropriateness criteria to the 2005 original criteria. Am Heart J. 2010; 160:244–9.</w:t>
      </w:r>
    </w:p>
    <w:p w14:paraId="036AADC6" w14:textId="77777777" w:rsidR="00447D71" w:rsidRPr="00BA31A7" w:rsidRDefault="00447D71" w:rsidP="00995E01">
      <w:pPr>
        <w:tabs>
          <w:tab w:val="left" w:pos="0"/>
        </w:tabs>
        <w:spacing w:after="110"/>
        <w:ind w:left="720"/>
        <w:jc w:val="both"/>
        <w:rPr>
          <w:rFonts w:eastAsia="Times New Roman" w:cs="Times New Roman"/>
          <w:color w:val="0000FF"/>
          <w:spacing w:val="-1"/>
          <w:szCs w:val="24"/>
        </w:rPr>
      </w:pPr>
      <w:r w:rsidRPr="00C05737">
        <w:rPr>
          <w:color w:val="0000FF"/>
        </w:rPr>
        <w:t xml:space="preserve">Carryer et </w:t>
      </w:r>
      <w:r>
        <w:rPr>
          <w:color w:val="0000FF"/>
        </w:rPr>
        <w:t>al.</w:t>
      </w:r>
      <w:r w:rsidRPr="00C05737">
        <w:rPr>
          <w:color w:val="0000FF"/>
        </w:rPr>
        <w:t xml:space="preserve"> retrospectively examined 281 patients who underwent stress SPECT MPI at the Mayo Clinic between May 1, 2005, and May 15, 2005. Using the revised 2009 ACCF/ASNC AUC, the researchers compared these findings to previously published results in this same cohort using the 2005 AUC. The most common broad indication for testing was post-revascularization (34 percent of the group), followed by evaluation of chest pain or ischemic equivalent (25 percent), follow-up of prior testing (20 percent), and screening of asymptomatic patients (14 percent). Evaluation for preoperative assessment for non-cardiac surgery (6 percent) was uncommon. Compared to the 2005 AUC, the 2009 AUC resulted in a highly significant overall change (P &lt; .001) in the classification of appropriateness. The 2009 AUC eliminated unclassified patients, reduced appropriate studies (59.8 percent versus 63.7 percent, P = .02), increased studies of uncertain appropriateness (16.0 percent versus 10.7 percent, P = .01), and increased inappropriate studies (24.2 percent versus 14.6 percent, P &lt; .001).</w:t>
      </w:r>
    </w:p>
    <w:p w14:paraId="2E99248D" w14:textId="77777777" w:rsidR="00447D71" w:rsidRDefault="00447D71" w:rsidP="00995E01">
      <w:pPr>
        <w:tabs>
          <w:tab w:val="left" w:pos="0"/>
        </w:tabs>
        <w:spacing w:after="110"/>
        <w:ind w:left="720"/>
        <w:jc w:val="both"/>
        <w:rPr>
          <w:rFonts w:eastAsia="Times New Roman" w:cs="Times New Roman"/>
          <w:color w:val="0000FF"/>
          <w:spacing w:val="-1"/>
          <w:szCs w:val="24"/>
          <w:u w:val="single"/>
        </w:rPr>
      </w:pPr>
    </w:p>
    <w:p w14:paraId="441C01B9" w14:textId="77777777" w:rsidR="00447D71" w:rsidRPr="009C4A4B" w:rsidRDefault="00447D71" w:rsidP="00995E01">
      <w:pPr>
        <w:tabs>
          <w:tab w:val="left" w:pos="0"/>
        </w:tabs>
        <w:spacing w:after="45"/>
        <w:ind w:left="720"/>
        <w:jc w:val="both"/>
        <w:rPr>
          <w:rFonts w:eastAsia="Times New Roman" w:cs="Times New Roman"/>
          <w:color w:val="0000FF"/>
          <w:spacing w:val="-1"/>
          <w:szCs w:val="24"/>
          <w:u w:val="single"/>
        </w:rPr>
      </w:pPr>
      <w:r w:rsidRPr="009C4A4B">
        <w:rPr>
          <w:rFonts w:eastAsia="Times New Roman" w:cs="Times New Roman"/>
          <w:color w:val="0000FF"/>
          <w:spacing w:val="-1"/>
          <w:szCs w:val="24"/>
          <w:u w:val="single"/>
        </w:rPr>
        <w:t>Colla CH, Morden NE, Sequist TD. Choosing Wisely: prevalence and correlates of low-value health care services in the United States. J Gen Intern Med. 2014; 30(2): 221-228.</w:t>
      </w:r>
    </w:p>
    <w:p w14:paraId="017B0182" w14:textId="77777777" w:rsidR="00447D71" w:rsidRDefault="00447D71" w:rsidP="00995E01">
      <w:pPr>
        <w:tabs>
          <w:tab w:val="left" w:pos="0"/>
        </w:tabs>
        <w:spacing w:after="110"/>
        <w:ind w:left="720"/>
        <w:jc w:val="both"/>
        <w:rPr>
          <w:rFonts w:eastAsia="Times New Roman" w:cs="Times New Roman"/>
          <w:color w:val="0000FF"/>
          <w:spacing w:val="-1"/>
          <w:szCs w:val="24"/>
        </w:rPr>
      </w:pPr>
      <w:r w:rsidRPr="00C05737">
        <w:rPr>
          <w:rFonts w:eastAsia="Times New Roman" w:cs="Times New Roman"/>
          <w:color w:val="0000FF"/>
          <w:spacing w:val="-1"/>
          <w:szCs w:val="24"/>
        </w:rPr>
        <w:t>Colla et al. aimed to develop claims-based algorithms to estimate the prevalence of select Choosing Wisely services and to examine the relationship between low-value care at the regional level and demographic, health, and healthcare system differences. The study team developed claims-based algorithms to measure the prevalence of 11 low-value services as identified by Choosing Wisely and examined geographic variation across hospital referral regions for these services. The study team found that the national average annual prevalence of the measured Choosing Wisely low-value services ranged from 1.2 percent to 46.5 percent and that prevalence across hospital referral regions varied significantly. For preoperative cardiac testing for non-cardiac surgery, specifically, the study team found that the average annual prevalence was 46.5 percent, with an estimated waste of $3.2 million. The study team stated that potential implications of these findings are that non-indicated preoperative cardiac testing could lead to patient harm from additional testing or an increase in false positive results. The study team concluded that identifying and measuring low-value health services could help increase the value of healthcare and improve services and areas with greater use of potentially inappropriate care.</w:t>
      </w:r>
    </w:p>
    <w:p w14:paraId="759E42D2" w14:textId="77777777" w:rsidR="00447D71" w:rsidRPr="00132BAA" w:rsidRDefault="00447D71" w:rsidP="00995E01">
      <w:pPr>
        <w:spacing w:after="45"/>
        <w:ind w:left="720"/>
        <w:jc w:val="both"/>
        <w:rPr>
          <w:color w:val="0000FF"/>
          <w:u w:val="single"/>
        </w:rPr>
      </w:pPr>
      <w:r w:rsidRPr="00132BAA">
        <w:rPr>
          <w:color w:val="0000FF"/>
          <w:u w:val="single"/>
        </w:rPr>
        <w:t>Ghadri JR, Fietcher M, Veraguth K, et al. Coronary calcium score as an adjunct to nuclear myocardial perfusion imaging for risk stratification before non-cardiac surgery. J Nucl Med. 2012; 53(7):1081-6.</w:t>
      </w:r>
    </w:p>
    <w:p w14:paraId="5376568B" w14:textId="77777777" w:rsidR="00447D71" w:rsidRPr="00C05737" w:rsidRDefault="00447D71" w:rsidP="00995E01">
      <w:pPr>
        <w:spacing w:after="110"/>
        <w:ind w:left="720"/>
        <w:jc w:val="both"/>
        <w:rPr>
          <w:color w:val="0000FF"/>
        </w:rPr>
      </w:pPr>
      <w:r w:rsidRPr="00C05737">
        <w:rPr>
          <w:color w:val="0000FF"/>
        </w:rPr>
        <w:t xml:space="preserve">Ghadri et al. </w:t>
      </w:r>
      <w:r>
        <w:rPr>
          <w:color w:val="0000FF"/>
        </w:rPr>
        <w:t>s</w:t>
      </w:r>
      <w:r w:rsidRPr="00C05737">
        <w:rPr>
          <w:color w:val="0000FF"/>
        </w:rPr>
        <w:t xml:space="preserve">tudied the value of coronary artery calcium score (CACS) as an addition to SPECT MPI for cardiac risk stratification prior to non-cardiac surgery. The study included 326 patients referred for SPECT MPI prior to elective non-cardiac surgery, who then also underwent a low-dose CT scan to determine the CACS. CACS was found to be a strong preoperative risk predictor independent of the SPECT MPI study. CACS was also found to add additional risk stratification information to the results of SPECT MPI studies. In particular, patients with a normal SPECT MPI result, were still at increased risk for a major adverse cardiac event if the result of the CACS test was found to be above the normal threshold (p = 0.003). </w:t>
      </w:r>
    </w:p>
    <w:p w14:paraId="05CAEE55" w14:textId="77777777" w:rsidR="00447D71" w:rsidRPr="00AE5FF2" w:rsidRDefault="00447D71" w:rsidP="00995E01">
      <w:pPr>
        <w:spacing w:after="45"/>
        <w:ind w:left="720"/>
        <w:jc w:val="both"/>
        <w:rPr>
          <w:color w:val="0000FF"/>
          <w:u w:val="single"/>
        </w:rPr>
      </w:pPr>
      <w:r w:rsidRPr="00AE5FF2">
        <w:rPr>
          <w:color w:val="0000FF"/>
          <w:u w:val="single"/>
        </w:rPr>
        <w:t>Gibbons RJ, Miller TD, Hodge D, Urban L, Araoz PA, Pellikka P, McCully RB. Application of appropriateness criteria to stress single-photon emission computed tomography sestamibi studies and stress echocardiograms in an academic medical center. J Am Coll Cardiol. 2008; 51(13).</w:t>
      </w:r>
    </w:p>
    <w:p w14:paraId="5525E05C" w14:textId="77777777" w:rsidR="00447D71" w:rsidRPr="00C05737" w:rsidRDefault="00447D71" w:rsidP="00995E01">
      <w:pPr>
        <w:spacing w:after="110"/>
        <w:ind w:left="720"/>
        <w:jc w:val="both"/>
        <w:rPr>
          <w:color w:val="0000FF"/>
        </w:rPr>
      </w:pPr>
      <w:r w:rsidRPr="00C05737">
        <w:rPr>
          <w:color w:val="0000FF"/>
        </w:rPr>
        <w:t xml:space="preserve">Gibbons et al. retrospectively applied the 2005 ACCF/ASNC AUC to 284 patients who underwent stress SPECT MPI and 298 patients who underwent stress echocardiography in a single academic medical center. Fourteen percent of stress SPECT studies and 18 percent of stress echo studies were performed for inappropriate reasons. Stress SPECT patients were more likely to be referred for follow-up testing post-revascularization and for follow-up testing after prior SPECT testing. In contrast, stress echo patients were more likely to be referred for preoperative assessment before non-cardiac surgery and the assessment of symptoms. Very few patients were referred for risk assessment after acute coronary syndromes. Similar percentages (14–15 percent) of both groups were asymptomatic patients without other indications, who were being screened for suspected coronary artery disease. </w:t>
      </w:r>
    </w:p>
    <w:p w14:paraId="5A8B8212" w14:textId="77777777" w:rsidR="00447D71" w:rsidRPr="00AE5FF2" w:rsidRDefault="00447D71" w:rsidP="00995E01">
      <w:pPr>
        <w:spacing w:after="45"/>
        <w:ind w:left="720"/>
        <w:jc w:val="both"/>
        <w:rPr>
          <w:color w:val="0000FF"/>
          <w:u w:val="single"/>
        </w:rPr>
      </w:pPr>
      <w:r w:rsidRPr="00AE5FF2">
        <w:rPr>
          <w:color w:val="0000FF"/>
          <w:u w:val="single"/>
        </w:rPr>
        <w:t>Hashimoto J, Nakahara T, Bai J, et al. Preoperative risk stratification with myocardial perfusion imaging in intermediate and low-risk non-cardiac surgery. Circ J. 2007; 71:1395–1400.</w:t>
      </w:r>
    </w:p>
    <w:p w14:paraId="3509C328" w14:textId="77777777" w:rsidR="00447D71" w:rsidRPr="00C05737" w:rsidRDefault="00447D71" w:rsidP="00995E01">
      <w:pPr>
        <w:spacing w:after="110"/>
        <w:ind w:left="720"/>
        <w:jc w:val="both"/>
        <w:rPr>
          <w:color w:val="0000FF"/>
        </w:rPr>
      </w:pPr>
      <w:r>
        <w:rPr>
          <w:color w:val="0000FF"/>
        </w:rPr>
        <w:t>Hashimoto et al.</w:t>
      </w:r>
      <w:r w:rsidRPr="00C05737">
        <w:rPr>
          <w:color w:val="0000FF"/>
        </w:rPr>
        <w:t>, in a retrospective cohort study, examined data collected from patients referred for preoperative stress myocardial perfusion SPECT before non-cardiac surgery and concluded that preoperative SPECT provides an incremental prognostic value in intermediate, but not in low-risk surgery. More than 1,200 consecutive patients underwent electrocardiography-gated dipyridamole stress SPECT to evaluate myocardial perfusion and cardiac function before intermediate- or low-risk non-cardiac surgery. Perfusion or cardiac function yielded significant risk stratification in intermediate- but not low-risk surgery. Adding functional data to perfusion variables offered an incremental prognostic value for patients with an intermediate clinical risk and scheduled intermediate risk surgery.</w:t>
      </w:r>
      <w:r>
        <w:rPr>
          <w:color w:val="0000FF"/>
        </w:rPr>
        <w:t xml:space="preserve"> </w:t>
      </w:r>
    </w:p>
    <w:p w14:paraId="138222BD" w14:textId="77777777" w:rsidR="00447D71" w:rsidRPr="00E57EBB" w:rsidRDefault="00447D71" w:rsidP="00995E01">
      <w:pPr>
        <w:keepNext/>
        <w:keepLines/>
        <w:spacing w:after="45"/>
        <w:ind w:left="720"/>
        <w:jc w:val="both"/>
        <w:rPr>
          <w:color w:val="0000FF"/>
          <w:u w:val="single"/>
        </w:rPr>
      </w:pPr>
      <w:r w:rsidRPr="00E57EBB">
        <w:rPr>
          <w:color w:val="0000FF"/>
          <w:u w:val="single"/>
        </w:rPr>
        <w:lastRenderedPageBreak/>
        <w:t>Hendel RC, Cerqueira M, Douglas PS, Caruth KC, Allen JM, Jensen NC, Pan W, Brindis R, Wolk M. A multicenter assessment of the use of single-photon emission computed tomography myocardial perfusion imaging with appropriateness criteria. J Am Coll Cardiol. 2010; 55(2).</w:t>
      </w:r>
    </w:p>
    <w:p w14:paraId="027B6AC8" w14:textId="77777777" w:rsidR="00447D71" w:rsidRDefault="00447D71" w:rsidP="00995E01">
      <w:pPr>
        <w:spacing w:after="110"/>
        <w:ind w:left="720"/>
        <w:jc w:val="both"/>
        <w:rPr>
          <w:color w:val="0000FF"/>
        </w:rPr>
      </w:pPr>
      <w:r>
        <w:rPr>
          <w:color w:val="0000FF"/>
        </w:rPr>
        <w:t>Hendel et al.</w:t>
      </w:r>
      <w:r w:rsidRPr="00C05737">
        <w:rPr>
          <w:color w:val="0000FF"/>
        </w:rPr>
        <w:t xml:space="preserve"> assessed the feasibility of evaluation for appropriate use of SPECT MPI in multiple clinical sites to determine use patterns as well as to identify areas of apparent inappropriate use. Six diverse clinical sites enrolled consecutive patients undergoing MPI. An automated algorithm assigned a specific indication from the 2005 ACCF/ASNC appropriateness criteria for SPECT MPI. Of the 6,351 patients enrolled in the study, 93 percent were successfully assigned an appropriateness level. Inappropriate use of MPI was found in 14.4 percent of patients, with a range of 4–22 percent among practices. Women and patients less than 65 years of age were more likely to undergo inappropriate MPI. Asymptomatic, low-risk patients accounted for 44.5 percent of inappropriate testing.</w:t>
      </w:r>
    </w:p>
    <w:p w14:paraId="72D89BD4" w14:textId="77777777" w:rsidR="00447D71" w:rsidRPr="00132BAA" w:rsidRDefault="00447D71" w:rsidP="00995E01">
      <w:pPr>
        <w:spacing w:after="45"/>
        <w:ind w:left="720"/>
        <w:jc w:val="both"/>
        <w:rPr>
          <w:color w:val="0000FF"/>
          <w:u w:val="single"/>
        </w:rPr>
      </w:pPr>
      <w:r w:rsidRPr="00132BAA">
        <w:rPr>
          <w:color w:val="0000FF"/>
          <w:u w:val="single"/>
        </w:rPr>
        <w:t>Henzlova M, Savino J, Levine EJ, Croft L, Einstein A, Hermann L, Duvall W. Comparative effectiveness of coronary CT angiography versus stress testing using high-efficiency SPECT myocardial perfusion imaging and stress-only imaging in the emergency department. J Am Coll Cardiol. 2013; 61(10_S).</w:t>
      </w:r>
    </w:p>
    <w:p w14:paraId="7ADF0814" w14:textId="77777777" w:rsidR="00447D71" w:rsidRDefault="00447D71" w:rsidP="00995E01">
      <w:pPr>
        <w:tabs>
          <w:tab w:val="left" w:pos="0"/>
        </w:tabs>
        <w:spacing w:after="110"/>
        <w:ind w:left="720"/>
        <w:jc w:val="both"/>
        <w:rPr>
          <w:b/>
        </w:rPr>
      </w:pPr>
      <w:r w:rsidRPr="00C05737">
        <w:rPr>
          <w:color w:val="0000FF"/>
        </w:rPr>
        <w:t>Henzlova et al. compared CT angiography (CTA) and stress testing with SPECT MPI. During a period of two years, 1,458 individuals underwent testing in the emergency department (ED). A total of 192 CTAs and 1,266 stress tests (939 MPIs and 327 exercise treadmill testing (ETTs) were performed. In general, patients undergoing CTA were a lower risk group, based on age, risk factors, and known presence of heart disease. Within the MPI cohort, 708 underwent stress-only imaging. The percentage of patients discharged directly from the ED by stress-testing group, as compared with CTA group, was 82 percent versus 73 percent. However, the time to disposition was significantly longer for the stress-testing group as compared with the CTA group (20.5 ± 7 versus 11.0 ± 5 hrs, p &lt; 0.0001). Additionally, there were more cardiac return visits to the ED in individuals who underwent CTA as opposed to stress testing (47 percent versus 10 percent, p = 0.0002). In general, the study concluded that stress testing with ETT, high-efficiency SPECT MPI, had significantly lower patient radiation dose, fewer cardiac return visits, and fewer follow-up diagnostic testing than CTA. Additionally, while CTA had a lower time to disposition than stress testing, there was a trend toward more discharges from the ED with stress testing.</w:t>
      </w:r>
    </w:p>
    <w:p w14:paraId="6624A280" w14:textId="77777777" w:rsidR="00447D71" w:rsidRPr="00C05737" w:rsidRDefault="00447D71" w:rsidP="00995E01">
      <w:pPr>
        <w:tabs>
          <w:tab w:val="left" w:pos="0"/>
        </w:tabs>
        <w:spacing w:after="45"/>
        <w:ind w:left="720"/>
        <w:jc w:val="both"/>
        <w:rPr>
          <w:rFonts w:eastAsia="Times New Roman" w:cs="Times New Roman"/>
          <w:color w:val="0000FF"/>
          <w:spacing w:val="-1"/>
          <w:szCs w:val="24"/>
          <w:u w:val="single"/>
        </w:rPr>
      </w:pPr>
      <w:r w:rsidRPr="00C05737">
        <w:rPr>
          <w:rFonts w:eastAsia="Times New Roman" w:cs="Times New Roman"/>
          <w:color w:val="0000FF"/>
          <w:spacing w:val="-1"/>
          <w:szCs w:val="24"/>
          <w:u w:val="single"/>
        </w:rPr>
        <w:t>Kerr EA, Chen J, Sussman JB, et al. Stress testing before low-risk surgery: so many recommendations, so little overuse. JAMA Internal Medicine. 2015; E1-E2.</w:t>
      </w:r>
    </w:p>
    <w:p w14:paraId="267AE99C" w14:textId="77777777" w:rsidR="00447D71" w:rsidRDefault="00447D71" w:rsidP="00995E01">
      <w:pPr>
        <w:tabs>
          <w:tab w:val="left" w:pos="0"/>
        </w:tabs>
        <w:spacing w:after="110"/>
        <w:ind w:left="720"/>
        <w:jc w:val="both"/>
        <w:rPr>
          <w:rFonts w:eastAsia="Times New Roman" w:cs="Times New Roman"/>
          <w:color w:val="0000FF"/>
          <w:spacing w:val="-1"/>
          <w:szCs w:val="24"/>
        </w:rPr>
      </w:pPr>
      <w:r>
        <w:rPr>
          <w:rFonts w:eastAsia="Times New Roman" w:cs="Times New Roman"/>
          <w:color w:val="0000FF"/>
          <w:spacing w:val="-1"/>
          <w:szCs w:val="24"/>
        </w:rPr>
        <w:t>Kerr et al.</w:t>
      </w:r>
      <w:r w:rsidRPr="00C05737">
        <w:rPr>
          <w:rFonts w:eastAsia="Times New Roman" w:cs="Times New Roman"/>
          <w:color w:val="0000FF"/>
          <w:spacing w:val="-1"/>
          <w:szCs w:val="24"/>
        </w:rPr>
        <w:t xml:space="preserve"> sought to determine the prevalence of cardiac stress testing before low-risk surgeries, prior to commencement of the Choosing Wisely campaign, to estimate the effect of the recommendations on future use of resources. The study team performed a retrospective cohort study using data from the Department of Veterans Affairs (VA) and from a nationally representative five percent sample of Medicare fee-for-service claims. The study team found that a routine preoperative stress test preceded 1 of the 3 low-risk surgeries in only 0.67 percent of VA patients and 2.14 percent of Medicare patients. The study team concluded that routine preoperative stress testing before low-risk surgery in both VA and Medicare patients is low and shows little variance across geographic regions. These trends existed even prior to the Choosing Wisely campaign, so the study team postulated that most physicians had already been incorporating guidelines about appropriate preoperative stress testing into their practices before the Choosing Wisely recommendations were developed. </w:t>
      </w:r>
    </w:p>
    <w:p w14:paraId="20019D94" w14:textId="77777777" w:rsidR="00447D71" w:rsidRPr="00621722" w:rsidRDefault="00447D71" w:rsidP="00995E01">
      <w:pPr>
        <w:spacing w:after="45"/>
        <w:ind w:left="720"/>
        <w:jc w:val="both"/>
        <w:rPr>
          <w:color w:val="0000FF"/>
          <w:u w:val="single"/>
        </w:rPr>
      </w:pPr>
      <w:r w:rsidRPr="00621722">
        <w:rPr>
          <w:color w:val="0000FF"/>
          <w:u w:val="single"/>
        </w:rPr>
        <w:t>Koh AS, Flores JL, Keng FY, Tan RS, Chua TS. Correlation between clinical outcomes and appropriateness grading for referral to myocardial perfusion imaging for preoperative evaluation prior to non-cardiac surgery. J Nucl Cardiol. 2012; 19(2):277–84.</w:t>
      </w:r>
    </w:p>
    <w:p w14:paraId="790702F7" w14:textId="77777777" w:rsidR="00447D71" w:rsidRDefault="00447D71" w:rsidP="00995E01">
      <w:pPr>
        <w:spacing w:after="110"/>
        <w:ind w:left="720"/>
        <w:jc w:val="both"/>
        <w:rPr>
          <w:rFonts w:eastAsia="Times New Roman" w:cs="Times New Roman"/>
          <w:color w:val="0000FF"/>
          <w:spacing w:val="-1"/>
          <w:szCs w:val="24"/>
        </w:rPr>
      </w:pPr>
      <w:r w:rsidRPr="00C05737">
        <w:rPr>
          <w:color w:val="0000FF"/>
        </w:rPr>
        <w:t>Koh et</w:t>
      </w:r>
      <w:r>
        <w:rPr>
          <w:color w:val="0000FF"/>
        </w:rPr>
        <w:t xml:space="preserve"> al.</w:t>
      </w:r>
      <w:r w:rsidRPr="00C05737">
        <w:rPr>
          <w:color w:val="0000FF"/>
        </w:rPr>
        <w:t xml:space="preserve"> studied the correlation of appropriateness of grading with both the outcome of MPI as well as the clinical outcomes of patients post-surgery. Patients visiting the MPI laboratory from March 2009 to July 2009 were studied and, based on their medical records, stress data, and imaging results, MPI scans were classified as appropriate, inappropriate, uncertain, or unclassified. Based on AUC, MPI referrals in intermediate- and high-risk groups with poor functional class were graded as appropriate, while MPI referrals in low-risk and intermediate risk groups with normal functional class were graded as inappropriate referrals. Out of 176 referrals for preoperative evaluation, 39.8 percent were graded as inappropriate. The study concluded that MPI results predicted outcome in appropriately tested patients, but not in patients whose tests were classified as inappropriate.</w:t>
      </w:r>
    </w:p>
    <w:p w14:paraId="1D09B385" w14:textId="77777777" w:rsidR="00447D71" w:rsidRDefault="00447D71" w:rsidP="00995E01">
      <w:pPr>
        <w:spacing w:after="110"/>
        <w:ind w:left="720"/>
        <w:jc w:val="both"/>
        <w:rPr>
          <w:rFonts w:eastAsia="Times New Roman" w:cs="Times New Roman"/>
          <w:color w:val="0000FF"/>
          <w:spacing w:val="-1"/>
          <w:szCs w:val="24"/>
        </w:rPr>
      </w:pPr>
    </w:p>
    <w:p w14:paraId="1838BD7A" w14:textId="15D4C0A1" w:rsidR="00447D71" w:rsidRPr="00E57EBB" w:rsidRDefault="00447D71" w:rsidP="00995E01">
      <w:pPr>
        <w:spacing w:after="45"/>
        <w:ind w:left="720"/>
        <w:jc w:val="both"/>
        <w:rPr>
          <w:color w:val="0000FF"/>
          <w:u w:val="single"/>
        </w:rPr>
      </w:pPr>
      <w:r w:rsidRPr="00E57EBB">
        <w:rPr>
          <w:color w:val="0000FF"/>
          <w:u w:val="single"/>
        </w:rPr>
        <w:lastRenderedPageBreak/>
        <w:t>Koh AS, Flores JL, Keng FY, Tan RS, Chua TS. Evaluation of the American College of Cardiology Foundation/American Society of Nuclear Cardiology appropriateness criteria for SPECT myocardial perfusion imaging in an Asian tertiary cardiac center. J Nucl Cardiol. 2011 Apr; 18(2):324–30.</w:t>
      </w:r>
    </w:p>
    <w:p w14:paraId="53C9A1B9" w14:textId="77777777" w:rsidR="00447D71" w:rsidRDefault="00447D71" w:rsidP="00995E01">
      <w:pPr>
        <w:spacing w:after="110"/>
        <w:ind w:left="720"/>
        <w:jc w:val="both"/>
        <w:rPr>
          <w:color w:val="0000FF"/>
        </w:rPr>
      </w:pPr>
      <w:r w:rsidRPr="00C05737">
        <w:rPr>
          <w:color w:val="0000FF"/>
        </w:rPr>
        <w:t>Koh et al. studied the pattern of referrals for SPECT MPI in an Asian tertiary cardiac center. Medical records and stress data were studied for 1,623 consecutive patients (mean age 61 years, 61</w:t>
      </w:r>
      <w:r>
        <w:rPr>
          <w:color w:val="0000FF"/>
        </w:rPr>
        <w:t xml:space="preserve"> </w:t>
      </w:r>
      <w:r w:rsidRPr="00C05737">
        <w:rPr>
          <w:color w:val="0000FF"/>
        </w:rPr>
        <w:t>percent males) who were referred to the MPI laboratory between February 16 and June 19, 2009. MPI studies were categorized into appropriate, inappropriate, uncertain, or unclassified according to the 2009 ACCF/ASNC appropriateness criteria for SPECT MPI. Most common indications for SPECT were evaluation of ischemic equivalent for coronary artery disease, risk assessment post-revascularization, and preoperative evaluation for non-cardiac surgery. Ten percent of referrals were classified as inappropriate, 5 percent as uncertain, and 3 percent as unclassified. The preoperative group had the highest proportion of inappropriate studies (59 percent). The authors concluded that preoperative evaluation for low-risk surgery appeared to be the most common source of inappropriate referrals for SPECT MPI in their institution.</w:t>
      </w:r>
    </w:p>
    <w:p w14:paraId="44BE9787" w14:textId="77777777" w:rsidR="00447D71" w:rsidRPr="003222CD" w:rsidRDefault="00447D71" w:rsidP="00995E01">
      <w:pPr>
        <w:spacing w:after="45"/>
        <w:ind w:left="720"/>
        <w:jc w:val="both"/>
        <w:rPr>
          <w:color w:val="0000FF"/>
          <w:u w:val="single"/>
        </w:rPr>
      </w:pPr>
      <w:r w:rsidRPr="003222CD">
        <w:rPr>
          <w:color w:val="0000FF"/>
          <w:u w:val="single"/>
        </w:rPr>
        <w:t>McCully RB, Pellikka PA, Hodge DO, Araoz PA, Miller TD, Gibbons RJ. Applicability of appropriateness criteria for stress imaging: similarities and differences between stress echocardiography and single-photon emission computed tomography myocardial perfusion imaging criteria. Circ Cardiovasc Imaging. 2009; 2:213–8.</w:t>
      </w:r>
    </w:p>
    <w:p w14:paraId="5EC7FB45" w14:textId="77777777" w:rsidR="00447D71" w:rsidRDefault="00447D71" w:rsidP="00995E01">
      <w:pPr>
        <w:spacing w:after="110"/>
        <w:ind w:left="720"/>
        <w:jc w:val="both"/>
        <w:rPr>
          <w:rFonts w:eastAsia="Times New Roman" w:cs="Times New Roman"/>
          <w:color w:val="0000FF"/>
          <w:spacing w:val="-1"/>
          <w:szCs w:val="24"/>
        </w:rPr>
      </w:pPr>
      <w:r w:rsidRPr="00C05737">
        <w:rPr>
          <w:color w:val="0000FF"/>
        </w:rPr>
        <w:t>McCully et al. evaluated the application of the stress echocardiography appropriateness criteria to patients undergoing stress echocardiography in an academic medical center. The stress echocardiography criteria were applied to 298 consecutive patients who underwent stress echocardiography. Results were compared with those of a previous analysis in the same patients using the SPECT MPI criteria. Overall, 54 percent of patients were classified as appropriate, 8 percent as uncertain, and 19 percent as inappropriate; 19 percent were not classifiable. By the SPECT MPI criteria, 64 percent of patients were classified as appropriate, 9 percent as uncertain, and 18 percent as inappropriate; 9 percent were not classifiable (P &lt; .001 compared with stress echocardiography criteria). By the stress echocardiography criteria, preoperative evaluation for low-risk surgery in patients with minor or intermediate clinical risk predictors was among six clinical situations or indications that accounted for more than 90 percent of the inappropriate tests. Most of these involved asymptomatic patients.</w:t>
      </w:r>
    </w:p>
    <w:p w14:paraId="3A569EB3" w14:textId="77777777" w:rsidR="00447D71" w:rsidRPr="00621722" w:rsidRDefault="00447D71" w:rsidP="00995E01">
      <w:pPr>
        <w:spacing w:after="45"/>
        <w:ind w:left="720"/>
        <w:jc w:val="both"/>
        <w:rPr>
          <w:color w:val="0000FF"/>
          <w:u w:val="single"/>
        </w:rPr>
      </w:pPr>
      <w:r w:rsidRPr="00621722">
        <w:rPr>
          <w:color w:val="0000FF"/>
          <w:u w:val="single"/>
        </w:rPr>
        <w:t>Placanica G, Merola R, Placanica A, Pecoraro A, Fusco L, Placanica P, Pasta V. Cardiological assessment of cardiac patients undergoing non-cardiac surgery (usefulness of surveys). Ann Ital Chir. 2011 May–Jun; 82(3):179–84.</w:t>
      </w:r>
    </w:p>
    <w:p w14:paraId="281319D6" w14:textId="77777777" w:rsidR="00447D71" w:rsidRDefault="00447D71" w:rsidP="00995E01">
      <w:pPr>
        <w:spacing w:after="110"/>
        <w:ind w:left="720"/>
        <w:jc w:val="both"/>
        <w:rPr>
          <w:rFonts w:eastAsia="Times New Roman" w:cs="Times New Roman"/>
          <w:color w:val="0000FF"/>
          <w:spacing w:val="-1"/>
          <w:szCs w:val="24"/>
        </w:rPr>
      </w:pPr>
      <w:r>
        <w:rPr>
          <w:color w:val="0000FF"/>
        </w:rPr>
        <w:t>Placanica et al.</w:t>
      </w:r>
      <w:r w:rsidRPr="00C05737">
        <w:rPr>
          <w:color w:val="0000FF"/>
        </w:rPr>
        <w:t xml:space="preserve"> studied the effective usefulness of preoperative stress test and echocardiography in adult patients with coronary artery disease, undergoing non-cardiac surgery. Two-hundred patients age 58–85, affected by stable ischemic pathology, undergoing non-cardiac surgery, and treated with oral drugs, were enrolled for an assessment protocol including a preliminary case history (anamnesis); objective examination; blood pressure; race, class, and gender blood chemistry analysis; and cardiac risk evaluation. A second cohort of 50 patients with similar characteristics was subjected to the same tests and preoperative and exercise stress test. All patients showed a good hemodynamic compensation and a quick recovery. The group of 200 patients, for whom the risk assessment was performed without preoperative and stress test, concluded the process three days prior, on average, before undergoing an echocardiography and exercise stress test. The authors concluded that when patients are hemodynamically stable and their conditions controlled by appropriate therapy, it is sufficient to perform first-level tests for the preoperative stratification of cardiovascular risk. It is recommended to perform echocardiogram and stress test when the first level tests are abnormal, when there is a worsening of the conditions prior to admission, or when the patient is not hemodynamically stable.</w:t>
      </w:r>
    </w:p>
    <w:p w14:paraId="5AF2BB02" w14:textId="77777777" w:rsidR="00447D71" w:rsidRPr="009C4A4B" w:rsidRDefault="00447D71" w:rsidP="00995E01">
      <w:pPr>
        <w:spacing w:after="45"/>
        <w:ind w:left="720"/>
        <w:jc w:val="both"/>
        <w:rPr>
          <w:rFonts w:eastAsia="Times New Roman" w:cs="Times New Roman"/>
          <w:color w:val="0000FF"/>
          <w:spacing w:val="-1"/>
          <w:szCs w:val="24"/>
          <w:u w:val="single"/>
        </w:rPr>
      </w:pPr>
      <w:r w:rsidRPr="009C4A4B">
        <w:rPr>
          <w:rFonts w:eastAsia="Times New Roman" w:cs="Times New Roman"/>
          <w:color w:val="0000FF"/>
          <w:spacing w:val="-1"/>
          <w:szCs w:val="24"/>
          <w:u w:val="single"/>
        </w:rPr>
        <w:t>Sumin AN, Korok EV, Kokov AN, et al. Role of multidetector computed tomography and stress- echocardiography in assessment of risk of cardiological complications of non-cardiac surgery. Kardiologiia. 2014; 54(5): 39-47.</w:t>
      </w:r>
    </w:p>
    <w:p w14:paraId="2CFD2CF2" w14:textId="77777777" w:rsidR="00447D71" w:rsidRPr="003222CD" w:rsidRDefault="00447D71" w:rsidP="00995E01">
      <w:pPr>
        <w:spacing w:after="110"/>
        <w:ind w:left="720"/>
        <w:jc w:val="both"/>
        <w:rPr>
          <w:rFonts w:eastAsia="Times New Roman" w:cs="Times New Roman"/>
          <w:color w:val="0000FF"/>
          <w:spacing w:val="-1"/>
          <w:szCs w:val="24"/>
        </w:rPr>
      </w:pPr>
      <w:r w:rsidRPr="00C05737">
        <w:rPr>
          <w:rFonts w:eastAsia="Times New Roman" w:cs="Times New Roman"/>
          <w:color w:val="0000FF"/>
          <w:spacing w:val="-1"/>
          <w:szCs w:val="24"/>
        </w:rPr>
        <w:t xml:space="preserve">Sumin et al. sought to compare results of coronary angiography with data of multi-slice computed tomography (MSCT) angiography, and analyzed the rate of detection of hemodynamically significant coronary artery lesions during preoperative examination of patients. The investigators analyzed case histories of 92 patients [median age 59 years] examined prior to surgery on non-coronary vessels, or for exclusion of ischemic heart disease. All patients were subjected to selective coronary angiography (CA) and MSCT angiography. According to results of CA patients were divided into two groups – those with coronary artery stenoses &gt;70% (n=55, group 1) and &lt;70% (n=37, group 2). In 46 patients (50%), dobutamine stress echocardiography was performed for detection of concealed coronary </w:t>
      </w:r>
      <w:r w:rsidRPr="00C05737">
        <w:rPr>
          <w:rFonts w:eastAsia="Times New Roman" w:cs="Times New Roman"/>
          <w:color w:val="0000FF"/>
          <w:spacing w:val="-1"/>
          <w:szCs w:val="24"/>
        </w:rPr>
        <w:lastRenderedPageBreak/>
        <w:t>insufficiency. The study concluded that the diagnostic value of MSCT for detection of coronary artery stenoses &gt;70% have better sensitivity, specificity, and negative and positive predictive value compared with stress echocardiography. The authors concluded that the study confirms the value of MSCT angiography for diagnosis of coronary atherosclerosis preoperatively, and recommended it as a screening method for detecting hemodynamically significant coronary artery involvement before extracardiac surgery.</w:t>
      </w:r>
    </w:p>
    <w:p w14:paraId="55D69563" w14:textId="63798C12" w:rsidR="000A491A" w:rsidRPr="00995E01" w:rsidRDefault="00143BD6" w:rsidP="00995E01">
      <w:pPr>
        <w:spacing w:after="110"/>
        <w:ind w:left="720"/>
        <w:jc w:val="both"/>
        <w:rPr>
          <w:color w:val="FF0000"/>
        </w:rPr>
      </w:pPr>
      <w:r w:rsidRPr="001A37D9">
        <w:rPr>
          <w:color w:val="FF0000"/>
        </w:rPr>
        <w:t xml:space="preserve">No additional evidence to support the measure was identified since the last endorsement maintenance review. </w:t>
      </w:r>
    </w:p>
    <w:sectPr w:rsidR="000A491A" w:rsidRPr="00995E01" w:rsidSect="00713CDD">
      <w:footerReference w:type="default" r:id="rId17"/>
      <w:pgSz w:w="12240" w:h="15840"/>
      <w:pgMar w:top="720" w:right="720" w:bottom="720" w:left="720" w:header="0" w:footer="7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FA44B" w14:textId="77777777" w:rsidR="00D66D3F" w:rsidRDefault="00D66D3F">
      <w:r>
        <w:separator/>
      </w:r>
    </w:p>
  </w:endnote>
  <w:endnote w:type="continuationSeparator" w:id="0">
    <w:p w14:paraId="77BCCFCD" w14:textId="77777777" w:rsidR="00D66D3F" w:rsidRDefault="00D6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9069d8b3.B">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36518" w14:textId="50B2957B" w:rsidR="00D66D3F" w:rsidRPr="00E06B9F" w:rsidRDefault="00D66D3F" w:rsidP="00E06B9F">
    <w:pPr>
      <w:spacing w:line="245" w:lineRule="exact"/>
      <w:ind w:left="20"/>
    </w:pPr>
    <w:r>
      <w:t>Version 7.1 9/6/17</w:t>
    </w:r>
    <w:r>
      <w:ptab w:relativeTo="margin" w:alignment="center" w:leader="none"/>
    </w:r>
    <w:r>
      <w:ptab w:relativeTo="margin" w:alignment="right" w:leader="none"/>
    </w:r>
    <w:r>
      <w:fldChar w:fldCharType="begin"/>
    </w:r>
    <w:r>
      <w:instrText xml:space="preserve"> PAGE   \* MERGEFORMAT </w:instrText>
    </w:r>
    <w:r>
      <w:fldChar w:fldCharType="separate"/>
    </w:r>
    <w:r w:rsidR="00286F07">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5E345" w14:textId="77777777" w:rsidR="00D66D3F" w:rsidRDefault="00D66D3F">
      <w:r>
        <w:separator/>
      </w:r>
    </w:p>
  </w:footnote>
  <w:footnote w:type="continuationSeparator" w:id="0">
    <w:p w14:paraId="3DEB93CF" w14:textId="77777777" w:rsidR="00D66D3F" w:rsidRDefault="00D66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AA1"/>
    <w:multiLevelType w:val="hybridMultilevel"/>
    <w:tmpl w:val="557AC4D4"/>
    <w:lvl w:ilvl="0" w:tplc="9A36857C">
      <w:numFmt w:val="bullet"/>
      <w:lvlText w:val=""/>
      <w:lvlJc w:val="left"/>
      <w:pPr>
        <w:ind w:left="827" w:hanging="361"/>
      </w:pPr>
      <w:rPr>
        <w:rFonts w:ascii="Symbol" w:eastAsia="Symbol" w:hAnsi="Symbol" w:cs="Symbol" w:hint="default"/>
        <w:w w:val="100"/>
        <w:sz w:val="22"/>
        <w:szCs w:val="22"/>
        <w:lang w:val="en-US" w:eastAsia="en-US" w:bidi="en-US"/>
      </w:rPr>
    </w:lvl>
    <w:lvl w:ilvl="1" w:tplc="83AE2E9C">
      <w:numFmt w:val="bullet"/>
      <w:lvlText w:val="•"/>
      <w:lvlJc w:val="left"/>
      <w:pPr>
        <w:ind w:left="1143" w:hanging="361"/>
      </w:pPr>
      <w:rPr>
        <w:rFonts w:hint="default"/>
        <w:lang w:val="en-US" w:eastAsia="en-US" w:bidi="en-US"/>
      </w:rPr>
    </w:lvl>
    <w:lvl w:ilvl="2" w:tplc="968A945A">
      <w:numFmt w:val="bullet"/>
      <w:lvlText w:val="•"/>
      <w:lvlJc w:val="left"/>
      <w:pPr>
        <w:ind w:left="1467" w:hanging="361"/>
      </w:pPr>
      <w:rPr>
        <w:rFonts w:hint="default"/>
        <w:lang w:val="en-US" w:eastAsia="en-US" w:bidi="en-US"/>
      </w:rPr>
    </w:lvl>
    <w:lvl w:ilvl="3" w:tplc="E13EA3E8">
      <w:numFmt w:val="bullet"/>
      <w:lvlText w:val="•"/>
      <w:lvlJc w:val="left"/>
      <w:pPr>
        <w:ind w:left="1791" w:hanging="361"/>
      </w:pPr>
      <w:rPr>
        <w:rFonts w:hint="default"/>
        <w:lang w:val="en-US" w:eastAsia="en-US" w:bidi="en-US"/>
      </w:rPr>
    </w:lvl>
    <w:lvl w:ilvl="4" w:tplc="87BE0BD4">
      <w:numFmt w:val="bullet"/>
      <w:lvlText w:val="•"/>
      <w:lvlJc w:val="left"/>
      <w:pPr>
        <w:ind w:left="2115" w:hanging="361"/>
      </w:pPr>
      <w:rPr>
        <w:rFonts w:hint="default"/>
        <w:lang w:val="en-US" w:eastAsia="en-US" w:bidi="en-US"/>
      </w:rPr>
    </w:lvl>
    <w:lvl w:ilvl="5" w:tplc="29E22F3C">
      <w:numFmt w:val="bullet"/>
      <w:lvlText w:val="•"/>
      <w:lvlJc w:val="left"/>
      <w:pPr>
        <w:ind w:left="2439" w:hanging="361"/>
      </w:pPr>
      <w:rPr>
        <w:rFonts w:hint="default"/>
        <w:lang w:val="en-US" w:eastAsia="en-US" w:bidi="en-US"/>
      </w:rPr>
    </w:lvl>
    <w:lvl w:ilvl="6" w:tplc="6680D5D0">
      <w:numFmt w:val="bullet"/>
      <w:lvlText w:val="•"/>
      <w:lvlJc w:val="left"/>
      <w:pPr>
        <w:ind w:left="2762" w:hanging="361"/>
      </w:pPr>
      <w:rPr>
        <w:rFonts w:hint="default"/>
        <w:lang w:val="en-US" w:eastAsia="en-US" w:bidi="en-US"/>
      </w:rPr>
    </w:lvl>
    <w:lvl w:ilvl="7" w:tplc="210628AC">
      <w:numFmt w:val="bullet"/>
      <w:lvlText w:val="•"/>
      <w:lvlJc w:val="left"/>
      <w:pPr>
        <w:ind w:left="3086" w:hanging="361"/>
      </w:pPr>
      <w:rPr>
        <w:rFonts w:hint="default"/>
        <w:lang w:val="en-US" w:eastAsia="en-US" w:bidi="en-US"/>
      </w:rPr>
    </w:lvl>
    <w:lvl w:ilvl="8" w:tplc="CD1C55EC">
      <w:numFmt w:val="bullet"/>
      <w:lvlText w:val="•"/>
      <w:lvlJc w:val="left"/>
      <w:pPr>
        <w:ind w:left="3410" w:hanging="361"/>
      </w:pPr>
      <w:rPr>
        <w:rFonts w:hint="default"/>
        <w:lang w:val="en-US" w:eastAsia="en-US" w:bidi="en-US"/>
      </w:rPr>
    </w:lvl>
  </w:abstractNum>
  <w:abstractNum w:abstractNumId="1" w15:restartNumberingAfterBreak="0">
    <w:nsid w:val="046675BD"/>
    <w:multiLevelType w:val="hybridMultilevel"/>
    <w:tmpl w:val="3176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2775C"/>
    <w:multiLevelType w:val="hybridMultilevel"/>
    <w:tmpl w:val="C2F4A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F3FDD"/>
    <w:multiLevelType w:val="hybridMultilevel"/>
    <w:tmpl w:val="C4CC6740"/>
    <w:lvl w:ilvl="0" w:tplc="A38A5BA8">
      <w:numFmt w:val="bullet"/>
      <w:lvlText w:val="☒"/>
      <w:lvlJc w:val="left"/>
      <w:pPr>
        <w:ind w:left="938" w:hanging="360"/>
      </w:pPr>
      <w:rPr>
        <w:rFonts w:ascii="MS Gothic" w:eastAsia="MS Gothic" w:hAnsi="MS Gothic" w:cs="MS Gothic" w:hint="eastAsia"/>
        <w:color w:val="FF0000"/>
        <w:w w:val="100"/>
        <w:sz w:val="22"/>
        <w:szCs w:val="22"/>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5C38"/>
    <w:multiLevelType w:val="hybridMultilevel"/>
    <w:tmpl w:val="451A7E2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 w15:restartNumberingAfterBreak="0">
    <w:nsid w:val="18FB0859"/>
    <w:multiLevelType w:val="hybridMultilevel"/>
    <w:tmpl w:val="E4A64DE0"/>
    <w:lvl w:ilvl="0" w:tplc="DEC855F8">
      <w:numFmt w:val="bullet"/>
      <w:lvlText w:val=""/>
      <w:lvlJc w:val="left"/>
      <w:pPr>
        <w:ind w:left="827" w:hanging="361"/>
      </w:pPr>
      <w:rPr>
        <w:rFonts w:ascii="Symbol" w:eastAsia="Symbol" w:hAnsi="Symbol" w:cs="Symbol" w:hint="default"/>
        <w:w w:val="100"/>
        <w:sz w:val="22"/>
        <w:szCs w:val="22"/>
        <w:lang w:val="en-US" w:eastAsia="en-US" w:bidi="en-US"/>
      </w:rPr>
    </w:lvl>
    <w:lvl w:ilvl="1" w:tplc="6CF20416">
      <w:numFmt w:val="bullet"/>
      <w:lvlText w:val="•"/>
      <w:lvlJc w:val="left"/>
      <w:pPr>
        <w:ind w:left="1143" w:hanging="361"/>
      </w:pPr>
      <w:rPr>
        <w:rFonts w:hint="default"/>
        <w:lang w:val="en-US" w:eastAsia="en-US" w:bidi="en-US"/>
      </w:rPr>
    </w:lvl>
    <w:lvl w:ilvl="2" w:tplc="32263978">
      <w:numFmt w:val="bullet"/>
      <w:lvlText w:val="•"/>
      <w:lvlJc w:val="left"/>
      <w:pPr>
        <w:ind w:left="1467" w:hanging="361"/>
      </w:pPr>
      <w:rPr>
        <w:rFonts w:hint="default"/>
        <w:lang w:val="en-US" w:eastAsia="en-US" w:bidi="en-US"/>
      </w:rPr>
    </w:lvl>
    <w:lvl w:ilvl="3" w:tplc="F9A02888">
      <w:numFmt w:val="bullet"/>
      <w:lvlText w:val="•"/>
      <w:lvlJc w:val="left"/>
      <w:pPr>
        <w:ind w:left="1791" w:hanging="361"/>
      </w:pPr>
      <w:rPr>
        <w:rFonts w:hint="default"/>
        <w:lang w:val="en-US" w:eastAsia="en-US" w:bidi="en-US"/>
      </w:rPr>
    </w:lvl>
    <w:lvl w:ilvl="4" w:tplc="2EA829F0">
      <w:numFmt w:val="bullet"/>
      <w:lvlText w:val="•"/>
      <w:lvlJc w:val="left"/>
      <w:pPr>
        <w:ind w:left="2115" w:hanging="361"/>
      </w:pPr>
      <w:rPr>
        <w:rFonts w:hint="default"/>
        <w:lang w:val="en-US" w:eastAsia="en-US" w:bidi="en-US"/>
      </w:rPr>
    </w:lvl>
    <w:lvl w:ilvl="5" w:tplc="4E1E335A">
      <w:numFmt w:val="bullet"/>
      <w:lvlText w:val="•"/>
      <w:lvlJc w:val="left"/>
      <w:pPr>
        <w:ind w:left="2439" w:hanging="361"/>
      </w:pPr>
      <w:rPr>
        <w:rFonts w:hint="default"/>
        <w:lang w:val="en-US" w:eastAsia="en-US" w:bidi="en-US"/>
      </w:rPr>
    </w:lvl>
    <w:lvl w:ilvl="6" w:tplc="890AAF9E">
      <w:numFmt w:val="bullet"/>
      <w:lvlText w:val="•"/>
      <w:lvlJc w:val="left"/>
      <w:pPr>
        <w:ind w:left="2762" w:hanging="361"/>
      </w:pPr>
      <w:rPr>
        <w:rFonts w:hint="default"/>
        <w:lang w:val="en-US" w:eastAsia="en-US" w:bidi="en-US"/>
      </w:rPr>
    </w:lvl>
    <w:lvl w:ilvl="7" w:tplc="E21A99A8">
      <w:numFmt w:val="bullet"/>
      <w:lvlText w:val="•"/>
      <w:lvlJc w:val="left"/>
      <w:pPr>
        <w:ind w:left="3086" w:hanging="361"/>
      </w:pPr>
      <w:rPr>
        <w:rFonts w:hint="default"/>
        <w:lang w:val="en-US" w:eastAsia="en-US" w:bidi="en-US"/>
      </w:rPr>
    </w:lvl>
    <w:lvl w:ilvl="8" w:tplc="2FEE2000">
      <w:numFmt w:val="bullet"/>
      <w:lvlText w:val="•"/>
      <w:lvlJc w:val="left"/>
      <w:pPr>
        <w:ind w:left="3410" w:hanging="361"/>
      </w:pPr>
      <w:rPr>
        <w:rFonts w:hint="default"/>
        <w:lang w:val="en-US" w:eastAsia="en-US" w:bidi="en-US"/>
      </w:rPr>
    </w:lvl>
  </w:abstractNum>
  <w:abstractNum w:abstractNumId="6" w15:restartNumberingAfterBreak="0">
    <w:nsid w:val="197F492C"/>
    <w:multiLevelType w:val="hybridMultilevel"/>
    <w:tmpl w:val="CDFCC8C2"/>
    <w:lvl w:ilvl="0" w:tplc="5394E33E">
      <w:numFmt w:val="bullet"/>
      <w:lvlText w:val="☐"/>
      <w:lvlJc w:val="left"/>
      <w:pPr>
        <w:ind w:left="1300" w:hanging="360"/>
      </w:pPr>
      <w:rPr>
        <w:rFonts w:hint="default"/>
        <w:w w:val="100"/>
        <w:lang w:val="en-US" w:eastAsia="en-US" w:bidi="en-US"/>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7" w15:restartNumberingAfterBreak="0">
    <w:nsid w:val="1AB00AFF"/>
    <w:multiLevelType w:val="hybridMultilevel"/>
    <w:tmpl w:val="334A253C"/>
    <w:lvl w:ilvl="0" w:tplc="B172E3A2">
      <w:numFmt w:val="bullet"/>
      <w:lvlText w:val=""/>
      <w:lvlJc w:val="left"/>
      <w:pPr>
        <w:ind w:left="463" w:hanging="361"/>
      </w:pPr>
      <w:rPr>
        <w:rFonts w:ascii="Symbol" w:eastAsia="Symbol" w:hAnsi="Symbol" w:cs="Symbol" w:hint="default"/>
        <w:w w:val="100"/>
        <w:sz w:val="22"/>
        <w:szCs w:val="22"/>
        <w:lang w:val="en-US" w:eastAsia="en-US" w:bidi="en-US"/>
      </w:rPr>
    </w:lvl>
    <w:lvl w:ilvl="1" w:tplc="6EA8B1EE">
      <w:numFmt w:val="bullet"/>
      <w:lvlText w:val="o"/>
      <w:lvlJc w:val="left"/>
      <w:pPr>
        <w:ind w:left="895" w:hanging="411"/>
      </w:pPr>
      <w:rPr>
        <w:rFonts w:ascii="Courier New" w:eastAsia="Courier New" w:hAnsi="Courier New" w:cs="Courier New" w:hint="default"/>
        <w:w w:val="100"/>
        <w:sz w:val="22"/>
        <w:szCs w:val="22"/>
        <w:lang w:val="en-US" w:eastAsia="en-US" w:bidi="en-US"/>
      </w:rPr>
    </w:lvl>
    <w:lvl w:ilvl="2" w:tplc="A13CF1F2">
      <w:numFmt w:val="bullet"/>
      <w:lvlText w:val="•"/>
      <w:lvlJc w:val="left"/>
      <w:pPr>
        <w:ind w:left="1941" w:hanging="411"/>
      </w:pPr>
      <w:rPr>
        <w:rFonts w:hint="default"/>
        <w:lang w:val="en-US" w:eastAsia="en-US" w:bidi="en-US"/>
      </w:rPr>
    </w:lvl>
    <w:lvl w:ilvl="3" w:tplc="62248F62">
      <w:numFmt w:val="bullet"/>
      <w:lvlText w:val="•"/>
      <w:lvlJc w:val="left"/>
      <w:pPr>
        <w:ind w:left="2983" w:hanging="411"/>
      </w:pPr>
      <w:rPr>
        <w:rFonts w:hint="default"/>
        <w:lang w:val="en-US" w:eastAsia="en-US" w:bidi="en-US"/>
      </w:rPr>
    </w:lvl>
    <w:lvl w:ilvl="4" w:tplc="47E21A44">
      <w:numFmt w:val="bullet"/>
      <w:lvlText w:val="•"/>
      <w:lvlJc w:val="left"/>
      <w:pPr>
        <w:ind w:left="4025" w:hanging="411"/>
      </w:pPr>
      <w:rPr>
        <w:rFonts w:hint="default"/>
        <w:lang w:val="en-US" w:eastAsia="en-US" w:bidi="en-US"/>
      </w:rPr>
    </w:lvl>
    <w:lvl w:ilvl="5" w:tplc="ED80E6E6">
      <w:numFmt w:val="bullet"/>
      <w:lvlText w:val="•"/>
      <w:lvlJc w:val="left"/>
      <w:pPr>
        <w:ind w:left="5067" w:hanging="411"/>
      </w:pPr>
      <w:rPr>
        <w:rFonts w:hint="default"/>
        <w:lang w:val="en-US" w:eastAsia="en-US" w:bidi="en-US"/>
      </w:rPr>
    </w:lvl>
    <w:lvl w:ilvl="6" w:tplc="AB768140">
      <w:numFmt w:val="bullet"/>
      <w:lvlText w:val="•"/>
      <w:lvlJc w:val="left"/>
      <w:pPr>
        <w:ind w:left="6109" w:hanging="411"/>
      </w:pPr>
      <w:rPr>
        <w:rFonts w:hint="default"/>
        <w:lang w:val="en-US" w:eastAsia="en-US" w:bidi="en-US"/>
      </w:rPr>
    </w:lvl>
    <w:lvl w:ilvl="7" w:tplc="FCE2FBE6">
      <w:numFmt w:val="bullet"/>
      <w:lvlText w:val="•"/>
      <w:lvlJc w:val="left"/>
      <w:pPr>
        <w:ind w:left="7151" w:hanging="411"/>
      </w:pPr>
      <w:rPr>
        <w:rFonts w:hint="default"/>
        <w:lang w:val="en-US" w:eastAsia="en-US" w:bidi="en-US"/>
      </w:rPr>
    </w:lvl>
    <w:lvl w:ilvl="8" w:tplc="3D5C5CBE">
      <w:numFmt w:val="bullet"/>
      <w:lvlText w:val="•"/>
      <w:lvlJc w:val="left"/>
      <w:pPr>
        <w:ind w:left="8193" w:hanging="411"/>
      </w:pPr>
      <w:rPr>
        <w:rFonts w:hint="default"/>
        <w:lang w:val="en-US" w:eastAsia="en-US" w:bidi="en-US"/>
      </w:rPr>
    </w:lvl>
  </w:abstractNum>
  <w:abstractNum w:abstractNumId="8" w15:restartNumberingAfterBreak="0">
    <w:nsid w:val="1C603CF9"/>
    <w:multiLevelType w:val="hybridMultilevel"/>
    <w:tmpl w:val="4D96F7CC"/>
    <w:lvl w:ilvl="0" w:tplc="F5C2963E">
      <w:numFmt w:val="bullet"/>
      <w:lvlText w:val="•"/>
      <w:lvlJc w:val="left"/>
      <w:pPr>
        <w:ind w:left="504" w:hanging="360"/>
      </w:pPr>
      <w:rPr>
        <w:rFonts w:ascii="Calibri" w:eastAsia="Calibri" w:hAnsi="Calibri" w:cs="Calibri" w:hint="default"/>
      </w:rPr>
    </w:lvl>
    <w:lvl w:ilvl="1" w:tplc="04090003">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9" w15:restartNumberingAfterBreak="0">
    <w:nsid w:val="1CB342B3"/>
    <w:multiLevelType w:val="hybridMultilevel"/>
    <w:tmpl w:val="4B2C24CA"/>
    <w:lvl w:ilvl="0" w:tplc="1A2A0DDC">
      <w:start w:val="1"/>
      <w:numFmt w:val="decimal"/>
      <w:lvlText w:val="%1)"/>
      <w:lvlJc w:val="left"/>
      <w:pPr>
        <w:ind w:left="360" w:hanging="360"/>
      </w:pPr>
      <w:rPr>
        <w:color w:val="0000FF"/>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8C94A52E">
      <w:start w:val="1"/>
      <w:numFmt w:val="decimal"/>
      <w:lvlText w:val="%4."/>
      <w:lvlJc w:val="left"/>
      <w:pPr>
        <w:ind w:left="810" w:hanging="360"/>
      </w:pPr>
      <w:rPr>
        <w:rFonts w:ascii="Calibri" w:hAnsi="Calibri" w:hint="default"/>
        <w:b w:val="0"/>
        <w:i w:val="0"/>
        <w:color w:val="0000FF"/>
        <w:sz w:val="22"/>
        <w:u w:val="none"/>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E24B64"/>
    <w:multiLevelType w:val="multilevel"/>
    <w:tmpl w:val="D8444D18"/>
    <w:lvl w:ilvl="0">
      <w:start w:val="1"/>
      <w:numFmt w:val="bullet"/>
      <w:lvlText w:val=""/>
      <w:lvlJc w:val="left"/>
      <w:pPr>
        <w:ind w:left="432" w:firstLine="0"/>
      </w:pPr>
      <w:rPr>
        <w:rFonts w:ascii="Symbol" w:hAnsi="Symbol" w:hint="default"/>
        <w:color w:val="000000" w:themeColor="text1"/>
        <w:sz w:val="24"/>
      </w:rPr>
    </w:lvl>
    <w:lvl w:ilvl="1">
      <w:start w:val="1"/>
      <w:numFmt w:val="bullet"/>
      <w:lvlText w:val="o"/>
      <w:lvlJc w:val="left"/>
      <w:pPr>
        <w:ind w:left="864" w:firstLine="0"/>
      </w:pPr>
      <w:rPr>
        <w:rFonts w:ascii="Courier New" w:hAnsi="Courier New" w:hint="default"/>
      </w:rPr>
    </w:lvl>
    <w:lvl w:ilvl="2">
      <w:start w:val="1"/>
      <w:numFmt w:val="bullet"/>
      <w:lvlText w:val=""/>
      <w:lvlJc w:val="left"/>
      <w:pPr>
        <w:ind w:left="1296" w:firstLine="0"/>
      </w:pPr>
      <w:rPr>
        <w:rFonts w:ascii="Wingdings" w:hAnsi="Wingdings" w:hint="default"/>
      </w:rPr>
    </w:lvl>
    <w:lvl w:ilvl="3">
      <w:start w:val="1"/>
      <w:numFmt w:val="bullet"/>
      <w:lvlText w:val=""/>
      <w:lvlJc w:val="left"/>
      <w:pPr>
        <w:ind w:left="1728" w:firstLine="0"/>
      </w:pPr>
      <w:rPr>
        <w:rFonts w:ascii="Symbol" w:hAnsi="Symbol" w:hint="default"/>
      </w:rPr>
    </w:lvl>
    <w:lvl w:ilvl="4">
      <w:start w:val="1"/>
      <w:numFmt w:val="bullet"/>
      <w:lvlText w:val="o"/>
      <w:lvlJc w:val="left"/>
      <w:pPr>
        <w:ind w:left="2160" w:firstLine="0"/>
      </w:pPr>
      <w:rPr>
        <w:rFonts w:ascii="Courier New" w:hAnsi="Courier New" w:cs="Courier New" w:hint="default"/>
      </w:rPr>
    </w:lvl>
    <w:lvl w:ilvl="5">
      <w:start w:val="1"/>
      <w:numFmt w:val="bullet"/>
      <w:lvlText w:val=""/>
      <w:lvlJc w:val="left"/>
      <w:pPr>
        <w:ind w:left="2592" w:firstLine="0"/>
      </w:pPr>
      <w:rPr>
        <w:rFonts w:ascii="Wingdings" w:hAnsi="Wingdings" w:hint="default"/>
      </w:rPr>
    </w:lvl>
    <w:lvl w:ilvl="6">
      <w:start w:val="1"/>
      <w:numFmt w:val="bullet"/>
      <w:lvlText w:val=""/>
      <w:lvlJc w:val="left"/>
      <w:pPr>
        <w:ind w:left="3024" w:firstLine="0"/>
      </w:pPr>
      <w:rPr>
        <w:rFonts w:ascii="Symbol" w:hAnsi="Symbol" w:hint="default"/>
      </w:rPr>
    </w:lvl>
    <w:lvl w:ilvl="7">
      <w:start w:val="1"/>
      <w:numFmt w:val="bullet"/>
      <w:lvlText w:val="o"/>
      <w:lvlJc w:val="left"/>
      <w:pPr>
        <w:ind w:left="3456" w:firstLine="0"/>
      </w:pPr>
      <w:rPr>
        <w:rFonts w:ascii="Courier New" w:hAnsi="Courier New" w:cs="Courier New" w:hint="default"/>
      </w:rPr>
    </w:lvl>
    <w:lvl w:ilvl="8">
      <w:start w:val="1"/>
      <w:numFmt w:val="bullet"/>
      <w:lvlText w:val=""/>
      <w:lvlJc w:val="left"/>
      <w:pPr>
        <w:ind w:left="3888" w:firstLine="0"/>
      </w:pPr>
      <w:rPr>
        <w:rFonts w:ascii="Wingdings" w:hAnsi="Wingdings" w:hint="default"/>
      </w:rPr>
    </w:lvl>
  </w:abstractNum>
  <w:abstractNum w:abstractNumId="11" w15:restartNumberingAfterBreak="0">
    <w:nsid w:val="1D4B0F7C"/>
    <w:multiLevelType w:val="hybridMultilevel"/>
    <w:tmpl w:val="4F0E3FA2"/>
    <w:lvl w:ilvl="0" w:tplc="7DA22876">
      <w:start w:val="1"/>
      <w:numFmt w:val="upp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B025EF"/>
    <w:multiLevelType w:val="hybridMultilevel"/>
    <w:tmpl w:val="EF68E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969F4"/>
    <w:multiLevelType w:val="hybridMultilevel"/>
    <w:tmpl w:val="EDD801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4" w15:restartNumberingAfterBreak="0">
    <w:nsid w:val="27F75A80"/>
    <w:multiLevelType w:val="hybridMultilevel"/>
    <w:tmpl w:val="389052C4"/>
    <w:lvl w:ilvl="0" w:tplc="9B8CF898">
      <w:numFmt w:val="bullet"/>
      <w:lvlText w:val=""/>
      <w:lvlJc w:val="left"/>
      <w:pPr>
        <w:ind w:left="440" w:hanging="217"/>
      </w:pPr>
      <w:rPr>
        <w:rFonts w:ascii="Symbol" w:eastAsia="Symbol" w:hAnsi="Symbol" w:cs="Symbol" w:hint="default"/>
        <w:w w:val="99"/>
        <w:sz w:val="20"/>
        <w:szCs w:val="20"/>
        <w:lang w:val="en-US" w:eastAsia="en-US" w:bidi="en-US"/>
      </w:rPr>
    </w:lvl>
    <w:lvl w:ilvl="1" w:tplc="A5183592">
      <w:numFmt w:val="bullet"/>
      <w:lvlText w:val="•"/>
      <w:lvlJc w:val="left"/>
      <w:pPr>
        <w:ind w:left="1448" w:hanging="217"/>
      </w:pPr>
      <w:rPr>
        <w:rFonts w:hint="default"/>
        <w:lang w:val="en-US" w:eastAsia="en-US" w:bidi="en-US"/>
      </w:rPr>
    </w:lvl>
    <w:lvl w:ilvl="2" w:tplc="72C68A58">
      <w:numFmt w:val="bullet"/>
      <w:lvlText w:val="•"/>
      <w:lvlJc w:val="left"/>
      <w:pPr>
        <w:ind w:left="2456" w:hanging="217"/>
      </w:pPr>
      <w:rPr>
        <w:rFonts w:hint="default"/>
        <w:lang w:val="en-US" w:eastAsia="en-US" w:bidi="en-US"/>
      </w:rPr>
    </w:lvl>
    <w:lvl w:ilvl="3" w:tplc="CE7E4D00">
      <w:numFmt w:val="bullet"/>
      <w:lvlText w:val="•"/>
      <w:lvlJc w:val="left"/>
      <w:pPr>
        <w:ind w:left="3464" w:hanging="217"/>
      </w:pPr>
      <w:rPr>
        <w:rFonts w:hint="default"/>
        <w:lang w:val="en-US" w:eastAsia="en-US" w:bidi="en-US"/>
      </w:rPr>
    </w:lvl>
    <w:lvl w:ilvl="4" w:tplc="66CE7A72">
      <w:numFmt w:val="bullet"/>
      <w:lvlText w:val="•"/>
      <w:lvlJc w:val="left"/>
      <w:pPr>
        <w:ind w:left="4472" w:hanging="217"/>
      </w:pPr>
      <w:rPr>
        <w:rFonts w:hint="default"/>
        <w:lang w:val="en-US" w:eastAsia="en-US" w:bidi="en-US"/>
      </w:rPr>
    </w:lvl>
    <w:lvl w:ilvl="5" w:tplc="0AA82E1C">
      <w:numFmt w:val="bullet"/>
      <w:lvlText w:val="•"/>
      <w:lvlJc w:val="left"/>
      <w:pPr>
        <w:ind w:left="5480" w:hanging="217"/>
      </w:pPr>
      <w:rPr>
        <w:rFonts w:hint="default"/>
        <w:lang w:val="en-US" w:eastAsia="en-US" w:bidi="en-US"/>
      </w:rPr>
    </w:lvl>
    <w:lvl w:ilvl="6" w:tplc="3DD6C1F4">
      <w:numFmt w:val="bullet"/>
      <w:lvlText w:val="•"/>
      <w:lvlJc w:val="left"/>
      <w:pPr>
        <w:ind w:left="6488" w:hanging="217"/>
      </w:pPr>
      <w:rPr>
        <w:rFonts w:hint="default"/>
        <w:lang w:val="en-US" w:eastAsia="en-US" w:bidi="en-US"/>
      </w:rPr>
    </w:lvl>
    <w:lvl w:ilvl="7" w:tplc="4E8A6E2C">
      <w:numFmt w:val="bullet"/>
      <w:lvlText w:val="•"/>
      <w:lvlJc w:val="left"/>
      <w:pPr>
        <w:ind w:left="7496" w:hanging="217"/>
      </w:pPr>
      <w:rPr>
        <w:rFonts w:hint="default"/>
        <w:lang w:val="en-US" w:eastAsia="en-US" w:bidi="en-US"/>
      </w:rPr>
    </w:lvl>
    <w:lvl w:ilvl="8" w:tplc="E7A2F96C">
      <w:numFmt w:val="bullet"/>
      <w:lvlText w:val="•"/>
      <w:lvlJc w:val="left"/>
      <w:pPr>
        <w:ind w:left="8504" w:hanging="217"/>
      </w:pPr>
      <w:rPr>
        <w:rFonts w:hint="default"/>
        <w:lang w:val="en-US" w:eastAsia="en-US" w:bidi="en-US"/>
      </w:rPr>
    </w:lvl>
  </w:abstractNum>
  <w:abstractNum w:abstractNumId="15" w15:restartNumberingAfterBreak="0">
    <w:nsid w:val="28FC091D"/>
    <w:multiLevelType w:val="hybridMultilevel"/>
    <w:tmpl w:val="60B0D11E"/>
    <w:lvl w:ilvl="0" w:tplc="DF648C4A">
      <w:start w:val="3"/>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15:restartNumberingAfterBreak="0">
    <w:nsid w:val="2FB437DF"/>
    <w:multiLevelType w:val="hybridMultilevel"/>
    <w:tmpl w:val="552E288C"/>
    <w:lvl w:ilvl="0" w:tplc="0E7019DC">
      <w:start w:val="6"/>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090E14"/>
    <w:multiLevelType w:val="hybridMultilevel"/>
    <w:tmpl w:val="F7925E82"/>
    <w:lvl w:ilvl="0" w:tplc="4FFAAAD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15:restartNumberingAfterBreak="0">
    <w:nsid w:val="314A0E73"/>
    <w:multiLevelType w:val="hybridMultilevel"/>
    <w:tmpl w:val="9B7ED83A"/>
    <w:lvl w:ilvl="0" w:tplc="93E2BC76">
      <w:start w:val="1"/>
      <w:numFmt w:val="upperLetter"/>
      <w:lvlText w:val="%1."/>
      <w:lvlJc w:val="left"/>
      <w:pPr>
        <w:ind w:left="835" w:hanging="360"/>
      </w:pPr>
      <w:rPr>
        <w:rFonts w:hint="default"/>
        <w:color w:val="FF0000"/>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9" w15:restartNumberingAfterBreak="0">
    <w:nsid w:val="32BD2FE8"/>
    <w:multiLevelType w:val="hybridMultilevel"/>
    <w:tmpl w:val="4A66AB56"/>
    <w:lvl w:ilvl="0" w:tplc="44D06F38">
      <w:numFmt w:val="bullet"/>
      <w:lvlText w:val="☐"/>
      <w:lvlJc w:val="left"/>
      <w:pPr>
        <w:ind w:left="819" w:hanging="241"/>
      </w:pPr>
      <w:rPr>
        <w:rFonts w:ascii="MS Gothic" w:eastAsia="MS Gothic" w:hAnsi="MS Gothic" w:cs="MS Gothic" w:hint="default"/>
        <w:color w:val="0000FF"/>
        <w:w w:val="100"/>
        <w:sz w:val="22"/>
        <w:szCs w:val="22"/>
        <w:lang w:val="en-US" w:eastAsia="en-US" w:bidi="en-US"/>
      </w:rPr>
    </w:lvl>
    <w:lvl w:ilvl="1" w:tplc="B58ADBBC">
      <w:numFmt w:val="bullet"/>
      <w:lvlText w:val="•"/>
      <w:lvlJc w:val="left"/>
      <w:pPr>
        <w:ind w:left="1790" w:hanging="241"/>
      </w:pPr>
      <w:rPr>
        <w:rFonts w:hint="default"/>
        <w:lang w:val="en-US" w:eastAsia="en-US" w:bidi="en-US"/>
      </w:rPr>
    </w:lvl>
    <w:lvl w:ilvl="2" w:tplc="53D0CA4C">
      <w:numFmt w:val="bullet"/>
      <w:lvlText w:val="•"/>
      <w:lvlJc w:val="left"/>
      <w:pPr>
        <w:ind w:left="2760" w:hanging="241"/>
      </w:pPr>
      <w:rPr>
        <w:rFonts w:hint="default"/>
        <w:lang w:val="en-US" w:eastAsia="en-US" w:bidi="en-US"/>
      </w:rPr>
    </w:lvl>
    <w:lvl w:ilvl="3" w:tplc="670802F4">
      <w:numFmt w:val="bullet"/>
      <w:lvlText w:val="•"/>
      <w:lvlJc w:val="left"/>
      <w:pPr>
        <w:ind w:left="3730" w:hanging="241"/>
      </w:pPr>
      <w:rPr>
        <w:rFonts w:hint="default"/>
        <w:lang w:val="en-US" w:eastAsia="en-US" w:bidi="en-US"/>
      </w:rPr>
    </w:lvl>
    <w:lvl w:ilvl="4" w:tplc="B538B5B2">
      <w:numFmt w:val="bullet"/>
      <w:lvlText w:val="•"/>
      <w:lvlJc w:val="left"/>
      <w:pPr>
        <w:ind w:left="4700" w:hanging="241"/>
      </w:pPr>
      <w:rPr>
        <w:rFonts w:hint="default"/>
        <w:lang w:val="en-US" w:eastAsia="en-US" w:bidi="en-US"/>
      </w:rPr>
    </w:lvl>
    <w:lvl w:ilvl="5" w:tplc="EC6A3A4A">
      <w:numFmt w:val="bullet"/>
      <w:lvlText w:val="•"/>
      <w:lvlJc w:val="left"/>
      <w:pPr>
        <w:ind w:left="5670" w:hanging="241"/>
      </w:pPr>
      <w:rPr>
        <w:rFonts w:hint="default"/>
        <w:lang w:val="en-US" w:eastAsia="en-US" w:bidi="en-US"/>
      </w:rPr>
    </w:lvl>
    <w:lvl w:ilvl="6" w:tplc="9BF82524">
      <w:numFmt w:val="bullet"/>
      <w:lvlText w:val="•"/>
      <w:lvlJc w:val="left"/>
      <w:pPr>
        <w:ind w:left="6640" w:hanging="241"/>
      </w:pPr>
      <w:rPr>
        <w:rFonts w:hint="default"/>
        <w:lang w:val="en-US" w:eastAsia="en-US" w:bidi="en-US"/>
      </w:rPr>
    </w:lvl>
    <w:lvl w:ilvl="7" w:tplc="4CA23A72">
      <w:numFmt w:val="bullet"/>
      <w:lvlText w:val="•"/>
      <w:lvlJc w:val="left"/>
      <w:pPr>
        <w:ind w:left="7610" w:hanging="241"/>
      </w:pPr>
      <w:rPr>
        <w:rFonts w:hint="default"/>
        <w:lang w:val="en-US" w:eastAsia="en-US" w:bidi="en-US"/>
      </w:rPr>
    </w:lvl>
    <w:lvl w:ilvl="8" w:tplc="B594A496">
      <w:numFmt w:val="bullet"/>
      <w:lvlText w:val="•"/>
      <w:lvlJc w:val="left"/>
      <w:pPr>
        <w:ind w:left="8580" w:hanging="241"/>
      </w:pPr>
      <w:rPr>
        <w:rFonts w:hint="default"/>
        <w:lang w:val="en-US" w:eastAsia="en-US" w:bidi="en-US"/>
      </w:rPr>
    </w:lvl>
  </w:abstractNum>
  <w:abstractNum w:abstractNumId="20" w15:restartNumberingAfterBreak="0">
    <w:nsid w:val="32DC6C05"/>
    <w:multiLevelType w:val="hybridMultilevel"/>
    <w:tmpl w:val="50AE7BF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1857AD"/>
    <w:multiLevelType w:val="hybridMultilevel"/>
    <w:tmpl w:val="804A313A"/>
    <w:lvl w:ilvl="0" w:tplc="99221196">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657E4B"/>
    <w:multiLevelType w:val="hybridMultilevel"/>
    <w:tmpl w:val="B1FCBE9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55A66"/>
    <w:multiLevelType w:val="hybridMultilevel"/>
    <w:tmpl w:val="453C947A"/>
    <w:lvl w:ilvl="0" w:tplc="7E2A866C">
      <w:start w:val="3"/>
      <w:numFmt w:val="decimal"/>
      <w:lvlText w:val="%1."/>
      <w:lvlJc w:val="left"/>
      <w:pPr>
        <w:ind w:left="224" w:hanging="200"/>
      </w:pPr>
      <w:rPr>
        <w:rFonts w:ascii="Calibri" w:eastAsia="Calibri" w:hAnsi="Calibri" w:cs="Calibri" w:hint="default"/>
        <w:b/>
        <w:bCs/>
        <w:spacing w:val="-1"/>
        <w:w w:val="99"/>
        <w:sz w:val="20"/>
        <w:szCs w:val="20"/>
        <w:lang w:val="en-US" w:eastAsia="en-US" w:bidi="en-US"/>
      </w:rPr>
    </w:lvl>
    <w:lvl w:ilvl="1" w:tplc="44D06F38">
      <w:numFmt w:val="bullet"/>
      <w:lvlText w:val="☐"/>
      <w:lvlJc w:val="left"/>
      <w:pPr>
        <w:ind w:left="850" w:hanging="272"/>
      </w:pPr>
      <w:rPr>
        <w:rFonts w:ascii="MS Gothic" w:eastAsia="MS Gothic" w:hAnsi="MS Gothic" w:cs="MS Gothic" w:hint="default"/>
        <w:color w:val="0000FF"/>
        <w:w w:val="100"/>
        <w:sz w:val="22"/>
        <w:szCs w:val="22"/>
        <w:lang w:val="en-US" w:eastAsia="en-US" w:bidi="en-US"/>
      </w:rPr>
    </w:lvl>
    <w:lvl w:ilvl="2" w:tplc="44D06F38">
      <w:numFmt w:val="bullet"/>
      <w:lvlText w:val="☐"/>
      <w:lvlJc w:val="left"/>
      <w:pPr>
        <w:ind w:left="1233" w:hanging="222"/>
      </w:pPr>
      <w:rPr>
        <w:rFonts w:ascii="MS Gothic" w:eastAsia="MS Gothic" w:hAnsi="MS Gothic" w:cs="MS Gothic" w:hint="default"/>
        <w:color w:val="0000FF"/>
        <w:w w:val="100"/>
        <w:sz w:val="22"/>
        <w:szCs w:val="22"/>
        <w:lang w:val="en-US" w:eastAsia="en-US" w:bidi="en-US"/>
      </w:rPr>
    </w:lvl>
    <w:lvl w:ilvl="3" w:tplc="FCAA896C">
      <w:numFmt w:val="bullet"/>
      <w:lvlText w:val="•"/>
      <w:lvlJc w:val="left"/>
      <w:pPr>
        <w:ind w:left="2400" w:hanging="222"/>
      </w:pPr>
      <w:rPr>
        <w:rFonts w:hint="default"/>
        <w:lang w:val="en-US" w:eastAsia="en-US" w:bidi="en-US"/>
      </w:rPr>
    </w:lvl>
    <w:lvl w:ilvl="4" w:tplc="60E25A38">
      <w:numFmt w:val="bullet"/>
      <w:lvlText w:val="•"/>
      <w:lvlJc w:val="left"/>
      <w:pPr>
        <w:ind w:left="3560" w:hanging="222"/>
      </w:pPr>
      <w:rPr>
        <w:rFonts w:hint="default"/>
        <w:lang w:val="en-US" w:eastAsia="en-US" w:bidi="en-US"/>
      </w:rPr>
    </w:lvl>
    <w:lvl w:ilvl="5" w:tplc="92EAA5EE">
      <w:numFmt w:val="bullet"/>
      <w:lvlText w:val="•"/>
      <w:lvlJc w:val="left"/>
      <w:pPr>
        <w:ind w:left="4720" w:hanging="222"/>
      </w:pPr>
      <w:rPr>
        <w:rFonts w:hint="default"/>
        <w:lang w:val="en-US" w:eastAsia="en-US" w:bidi="en-US"/>
      </w:rPr>
    </w:lvl>
    <w:lvl w:ilvl="6" w:tplc="42DEB2B8">
      <w:numFmt w:val="bullet"/>
      <w:lvlText w:val="•"/>
      <w:lvlJc w:val="left"/>
      <w:pPr>
        <w:ind w:left="5880" w:hanging="222"/>
      </w:pPr>
      <w:rPr>
        <w:rFonts w:hint="default"/>
        <w:lang w:val="en-US" w:eastAsia="en-US" w:bidi="en-US"/>
      </w:rPr>
    </w:lvl>
    <w:lvl w:ilvl="7" w:tplc="C7FE1614">
      <w:numFmt w:val="bullet"/>
      <w:lvlText w:val="•"/>
      <w:lvlJc w:val="left"/>
      <w:pPr>
        <w:ind w:left="7040" w:hanging="222"/>
      </w:pPr>
      <w:rPr>
        <w:rFonts w:hint="default"/>
        <w:lang w:val="en-US" w:eastAsia="en-US" w:bidi="en-US"/>
      </w:rPr>
    </w:lvl>
    <w:lvl w:ilvl="8" w:tplc="4224DA24">
      <w:numFmt w:val="bullet"/>
      <w:lvlText w:val="•"/>
      <w:lvlJc w:val="left"/>
      <w:pPr>
        <w:ind w:left="8200" w:hanging="222"/>
      </w:pPr>
      <w:rPr>
        <w:rFonts w:hint="default"/>
        <w:lang w:val="en-US" w:eastAsia="en-US" w:bidi="en-US"/>
      </w:rPr>
    </w:lvl>
  </w:abstractNum>
  <w:abstractNum w:abstractNumId="24" w15:restartNumberingAfterBreak="0">
    <w:nsid w:val="42586974"/>
    <w:multiLevelType w:val="hybridMultilevel"/>
    <w:tmpl w:val="BE32151E"/>
    <w:lvl w:ilvl="0" w:tplc="66E274C2">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5" w15:restartNumberingAfterBreak="0">
    <w:nsid w:val="46F26300"/>
    <w:multiLevelType w:val="hybridMultilevel"/>
    <w:tmpl w:val="AAA2A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ED293A"/>
    <w:multiLevelType w:val="hybridMultilevel"/>
    <w:tmpl w:val="3DA42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117CC4"/>
    <w:multiLevelType w:val="hybridMultilevel"/>
    <w:tmpl w:val="8A1606D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53C87344"/>
    <w:multiLevelType w:val="hybridMultilevel"/>
    <w:tmpl w:val="AF249DD6"/>
    <w:lvl w:ilvl="0" w:tplc="44D06F38">
      <w:numFmt w:val="bullet"/>
      <w:lvlText w:val="☐"/>
      <w:lvlJc w:val="left"/>
      <w:pPr>
        <w:ind w:left="934" w:hanging="241"/>
      </w:pPr>
      <w:rPr>
        <w:rFonts w:ascii="MS Gothic" w:eastAsia="MS Gothic" w:hAnsi="MS Gothic" w:cs="MS Gothic" w:hint="default"/>
        <w:color w:val="0000FF"/>
        <w:w w:val="100"/>
        <w:sz w:val="22"/>
        <w:szCs w:val="22"/>
        <w:lang w:val="en-US" w:eastAsia="en-US" w:bidi="en-US"/>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53EC46D7"/>
    <w:multiLevelType w:val="hybridMultilevel"/>
    <w:tmpl w:val="AFA2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A7CAB"/>
    <w:multiLevelType w:val="hybridMultilevel"/>
    <w:tmpl w:val="A7E8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1A22AE"/>
    <w:multiLevelType w:val="hybridMultilevel"/>
    <w:tmpl w:val="4BE052EE"/>
    <w:lvl w:ilvl="0" w:tplc="04090015">
      <w:start w:val="1"/>
      <w:numFmt w:val="upperLetter"/>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32" w15:restartNumberingAfterBreak="0">
    <w:nsid w:val="5ED31E90"/>
    <w:multiLevelType w:val="hybridMultilevel"/>
    <w:tmpl w:val="CE9CF40E"/>
    <w:lvl w:ilvl="0" w:tplc="44D06F38">
      <w:numFmt w:val="bullet"/>
      <w:lvlText w:val="☐"/>
      <w:lvlJc w:val="left"/>
      <w:pPr>
        <w:ind w:left="580" w:hanging="272"/>
      </w:pPr>
      <w:rPr>
        <w:rFonts w:ascii="MS Gothic" w:eastAsia="MS Gothic" w:hAnsi="MS Gothic" w:cs="MS Gothic" w:hint="default"/>
        <w:color w:val="0000FF"/>
        <w:w w:val="100"/>
        <w:sz w:val="22"/>
        <w:szCs w:val="22"/>
        <w:lang w:val="en-US" w:eastAsia="en-US" w:bidi="en-US"/>
      </w:rPr>
    </w:lvl>
    <w:lvl w:ilvl="1" w:tplc="44D06F38">
      <w:numFmt w:val="bullet"/>
      <w:lvlText w:val="☐"/>
      <w:lvlJc w:val="left"/>
      <w:pPr>
        <w:ind w:left="1352" w:hanging="332"/>
      </w:pPr>
      <w:rPr>
        <w:rFonts w:ascii="MS Gothic" w:eastAsia="MS Gothic" w:hAnsi="MS Gothic" w:cs="MS Gothic" w:hint="default"/>
        <w:color w:val="0000FF"/>
        <w:w w:val="100"/>
        <w:sz w:val="22"/>
        <w:szCs w:val="22"/>
        <w:lang w:val="en-US" w:eastAsia="en-US" w:bidi="en-US"/>
      </w:rPr>
    </w:lvl>
    <w:lvl w:ilvl="2" w:tplc="44DC3380">
      <w:numFmt w:val="bullet"/>
      <w:lvlText w:val="•"/>
      <w:lvlJc w:val="left"/>
      <w:pPr>
        <w:ind w:left="2377" w:hanging="332"/>
      </w:pPr>
      <w:rPr>
        <w:rFonts w:hint="default"/>
        <w:lang w:val="en-US" w:eastAsia="en-US" w:bidi="en-US"/>
      </w:rPr>
    </w:lvl>
    <w:lvl w:ilvl="3" w:tplc="24A29E5A">
      <w:numFmt w:val="bullet"/>
      <w:lvlText w:val="•"/>
      <w:lvlJc w:val="left"/>
      <w:pPr>
        <w:ind w:left="3395" w:hanging="332"/>
      </w:pPr>
      <w:rPr>
        <w:rFonts w:hint="default"/>
        <w:lang w:val="en-US" w:eastAsia="en-US" w:bidi="en-US"/>
      </w:rPr>
    </w:lvl>
    <w:lvl w:ilvl="4" w:tplc="85C685D4">
      <w:numFmt w:val="bullet"/>
      <w:lvlText w:val="•"/>
      <w:lvlJc w:val="left"/>
      <w:pPr>
        <w:ind w:left="4413" w:hanging="332"/>
      </w:pPr>
      <w:rPr>
        <w:rFonts w:hint="default"/>
        <w:lang w:val="en-US" w:eastAsia="en-US" w:bidi="en-US"/>
      </w:rPr>
    </w:lvl>
    <w:lvl w:ilvl="5" w:tplc="BC9EB47E">
      <w:numFmt w:val="bullet"/>
      <w:lvlText w:val="•"/>
      <w:lvlJc w:val="left"/>
      <w:pPr>
        <w:ind w:left="5431" w:hanging="332"/>
      </w:pPr>
      <w:rPr>
        <w:rFonts w:hint="default"/>
        <w:lang w:val="en-US" w:eastAsia="en-US" w:bidi="en-US"/>
      </w:rPr>
    </w:lvl>
    <w:lvl w:ilvl="6" w:tplc="FB7C76BA">
      <w:numFmt w:val="bullet"/>
      <w:lvlText w:val="•"/>
      <w:lvlJc w:val="left"/>
      <w:pPr>
        <w:ind w:left="6448" w:hanging="332"/>
      </w:pPr>
      <w:rPr>
        <w:rFonts w:hint="default"/>
        <w:lang w:val="en-US" w:eastAsia="en-US" w:bidi="en-US"/>
      </w:rPr>
    </w:lvl>
    <w:lvl w:ilvl="7" w:tplc="1C2C0BCA">
      <w:numFmt w:val="bullet"/>
      <w:lvlText w:val="•"/>
      <w:lvlJc w:val="left"/>
      <w:pPr>
        <w:ind w:left="7466" w:hanging="332"/>
      </w:pPr>
      <w:rPr>
        <w:rFonts w:hint="default"/>
        <w:lang w:val="en-US" w:eastAsia="en-US" w:bidi="en-US"/>
      </w:rPr>
    </w:lvl>
    <w:lvl w:ilvl="8" w:tplc="998AD40C">
      <w:numFmt w:val="bullet"/>
      <w:lvlText w:val="•"/>
      <w:lvlJc w:val="left"/>
      <w:pPr>
        <w:ind w:left="8484" w:hanging="332"/>
      </w:pPr>
      <w:rPr>
        <w:rFonts w:hint="default"/>
        <w:lang w:val="en-US" w:eastAsia="en-US" w:bidi="en-US"/>
      </w:rPr>
    </w:lvl>
  </w:abstractNum>
  <w:abstractNum w:abstractNumId="33" w15:restartNumberingAfterBreak="0">
    <w:nsid w:val="61BC3EA8"/>
    <w:multiLevelType w:val="hybridMultilevel"/>
    <w:tmpl w:val="C878421C"/>
    <w:lvl w:ilvl="0" w:tplc="8C94A52E">
      <w:start w:val="1"/>
      <w:numFmt w:val="decimal"/>
      <w:lvlText w:val="%1."/>
      <w:lvlJc w:val="left"/>
      <w:pPr>
        <w:ind w:left="2709" w:hanging="360"/>
      </w:pPr>
      <w:rPr>
        <w:rFonts w:ascii="Calibri" w:hAnsi="Calibri" w:hint="default"/>
        <w:b w:val="0"/>
        <w:i w:val="0"/>
        <w:color w:val="0000FF"/>
        <w:sz w:val="22"/>
        <w:u w:val="none"/>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15:restartNumberingAfterBreak="0">
    <w:nsid w:val="63700512"/>
    <w:multiLevelType w:val="hybridMultilevel"/>
    <w:tmpl w:val="29D05366"/>
    <w:lvl w:ilvl="0" w:tplc="ED800CF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5" w15:restartNumberingAfterBreak="0">
    <w:nsid w:val="645608B9"/>
    <w:multiLevelType w:val="hybridMultilevel"/>
    <w:tmpl w:val="3B3E3A64"/>
    <w:lvl w:ilvl="0" w:tplc="9F72717E">
      <w:numFmt w:val="bullet"/>
      <w:lvlText w:val="☒"/>
      <w:lvlJc w:val="left"/>
      <w:pPr>
        <w:ind w:left="938" w:hanging="360"/>
      </w:pPr>
      <w:rPr>
        <w:rFonts w:ascii="MS Gothic" w:eastAsia="MS Gothic" w:hAnsi="MS Gothic" w:cs="MS Gothic" w:hint="eastAsia"/>
        <w:color w:val="0000FF"/>
        <w:w w:val="100"/>
        <w:sz w:val="22"/>
        <w:szCs w:val="22"/>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F016D"/>
    <w:multiLevelType w:val="hybridMultilevel"/>
    <w:tmpl w:val="04E06F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C597C"/>
    <w:multiLevelType w:val="hybridMultilevel"/>
    <w:tmpl w:val="48402C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EBE33C"/>
    <w:multiLevelType w:val="hybridMultilevel"/>
    <w:tmpl w:val="7683D3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7E8525B"/>
    <w:multiLevelType w:val="hybridMultilevel"/>
    <w:tmpl w:val="6BE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86FCF"/>
    <w:multiLevelType w:val="hybridMultilevel"/>
    <w:tmpl w:val="41E6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3C0E42"/>
    <w:multiLevelType w:val="hybridMultilevel"/>
    <w:tmpl w:val="48541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2"/>
  </w:num>
  <w:num w:numId="4">
    <w:abstractNumId w:val="19"/>
  </w:num>
  <w:num w:numId="5">
    <w:abstractNumId w:val="23"/>
  </w:num>
  <w:num w:numId="6">
    <w:abstractNumId w:val="14"/>
  </w:num>
  <w:num w:numId="7">
    <w:abstractNumId w:val="7"/>
  </w:num>
  <w:num w:numId="8">
    <w:abstractNumId w:val="9"/>
  </w:num>
  <w:num w:numId="9">
    <w:abstractNumId w:val="9"/>
  </w:num>
  <w:num w:numId="10">
    <w:abstractNumId w:val="25"/>
  </w:num>
  <w:num w:numId="11">
    <w:abstractNumId w:val="2"/>
  </w:num>
  <w:num w:numId="12">
    <w:abstractNumId w:val="6"/>
  </w:num>
  <w:num w:numId="13">
    <w:abstractNumId w:val="7"/>
  </w:num>
  <w:num w:numId="14">
    <w:abstractNumId w:val="4"/>
  </w:num>
  <w:num w:numId="15">
    <w:abstractNumId w:val="8"/>
  </w:num>
  <w:num w:numId="16">
    <w:abstractNumId w:val="15"/>
  </w:num>
  <w:num w:numId="17">
    <w:abstractNumId w:val="16"/>
  </w:num>
  <w:num w:numId="18">
    <w:abstractNumId w:val="35"/>
  </w:num>
  <w:num w:numId="19">
    <w:abstractNumId w:val="17"/>
  </w:num>
  <w:num w:numId="20">
    <w:abstractNumId w:val="33"/>
  </w:num>
  <w:num w:numId="21">
    <w:abstractNumId w:val="24"/>
  </w:num>
  <w:num w:numId="22">
    <w:abstractNumId w:val="34"/>
  </w:num>
  <w:num w:numId="23">
    <w:abstractNumId w:val="36"/>
  </w:num>
  <w:num w:numId="24">
    <w:abstractNumId w:val="10"/>
  </w:num>
  <w:num w:numId="25">
    <w:abstractNumId w:val="37"/>
  </w:num>
  <w:num w:numId="26">
    <w:abstractNumId w:val="38"/>
  </w:num>
  <w:num w:numId="27">
    <w:abstractNumId w:val="20"/>
  </w:num>
  <w:num w:numId="28">
    <w:abstractNumId w:val="26"/>
  </w:num>
  <w:num w:numId="29">
    <w:abstractNumId w:val="30"/>
  </w:num>
  <w:num w:numId="30">
    <w:abstractNumId w:val="40"/>
  </w:num>
  <w:num w:numId="31">
    <w:abstractNumId w:val="21"/>
  </w:num>
  <w:num w:numId="32">
    <w:abstractNumId w:val="1"/>
  </w:num>
  <w:num w:numId="33">
    <w:abstractNumId w:val="12"/>
  </w:num>
  <w:num w:numId="34">
    <w:abstractNumId w:val="29"/>
  </w:num>
  <w:num w:numId="35">
    <w:abstractNumId w:val="22"/>
  </w:num>
  <w:num w:numId="36">
    <w:abstractNumId w:val="11"/>
  </w:num>
  <w:num w:numId="37">
    <w:abstractNumId w:val="41"/>
  </w:num>
  <w:num w:numId="38">
    <w:abstractNumId w:val="3"/>
  </w:num>
  <w:num w:numId="39">
    <w:abstractNumId w:val="31"/>
  </w:num>
  <w:num w:numId="40">
    <w:abstractNumId w:val="27"/>
  </w:num>
  <w:num w:numId="41">
    <w:abstractNumId w:val="13"/>
  </w:num>
  <w:num w:numId="42">
    <w:abstractNumId w:val="28"/>
  </w:num>
  <w:num w:numId="43">
    <w:abstractNumId w:val="39"/>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A21"/>
    <w:rsid w:val="00010AF4"/>
    <w:rsid w:val="0002213A"/>
    <w:rsid w:val="00067F3E"/>
    <w:rsid w:val="000754DF"/>
    <w:rsid w:val="000763E0"/>
    <w:rsid w:val="000A351C"/>
    <w:rsid w:val="000A491A"/>
    <w:rsid w:val="000E6ECE"/>
    <w:rsid w:val="00106D56"/>
    <w:rsid w:val="0010779E"/>
    <w:rsid w:val="00110183"/>
    <w:rsid w:val="001259C9"/>
    <w:rsid w:val="001345B4"/>
    <w:rsid w:val="00143BD6"/>
    <w:rsid w:val="00151168"/>
    <w:rsid w:val="001577C7"/>
    <w:rsid w:val="00162719"/>
    <w:rsid w:val="001A10FD"/>
    <w:rsid w:val="001A1F37"/>
    <w:rsid w:val="001A37D9"/>
    <w:rsid w:val="001B48DE"/>
    <w:rsid w:val="001D7E7D"/>
    <w:rsid w:val="00221D5A"/>
    <w:rsid w:val="002238F3"/>
    <w:rsid w:val="00225CBD"/>
    <w:rsid w:val="00234F59"/>
    <w:rsid w:val="00240CF1"/>
    <w:rsid w:val="00283386"/>
    <w:rsid w:val="00286F07"/>
    <w:rsid w:val="002A4EF1"/>
    <w:rsid w:val="002C1EBF"/>
    <w:rsid w:val="002D4D11"/>
    <w:rsid w:val="002D500E"/>
    <w:rsid w:val="002E64CC"/>
    <w:rsid w:val="003076B4"/>
    <w:rsid w:val="00315E8D"/>
    <w:rsid w:val="00331DA5"/>
    <w:rsid w:val="00333640"/>
    <w:rsid w:val="00361346"/>
    <w:rsid w:val="00365AC3"/>
    <w:rsid w:val="0038625E"/>
    <w:rsid w:val="00397781"/>
    <w:rsid w:val="003C56D3"/>
    <w:rsid w:val="003D7D4E"/>
    <w:rsid w:val="003E3CA4"/>
    <w:rsid w:val="00420F5A"/>
    <w:rsid w:val="004311AA"/>
    <w:rsid w:val="00447D71"/>
    <w:rsid w:val="00453771"/>
    <w:rsid w:val="0046006A"/>
    <w:rsid w:val="00461357"/>
    <w:rsid w:val="0047525D"/>
    <w:rsid w:val="00477EBF"/>
    <w:rsid w:val="004805D8"/>
    <w:rsid w:val="004E57DF"/>
    <w:rsid w:val="00516062"/>
    <w:rsid w:val="00517FB4"/>
    <w:rsid w:val="00567702"/>
    <w:rsid w:val="00570FCA"/>
    <w:rsid w:val="0059186C"/>
    <w:rsid w:val="005947BA"/>
    <w:rsid w:val="005A5A6F"/>
    <w:rsid w:val="005B2CBB"/>
    <w:rsid w:val="005B5F8B"/>
    <w:rsid w:val="005F036B"/>
    <w:rsid w:val="005F73A0"/>
    <w:rsid w:val="006238CE"/>
    <w:rsid w:val="006446E3"/>
    <w:rsid w:val="00645BE3"/>
    <w:rsid w:val="00660A97"/>
    <w:rsid w:val="00670C22"/>
    <w:rsid w:val="006769C2"/>
    <w:rsid w:val="00681326"/>
    <w:rsid w:val="00697B00"/>
    <w:rsid w:val="006B5F96"/>
    <w:rsid w:val="006B7956"/>
    <w:rsid w:val="006C2A63"/>
    <w:rsid w:val="006D0050"/>
    <w:rsid w:val="006D1A8A"/>
    <w:rsid w:val="006E0526"/>
    <w:rsid w:val="006F40E7"/>
    <w:rsid w:val="00713CDD"/>
    <w:rsid w:val="007147B9"/>
    <w:rsid w:val="00717745"/>
    <w:rsid w:val="00772AE3"/>
    <w:rsid w:val="0077673E"/>
    <w:rsid w:val="007800F0"/>
    <w:rsid w:val="00780EA0"/>
    <w:rsid w:val="00781648"/>
    <w:rsid w:val="00785D8C"/>
    <w:rsid w:val="00790A20"/>
    <w:rsid w:val="007913E4"/>
    <w:rsid w:val="007A6A92"/>
    <w:rsid w:val="007B14C5"/>
    <w:rsid w:val="007B212D"/>
    <w:rsid w:val="007D00CD"/>
    <w:rsid w:val="007E0FF4"/>
    <w:rsid w:val="0081521C"/>
    <w:rsid w:val="00822A8D"/>
    <w:rsid w:val="00834346"/>
    <w:rsid w:val="008427CD"/>
    <w:rsid w:val="00847A02"/>
    <w:rsid w:val="00850B98"/>
    <w:rsid w:val="0087729B"/>
    <w:rsid w:val="00877A5D"/>
    <w:rsid w:val="00882A9B"/>
    <w:rsid w:val="00890B62"/>
    <w:rsid w:val="008B5EB2"/>
    <w:rsid w:val="008E2707"/>
    <w:rsid w:val="009020DF"/>
    <w:rsid w:val="0091294E"/>
    <w:rsid w:val="0092227D"/>
    <w:rsid w:val="00965B6C"/>
    <w:rsid w:val="00965F6A"/>
    <w:rsid w:val="00966835"/>
    <w:rsid w:val="00983C68"/>
    <w:rsid w:val="00995E01"/>
    <w:rsid w:val="009B584C"/>
    <w:rsid w:val="009D721B"/>
    <w:rsid w:val="009E2086"/>
    <w:rsid w:val="009F43D5"/>
    <w:rsid w:val="00A369E8"/>
    <w:rsid w:val="00A54141"/>
    <w:rsid w:val="00A547C8"/>
    <w:rsid w:val="00A64BA4"/>
    <w:rsid w:val="00A75AF9"/>
    <w:rsid w:val="00A82F72"/>
    <w:rsid w:val="00AA6EE5"/>
    <w:rsid w:val="00AB0066"/>
    <w:rsid w:val="00AB2707"/>
    <w:rsid w:val="00AD2527"/>
    <w:rsid w:val="00AD2B72"/>
    <w:rsid w:val="00AE675D"/>
    <w:rsid w:val="00AF617B"/>
    <w:rsid w:val="00B079BA"/>
    <w:rsid w:val="00B22713"/>
    <w:rsid w:val="00B35EC6"/>
    <w:rsid w:val="00B455A3"/>
    <w:rsid w:val="00B62C31"/>
    <w:rsid w:val="00B648F4"/>
    <w:rsid w:val="00B820FD"/>
    <w:rsid w:val="00B902AA"/>
    <w:rsid w:val="00BB5BEC"/>
    <w:rsid w:val="00BC0016"/>
    <w:rsid w:val="00BD22CD"/>
    <w:rsid w:val="00BE2AB5"/>
    <w:rsid w:val="00BE7FAD"/>
    <w:rsid w:val="00BF0277"/>
    <w:rsid w:val="00C00DA5"/>
    <w:rsid w:val="00C122E3"/>
    <w:rsid w:val="00C422C2"/>
    <w:rsid w:val="00C67940"/>
    <w:rsid w:val="00C67EB2"/>
    <w:rsid w:val="00C81195"/>
    <w:rsid w:val="00CA0A58"/>
    <w:rsid w:val="00CC2C4C"/>
    <w:rsid w:val="00CF5137"/>
    <w:rsid w:val="00D213D2"/>
    <w:rsid w:val="00D32E07"/>
    <w:rsid w:val="00D40990"/>
    <w:rsid w:val="00D558AB"/>
    <w:rsid w:val="00D61BC5"/>
    <w:rsid w:val="00D65571"/>
    <w:rsid w:val="00D66D3F"/>
    <w:rsid w:val="00D8754C"/>
    <w:rsid w:val="00DC00B9"/>
    <w:rsid w:val="00DE5B80"/>
    <w:rsid w:val="00DE5BAB"/>
    <w:rsid w:val="00DF2A7D"/>
    <w:rsid w:val="00DF5B42"/>
    <w:rsid w:val="00E01FBD"/>
    <w:rsid w:val="00E06B9F"/>
    <w:rsid w:val="00E140B5"/>
    <w:rsid w:val="00E249B4"/>
    <w:rsid w:val="00E35CB4"/>
    <w:rsid w:val="00E70AEE"/>
    <w:rsid w:val="00E86331"/>
    <w:rsid w:val="00E91B0F"/>
    <w:rsid w:val="00E9523C"/>
    <w:rsid w:val="00E97524"/>
    <w:rsid w:val="00EA095F"/>
    <w:rsid w:val="00EA249E"/>
    <w:rsid w:val="00EA7F75"/>
    <w:rsid w:val="00EB0544"/>
    <w:rsid w:val="00ED38DA"/>
    <w:rsid w:val="00ED6010"/>
    <w:rsid w:val="00EE0121"/>
    <w:rsid w:val="00EF5E88"/>
    <w:rsid w:val="00F20FF9"/>
    <w:rsid w:val="00F2356D"/>
    <w:rsid w:val="00F255BC"/>
    <w:rsid w:val="00F30853"/>
    <w:rsid w:val="00F44A21"/>
    <w:rsid w:val="00F7392E"/>
    <w:rsid w:val="00F7633D"/>
    <w:rsid w:val="00F83FFC"/>
    <w:rsid w:val="00FB19DA"/>
    <w:rsid w:val="00FD1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6F97EDF"/>
  <w15:docId w15:val="{FAAC708F-054E-4C9F-BA8D-C5A26CB3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1326"/>
    <w:rPr>
      <w:rFonts w:ascii="Calibri" w:eastAsia="Calibri" w:hAnsi="Calibri" w:cs="Calibri"/>
      <w:lang w:bidi="en-US"/>
    </w:rPr>
  </w:style>
  <w:style w:type="paragraph" w:styleId="Heading1">
    <w:name w:val="heading 1"/>
    <w:basedOn w:val="Normal"/>
    <w:link w:val="Heading1Char"/>
    <w:uiPriority w:val="1"/>
    <w:qFormat/>
    <w:pPr>
      <w:ind w:left="579"/>
      <w:outlineLvl w:val="0"/>
    </w:pPr>
    <w:rPr>
      <w:b/>
      <w:bCs/>
    </w:rPr>
  </w:style>
  <w:style w:type="paragraph" w:styleId="Heading2">
    <w:name w:val="heading 2"/>
    <w:basedOn w:val="Normal"/>
    <w:uiPriority w:val="1"/>
    <w:qFormat/>
    <w:pPr>
      <w:ind w:left="463" w:hanging="360"/>
      <w:outlineLvl w:val="1"/>
    </w:pPr>
  </w:style>
  <w:style w:type="paragraph" w:styleId="Heading3">
    <w:name w:val="heading 3"/>
    <w:basedOn w:val="Normal"/>
    <w:uiPriority w:val="1"/>
    <w:qFormat/>
    <w:pPr>
      <w:ind w:left="224"/>
      <w:outlineLvl w:val="2"/>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34"/>
    <w:qFormat/>
    <w:pPr>
      <w:ind w:left="440" w:hanging="216"/>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517FB4"/>
    <w:rPr>
      <w:sz w:val="16"/>
      <w:szCs w:val="16"/>
    </w:rPr>
  </w:style>
  <w:style w:type="paragraph" w:styleId="CommentText">
    <w:name w:val="annotation text"/>
    <w:basedOn w:val="Normal"/>
    <w:link w:val="CommentTextChar"/>
    <w:uiPriority w:val="99"/>
    <w:unhideWhenUsed/>
    <w:rsid w:val="00517FB4"/>
    <w:rPr>
      <w:sz w:val="20"/>
      <w:szCs w:val="20"/>
    </w:rPr>
  </w:style>
  <w:style w:type="character" w:customStyle="1" w:styleId="CommentTextChar">
    <w:name w:val="Comment Text Char"/>
    <w:basedOn w:val="DefaultParagraphFont"/>
    <w:link w:val="CommentText"/>
    <w:uiPriority w:val="99"/>
    <w:rsid w:val="00517FB4"/>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517FB4"/>
    <w:rPr>
      <w:b/>
      <w:bCs/>
    </w:rPr>
  </w:style>
  <w:style w:type="character" w:customStyle="1" w:styleId="CommentSubjectChar">
    <w:name w:val="Comment Subject Char"/>
    <w:basedOn w:val="CommentTextChar"/>
    <w:link w:val="CommentSubject"/>
    <w:uiPriority w:val="99"/>
    <w:semiHidden/>
    <w:rsid w:val="00517FB4"/>
    <w:rPr>
      <w:rFonts w:ascii="Calibri" w:eastAsia="Calibri" w:hAnsi="Calibri" w:cs="Calibri"/>
      <w:b/>
      <w:bCs/>
      <w:sz w:val="20"/>
      <w:szCs w:val="20"/>
      <w:lang w:bidi="en-US"/>
    </w:rPr>
  </w:style>
  <w:style w:type="paragraph" w:styleId="BalloonText">
    <w:name w:val="Balloon Text"/>
    <w:basedOn w:val="Normal"/>
    <w:link w:val="BalloonTextChar"/>
    <w:uiPriority w:val="99"/>
    <w:semiHidden/>
    <w:unhideWhenUsed/>
    <w:rsid w:val="00517F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7FB4"/>
    <w:rPr>
      <w:rFonts w:ascii="Segoe UI" w:eastAsia="Calibri" w:hAnsi="Segoe UI" w:cs="Segoe UI"/>
      <w:sz w:val="18"/>
      <w:szCs w:val="18"/>
      <w:lang w:bidi="en-US"/>
    </w:rPr>
  </w:style>
  <w:style w:type="character" w:styleId="Hyperlink">
    <w:name w:val="Hyperlink"/>
    <w:basedOn w:val="DefaultParagraphFont"/>
    <w:uiPriority w:val="99"/>
    <w:unhideWhenUsed/>
    <w:rsid w:val="00B35EC6"/>
    <w:rPr>
      <w:color w:val="0000FF" w:themeColor="hyperlink"/>
      <w:u w:val="single"/>
    </w:rPr>
  </w:style>
  <w:style w:type="paragraph" w:customStyle="1" w:styleId="Default">
    <w:name w:val="Default"/>
    <w:rsid w:val="005F036B"/>
    <w:pPr>
      <w:widowControl/>
      <w:adjustRightInd w:val="0"/>
    </w:pPr>
    <w:rPr>
      <w:rFonts w:ascii="Calibri" w:hAnsi="Calibri" w:cs="Calibri"/>
      <w:color w:val="000000"/>
      <w:sz w:val="24"/>
      <w:szCs w:val="24"/>
    </w:rPr>
  </w:style>
  <w:style w:type="character" w:customStyle="1" w:styleId="BodyTextChar">
    <w:name w:val="Body Text Char"/>
    <w:basedOn w:val="DefaultParagraphFont"/>
    <w:link w:val="BodyText"/>
    <w:uiPriority w:val="1"/>
    <w:rsid w:val="00CF5137"/>
    <w:rPr>
      <w:rFonts w:ascii="Calibri" w:eastAsia="Calibri" w:hAnsi="Calibri" w:cs="Calibri"/>
      <w:sz w:val="20"/>
      <w:szCs w:val="20"/>
      <w:lang w:bidi="en-US"/>
    </w:rPr>
  </w:style>
  <w:style w:type="paragraph" w:styleId="Header">
    <w:name w:val="header"/>
    <w:basedOn w:val="Normal"/>
    <w:link w:val="HeaderChar"/>
    <w:uiPriority w:val="99"/>
    <w:unhideWhenUsed/>
    <w:rsid w:val="00E06B9F"/>
    <w:pPr>
      <w:tabs>
        <w:tab w:val="center" w:pos="4680"/>
        <w:tab w:val="right" w:pos="9360"/>
      </w:tabs>
    </w:pPr>
  </w:style>
  <w:style w:type="character" w:customStyle="1" w:styleId="HeaderChar">
    <w:name w:val="Header Char"/>
    <w:basedOn w:val="DefaultParagraphFont"/>
    <w:link w:val="Header"/>
    <w:uiPriority w:val="99"/>
    <w:rsid w:val="00E06B9F"/>
    <w:rPr>
      <w:rFonts w:ascii="Calibri" w:eastAsia="Calibri" w:hAnsi="Calibri" w:cs="Calibri"/>
      <w:lang w:bidi="en-US"/>
    </w:rPr>
  </w:style>
  <w:style w:type="paragraph" w:styleId="Footer">
    <w:name w:val="footer"/>
    <w:basedOn w:val="Normal"/>
    <w:link w:val="FooterChar"/>
    <w:uiPriority w:val="99"/>
    <w:unhideWhenUsed/>
    <w:rsid w:val="00E06B9F"/>
    <w:pPr>
      <w:tabs>
        <w:tab w:val="center" w:pos="4680"/>
        <w:tab w:val="right" w:pos="9360"/>
      </w:tabs>
    </w:pPr>
  </w:style>
  <w:style w:type="character" w:customStyle="1" w:styleId="FooterChar">
    <w:name w:val="Footer Char"/>
    <w:basedOn w:val="DefaultParagraphFont"/>
    <w:link w:val="Footer"/>
    <w:uiPriority w:val="99"/>
    <w:rsid w:val="00E06B9F"/>
    <w:rPr>
      <w:rFonts w:ascii="Calibri" w:eastAsia="Calibri" w:hAnsi="Calibri" w:cs="Calibri"/>
      <w:lang w:bidi="en-US"/>
    </w:rPr>
  </w:style>
  <w:style w:type="character" w:customStyle="1" w:styleId="Style1">
    <w:name w:val="Style1"/>
    <w:basedOn w:val="DefaultParagraphFont"/>
    <w:uiPriority w:val="1"/>
    <w:rsid w:val="003E3CA4"/>
    <w:rPr>
      <w:rFonts w:asciiTheme="minorHAnsi" w:hAnsiTheme="minorHAnsi"/>
      <w:color w:val="0000FF"/>
      <w:sz w:val="22"/>
    </w:rPr>
  </w:style>
  <w:style w:type="character" w:customStyle="1" w:styleId="Style2">
    <w:name w:val="Style2"/>
    <w:basedOn w:val="DefaultParagraphFont"/>
    <w:uiPriority w:val="1"/>
    <w:rsid w:val="003E3CA4"/>
    <w:rPr>
      <w:rFonts w:asciiTheme="minorHAnsi" w:hAnsiTheme="minorHAnsi"/>
      <w:color w:val="0000FF"/>
      <w:sz w:val="22"/>
      <w:u w:val="single"/>
    </w:rPr>
  </w:style>
  <w:style w:type="paragraph" w:styleId="FootnoteText">
    <w:name w:val="footnote text"/>
    <w:basedOn w:val="Normal"/>
    <w:link w:val="FootnoteTextChar"/>
    <w:qFormat/>
    <w:rsid w:val="00D213D2"/>
    <w:pPr>
      <w:widowControl/>
      <w:autoSpaceDE/>
      <w:autoSpaceDN/>
      <w:spacing w:after="120"/>
      <w:jc w:val="both"/>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D213D2"/>
    <w:rPr>
      <w:rFonts w:ascii="Times New Roman" w:eastAsia="Times New Roman" w:hAnsi="Times New Roman" w:cs="Times New Roman"/>
      <w:sz w:val="20"/>
      <w:szCs w:val="20"/>
    </w:rPr>
  </w:style>
  <w:style w:type="character" w:styleId="FootnoteReference">
    <w:name w:val="footnote reference"/>
    <w:basedOn w:val="DefaultParagraphFont"/>
    <w:qFormat/>
    <w:rsid w:val="00D213D2"/>
    <w:rPr>
      <w:rFonts w:ascii="Times New Roman" w:hAnsi="Times New Roman"/>
      <w:color w:val="auto"/>
      <w:spacing w:val="0"/>
      <w:position w:val="0"/>
      <w:sz w:val="24"/>
      <w:u w:color="000080"/>
      <w:effect w:val="none"/>
      <w:vertAlign w:val="superscript"/>
    </w:rPr>
  </w:style>
  <w:style w:type="character" w:customStyle="1" w:styleId="Heading1Char">
    <w:name w:val="Heading 1 Char"/>
    <w:basedOn w:val="DefaultParagraphFont"/>
    <w:link w:val="Heading1"/>
    <w:uiPriority w:val="1"/>
    <w:rsid w:val="006B5F96"/>
    <w:rPr>
      <w:rFonts w:ascii="Calibri" w:eastAsia="Calibri" w:hAnsi="Calibri" w:cs="Calibri"/>
      <w:b/>
      <w:bCs/>
      <w:lang w:bidi="en-US"/>
    </w:rPr>
  </w:style>
  <w:style w:type="paragraph" w:customStyle="1" w:styleId="P">
    <w:name w:val="P"/>
    <w:basedOn w:val="Normal"/>
    <w:uiPriority w:val="1"/>
    <w:qFormat/>
    <w:rsid w:val="00EA095F"/>
    <w:pPr>
      <w:widowControl/>
      <w:autoSpaceDE/>
      <w:autoSpaceDN/>
      <w:spacing w:after="100" w:line="276" w:lineRule="auto"/>
    </w:pPr>
    <w:rPr>
      <w:rFonts w:ascii="Cambria" w:eastAsiaTheme="minorHAnsi" w:hAnsi="Cambria" w:cstheme="minorBidi"/>
      <w:sz w:val="20"/>
      <w:lang w:bidi="ar-SA"/>
    </w:rPr>
  </w:style>
  <w:style w:type="character" w:styleId="PlaceholderText">
    <w:name w:val="Placeholder Text"/>
    <w:basedOn w:val="DefaultParagraphFont"/>
    <w:uiPriority w:val="99"/>
    <w:semiHidden/>
    <w:rsid w:val="00785D8C"/>
    <w:rPr>
      <w:color w:val="808080"/>
    </w:rPr>
  </w:style>
  <w:style w:type="character" w:styleId="FollowedHyperlink">
    <w:name w:val="FollowedHyperlink"/>
    <w:basedOn w:val="DefaultParagraphFont"/>
    <w:uiPriority w:val="99"/>
    <w:semiHidden/>
    <w:unhideWhenUsed/>
    <w:rsid w:val="004E57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0380">
      <w:bodyDiv w:val="1"/>
      <w:marLeft w:val="0"/>
      <w:marRight w:val="0"/>
      <w:marTop w:val="0"/>
      <w:marBottom w:val="0"/>
      <w:divBdr>
        <w:top w:val="none" w:sz="0" w:space="0" w:color="auto"/>
        <w:left w:val="none" w:sz="0" w:space="0" w:color="auto"/>
        <w:bottom w:val="none" w:sz="0" w:space="0" w:color="auto"/>
        <w:right w:val="none" w:sz="0" w:space="0" w:color="auto"/>
      </w:divBdr>
    </w:div>
    <w:div w:id="237401685">
      <w:bodyDiv w:val="1"/>
      <w:marLeft w:val="0"/>
      <w:marRight w:val="0"/>
      <w:marTop w:val="0"/>
      <w:marBottom w:val="0"/>
      <w:divBdr>
        <w:top w:val="none" w:sz="0" w:space="0" w:color="auto"/>
        <w:left w:val="none" w:sz="0" w:space="0" w:color="auto"/>
        <w:bottom w:val="none" w:sz="0" w:space="0" w:color="auto"/>
        <w:right w:val="none" w:sz="0" w:space="0" w:color="auto"/>
      </w:divBdr>
    </w:div>
    <w:div w:id="1596203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heartj.oxfordjournals.org/content/ehj/35/35/2383.full.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content.onlinejacc.org/article.aspx?articleid=189378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eurheartj.oxfordjournals.org/content/ehj/35/35/2383.full.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tent.onlinejacc.org/article.aspx?articleid=189378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923C315515D45D5ABF2B5A7B346F4C7"/>
        <w:category>
          <w:name w:val="General"/>
          <w:gallery w:val="placeholder"/>
        </w:category>
        <w:types>
          <w:type w:val="bbPlcHdr"/>
        </w:types>
        <w:behaviors>
          <w:behavior w:val="content"/>
        </w:behaviors>
        <w:guid w:val="{2C5017D8-9300-470F-AC2C-9BA5EAE8667B}"/>
      </w:docPartPr>
      <w:docPartBody>
        <w:p w:rsidR="008F18E4" w:rsidRDefault="00A74378" w:rsidP="00A74378">
          <w:pPr>
            <w:pStyle w:val="E923C315515D45D5ABF2B5A7B346F4C7"/>
          </w:pPr>
          <w:r w:rsidRPr="003B1CC5">
            <w:rPr>
              <w:rStyle w:val="PlaceholderText"/>
            </w:rPr>
            <w:t>Click here to enter NQF number</w:t>
          </w:r>
        </w:p>
      </w:docPartBody>
    </w:docPart>
    <w:docPart>
      <w:docPartPr>
        <w:name w:val="122576AD764C4EFCB88A6727F8E55A1B"/>
        <w:category>
          <w:name w:val="General"/>
          <w:gallery w:val="placeholder"/>
        </w:category>
        <w:types>
          <w:type w:val="bbPlcHdr"/>
        </w:types>
        <w:behaviors>
          <w:behavior w:val="content"/>
        </w:behaviors>
        <w:guid w:val="{DB83F22F-ED38-44E5-A03D-C9D4F5DA598F}"/>
      </w:docPartPr>
      <w:docPartBody>
        <w:p w:rsidR="008F18E4" w:rsidRDefault="00A74378" w:rsidP="00A74378">
          <w:pPr>
            <w:pStyle w:val="122576AD764C4EFCB88A6727F8E55A1B"/>
          </w:pPr>
          <w:r w:rsidRPr="003B1CC5">
            <w:rPr>
              <w:rStyle w:val="PlaceholderText"/>
              <w:rFonts w:cstheme="minorHAnsi"/>
              <w:color w:val="A6A6A6" w:themeColor="background1" w:themeShade="A6"/>
            </w:rPr>
            <w:t>Click here to enter measure title</w:t>
          </w:r>
        </w:p>
      </w:docPartBody>
    </w:docPart>
    <w:docPart>
      <w:docPartPr>
        <w:name w:val="5170AE3F3728475E9DAEFDA3157B5A5A"/>
        <w:category>
          <w:name w:val="General"/>
          <w:gallery w:val="placeholder"/>
        </w:category>
        <w:types>
          <w:type w:val="bbPlcHdr"/>
        </w:types>
        <w:behaviors>
          <w:behavior w:val="content"/>
        </w:behaviors>
        <w:guid w:val="{7E18E253-4FE1-4995-AEC6-BC52C27AA29D}"/>
      </w:docPartPr>
      <w:docPartBody>
        <w:p w:rsidR="008F18E4" w:rsidRDefault="00A74378" w:rsidP="00A74378">
          <w:pPr>
            <w:pStyle w:val="5170AE3F3728475E9DAEFDA3157B5A5A"/>
          </w:pPr>
          <w:r w:rsidRPr="003B1CC5">
            <w:rPr>
              <w:rStyle w:val="PlaceholderText"/>
              <w:rFonts w:cstheme="minorHAnsi"/>
              <w:color w:val="A6A6A6" w:themeColor="background1" w:themeShade="A6"/>
            </w:rPr>
            <w:t>Click here to enter a date</w:t>
          </w:r>
        </w:p>
      </w:docPartBody>
    </w:docPart>
    <w:docPart>
      <w:docPartPr>
        <w:name w:val="91DF22840667418E9B7F1A9CA4AF79AC"/>
        <w:category>
          <w:name w:val="General"/>
          <w:gallery w:val="placeholder"/>
        </w:category>
        <w:types>
          <w:type w:val="bbPlcHdr"/>
        </w:types>
        <w:behaviors>
          <w:behavior w:val="content"/>
        </w:behaviors>
        <w:guid w:val="{4C507953-D01E-4DD8-8A77-A2BC3FA4B59F}"/>
      </w:docPartPr>
      <w:docPartBody>
        <w:p w:rsidR="00285B94" w:rsidRDefault="002F2687" w:rsidP="002F2687">
          <w:pPr>
            <w:pStyle w:val="91DF22840667418E9B7F1A9CA4AF79AC"/>
          </w:pPr>
          <w:r w:rsidRPr="00A25024">
            <w:rPr>
              <w:rStyle w:val="PlaceholderText"/>
              <w:rFonts w:cstheme="minorHAnsi"/>
              <w:color w:val="A6A6A6" w:themeColor="background1" w:themeShade="A6"/>
            </w:rPr>
            <w:t>Click here to enter a date</w:t>
          </w:r>
        </w:p>
      </w:docPartBody>
    </w:docPart>
    <w:docPart>
      <w:docPartPr>
        <w:name w:val="73C27948C814405CAF03649106F96794"/>
        <w:category>
          <w:name w:val="General"/>
          <w:gallery w:val="placeholder"/>
        </w:category>
        <w:types>
          <w:type w:val="bbPlcHdr"/>
        </w:types>
        <w:behaviors>
          <w:behavior w:val="content"/>
        </w:behaviors>
        <w:guid w:val="{79E9F927-95C7-430A-A1AD-C036C2E2FB77}"/>
      </w:docPartPr>
      <w:docPartBody>
        <w:p w:rsidR="003E2DCE" w:rsidRDefault="003E2DCE" w:rsidP="003E2DCE">
          <w:pPr>
            <w:pStyle w:val="73C27948C814405CAF03649106F96794"/>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9069d8b3.B">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378"/>
    <w:rsid w:val="00200C81"/>
    <w:rsid w:val="00285B94"/>
    <w:rsid w:val="002F2687"/>
    <w:rsid w:val="003E2DCE"/>
    <w:rsid w:val="008F18E4"/>
    <w:rsid w:val="00A74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2DCE"/>
    <w:rPr>
      <w:color w:val="808080"/>
    </w:rPr>
  </w:style>
  <w:style w:type="paragraph" w:customStyle="1" w:styleId="E923C315515D45D5ABF2B5A7B346F4C7">
    <w:name w:val="E923C315515D45D5ABF2B5A7B346F4C7"/>
    <w:rsid w:val="00A74378"/>
  </w:style>
  <w:style w:type="paragraph" w:customStyle="1" w:styleId="122576AD764C4EFCB88A6727F8E55A1B">
    <w:name w:val="122576AD764C4EFCB88A6727F8E55A1B"/>
    <w:rsid w:val="00A74378"/>
  </w:style>
  <w:style w:type="paragraph" w:customStyle="1" w:styleId="5170AE3F3728475E9DAEFDA3157B5A5A">
    <w:name w:val="5170AE3F3728475E9DAEFDA3157B5A5A"/>
    <w:rsid w:val="00A74378"/>
  </w:style>
  <w:style w:type="paragraph" w:customStyle="1" w:styleId="CA29EA3CBB3E402B95501510A6F863A3">
    <w:name w:val="CA29EA3CBB3E402B95501510A6F863A3"/>
    <w:rsid w:val="002F2687"/>
  </w:style>
  <w:style w:type="paragraph" w:customStyle="1" w:styleId="65C8FE63E3064EA7891864CB5E26E1CD">
    <w:name w:val="65C8FE63E3064EA7891864CB5E26E1CD"/>
    <w:rsid w:val="002F2687"/>
  </w:style>
  <w:style w:type="paragraph" w:customStyle="1" w:styleId="AAA5BCF39D514FA7B28C33A3B8362915">
    <w:name w:val="AAA5BCF39D514FA7B28C33A3B8362915"/>
    <w:rsid w:val="002F2687"/>
  </w:style>
  <w:style w:type="paragraph" w:customStyle="1" w:styleId="01C00E4BCFAD433B93B0A298F5AA7C94">
    <w:name w:val="01C00E4BCFAD433B93B0A298F5AA7C94"/>
    <w:rsid w:val="002F2687"/>
  </w:style>
  <w:style w:type="paragraph" w:customStyle="1" w:styleId="F2D4DF51BBFC45BD9FD596961C97B21A">
    <w:name w:val="F2D4DF51BBFC45BD9FD596961C97B21A"/>
    <w:rsid w:val="002F2687"/>
  </w:style>
  <w:style w:type="paragraph" w:customStyle="1" w:styleId="91DF22840667418E9B7F1A9CA4AF79AC">
    <w:name w:val="91DF22840667418E9B7F1A9CA4AF79AC"/>
    <w:rsid w:val="002F2687"/>
  </w:style>
  <w:style w:type="paragraph" w:customStyle="1" w:styleId="73C27948C814405CAF03649106F96794">
    <w:name w:val="73C27948C814405CAF03649106F96794"/>
    <w:rsid w:val="003E2D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ADE4D4E925EE44A48BA97C226E724D" ma:contentTypeVersion="0" ma:contentTypeDescription="Create a new document." ma:contentTypeScope="" ma:versionID="33b2859d5b62e3b917c6e10e72ad07a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3439C-4094-4635-9F77-AD010C65F2B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B96039E-41BA-4CA6-B857-9F47B618FFB4}">
  <ds:schemaRefs>
    <ds:schemaRef ds:uri="http://schemas.microsoft.com/sharepoint/v3/contenttype/forms"/>
  </ds:schemaRefs>
</ds:datastoreItem>
</file>

<file path=customXml/itemProps3.xml><?xml version="1.0" encoding="utf-8"?>
<ds:datastoreItem xmlns:ds="http://schemas.openxmlformats.org/officeDocument/2006/customXml" ds:itemID="{D714A6B1-81B1-468C-BAAD-FE7BD486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92FA81A-63BC-4177-8A83-CE86F678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7281</Words>
  <Characters>41504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NQF 0669 Measure Evidence Form</vt:lpstr>
    </vt:vector>
  </TitlesOfParts>
  <Manager>Colleen M. McKiernan</Manager>
  <Company>The Lewin Group</Company>
  <LinksUpToDate>false</LinksUpToDate>
  <CharactersWithSpaces>48688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NQF 0669 Measure Evidence Form</dc:title>
  <dc:subject>National Quality Forum Measure Evidence Form for NQF 0669</dc:subject>
  <dc:creator>The Lewin Group</dc:creator>
  <cp:keywords>evidence</cp:keywords>
  <cp:lastModifiedBy> </cp:lastModifiedBy>
  <cp:revision>2</cp:revision>
  <dcterms:created xsi:type="dcterms:W3CDTF">2020-04-09T12:52:00Z</dcterms:created>
  <dcterms:modified xsi:type="dcterms:W3CDTF">2020-04-09T12:52:00Z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2019-07-03T00:00:00Z</vt:filetime>
  </property>
  <property fmtid="{D5CDD505-2E9C-101B-9397-08002B2CF9AE}" pid="5" name="ContentTypeId">
    <vt:lpwstr>0x0101008BADE4D4E925EE44A48BA97C226E724D</vt:lpwstr>
  </property>
</Properties>
</file>