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4519CB73"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602CFB">
            <w:rPr>
              <w:rStyle w:val="Style1"/>
            </w:rPr>
            <w:t>671</w:t>
          </w:r>
        </w:sdtContent>
      </w:sdt>
    </w:p>
    <w:p w14:paraId="0CABCF56" w14:textId="3FC76E51"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602CFB">
            <w:rPr>
              <w:rStyle w:val="Style1"/>
              <w:rFonts w:cstheme="minorHAnsi"/>
            </w:rPr>
            <w:t xml:space="preserve">Cardiac stress imaging not meeting appropriate use criteria: Routine testing after percutaneous coronary intervention (PCI) </w:t>
          </w:r>
        </w:sdtContent>
      </w:sdt>
    </w:p>
    <w:p w14:paraId="0CABCF57" w14:textId="087763C2"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9-11-01T00:00:00Z">
            <w:dateFormat w:val="M/d/yyyy"/>
            <w:lid w:val="en-US"/>
            <w:storeMappedDataAs w:val="dateTime"/>
            <w:calendar w:val="gregorian"/>
          </w:date>
        </w:sdtPr>
        <w:sdtEndPr>
          <w:rPr>
            <w:rStyle w:val="DefaultParagraphFont"/>
            <w:noProof/>
            <w:color w:val="auto"/>
            <w:u w:val="none"/>
          </w:rPr>
        </w:sdtEndPr>
        <w:sdtContent>
          <w:r w:rsidR="006D6B2C">
            <w:rPr>
              <w:rStyle w:val="Style2"/>
              <w:rFonts w:cstheme="minorHAnsi"/>
            </w:rPr>
            <w:t>11/1/201</w:t>
          </w:r>
          <w:r w:rsidR="00877DBA">
            <w:rPr>
              <w:rStyle w:val="Style2"/>
              <w:rFonts w:cstheme="minorHAnsi"/>
            </w:rPr>
            <w:t>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bookmarkStart w:id="0" w:name="_GoBack"/>
      <w:bookmarkEnd w:id="0"/>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2690AD34" w:rsidR="000B7D57" w:rsidRPr="00C775CE" w:rsidRDefault="00877DBA"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877DBA"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877DBA"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877DBA"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2A4BD7E3" w:rsidR="000B7D57" w:rsidRPr="00C775CE" w:rsidRDefault="00877DBA"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50443A47" w:rsidR="000B7D57" w:rsidRPr="00C775CE" w:rsidRDefault="00877DBA" w:rsidP="00CD364B">
            <w:pPr>
              <w:autoSpaceDE w:val="0"/>
              <w:autoSpaceDN w:val="0"/>
              <w:adjustRightInd w:val="0"/>
              <w:rPr>
                <w:rFonts w:cstheme="minorHAnsi"/>
                <w:bCs/>
              </w:rPr>
            </w:pPr>
            <w:sdt>
              <w:sdtPr>
                <w:rPr>
                  <w:rFonts w:cstheme="minorHAnsi"/>
                  <w:bCs/>
                </w:rPr>
                <w:id w:val="-2050835103"/>
                <w14:checkbox>
                  <w14:checked w14:val="1"/>
                  <w14:checkedState w14:val="2612" w14:font="MS Gothic"/>
                  <w14:uncheckedState w14:val="2610" w14:font="MS Gothic"/>
                </w14:checkbox>
              </w:sdtPr>
              <w:sdtEndPr/>
              <w:sdtContent>
                <w:r w:rsidR="00602CFB">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877DBA"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877DBA"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877DBA"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877DBA"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877DBA"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19647A27" w:rsidR="00A01494" w:rsidRPr="000F1B7A" w:rsidRDefault="00877DBA"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602CF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37C3F09E" w:rsidR="00A01494" w:rsidRPr="000F1B7A" w:rsidRDefault="00877DBA"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602CFB">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18C1B57C" w:rsidR="00A01494" w:rsidRPr="000F1B7A" w:rsidRDefault="00877DBA"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602CF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5981C62F" w:rsidR="00A01494" w:rsidRPr="000F1B7A" w:rsidRDefault="00877DBA"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602CF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877DBA"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877DBA"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877DBA"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877DBA"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F984765" w14:textId="77777777" w:rsidR="00175F85" w:rsidRDefault="00175F85" w:rsidP="00DB3627">
      <w:pPr>
        <w:autoSpaceDE w:val="0"/>
        <w:autoSpaceDN w:val="0"/>
        <w:adjustRightInd w:val="0"/>
        <w:spacing w:after="0" w:line="240" w:lineRule="auto"/>
        <w:rPr>
          <w:rFonts w:cstheme="minorHAnsi"/>
          <w:bCs/>
        </w:rPr>
      </w:pPr>
    </w:p>
    <w:p w14:paraId="6FF7C8CD" w14:textId="10E966E8" w:rsidR="00175F85" w:rsidRPr="00175F85" w:rsidRDefault="00175F85" w:rsidP="00DB3627">
      <w:pPr>
        <w:autoSpaceDE w:val="0"/>
        <w:autoSpaceDN w:val="0"/>
        <w:adjustRightInd w:val="0"/>
        <w:spacing w:after="0" w:line="240" w:lineRule="auto"/>
        <w:rPr>
          <w:rFonts w:ascii="Arial" w:hAnsi="Arial" w:cs="Arial"/>
          <w:bCs/>
        </w:rPr>
      </w:pPr>
      <w:r w:rsidRPr="00175F85">
        <w:rPr>
          <w:rFonts w:ascii="Arial" w:hAnsi="Arial" w:cs="Arial"/>
          <w:bCs/>
        </w:rPr>
        <w:t xml:space="preserve">N/A – see below </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772CA634"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602CFB" w:rsidRPr="00175F85">
            <w:rPr>
              <w:rStyle w:val="Style1"/>
            </w:rPr>
            <w:t>August 15, 2007 and May 15, 2010</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877DBA"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877DBA"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68799531" w:rsidR="000414E8" w:rsidRPr="00A01494" w:rsidRDefault="00877DBA"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602CF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02D2BF50" w:rsidR="000414E8" w:rsidRPr="00A01494" w:rsidRDefault="00877DBA"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602CF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677740E5" w:rsidR="000414E8" w:rsidRPr="00A01494" w:rsidRDefault="00877DBA"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602CF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6F40E973" w:rsidR="000414E8" w:rsidRPr="00A01494" w:rsidRDefault="00877DBA"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602CF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877DBA"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877DBA"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877DBA"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877DBA"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CABCFC8" w14:textId="77777777" w:rsidR="002B5016" w:rsidRDefault="002B5016" w:rsidP="00DB3627">
      <w:pPr>
        <w:autoSpaceDE w:val="0"/>
        <w:autoSpaceDN w:val="0"/>
        <w:adjustRightInd w:val="0"/>
        <w:spacing w:after="0" w:line="240" w:lineRule="auto"/>
        <w:rPr>
          <w:rFonts w:cstheme="minorHAnsi"/>
          <w:bCs/>
        </w:rPr>
      </w:pPr>
    </w:p>
    <w:p w14:paraId="3F3375D0" w14:textId="4F1F771D" w:rsidR="00772FF3" w:rsidRPr="00175F85" w:rsidRDefault="00772FF3" w:rsidP="00772FF3">
      <w:pPr>
        <w:autoSpaceDE w:val="0"/>
        <w:autoSpaceDN w:val="0"/>
        <w:adjustRightInd w:val="0"/>
        <w:spacing w:after="0" w:line="240" w:lineRule="auto"/>
        <w:rPr>
          <w:rFonts w:ascii="Arial" w:hAnsi="Arial" w:cs="Arial"/>
          <w:bCs/>
        </w:rPr>
      </w:pPr>
      <w:r w:rsidRPr="00175F85">
        <w:rPr>
          <w:rFonts w:ascii="Arial" w:hAnsi="Arial" w:cs="Arial"/>
          <w:bCs/>
        </w:rPr>
        <w:lastRenderedPageBreak/>
        <w:t>11 practices encompassing 12 ZIP codes within the Chicago metropolitan area; 20 primary care physicians and 2 cardiologists</w:t>
      </w:r>
      <w:r w:rsidR="00175F85" w:rsidRPr="00175F85">
        <w:rPr>
          <w:rFonts w:ascii="Arial" w:hAnsi="Arial" w:cs="Arial"/>
          <w:bCs/>
        </w:rPr>
        <w:t xml:space="preserve">. </w:t>
      </w:r>
    </w:p>
    <w:p w14:paraId="343B879A" w14:textId="77777777" w:rsidR="00772FF3" w:rsidRPr="00175F85" w:rsidRDefault="00772FF3" w:rsidP="00772FF3">
      <w:pPr>
        <w:autoSpaceDE w:val="0"/>
        <w:autoSpaceDN w:val="0"/>
        <w:adjustRightInd w:val="0"/>
        <w:spacing w:after="0" w:line="240" w:lineRule="auto"/>
        <w:rPr>
          <w:rFonts w:ascii="Arial" w:hAnsi="Arial" w:cs="Arial"/>
          <w:bCs/>
        </w:rPr>
      </w:pPr>
    </w:p>
    <w:p w14:paraId="6ACDED05" w14:textId="77777777" w:rsidR="00772FF3" w:rsidRPr="00175F85" w:rsidRDefault="00772FF3" w:rsidP="00772FF3">
      <w:pPr>
        <w:autoSpaceDE w:val="0"/>
        <w:autoSpaceDN w:val="0"/>
        <w:adjustRightInd w:val="0"/>
        <w:spacing w:after="0" w:line="240" w:lineRule="auto"/>
        <w:rPr>
          <w:rFonts w:ascii="Arial" w:hAnsi="Arial" w:cs="Arial"/>
          <w:bCs/>
        </w:rPr>
      </w:pPr>
      <w:proofErr w:type="spellStart"/>
      <w:r w:rsidRPr="00175F85">
        <w:rPr>
          <w:rFonts w:ascii="Arial" w:hAnsi="Arial" w:cs="Arial"/>
          <w:bCs/>
        </w:rPr>
        <w:t>Doukky</w:t>
      </w:r>
      <w:proofErr w:type="spellEnd"/>
      <w:r w:rsidRPr="00175F85">
        <w:rPr>
          <w:rFonts w:ascii="Arial" w:hAnsi="Arial" w:cs="Arial"/>
          <w:bCs/>
        </w:rPr>
        <w:t xml:space="preserve"> R, Hayes K, </w:t>
      </w:r>
      <w:proofErr w:type="spellStart"/>
      <w:r w:rsidRPr="00175F85">
        <w:rPr>
          <w:rFonts w:ascii="Arial" w:hAnsi="Arial" w:cs="Arial"/>
          <w:bCs/>
        </w:rPr>
        <w:t>Frogge</w:t>
      </w:r>
      <w:proofErr w:type="spellEnd"/>
      <w:r w:rsidRPr="00175F85">
        <w:rPr>
          <w:rFonts w:ascii="Arial" w:hAnsi="Arial" w:cs="Arial"/>
          <w:bCs/>
        </w:rPr>
        <w:t xml:space="preserve"> N, Balakrishnan G, et al.  Impact of appropriate use on the prognostic value of single-photon emission computed tomography myocardial perfusion imaging.</w:t>
      </w:r>
    </w:p>
    <w:p w14:paraId="4A70CFA3" w14:textId="77777777" w:rsidR="00772FF3" w:rsidRPr="00175F85" w:rsidRDefault="00772FF3" w:rsidP="00772FF3">
      <w:pPr>
        <w:autoSpaceDE w:val="0"/>
        <w:autoSpaceDN w:val="0"/>
        <w:adjustRightInd w:val="0"/>
        <w:spacing w:after="0" w:line="240" w:lineRule="auto"/>
        <w:rPr>
          <w:rFonts w:ascii="Arial" w:hAnsi="Arial" w:cs="Arial"/>
          <w:bCs/>
        </w:rPr>
      </w:pPr>
      <w:r w:rsidRPr="00175F85">
        <w:rPr>
          <w:rFonts w:ascii="Arial" w:hAnsi="Arial" w:cs="Arial"/>
          <w:bCs/>
        </w:rPr>
        <w:t xml:space="preserve">Circulation. 2013 Oct 8;128(15):1634-43. </w:t>
      </w:r>
      <w:proofErr w:type="spellStart"/>
      <w:r w:rsidRPr="00175F85">
        <w:rPr>
          <w:rFonts w:ascii="Arial" w:hAnsi="Arial" w:cs="Arial"/>
          <w:bCs/>
        </w:rPr>
        <w:t>doi</w:t>
      </w:r>
      <w:proofErr w:type="spellEnd"/>
      <w:r w:rsidRPr="00175F85">
        <w:rPr>
          <w:rFonts w:ascii="Arial" w:hAnsi="Arial" w:cs="Arial"/>
          <w:bCs/>
        </w:rPr>
        <w:t xml:space="preserve">: 10.1161/CIRCULATIONAHA.113.002744. </w:t>
      </w:r>
      <w:proofErr w:type="spellStart"/>
      <w:r w:rsidRPr="00175F85">
        <w:rPr>
          <w:rFonts w:ascii="Arial" w:hAnsi="Arial" w:cs="Arial"/>
          <w:bCs/>
        </w:rPr>
        <w:t>Epub</w:t>
      </w:r>
      <w:proofErr w:type="spellEnd"/>
      <w:r w:rsidRPr="00175F85">
        <w:rPr>
          <w:rFonts w:ascii="Arial" w:hAnsi="Arial" w:cs="Arial"/>
          <w:bCs/>
        </w:rPr>
        <w:t xml:space="preserve"> 2013 Sep 10.</w:t>
      </w:r>
    </w:p>
    <w:p w14:paraId="0A5703B3" w14:textId="77777777" w:rsidR="00602CFB" w:rsidRDefault="00602CFB" w:rsidP="00DB3627">
      <w:pPr>
        <w:autoSpaceDE w:val="0"/>
        <w:autoSpaceDN w:val="0"/>
        <w:adjustRightInd w:val="0"/>
        <w:spacing w:after="0" w:line="240" w:lineRule="auto"/>
        <w:rPr>
          <w:rFonts w:cstheme="minorHAnsi"/>
          <w:bCs/>
        </w:rPr>
      </w:pPr>
    </w:p>
    <w:p w14:paraId="2848C269" w14:textId="77777777" w:rsidR="00602CFB" w:rsidRPr="00A25024" w:rsidRDefault="00602CFB" w:rsidP="00DB3627">
      <w:pPr>
        <w:autoSpaceDE w:val="0"/>
        <w:autoSpaceDN w:val="0"/>
        <w:adjustRightInd w:val="0"/>
        <w:spacing w:after="0" w:line="240" w:lineRule="auto"/>
        <w:rPr>
          <w:rFonts w:cstheme="minorHAnsi"/>
          <w:bCs/>
        </w:rPr>
      </w:pPr>
    </w:p>
    <w:p w14:paraId="27579CE2" w14:textId="77777777" w:rsidR="00772FF3"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D91D63B" w14:textId="77777777" w:rsidR="00772FF3" w:rsidRDefault="00772FF3" w:rsidP="00DB3627">
      <w:pPr>
        <w:autoSpaceDE w:val="0"/>
        <w:autoSpaceDN w:val="0"/>
        <w:adjustRightInd w:val="0"/>
        <w:spacing w:after="0" w:line="240" w:lineRule="auto"/>
        <w:rPr>
          <w:rFonts w:cstheme="minorHAnsi"/>
          <w:bCs/>
        </w:rPr>
      </w:pPr>
    </w:p>
    <w:p w14:paraId="6B9EE480" w14:textId="77777777" w:rsidR="00772FF3" w:rsidRPr="00175F85" w:rsidRDefault="00772FF3" w:rsidP="00772FF3">
      <w:pPr>
        <w:autoSpaceDE w:val="0"/>
        <w:autoSpaceDN w:val="0"/>
        <w:adjustRightInd w:val="0"/>
        <w:spacing w:after="0"/>
        <w:rPr>
          <w:rFonts w:ascii="Arial" w:hAnsi="Arial" w:cs="Arial"/>
          <w:bCs/>
        </w:rPr>
      </w:pPr>
      <w:proofErr w:type="spellStart"/>
      <w:r w:rsidRPr="00175F85">
        <w:rPr>
          <w:rFonts w:ascii="Arial" w:hAnsi="Arial" w:cs="Arial"/>
          <w:bCs/>
        </w:rPr>
        <w:t>Doukky</w:t>
      </w:r>
      <w:proofErr w:type="spellEnd"/>
      <w:r w:rsidRPr="00175F85">
        <w:rPr>
          <w:rFonts w:ascii="Arial" w:hAnsi="Arial" w:cs="Arial"/>
          <w:bCs/>
        </w:rPr>
        <w:t xml:space="preserve"> R, Hayes K, </w:t>
      </w:r>
      <w:proofErr w:type="spellStart"/>
      <w:r w:rsidRPr="00175F85">
        <w:rPr>
          <w:rFonts w:ascii="Arial" w:hAnsi="Arial" w:cs="Arial"/>
          <w:bCs/>
        </w:rPr>
        <w:t>Frogge</w:t>
      </w:r>
      <w:proofErr w:type="spellEnd"/>
      <w:r w:rsidRPr="00175F85">
        <w:rPr>
          <w:rFonts w:ascii="Arial" w:hAnsi="Arial" w:cs="Arial"/>
          <w:bCs/>
        </w:rPr>
        <w:t xml:space="preserve"> N, Balakrishnan G, et al.  Impact of appropriate use on the prognostic value of single-photon emission computed tomography myocardial perfusion imaging.</w:t>
      </w:r>
    </w:p>
    <w:p w14:paraId="49B0EE9F" w14:textId="77777777" w:rsidR="00772FF3" w:rsidRPr="00175F85" w:rsidRDefault="00772FF3" w:rsidP="00772FF3">
      <w:pPr>
        <w:pStyle w:val="NormalWeb"/>
        <w:shd w:val="clear" w:color="auto" w:fill="EEEEEE"/>
        <w:spacing w:before="225" w:beforeAutospacing="0" w:after="225" w:afterAutospacing="0"/>
        <w:textAlignment w:val="baseline"/>
        <w:rPr>
          <w:rFonts w:ascii="Arial" w:hAnsi="Arial" w:cs="Arial"/>
          <w:color w:val="191919"/>
          <w:sz w:val="22"/>
          <w:szCs w:val="22"/>
        </w:rPr>
      </w:pPr>
      <w:r w:rsidRPr="00175F85">
        <w:rPr>
          <w:rFonts w:ascii="Arial" w:hAnsi="Arial" w:cs="Arial"/>
          <w:bCs/>
          <w:sz w:val="22"/>
          <w:szCs w:val="22"/>
        </w:rPr>
        <w:t xml:space="preserve">Circulation. 2013 Oct 8;128(15):1634-43. </w:t>
      </w:r>
      <w:proofErr w:type="spellStart"/>
      <w:r w:rsidRPr="00175F85">
        <w:rPr>
          <w:rFonts w:ascii="Arial" w:hAnsi="Arial" w:cs="Arial"/>
          <w:bCs/>
          <w:sz w:val="22"/>
          <w:szCs w:val="22"/>
        </w:rPr>
        <w:t>doi</w:t>
      </w:r>
      <w:proofErr w:type="spellEnd"/>
      <w:r w:rsidRPr="00175F85">
        <w:rPr>
          <w:rFonts w:ascii="Arial" w:hAnsi="Arial" w:cs="Arial"/>
          <w:bCs/>
          <w:sz w:val="22"/>
          <w:szCs w:val="22"/>
        </w:rPr>
        <w:t xml:space="preserve">: 10.1161/CIRCULATIONAHA.113.002744. </w:t>
      </w:r>
      <w:proofErr w:type="spellStart"/>
      <w:r w:rsidRPr="00175F85">
        <w:rPr>
          <w:rFonts w:ascii="Arial" w:hAnsi="Arial" w:cs="Arial"/>
          <w:bCs/>
          <w:sz w:val="22"/>
          <w:szCs w:val="22"/>
        </w:rPr>
        <w:t>Epub</w:t>
      </w:r>
      <w:proofErr w:type="spellEnd"/>
      <w:r w:rsidRPr="00175F85">
        <w:rPr>
          <w:rFonts w:ascii="Arial" w:hAnsi="Arial" w:cs="Arial"/>
          <w:bCs/>
          <w:sz w:val="22"/>
          <w:szCs w:val="22"/>
        </w:rPr>
        <w:t xml:space="preserve"> 2013 Sep 10</w:t>
      </w:r>
    </w:p>
    <w:p w14:paraId="23BF27CC" w14:textId="77777777" w:rsidR="00772FF3" w:rsidRPr="00175F85" w:rsidRDefault="00772FF3" w:rsidP="00772FF3">
      <w:pPr>
        <w:pStyle w:val="NormalWeb"/>
        <w:shd w:val="clear" w:color="auto" w:fill="EEEEEE"/>
        <w:spacing w:before="225" w:beforeAutospacing="0" w:after="225" w:afterAutospacing="0"/>
        <w:textAlignment w:val="baseline"/>
        <w:rPr>
          <w:rFonts w:ascii="Arial" w:hAnsi="Arial" w:cs="Arial"/>
          <w:color w:val="191919"/>
          <w:sz w:val="22"/>
          <w:szCs w:val="22"/>
        </w:rPr>
      </w:pPr>
      <w:r w:rsidRPr="00175F85">
        <w:rPr>
          <w:rFonts w:ascii="Arial" w:hAnsi="Arial" w:cs="Arial"/>
          <w:color w:val="191919"/>
          <w:sz w:val="22"/>
          <w:szCs w:val="22"/>
        </w:rPr>
        <w:t>Baseline Clinical and Imaging Characteristics</w:t>
      </w:r>
    </w:p>
    <w:p w14:paraId="1ED465E9" w14:textId="77777777" w:rsidR="00772FF3" w:rsidRPr="00175F85" w:rsidRDefault="00772FF3" w:rsidP="00DB3627">
      <w:pPr>
        <w:autoSpaceDE w:val="0"/>
        <w:autoSpaceDN w:val="0"/>
        <w:adjustRightInd w:val="0"/>
        <w:spacing w:after="0" w:line="240" w:lineRule="auto"/>
        <w:rPr>
          <w:rFonts w:ascii="Arial" w:hAnsi="Arial" w:cs="Arial"/>
          <w:bCs/>
        </w:rPr>
      </w:pPr>
    </w:p>
    <w:p w14:paraId="55565244" w14:textId="77777777" w:rsidR="00772FF3" w:rsidRPr="00175F85" w:rsidRDefault="00772FF3" w:rsidP="00DB3627">
      <w:pPr>
        <w:autoSpaceDE w:val="0"/>
        <w:autoSpaceDN w:val="0"/>
        <w:adjustRightInd w:val="0"/>
        <w:spacing w:after="0" w:line="240" w:lineRule="auto"/>
        <w:rPr>
          <w:rFonts w:ascii="Arial" w:hAnsi="Arial" w:cs="Arial"/>
          <w:bCs/>
        </w:rPr>
      </w:pPr>
    </w:p>
    <w:tbl>
      <w:tblPr>
        <w:tblW w:w="3562"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2363"/>
        <w:gridCol w:w="1199"/>
      </w:tblGrid>
      <w:tr w:rsidR="00772FF3" w:rsidRPr="00175F85" w14:paraId="5CC073FD" w14:textId="77777777" w:rsidTr="009E2E74">
        <w:trPr>
          <w:tblHeader/>
        </w:trPr>
        <w:tc>
          <w:tcPr>
            <w:tcW w:w="0" w:type="auto"/>
            <w:tcBorders>
              <w:top w:val="single" w:sz="6" w:space="0" w:color="C0C0C0"/>
              <w:left w:val="single" w:sz="6" w:space="0" w:color="E8E8E8"/>
              <w:bottom w:val="single" w:sz="12" w:space="0" w:color="C0C0C0"/>
              <w:right w:val="single" w:sz="6" w:space="0" w:color="E8E8E8"/>
            </w:tcBorders>
            <w:shd w:val="clear" w:color="auto" w:fill="FFFFFF"/>
            <w:tcMar>
              <w:top w:w="30" w:type="dxa"/>
              <w:left w:w="60" w:type="dxa"/>
              <w:bottom w:w="30" w:type="dxa"/>
              <w:right w:w="60" w:type="dxa"/>
            </w:tcMar>
            <w:vAlign w:val="bottom"/>
            <w:hideMark/>
          </w:tcPr>
          <w:p w14:paraId="5C8E9128" w14:textId="77777777" w:rsidR="00772FF3" w:rsidRPr="00175F85" w:rsidRDefault="00772FF3" w:rsidP="009E2E74">
            <w:pPr>
              <w:spacing w:after="0" w:line="250" w:lineRule="atLeast"/>
              <w:rPr>
                <w:rFonts w:ascii="Arial" w:eastAsia="Times New Roman" w:hAnsi="Arial" w:cs="Arial"/>
                <w:color w:val="191919"/>
              </w:rPr>
            </w:pPr>
          </w:p>
        </w:tc>
        <w:tc>
          <w:tcPr>
            <w:tcW w:w="0" w:type="auto"/>
            <w:tcBorders>
              <w:top w:val="single" w:sz="6" w:space="0" w:color="C0C0C0"/>
              <w:left w:val="single" w:sz="6" w:space="0" w:color="E8E8E8"/>
              <w:bottom w:val="single" w:sz="12" w:space="0" w:color="C0C0C0"/>
              <w:right w:val="single" w:sz="6" w:space="0" w:color="E8E8E8"/>
            </w:tcBorders>
            <w:shd w:val="clear" w:color="auto" w:fill="FFFFFF"/>
            <w:tcMar>
              <w:top w:w="30" w:type="dxa"/>
              <w:left w:w="60" w:type="dxa"/>
              <w:bottom w:w="30" w:type="dxa"/>
              <w:right w:w="60" w:type="dxa"/>
            </w:tcMar>
            <w:vAlign w:val="bottom"/>
            <w:hideMark/>
          </w:tcPr>
          <w:p w14:paraId="64639E65"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Overall Cohort</w:t>
            </w:r>
            <w:r w:rsidRPr="00175F85">
              <w:rPr>
                <w:rFonts w:ascii="Arial" w:eastAsia="Times New Roman" w:hAnsi="Arial" w:cs="Arial"/>
                <w:color w:val="191919"/>
              </w:rPr>
              <w:br/>
              <w:t>(n=1511)</w:t>
            </w:r>
          </w:p>
        </w:tc>
      </w:tr>
      <w:tr w:rsidR="00772FF3" w:rsidRPr="00175F85" w14:paraId="0976678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E2E8EF2"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Age, y</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B2EB22E"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59±13</w:t>
            </w:r>
          </w:p>
        </w:tc>
      </w:tr>
      <w:tr w:rsidR="00772FF3" w:rsidRPr="00175F85" w14:paraId="21360B84"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E6D7CB5"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Women,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955F21C"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657 (43.5)</w:t>
            </w:r>
          </w:p>
        </w:tc>
      </w:tr>
      <w:tr w:rsidR="00772FF3" w:rsidRPr="00175F85" w14:paraId="3F744BDA"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1649DA5"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Primary indication for MPI,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C00A2D9" w14:textId="77777777" w:rsidR="00772FF3" w:rsidRPr="00175F85" w:rsidRDefault="00772FF3" w:rsidP="009E2E74">
            <w:pPr>
              <w:spacing w:after="0" w:line="250" w:lineRule="atLeast"/>
              <w:jc w:val="center"/>
              <w:rPr>
                <w:rFonts w:ascii="Arial" w:eastAsia="Times New Roman" w:hAnsi="Arial" w:cs="Arial"/>
                <w:color w:val="191919"/>
              </w:rPr>
            </w:pPr>
          </w:p>
        </w:tc>
      </w:tr>
      <w:tr w:rsidR="00772FF3" w:rsidRPr="00175F85" w14:paraId="601354C2"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B8ECF1F"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Chest pain</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0ACCBCD"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688 (45.5)</w:t>
            </w:r>
          </w:p>
        </w:tc>
      </w:tr>
      <w:tr w:rsidR="00772FF3" w:rsidRPr="00175F85" w14:paraId="2ABABB7E"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0A775C9"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Dyspnea</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35E7BA9"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158 (10.5)</w:t>
            </w:r>
          </w:p>
        </w:tc>
      </w:tr>
      <w:tr w:rsidR="00772FF3" w:rsidRPr="00175F85" w14:paraId="5C118029"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8B793FC"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Abnormal ECG</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5B501C4"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136 (9.0)</w:t>
            </w:r>
          </w:p>
        </w:tc>
      </w:tr>
      <w:tr w:rsidR="00772FF3" w:rsidRPr="00175F85" w14:paraId="4BC3469B"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66E9B6F"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Evaluation of known CAD</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C4DB26F"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159 (10.5)</w:t>
            </w:r>
          </w:p>
        </w:tc>
      </w:tr>
      <w:tr w:rsidR="00772FF3" w:rsidRPr="00175F85" w14:paraId="477F7238"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D7892EF"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Preoperative assessment</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5A9A082"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37 (2.4)</w:t>
            </w:r>
          </w:p>
        </w:tc>
      </w:tr>
      <w:tr w:rsidR="00772FF3" w:rsidRPr="00175F85" w14:paraId="1ACEE54E"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F4DA3C2"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Syncope</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0904C60"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21 (1.4)</w:t>
            </w:r>
          </w:p>
        </w:tc>
      </w:tr>
      <w:tr w:rsidR="00772FF3" w:rsidRPr="00175F85" w14:paraId="5270113D"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E3FA06E"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Asymptomatic</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9FA4D31"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262 (17.3)</w:t>
            </w:r>
          </w:p>
        </w:tc>
      </w:tr>
      <w:tr w:rsidR="00772FF3" w:rsidRPr="00175F85" w14:paraId="0ACBFC12"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0523318"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Hypertension,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C7EE2B4"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841 (55.6)</w:t>
            </w:r>
          </w:p>
        </w:tc>
      </w:tr>
      <w:tr w:rsidR="00772FF3" w:rsidRPr="00175F85" w14:paraId="3625FDE7"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E91E880"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Diabetes mellitus,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E91458C"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333 (22.0)</w:t>
            </w:r>
          </w:p>
        </w:tc>
      </w:tr>
      <w:tr w:rsidR="00772FF3" w:rsidRPr="00175F85" w14:paraId="6030C197"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A8A4BED"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Dyslipidemia,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68FA81A"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695 (46.0)</w:t>
            </w:r>
          </w:p>
        </w:tc>
      </w:tr>
      <w:tr w:rsidR="00772FF3" w:rsidRPr="00175F85" w14:paraId="0555589F"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97F9705"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lastRenderedPageBreak/>
              <w:t>Tobacco use,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ED17A80"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181 (12.0)</w:t>
            </w:r>
          </w:p>
        </w:tc>
      </w:tr>
      <w:tr w:rsidR="00772FF3" w:rsidRPr="00175F85" w14:paraId="5D45C2A2"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6357041"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Family history of CAD,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B2032B3"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544 (36.0)</w:t>
            </w:r>
          </w:p>
        </w:tc>
      </w:tr>
      <w:tr w:rsidR="00772FF3" w:rsidRPr="00175F85" w14:paraId="3EE5473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848B73D"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Framingham 10-y CHD risk,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8AA78B2"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13±10</w:t>
            </w:r>
          </w:p>
        </w:tc>
      </w:tr>
      <w:tr w:rsidR="00772FF3" w:rsidRPr="00175F85" w14:paraId="3FACBA39"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CE8E64F"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Likelihood of obstructive CAD, %</w:t>
            </w:r>
            <w:r w:rsidRPr="00175F85">
              <w:rPr>
                <w:rFonts w:ascii="Arial" w:eastAsia="Times New Roman" w:hAnsi="Arial" w:cs="Arial"/>
                <w:color w:val="191919"/>
                <w:bdr w:val="none" w:sz="0" w:space="0" w:color="auto" w:frame="1"/>
              </w:rPr>
              <w:t>*</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DD857CB"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18±13</w:t>
            </w:r>
          </w:p>
        </w:tc>
      </w:tr>
      <w:tr w:rsidR="00772FF3" w:rsidRPr="00175F85" w14:paraId="2F0466B7"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070EE61"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Exercise stress (Bruce) protocol,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775D8A0"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1164 (77.0)</w:t>
            </w:r>
          </w:p>
        </w:tc>
      </w:tr>
      <w:tr w:rsidR="00772FF3" w:rsidRPr="00175F85" w14:paraId="669C87CF"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6E5463B"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BMI, kg/m</w:t>
            </w:r>
            <w:r w:rsidRPr="00175F85">
              <w:rPr>
                <w:rFonts w:ascii="Arial" w:eastAsia="Times New Roman" w:hAnsi="Arial" w:cs="Arial"/>
                <w:color w:val="191919"/>
                <w:bdr w:val="none" w:sz="0" w:space="0" w:color="auto" w:frame="1"/>
                <w:vertAlign w:val="superscript"/>
              </w:rPr>
              <w:t>2</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4C437C6"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30±5.7</w:t>
            </w:r>
          </w:p>
        </w:tc>
      </w:tr>
      <w:tr w:rsidR="00772FF3" w:rsidRPr="00175F85" w14:paraId="303A1A82"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E130B16"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Known CAD,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B9CFA45"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271 (17.9)</w:t>
            </w:r>
          </w:p>
        </w:tc>
      </w:tr>
      <w:tr w:rsidR="00772FF3" w:rsidRPr="00175F85" w14:paraId="6DB33A00"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017C737"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Previous CABG,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B426896"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76 (5.0)</w:t>
            </w:r>
          </w:p>
        </w:tc>
      </w:tr>
      <w:tr w:rsidR="00772FF3" w:rsidRPr="00175F85" w14:paraId="47338B5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FC5076A"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Previous PCI,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4BA3943"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87 (5.8)</w:t>
            </w:r>
          </w:p>
        </w:tc>
      </w:tr>
      <w:tr w:rsidR="00772FF3" w:rsidRPr="00175F85" w14:paraId="109F33FD"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F74834F"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Previous MI,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3DE4238"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37 (2.4)</w:t>
            </w:r>
          </w:p>
        </w:tc>
      </w:tr>
      <w:tr w:rsidR="00772FF3" w:rsidRPr="00175F85" w14:paraId="57398129"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69A3BFD"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Statin,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5FC32E7"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580 (38.4)</w:t>
            </w:r>
          </w:p>
        </w:tc>
      </w:tr>
      <w:tr w:rsidR="00772FF3" w:rsidRPr="00175F85" w14:paraId="60E6AC2F"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41CF967"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Antiplatelet,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698D9C1"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370 (24.5)</w:t>
            </w:r>
          </w:p>
        </w:tc>
      </w:tr>
      <w:tr w:rsidR="00772FF3" w:rsidRPr="00175F85" w14:paraId="6FAF5AE4"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C6876A5"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β-Blocker,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E9C5D2D"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307 (20.3)</w:t>
            </w:r>
          </w:p>
        </w:tc>
      </w:tr>
      <w:tr w:rsidR="00772FF3" w:rsidRPr="00175F85" w14:paraId="4E0D508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53ECAF9"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ACE-I or ARB,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4FD8CBF"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567 (37.5)</w:t>
            </w:r>
          </w:p>
        </w:tc>
      </w:tr>
      <w:tr w:rsidR="00772FF3" w:rsidRPr="00175F85" w14:paraId="6E0B78F5"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FD64BE3"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Myocardial perfusion,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B2A3A4E" w14:textId="77777777" w:rsidR="00772FF3" w:rsidRPr="00175F85" w:rsidRDefault="00772FF3" w:rsidP="009E2E74">
            <w:pPr>
              <w:spacing w:after="0" w:line="250" w:lineRule="atLeast"/>
              <w:jc w:val="center"/>
              <w:rPr>
                <w:rFonts w:ascii="Arial" w:eastAsia="Times New Roman" w:hAnsi="Arial" w:cs="Arial"/>
                <w:color w:val="191919"/>
              </w:rPr>
            </w:pPr>
          </w:p>
        </w:tc>
      </w:tr>
      <w:tr w:rsidR="00772FF3" w:rsidRPr="00175F85" w14:paraId="5566312E"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92C38CD"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Normal (SSS=0–3)</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08BFC98"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1344 (88.9)</w:t>
            </w:r>
          </w:p>
        </w:tc>
      </w:tr>
      <w:tr w:rsidR="00772FF3" w:rsidRPr="00175F85" w14:paraId="6122100B"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C798302"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Mildly abnormal (SSS=4–8)</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CA3C0A3"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79 (5.2)</w:t>
            </w:r>
          </w:p>
        </w:tc>
      </w:tr>
      <w:tr w:rsidR="00772FF3" w:rsidRPr="00175F85" w14:paraId="43F05119"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2CE6650"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Moderately abnormal (SSS=9–13)</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337EF9D"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47 (3.1)</w:t>
            </w:r>
          </w:p>
        </w:tc>
      </w:tr>
      <w:tr w:rsidR="00772FF3" w:rsidRPr="00175F85" w14:paraId="088DD7F3"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563F7AF"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Severely abnormal (SSS &gt;13)</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721D8FB"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41 (2.7)</w:t>
            </w:r>
          </w:p>
        </w:tc>
      </w:tr>
      <w:tr w:rsidR="00772FF3" w:rsidRPr="00175F85" w14:paraId="35D11844"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4A232AF"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Myocardial ischemia,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D7F4043" w14:textId="77777777" w:rsidR="00772FF3" w:rsidRPr="00175F85" w:rsidRDefault="00772FF3" w:rsidP="009E2E74">
            <w:pPr>
              <w:spacing w:after="0" w:line="250" w:lineRule="atLeast"/>
              <w:jc w:val="center"/>
              <w:rPr>
                <w:rFonts w:ascii="Arial" w:eastAsia="Times New Roman" w:hAnsi="Arial" w:cs="Arial"/>
                <w:color w:val="191919"/>
              </w:rPr>
            </w:pPr>
          </w:p>
        </w:tc>
      </w:tr>
      <w:tr w:rsidR="00772FF3" w:rsidRPr="00175F85" w14:paraId="350B1042"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19CBEF2"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None (SDS ≤1)</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5562660"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1399 (92.6)</w:t>
            </w:r>
          </w:p>
        </w:tc>
      </w:tr>
      <w:tr w:rsidR="00772FF3" w:rsidRPr="00175F85" w14:paraId="5CA7982D"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47B9696"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Mild (SDS=2–4)</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44CAD78"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38 (2.5)</w:t>
            </w:r>
          </w:p>
        </w:tc>
      </w:tr>
      <w:tr w:rsidR="00772FF3" w:rsidRPr="00175F85" w14:paraId="4BAE4F8C"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485F068"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Moderate (SDS=5–7)</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1649B80"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40 (2.6)</w:t>
            </w:r>
          </w:p>
        </w:tc>
      </w:tr>
      <w:tr w:rsidR="00772FF3" w:rsidRPr="00175F85" w14:paraId="3E855349"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92E83B9"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Severe (SDS &gt;7)</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880568F"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43 (2.8)</w:t>
            </w:r>
          </w:p>
        </w:tc>
      </w:tr>
      <w:tr w:rsidR="00772FF3" w:rsidRPr="00175F85" w14:paraId="6DE17FE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BD8FF39"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Type of perfusion abnormality,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EC3F02A" w14:textId="77777777" w:rsidR="00772FF3" w:rsidRPr="00175F85" w:rsidRDefault="00772FF3" w:rsidP="009E2E74">
            <w:pPr>
              <w:spacing w:after="0" w:line="250" w:lineRule="atLeast"/>
              <w:jc w:val="center"/>
              <w:rPr>
                <w:rFonts w:ascii="Arial" w:eastAsia="Times New Roman" w:hAnsi="Arial" w:cs="Arial"/>
                <w:color w:val="191919"/>
              </w:rPr>
            </w:pPr>
          </w:p>
        </w:tc>
      </w:tr>
      <w:tr w:rsidR="00772FF3" w:rsidRPr="00175F85" w14:paraId="30E430D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EF3C7E8"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Reversible</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9490225"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87 (5.8)</w:t>
            </w:r>
          </w:p>
        </w:tc>
      </w:tr>
      <w:tr w:rsidR="00772FF3" w:rsidRPr="00175F85" w14:paraId="2F2B6775"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D318091"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lastRenderedPageBreak/>
              <w:t> </w:t>
            </w:r>
            <w:r w:rsidRPr="00175F85">
              <w:rPr>
                <w:rFonts w:ascii="Arial" w:eastAsia="Times New Roman" w:hAnsi="Arial" w:cs="Arial"/>
                <w:color w:val="191919"/>
              </w:rPr>
              <w:t>Fixed</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F1E0ED2"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61(4.0)</w:t>
            </w:r>
          </w:p>
        </w:tc>
      </w:tr>
      <w:tr w:rsidR="00772FF3" w:rsidRPr="00175F85" w14:paraId="6CE43A6B"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F2CACD3"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r w:rsidRPr="00175F85">
              <w:rPr>
                <w:rFonts w:ascii="Arial" w:eastAsia="Times New Roman" w:hAnsi="Arial" w:cs="Arial"/>
                <w:color w:val="191919"/>
              </w:rPr>
              <w:t>Reversible and fixed</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FEEF2C4"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19 (1.3)</w:t>
            </w:r>
          </w:p>
        </w:tc>
      </w:tr>
      <w:tr w:rsidR="00772FF3" w:rsidRPr="00175F85" w14:paraId="1D154215"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AA20652" w14:textId="77777777" w:rsidR="00772FF3" w:rsidRPr="00175F85" w:rsidRDefault="00772FF3" w:rsidP="009E2E74">
            <w:pPr>
              <w:spacing w:after="0" w:line="250" w:lineRule="atLeast"/>
              <w:rPr>
                <w:rFonts w:ascii="Arial" w:eastAsia="Times New Roman" w:hAnsi="Arial" w:cs="Arial"/>
                <w:color w:val="191919"/>
              </w:rPr>
            </w:pPr>
            <w:r w:rsidRPr="00175F85">
              <w:rPr>
                <w:rFonts w:ascii="Arial" w:eastAsia="Times New Roman" w:hAnsi="Arial" w:cs="Arial"/>
                <w:color w:val="191919"/>
              </w:rPr>
              <w:t> </w:t>
            </w:r>
            <w:proofErr w:type="spellStart"/>
            <w:r w:rsidRPr="00175F85">
              <w:rPr>
                <w:rFonts w:ascii="Arial" w:eastAsia="Times New Roman" w:hAnsi="Arial" w:cs="Arial"/>
                <w:color w:val="191919"/>
              </w:rPr>
              <w:t>Poststress</w:t>
            </w:r>
            <w:proofErr w:type="spellEnd"/>
            <w:r w:rsidRPr="00175F85">
              <w:rPr>
                <w:rFonts w:ascii="Arial" w:eastAsia="Times New Roman" w:hAnsi="Arial" w:cs="Arial"/>
                <w:color w:val="191919"/>
              </w:rPr>
              <w:t xml:space="preserve"> LVEF &lt;50%,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4D93D67" w14:textId="77777777" w:rsidR="00772FF3" w:rsidRPr="00175F85" w:rsidRDefault="00772FF3" w:rsidP="009E2E74">
            <w:pPr>
              <w:spacing w:after="0" w:line="250" w:lineRule="atLeast"/>
              <w:jc w:val="center"/>
              <w:rPr>
                <w:rFonts w:ascii="Arial" w:eastAsia="Times New Roman" w:hAnsi="Arial" w:cs="Arial"/>
                <w:color w:val="191919"/>
              </w:rPr>
            </w:pPr>
            <w:r w:rsidRPr="00175F85">
              <w:rPr>
                <w:rFonts w:ascii="Arial" w:eastAsia="Times New Roman" w:hAnsi="Arial" w:cs="Arial"/>
                <w:color w:val="191919"/>
              </w:rPr>
              <w:t>78 (5.2)</w:t>
            </w:r>
          </w:p>
        </w:tc>
      </w:tr>
    </w:tbl>
    <w:p w14:paraId="0CABCFC9" w14:textId="672A4B10" w:rsidR="007422FD" w:rsidRDefault="007422FD" w:rsidP="00DB3627">
      <w:pPr>
        <w:autoSpaceDE w:val="0"/>
        <w:autoSpaceDN w:val="0"/>
        <w:adjustRightInd w:val="0"/>
        <w:spacing w:after="0" w:line="240" w:lineRule="auto"/>
        <w:rPr>
          <w:rFonts w:cstheme="minorHAnsi"/>
          <w:bCs/>
        </w:rPr>
      </w:pPr>
      <w:r w:rsidRPr="00A25024">
        <w:rPr>
          <w:rFonts w:cstheme="minorHAnsi"/>
          <w:bCs/>
        </w:rPr>
        <w:br/>
      </w:r>
    </w:p>
    <w:p w14:paraId="44D289D2" w14:textId="77777777" w:rsidR="00772FF3" w:rsidRDefault="002B5016" w:rsidP="00772FF3">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r w:rsidR="00772FF3">
        <w:rPr>
          <w:rFonts w:cstheme="minorHAnsi"/>
          <w:bCs/>
        </w:rPr>
        <w:t xml:space="preserve"> </w:t>
      </w:r>
    </w:p>
    <w:p w14:paraId="1C212744" w14:textId="5BFE096A" w:rsidR="00772FF3" w:rsidRPr="0033567F" w:rsidRDefault="00772FF3" w:rsidP="00772FF3">
      <w:pPr>
        <w:autoSpaceDE w:val="0"/>
        <w:autoSpaceDN w:val="0"/>
        <w:adjustRightInd w:val="0"/>
        <w:spacing w:after="0" w:line="240" w:lineRule="auto"/>
        <w:rPr>
          <w:rFonts w:ascii="Arial" w:hAnsi="Arial" w:cs="Arial"/>
          <w:bCs/>
        </w:rPr>
      </w:pPr>
      <w:r w:rsidRPr="0033567F">
        <w:rPr>
          <w:rFonts w:ascii="Arial" w:hAnsi="Arial" w:cs="Arial"/>
          <w:bCs/>
        </w:rPr>
        <w:t>The cohort used for the validity testing is described above.  A smaller single center study was used for reliability testing and is cited below.</w:t>
      </w:r>
    </w:p>
    <w:p w14:paraId="3EEC2D73" w14:textId="24D4087C" w:rsidR="00772FF3" w:rsidRDefault="00772FF3" w:rsidP="00772FF3">
      <w:pPr>
        <w:autoSpaceDE w:val="0"/>
        <w:autoSpaceDN w:val="0"/>
        <w:adjustRightInd w:val="0"/>
        <w:spacing w:after="0" w:line="240" w:lineRule="auto"/>
        <w:rPr>
          <w:rFonts w:cstheme="minorHAnsi"/>
          <w:bCs/>
        </w:rPr>
      </w:pPr>
    </w:p>
    <w:p w14:paraId="1D2B7A6C" w14:textId="77777777" w:rsidR="00E61CC6" w:rsidRDefault="00E61CC6" w:rsidP="00E61CC6">
      <w:pPr>
        <w:autoSpaceDE w:val="0"/>
        <w:autoSpaceDN w:val="0"/>
        <w:adjustRightInd w:val="0"/>
        <w:spacing w:after="0"/>
        <w:rPr>
          <w:rFonts w:cstheme="minorHAnsi"/>
          <w:bCs/>
        </w:rPr>
      </w:pPr>
      <w:r w:rsidRPr="00ED1033">
        <w:rPr>
          <w:rFonts w:cstheme="minorHAnsi"/>
          <w:bCs/>
        </w:rPr>
        <w:t xml:space="preserve">McCully RB, </w:t>
      </w:r>
      <w:proofErr w:type="spellStart"/>
      <w:r w:rsidRPr="00ED1033">
        <w:rPr>
          <w:rFonts w:cstheme="minorHAnsi"/>
          <w:bCs/>
        </w:rPr>
        <w:t>Pellikka</w:t>
      </w:r>
      <w:proofErr w:type="spellEnd"/>
      <w:r w:rsidRPr="00ED1033">
        <w:rPr>
          <w:rFonts w:cstheme="minorHAnsi"/>
          <w:bCs/>
        </w:rPr>
        <w:t xml:space="preserve"> PA, Hodge DO, </w:t>
      </w:r>
      <w:proofErr w:type="spellStart"/>
      <w:r w:rsidRPr="00ED1033">
        <w:rPr>
          <w:rFonts w:cstheme="minorHAnsi"/>
          <w:bCs/>
        </w:rPr>
        <w:t>Araoz</w:t>
      </w:r>
      <w:proofErr w:type="spellEnd"/>
      <w:r w:rsidRPr="00ED1033">
        <w:rPr>
          <w:rFonts w:cstheme="minorHAnsi"/>
          <w:bCs/>
        </w:rPr>
        <w:t xml:space="preserve"> PA, Miller TD, Gibbons RJ.  Applicability of appropriateness criteria for stress imaging: similarities and differences between stress echocardiography and single-photon emission computed tomography myocardial perfusion imaging criteria.  Circ Cardiovasc Imaging.</w:t>
      </w:r>
    </w:p>
    <w:p w14:paraId="57BA3260" w14:textId="77777777" w:rsidR="00E61CC6" w:rsidRPr="0033567F" w:rsidRDefault="00E61CC6" w:rsidP="00772FF3">
      <w:pPr>
        <w:autoSpaceDE w:val="0"/>
        <w:autoSpaceDN w:val="0"/>
        <w:adjustRightInd w:val="0"/>
        <w:spacing w:after="0" w:line="240" w:lineRule="auto"/>
        <w:rPr>
          <w:rFonts w:cstheme="minorHAnsi"/>
          <w:bCs/>
        </w:rPr>
      </w:pPr>
    </w:p>
    <w:p w14:paraId="05987524" w14:textId="77777777" w:rsidR="00772FF3" w:rsidRPr="0033567F" w:rsidRDefault="00772FF3" w:rsidP="00772FF3">
      <w:pPr>
        <w:autoSpaceDE w:val="0"/>
        <w:autoSpaceDN w:val="0"/>
        <w:adjustRightInd w:val="0"/>
        <w:spacing w:after="0" w:line="240" w:lineRule="auto"/>
        <w:rPr>
          <w:rFonts w:ascii="Arial" w:hAnsi="Arial" w:cs="Arial"/>
          <w:bCs/>
        </w:rPr>
      </w:pPr>
      <w:r w:rsidRPr="0033567F">
        <w:rPr>
          <w:rFonts w:ascii="Arial" w:hAnsi="Arial" w:cs="Arial"/>
          <w:bCs/>
        </w:rPr>
        <w:t xml:space="preserve">The demographics of the single center study are as follows:  May 1, 2005, and May 15, 2005.  Mayo Clinic (Rochester, </w:t>
      </w:r>
      <w:proofErr w:type="spellStart"/>
      <w:r w:rsidRPr="0033567F">
        <w:rPr>
          <w:rFonts w:ascii="Arial" w:hAnsi="Arial" w:cs="Arial"/>
          <w:bCs/>
        </w:rPr>
        <w:t>Minn</w:t>
      </w:r>
      <w:proofErr w:type="spellEnd"/>
      <w:r w:rsidRPr="0033567F">
        <w:rPr>
          <w:rFonts w:ascii="Arial" w:hAnsi="Arial" w:cs="Arial"/>
          <w:bCs/>
        </w:rPr>
        <w:t xml:space="preserve">).   The </w:t>
      </w:r>
      <w:proofErr w:type="spellStart"/>
      <w:r w:rsidRPr="0033567F">
        <w:rPr>
          <w:rFonts w:ascii="Arial" w:hAnsi="Arial" w:cs="Arial"/>
          <w:bCs/>
        </w:rPr>
        <w:t>mean±SD</w:t>
      </w:r>
      <w:proofErr w:type="spellEnd"/>
      <w:r w:rsidRPr="0033567F">
        <w:rPr>
          <w:rFonts w:ascii="Arial" w:hAnsi="Arial" w:cs="Arial"/>
          <w:bCs/>
        </w:rPr>
        <w:t xml:space="preserve"> age of the 298 study patients was 66±13 years; 52% were men, 20% had diabetes mellitus, 60% had hypertension, 66% had hyperlipidemia, 54% had a history of smoking, 11% had a prior myocardial infarction, 20% had prior coronary revascularization, 36% had chest pain, 38% had dyspnea, and 41% had a normal resting ECG.</w:t>
      </w:r>
    </w:p>
    <w:p w14:paraId="0CABCFCA" w14:textId="73123250" w:rsidR="0021054A" w:rsidRDefault="0021054A" w:rsidP="00E37E1B">
      <w:pPr>
        <w:autoSpaceDE w:val="0"/>
        <w:autoSpaceDN w:val="0"/>
        <w:adjustRightInd w:val="0"/>
        <w:spacing w:after="0" w:line="240" w:lineRule="auto"/>
        <w:rPr>
          <w:rFonts w:cstheme="minorHAnsi"/>
          <w:bCs/>
        </w:rPr>
      </w:pP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7BF3382D" w14:textId="77777777" w:rsidR="00175F85" w:rsidRDefault="00175F85" w:rsidP="00E37E1B">
      <w:pPr>
        <w:autoSpaceDE w:val="0"/>
        <w:autoSpaceDN w:val="0"/>
        <w:adjustRightInd w:val="0"/>
        <w:spacing w:after="0" w:line="240" w:lineRule="auto"/>
        <w:rPr>
          <w:rFonts w:cstheme="minorHAnsi"/>
          <w:bCs/>
        </w:rPr>
      </w:pPr>
    </w:p>
    <w:p w14:paraId="3CBF082A" w14:textId="07A909CE" w:rsidR="00175F85" w:rsidRPr="00175F85" w:rsidRDefault="00175F85" w:rsidP="00E37E1B">
      <w:pPr>
        <w:autoSpaceDE w:val="0"/>
        <w:autoSpaceDN w:val="0"/>
        <w:adjustRightInd w:val="0"/>
        <w:spacing w:after="0" w:line="240" w:lineRule="auto"/>
        <w:rPr>
          <w:rFonts w:ascii="Arial" w:hAnsi="Arial" w:cs="Arial"/>
          <w:bCs/>
          <w:sz w:val="20"/>
          <w:szCs w:val="20"/>
        </w:rPr>
      </w:pPr>
      <w:r w:rsidRPr="00175F85">
        <w:rPr>
          <w:rFonts w:ascii="Arial" w:hAnsi="Arial" w:cs="Arial"/>
          <w:bCs/>
          <w:sz w:val="20"/>
          <w:szCs w:val="20"/>
        </w:rPr>
        <w:t>N/A</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39B160CB"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772FF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D654707" w14:textId="77777777" w:rsidR="00772FF3" w:rsidRDefault="00772FF3" w:rsidP="008C54A9">
      <w:pPr>
        <w:autoSpaceDE w:val="0"/>
        <w:autoSpaceDN w:val="0"/>
        <w:adjustRightInd w:val="0"/>
        <w:spacing w:after="0" w:line="240" w:lineRule="auto"/>
        <w:rPr>
          <w:rFonts w:cstheme="minorHAnsi"/>
          <w:bCs/>
        </w:rPr>
      </w:pPr>
    </w:p>
    <w:p w14:paraId="2B04B14D" w14:textId="77777777" w:rsidR="00772FF3" w:rsidRPr="0033567F" w:rsidRDefault="00772FF3" w:rsidP="00772FF3">
      <w:pPr>
        <w:autoSpaceDE w:val="0"/>
        <w:autoSpaceDN w:val="0"/>
        <w:adjustRightInd w:val="0"/>
        <w:spacing w:after="0" w:line="240" w:lineRule="auto"/>
        <w:rPr>
          <w:rFonts w:ascii="Arial" w:hAnsi="Arial" w:cs="Arial"/>
          <w:bCs/>
        </w:rPr>
      </w:pPr>
      <w:r w:rsidRPr="0033567F">
        <w:rPr>
          <w:rFonts w:ascii="Arial" w:hAnsi="Arial" w:cs="Arial"/>
          <w:bCs/>
        </w:rPr>
        <w:lastRenderedPageBreak/>
        <w:t xml:space="preserve">McCully RB, </w:t>
      </w:r>
      <w:proofErr w:type="spellStart"/>
      <w:r w:rsidRPr="0033567F">
        <w:rPr>
          <w:rFonts w:ascii="Arial" w:hAnsi="Arial" w:cs="Arial"/>
          <w:bCs/>
        </w:rPr>
        <w:t>Pellikka</w:t>
      </w:r>
      <w:proofErr w:type="spellEnd"/>
      <w:r w:rsidRPr="0033567F">
        <w:rPr>
          <w:rFonts w:ascii="Arial" w:hAnsi="Arial" w:cs="Arial"/>
          <w:bCs/>
        </w:rPr>
        <w:t xml:space="preserve"> PA, Hodge DO, </w:t>
      </w:r>
      <w:proofErr w:type="spellStart"/>
      <w:r w:rsidRPr="0033567F">
        <w:rPr>
          <w:rFonts w:ascii="Arial" w:hAnsi="Arial" w:cs="Arial"/>
          <w:bCs/>
        </w:rPr>
        <w:t>Araoz</w:t>
      </w:r>
      <w:proofErr w:type="spellEnd"/>
      <w:r w:rsidRPr="0033567F">
        <w:rPr>
          <w:rFonts w:ascii="Arial" w:hAnsi="Arial" w:cs="Arial"/>
          <w:bCs/>
        </w:rPr>
        <w:t xml:space="preserve"> PA, Miller TD, Gibbons RJ.  Applicability of appropriateness criteria for stress imaging: similarities and differences between stress echocardiography and single-photon emission computed tomography myocardial perfusion imaging criteria.  Circ Cardiovasc Imaging.</w:t>
      </w:r>
    </w:p>
    <w:p w14:paraId="6E1294B6" w14:textId="77777777" w:rsidR="00772FF3" w:rsidRPr="0033567F" w:rsidRDefault="00772FF3" w:rsidP="00772FF3">
      <w:pPr>
        <w:autoSpaceDE w:val="0"/>
        <w:autoSpaceDN w:val="0"/>
        <w:adjustRightInd w:val="0"/>
        <w:spacing w:after="0" w:line="240" w:lineRule="auto"/>
        <w:rPr>
          <w:rFonts w:ascii="Arial" w:hAnsi="Arial" w:cs="Arial"/>
          <w:bCs/>
        </w:rPr>
      </w:pPr>
    </w:p>
    <w:p w14:paraId="59DFFDBB" w14:textId="245305BE" w:rsidR="00772FF3" w:rsidRPr="0033567F" w:rsidRDefault="00772FF3" w:rsidP="00772FF3">
      <w:pPr>
        <w:autoSpaceDE w:val="0"/>
        <w:autoSpaceDN w:val="0"/>
        <w:adjustRightInd w:val="0"/>
        <w:spacing w:after="0" w:line="240" w:lineRule="auto"/>
        <w:rPr>
          <w:rFonts w:ascii="Arial" w:hAnsi="Arial" w:cs="Arial"/>
          <w:bCs/>
        </w:rPr>
      </w:pPr>
      <w:r w:rsidRPr="0033567F">
        <w:rPr>
          <w:rFonts w:ascii="Arial" w:hAnsi="Arial" w:cs="Arial"/>
          <w:bCs/>
        </w:rPr>
        <w:t>Using the appropriateness criteria document, 2 experienced cardiac registered nurse abstractors reviewed patient demographics and other relevant information and classified each patient as appropriate, inappropriate, or uncertain. Patients who did not fit any of the clinical situations in the appropriateness criteria were judged to be not classifiable. The level of agreement between the 2 raters was analyzed</w:t>
      </w:r>
      <w:r w:rsidR="0033567F">
        <w:rPr>
          <w:rFonts w:ascii="Arial" w:hAnsi="Arial" w:cs="Arial"/>
          <w:bCs/>
        </w:rPr>
        <w:t>.</w:t>
      </w:r>
    </w:p>
    <w:p w14:paraId="0115D344" w14:textId="77777777" w:rsidR="00772FF3" w:rsidRPr="0033567F" w:rsidRDefault="00772FF3" w:rsidP="00772FF3">
      <w:pPr>
        <w:autoSpaceDE w:val="0"/>
        <w:autoSpaceDN w:val="0"/>
        <w:adjustRightInd w:val="0"/>
        <w:spacing w:after="0" w:line="240" w:lineRule="auto"/>
        <w:rPr>
          <w:rFonts w:ascii="Arial" w:hAnsi="Arial" w:cs="Arial"/>
          <w:bCs/>
        </w:rPr>
      </w:pPr>
    </w:p>
    <w:p w14:paraId="4B6BE340" w14:textId="7A293233" w:rsidR="00772FF3" w:rsidRPr="0033567F" w:rsidRDefault="00772FF3" w:rsidP="008C54A9">
      <w:pPr>
        <w:autoSpaceDE w:val="0"/>
        <w:autoSpaceDN w:val="0"/>
        <w:adjustRightInd w:val="0"/>
        <w:spacing w:after="0" w:line="240" w:lineRule="auto"/>
        <w:rPr>
          <w:rFonts w:ascii="Arial" w:hAnsi="Arial" w:cs="Arial"/>
          <w:bCs/>
        </w:rPr>
      </w:pPr>
      <w:r w:rsidRPr="0033567F">
        <w:rPr>
          <w:rFonts w:ascii="Arial" w:hAnsi="Arial" w:cs="Arial"/>
          <w:bCs/>
        </w:rPr>
        <w:t>Also, s</w:t>
      </w:r>
      <w:r w:rsidR="0033567F">
        <w:rPr>
          <w:rFonts w:ascii="Arial" w:hAnsi="Arial" w:cs="Arial"/>
          <w:bCs/>
        </w:rPr>
        <w:t>ee section 2b1</w:t>
      </w:r>
      <w:r w:rsidRPr="0033567F">
        <w:rPr>
          <w:rFonts w:ascii="Arial" w:hAnsi="Arial" w:cs="Arial"/>
          <w:bCs/>
        </w:rPr>
        <w:t xml:space="preserve"> for validity testing of data elements. </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0CABCFD3"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1F375DD8" w14:textId="77777777" w:rsidR="0033567F" w:rsidRDefault="00772FF3" w:rsidP="008C54A9">
      <w:pPr>
        <w:autoSpaceDE w:val="0"/>
        <w:autoSpaceDN w:val="0"/>
        <w:adjustRightInd w:val="0"/>
        <w:spacing w:after="0" w:line="240" w:lineRule="auto"/>
        <w:rPr>
          <w:rFonts w:ascii="Arial" w:hAnsi="Arial" w:cs="Arial"/>
          <w:bCs/>
        </w:rPr>
      </w:pPr>
      <w:r w:rsidRPr="0033567F">
        <w:rPr>
          <w:rFonts w:ascii="Arial" w:hAnsi="Arial" w:cs="Arial"/>
          <w:bCs/>
        </w:rPr>
        <w:t xml:space="preserve">McCully RB, </w:t>
      </w:r>
      <w:proofErr w:type="spellStart"/>
      <w:r w:rsidRPr="0033567F">
        <w:rPr>
          <w:rFonts w:ascii="Arial" w:hAnsi="Arial" w:cs="Arial"/>
          <w:bCs/>
        </w:rPr>
        <w:t>Pellikka</w:t>
      </w:r>
      <w:proofErr w:type="spellEnd"/>
      <w:r w:rsidRPr="0033567F">
        <w:rPr>
          <w:rFonts w:ascii="Arial" w:hAnsi="Arial" w:cs="Arial"/>
          <w:bCs/>
        </w:rPr>
        <w:t xml:space="preserve"> PA, Hodge DO, </w:t>
      </w:r>
      <w:proofErr w:type="spellStart"/>
      <w:r w:rsidRPr="0033567F">
        <w:rPr>
          <w:rFonts w:ascii="Arial" w:hAnsi="Arial" w:cs="Arial"/>
          <w:bCs/>
        </w:rPr>
        <w:t>Araoz</w:t>
      </w:r>
      <w:proofErr w:type="spellEnd"/>
      <w:r w:rsidRPr="0033567F">
        <w:rPr>
          <w:rFonts w:ascii="Arial" w:hAnsi="Arial" w:cs="Arial"/>
          <w:bCs/>
        </w:rPr>
        <w:t xml:space="preserve"> PA, Miller TD, Gibbons RJ.  Applicability of appropriateness criteria for stress imaging: similarities and differences between stress echocardiography and single-photon emission computed tomography myocardial perfusion imaging criteria.  Circ Cardiovasc Imaging. 2009 May;2(3):213-8. </w:t>
      </w:r>
    </w:p>
    <w:p w14:paraId="6FCFCC3D" w14:textId="77777777" w:rsidR="0033567F" w:rsidRDefault="0033567F" w:rsidP="008C54A9">
      <w:pPr>
        <w:autoSpaceDE w:val="0"/>
        <w:autoSpaceDN w:val="0"/>
        <w:adjustRightInd w:val="0"/>
        <w:spacing w:after="0" w:line="240" w:lineRule="auto"/>
        <w:rPr>
          <w:rFonts w:ascii="Arial" w:hAnsi="Arial" w:cs="Arial"/>
          <w:bCs/>
        </w:rPr>
      </w:pPr>
    </w:p>
    <w:p w14:paraId="07BE3C5D" w14:textId="2F8A02DB" w:rsidR="00772FF3" w:rsidRPr="0033567F" w:rsidRDefault="0033567F" w:rsidP="008C54A9">
      <w:pPr>
        <w:autoSpaceDE w:val="0"/>
        <w:autoSpaceDN w:val="0"/>
        <w:adjustRightInd w:val="0"/>
        <w:spacing w:after="0" w:line="240" w:lineRule="auto"/>
        <w:rPr>
          <w:rFonts w:ascii="Arial" w:hAnsi="Arial" w:cs="Arial"/>
          <w:bCs/>
        </w:rPr>
      </w:pPr>
      <w:r>
        <w:rPr>
          <w:rFonts w:ascii="Arial" w:hAnsi="Arial" w:cs="Arial"/>
          <w:bCs/>
        </w:rPr>
        <w:t>Nurse abstract0</w:t>
      </w:r>
      <w:r w:rsidR="00772FF3" w:rsidRPr="0033567F">
        <w:rPr>
          <w:rFonts w:ascii="Arial" w:hAnsi="Arial" w:cs="Arial"/>
          <w:bCs/>
        </w:rPr>
        <w:t>r agreement kappa=0.72 for stress echocardiography</w:t>
      </w:r>
    </w:p>
    <w:p w14:paraId="281E721C" w14:textId="77777777" w:rsidR="00772FF3" w:rsidRPr="00A25024" w:rsidRDefault="00772FF3" w:rsidP="008C54A9">
      <w:pPr>
        <w:autoSpaceDE w:val="0"/>
        <w:autoSpaceDN w:val="0"/>
        <w:adjustRightInd w:val="0"/>
        <w:spacing w:after="0" w:line="240" w:lineRule="auto"/>
        <w:rPr>
          <w:rFonts w:cstheme="minorHAnsi"/>
          <w:bCs/>
        </w:rPr>
      </w:pPr>
    </w:p>
    <w:p w14:paraId="6DB1116B" w14:textId="77777777" w:rsidR="00772FF3"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4815DBA8" w14:textId="77777777" w:rsidR="00772FF3" w:rsidRDefault="00772FF3" w:rsidP="00DB3627">
      <w:pPr>
        <w:autoSpaceDE w:val="0"/>
        <w:autoSpaceDN w:val="0"/>
        <w:adjustRightInd w:val="0"/>
        <w:spacing w:after="0" w:line="240" w:lineRule="auto"/>
        <w:rPr>
          <w:rFonts w:cstheme="minorHAnsi"/>
          <w:bCs/>
        </w:rPr>
      </w:pPr>
    </w:p>
    <w:p w14:paraId="0CABCFD4" w14:textId="0998A5FC" w:rsidR="007422FD" w:rsidRPr="0033567F" w:rsidRDefault="00772FF3" w:rsidP="00DB3627">
      <w:pPr>
        <w:autoSpaceDE w:val="0"/>
        <w:autoSpaceDN w:val="0"/>
        <w:adjustRightInd w:val="0"/>
        <w:spacing w:after="0" w:line="240" w:lineRule="auto"/>
        <w:rPr>
          <w:rFonts w:ascii="Arial" w:hAnsi="Arial" w:cs="Arial"/>
          <w:bCs/>
        </w:rPr>
      </w:pPr>
      <w:r w:rsidRPr="0033567F">
        <w:rPr>
          <w:rFonts w:ascii="Arial" w:hAnsi="Arial" w:cs="Arial"/>
          <w:bCs/>
        </w:rPr>
        <w:t>The data elements required for calculation of the appropriate use metrics can be obtained reliably by clinical staff from data residing in patient records with a high degree of agreement between nurses who would enter the data into the registry/clinical database.</w:t>
      </w:r>
      <w:r w:rsidR="007422FD" w:rsidRPr="0033567F">
        <w:rPr>
          <w:rFonts w:ascii="Arial" w:hAnsi="Arial" w:cs="Arial"/>
          <w:bCs/>
        </w:rPr>
        <w:br/>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4ECBCA75" w:rsidR="00696262" w:rsidRPr="00A25024" w:rsidRDefault="00877DBA"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772FF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7EA84316" w:rsidR="000574AB" w:rsidRPr="00A25024" w:rsidRDefault="00877DBA"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772FF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1153A953" w:rsidR="00833325" w:rsidRPr="00A2502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1E3EF1" w:rsidRPr="0033567F">
        <w:rPr>
          <w:rFonts w:ascii="Arial" w:hAnsi="Arial" w:cs="Arial"/>
          <w:bCs/>
        </w:rPr>
        <w:t>Relationship between appropriate use score and predictive value of SPECT MPI</w:t>
      </w:r>
      <w:r w:rsidR="0033567F">
        <w:rPr>
          <w:rFonts w:ascii="Arial" w:hAnsi="Arial" w:cs="Arial"/>
          <w:bCs/>
        </w:rPr>
        <w:t>.</w:t>
      </w:r>
      <w:r w:rsidR="001E3EF1" w:rsidRPr="0033567F">
        <w:rPr>
          <w:rFonts w:ascii="Arial" w:hAnsi="Arial" w:cs="Arial"/>
          <w:bCs/>
        </w:rPr>
        <w:br/>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66C89D3D" w14:textId="77777777" w:rsidR="001E3EF1" w:rsidRDefault="009C7513" w:rsidP="00092566">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2C57AC90" w14:textId="77777777" w:rsidR="001E3EF1" w:rsidRPr="0033567F" w:rsidRDefault="001E3EF1" w:rsidP="001E3EF1">
      <w:pPr>
        <w:autoSpaceDE w:val="0"/>
        <w:autoSpaceDN w:val="0"/>
        <w:adjustRightInd w:val="0"/>
        <w:spacing w:after="0"/>
        <w:rPr>
          <w:rFonts w:ascii="Arial" w:hAnsi="Arial" w:cs="Arial"/>
          <w:bCs/>
        </w:rPr>
      </w:pPr>
      <w:proofErr w:type="spellStart"/>
      <w:r w:rsidRPr="0033567F">
        <w:rPr>
          <w:rFonts w:ascii="Arial" w:hAnsi="Arial" w:cs="Arial"/>
          <w:bCs/>
        </w:rPr>
        <w:t>Doukky</w:t>
      </w:r>
      <w:proofErr w:type="spellEnd"/>
      <w:r w:rsidRPr="0033567F">
        <w:rPr>
          <w:rFonts w:ascii="Arial" w:hAnsi="Arial" w:cs="Arial"/>
          <w:bCs/>
        </w:rPr>
        <w:t xml:space="preserve"> R, Hayes K, </w:t>
      </w:r>
      <w:proofErr w:type="spellStart"/>
      <w:r w:rsidRPr="0033567F">
        <w:rPr>
          <w:rFonts w:ascii="Arial" w:hAnsi="Arial" w:cs="Arial"/>
          <w:bCs/>
        </w:rPr>
        <w:t>Frogge</w:t>
      </w:r>
      <w:proofErr w:type="spellEnd"/>
      <w:r w:rsidRPr="0033567F">
        <w:rPr>
          <w:rFonts w:ascii="Arial" w:hAnsi="Arial" w:cs="Arial"/>
          <w:bCs/>
        </w:rPr>
        <w:t xml:space="preserve"> N, Balakrishnan G, et al.  Impact of appropriate use on the prognostic value of single-photon emission computed tomography myocardial perfusion imaging.</w:t>
      </w:r>
    </w:p>
    <w:p w14:paraId="3A83EB34" w14:textId="77777777" w:rsidR="001E3EF1" w:rsidRPr="0033567F" w:rsidRDefault="001E3EF1" w:rsidP="001E3EF1">
      <w:pPr>
        <w:autoSpaceDE w:val="0"/>
        <w:autoSpaceDN w:val="0"/>
        <w:adjustRightInd w:val="0"/>
        <w:spacing w:after="0"/>
        <w:rPr>
          <w:rFonts w:ascii="Arial" w:hAnsi="Arial" w:cs="Arial"/>
          <w:bCs/>
        </w:rPr>
      </w:pPr>
    </w:p>
    <w:p w14:paraId="71E2EA07" w14:textId="77777777" w:rsidR="001E3EF1" w:rsidRPr="005B6ADF" w:rsidRDefault="001E3EF1" w:rsidP="001E3EF1">
      <w:pPr>
        <w:autoSpaceDE w:val="0"/>
        <w:autoSpaceDN w:val="0"/>
        <w:adjustRightInd w:val="0"/>
        <w:spacing w:after="0"/>
        <w:rPr>
          <w:rFonts w:ascii="Arial" w:hAnsi="Arial" w:cs="Arial"/>
          <w:bCs/>
        </w:rPr>
      </w:pPr>
      <w:r w:rsidRPr="0033567F">
        <w:rPr>
          <w:rFonts w:ascii="Arial" w:hAnsi="Arial" w:cs="Arial"/>
          <w:bCs/>
        </w:rPr>
        <w:t xml:space="preserve">Patients in the appropriate/uncertain group experienced significantly higher overall rates of death (HR, 2.9; 95% CI, 1.05–8.0; P=0.04), the composite of death or MI (HR, 1.04; 95% CI, 1.01–1.07; P=0.03), and the composite of cardiac death or MI (HR=5.7; 95% CI, 1.3–25.6; P=0.02) after adjustment for clinical covariates. Among patients in the appropriate/uncertain group, abnormal MPI continued to predict a multifold increase in the risk of death, cardiac death, composite of death or MI, and composite of cardiac death or MI (Figure 4). However, in the inappropriate group, there were no statistically significant differences in MACE rates between subjects with abnormal versus normal MPI (Figure 4). Furthermore, using Cox regression </w:t>
      </w:r>
      <w:r w:rsidRPr="005B6ADF">
        <w:rPr>
          <w:rFonts w:ascii="Arial" w:hAnsi="Arial" w:cs="Arial"/>
          <w:bCs/>
        </w:rPr>
        <w:t>models, no interaction was identified between the study group and MPI finding in predicting death, the composite of death or MI, or the composite of cardiac death or MI (P=0.91, 0.70, and 0.43, respectively).</w:t>
      </w:r>
    </w:p>
    <w:p w14:paraId="2938FAF7" w14:textId="77777777" w:rsidR="001E3EF1" w:rsidRPr="005B6ADF" w:rsidRDefault="001E3EF1" w:rsidP="001E3EF1">
      <w:pPr>
        <w:autoSpaceDE w:val="0"/>
        <w:autoSpaceDN w:val="0"/>
        <w:adjustRightInd w:val="0"/>
        <w:spacing w:after="0"/>
        <w:rPr>
          <w:rFonts w:ascii="Arial" w:hAnsi="Arial" w:cs="Arial"/>
          <w:bCs/>
        </w:rPr>
      </w:pPr>
    </w:p>
    <w:p w14:paraId="0A00A947" w14:textId="77777777" w:rsidR="001E3EF1" w:rsidRPr="005B6ADF" w:rsidRDefault="001E3EF1" w:rsidP="001E3EF1">
      <w:pPr>
        <w:autoSpaceDE w:val="0"/>
        <w:autoSpaceDN w:val="0"/>
        <w:adjustRightInd w:val="0"/>
        <w:spacing w:after="0"/>
        <w:rPr>
          <w:rFonts w:ascii="Arial" w:hAnsi="Arial" w:cs="Arial"/>
          <w:bCs/>
        </w:rPr>
      </w:pPr>
      <w:r w:rsidRPr="005B6ADF">
        <w:rPr>
          <w:rFonts w:ascii="Arial" w:hAnsi="Arial" w:cs="Arial"/>
          <w:bCs/>
        </w:rPr>
        <w:t>A Cox regression model demonstrated that inappropriate MPI use was a negative predictor of all-cause mortality (HR, 0.26; 95% CI, 0.10–0.67; P=0.005) after adjustment for myocardial perfusion finding (normal versus abnormal; HR, 2.5; 95% CI, 1.1–5.9; P=0.04) and depressed LVEF (&lt;50%; HR, 3.7; 95% CI, 1.5–9.3; P=0.006); undergoing early coronary revascularization was not predictive of mortality (P=0.98). Similarly, in separate models, we demonstrated that inappropriate use was an independent negative predictor of the secondary end points of death or MI (HR, 0.31; 95% CI, 0.14–0.70; P=0.005) and cardiac death or MI (HR, 0.16; 95% CI, 0.04–0.71; P=0.02) after adjustment for depressed LVEF, myocardial perfusion findings, and early revascularization. In these models, MPI and depressed LVEF independently predicted the composite end points of death or MI and cardiac death or MI, whereas undergoing early coronary revascularization after MPI was not predictive of these end points (P≥0.97). Finally, in forward stepwise Cox regression models, appropriate use was shown to have incremental prognostic value to perfusion imaging and depressed LVEF in predicting MACE; undergoing early revascularization (&lt;60 days) did not provide significant additional predictive value</w:t>
      </w:r>
    </w:p>
    <w:p w14:paraId="0CABCFDE" w14:textId="394522E0" w:rsidR="007422FD" w:rsidRPr="00092566" w:rsidRDefault="00833325" w:rsidP="00092566">
      <w:pPr>
        <w:autoSpaceDE w:val="0"/>
        <w:autoSpaceDN w:val="0"/>
        <w:adjustRightInd w:val="0"/>
        <w:spacing w:after="0" w:line="240" w:lineRule="auto"/>
        <w:rPr>
          <w:rFonts w:cstheme="minorHAnsi"/>
          <w:bCs/>
        </w:rPr>
      </w:pPr>
      <w:r w:rsidRPr="00A25024">
        <w:rPr>
          <w:rFonts w:cstheme="minorHAnsi"/>
          <w:bCs/>
        </w:rPr>
        <w:br/>
      </w:r>
    </w:p>
    <w:p w14:paraId="0CABCFDF" w14:textId="5AD071B1" w:rsidR="007422FD" w:rsidRPr="00A2502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1E3EF1" w:rsidRPr="005B6ADF">
        <w:rPr>
          <w:rFonts w:ascii="Arial" w:hAnsi="Arial" w:cs="Arial"/>
          <w:bCs/>
        </w:rPr>
        <w:t>Appropriateness of imaging as measured by these metrics is correlated with the downstream value of the test in contributing to clinical decision making.  As such, the metrics contribute to ensuring the prognostic value of the imaging procedures measured.</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5000B7E6"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1E3EF1">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6255C2C"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6095C087" w:rsidR="00033038" w:rsidRPr="005232D6" w:rsidRDefault="00877DBA"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1E3EF1">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877DBA"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877DBA"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877DBA"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Default="00AF2D68" w:rsidP="009D3882">
      <w:pPr>
        <w:rPr>
          <w:rFonts w:cs="Calibri"/>
          <w:b/>
          <w:bCs/>
        </w:rPr>
      </w:pPr>
    </w:p>
    <w:p w14:paraId="0CABCFF4" w14:textId="72F05C9F" w:rsidR="009D3882" w:rsidRPr="009D3882" w:rsidRDefault="009C7513" w:rsidP="009D3882">
      <w:pPr>
        <w:rPr>
          <w:rFonts w:cstheme="minorHAnsi"/>
          <w:b/>
          <w:bCs/>
          <w:sz w:val="14"/>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0CABCFF6" w14:textId="6B194552" w:rsidR="00001D73" w:rsidRPr="00AF2D68"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877DB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877DB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877DB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434655CC"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 xml:space="preserve">(e.g. prevalence of the factor across measured entities, empirical association with the outcome, </w:t>
      </w:r>
      <w:r w:rsidR="00C1695E" w:rsidRPr="00AF2D68">
        <w:rPr>
          <w:rFonts w:cstheme="minorHAnsi"/>
          <w:bCs/>
          <w:i/>
        </w:rPr>
        <w:lastRenderedPageBreak/>
        <w:t>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9D5D7A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ABCFFE" w14:textId="57E7DDD4"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3" w:name="question2b49"/>
      <w:bookmarkEnd w:id="1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092566">
      <w:pPr>
        <w:pStyle w:val="ListParagraph"/>
        <w:rPr>
          <w:rFonts w:cstheme="minorHAnsi"/>
          <w:bCs/>
        </w:rPr>
      </w:pP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Pr>
          <w:rFonts w:cstheme="minorHAnsi"/>
          <w:b/>
          <w:bCs/>
        </w:rPr>
        <w:t>2b4</w:t>
      </w:r>
      <w:r w:rsidR="00D61410" w:rsidRPr="00A25024">
        <w:rPr>
          <w:rFonts w:cstheme="minorHAnsi"/>
          <w:b/>
          <w:bCs/>
        </w:rPr>
        <w:t>. IDENTIFICATION OF STATISTICALLY SIGNIFICANT &amp; MEANINGFUL DIFFERENCES IN PERFORMANCE</w:t>
      </w:r>
    </w:p>
    <w:p w14:paraId="28B9A4B2" w14:textId="77777777" w:rsidR="001E3EF1"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35DD2A96" w14:textId="77777777" w:rsidR="001E3EF1" w:rsidRDefault="001E3EF1" w:rsidP="00D61410">
      <w:pPr>
        <w:autoSpaceDE w:val="0"/>
        <w:autoSpaceDN w:val="0"/>
        <w:adjustRightInd w:val="0"/>
        <w:spacing w:after="0" w:line="240" w:lineRule="auto"/>
        <w:rPr>
          <w:rFonts w:cstheme="minorHAnsi"/>
          <w:bCs/>
          <w:i/>
        </w:rPr>
      </w:pPr>
    </w:p>
    <w:p w14:paraId="0CABD009" w14:textId="6543B9D8" w:rsidR="00D61410" w:rsidRPr="005B6ADF" w:rsidRDefault="001E3EF1" w:rsidP="001E3EF1">
      <w:pPr>
        <w:autoSpaceDE w:val="0"/>
        <w:autoSpaceDN w:val="0"/>
        <w:adjustRightInd w:val="0"/>
        <w:spacing w:after="0"/>
        <w:rPr>
          <w:rFonts w:ascii="Arial" w:hAnsi="Arial" w:cs="Arial"/>
          <w:bCs/>
        </w:rPr>
      </w:pPr>
      <w:r w:rsidRPr="005B6ADF">
        <w:rPr>
          <w:rFonts w:ascii="Arial" w:hAnsi="Arial" w:cs="Arial"/>
          <w:bCs/>
        </w:rPr>
        <w:t xml:space="preserve">To date, there has been consistency in the studies showing the gap in performance on these metrics across sites.  While individual practitioner level measurement and rates based on type of physician have shown variability, practice/hospital performance has been similar at baseline and after intervention to improve.  </w:t>
      </w:r>
      <w:r w:rsidR="00D61410" w:rsidRPr="005B6ADF">
        <w:rPr>
          <w:rFonts w:ascii="Arial" w:hAnsi="Arial" w:cs="Arial"/>
          <w:bCs/>
        </w:rPr>
        <w:br/>
        <w:t xml:space="preserve"> </w:t>
      </w:r>
    </w:p>
    <w:p w14:paraId="711BE046" w14:textId="77777777" w:rsidR="001E3EF1"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71CF0969" w14:textId="77777777" w:rsidR="001E3EF1" w:rsidRDefault="001E3EF1" w:rsidP="00D61410">
      <w:pPr>
        <w:autoSpaceDE w:val="0"/>
        <w:autoSpaceDN w:val="0"/>
        <w:adjustRightInd w:val="0"/>
        <w:spacing w:after="0" w:line="240" w:lineRule="auto"/>
        <w:rPr>
          <w:rFonts w:cstheme="minorHAnsi"/>
          <w:bCs/>
        </w:rPr>
      </w:pPr>
    </w:p>
    <w:p w14:paraId="2EA8EFBD" w14:textId="77777777" w:rsidR="001E3EF1" w:rsidRPr="005B6ADF" w:rsidRDefault="001E3EF1" w:rsidP="001E3EF1">
      <w:pPr>
        <w:autoSpaceDE w:val="0"/>
        <w:autoSpaceDN w:val="0"/>
        <w:adjustRightInd w:val="0"/>
        <w:spacing w:after="0"/>
        <w:rPr>
          <w:rFonts w:ascii="Arial" w:hAnsi="Arial" w:cs="Arial"/>
          <w:bCs/>
        </w:rPr>
      </w:pPr>
      <w:proofErr w:type="spellStart"/>
      <w:r w:rsidRPr="005B6ADF">
        <w:rPr>
          <w:rFonts w:ascii="Arial" w:hAnsi="Arial" w:cs="Arial"/>
          <w:bCs/>
        </w:rPr>
        <w:t>Doukky</w:t>
      </w:r>
      <w:proofErr w:type="spellEnd"/>
      <w:r w:rsidRPr="005B6ADF">
        <w:rPr>
          <w:rFonts w:ascii="Arial" w:hAnsi="Arial" w:cs="Arial"/>
          <w:bCs/>
        </w:rPr>
        <w:t xml:space="preserve"> R, Hayes K, </w:t>
      </w:r>
      <w:proofErr w:type="spellStart"/>
      <w:r w:rsidRPr="005B6ADF">
        <w:rPr>
          <w:rFonts w:ascii="Arial" w:hAnsi="Arial" w:cs="Arial"/>
          <w:bCs/>
        </w:rPr>
        <w:t>Frogge</w:t>
      </w:r>
      <w:proofErr w:type="spellEnd"/>
      <w:r w:rsidRPr="005B6ADF">
        <w:rPr>
          <w:rFonts w:ascii="Arial" w:hAnsi="Arial" w:cs="Arial"/>
          <w:bCs/>
        </w:rPr>
        <w:t xml:space="preserve"> N, Balakrishnan G, et al.  Impact of appropriate use on the prognostic value of single-photon emission computed tomography myocardial perfusion imaging.</w:t>
      </w:r>
    </w:p>
    <w:p w14:paraId="22020366" w14:textId="77777777" w:rsidR="001E3EF1" w:rsidRPr="005B6ADF" w:rsidRDefault="001E3EF1" w:rsidP="001E3EF1">
      <w:pPr>
        <w:autoSpaceDE w:val="0"/>
        <w:autoSpaceDN w:val="0"/>
        <w:adjustRightInd w:val="0"/>
        <w:spacing w:after="0"/>
        <w:rPr>
          <w:rFonts w:ascii="Arial" w:hAnsi="Arial" w:cs="Arial"/>
          <w:bCs/>
        </w:rPr>
      </w:pPr>
      <w:r w:rsidRPr="005B6ADF">
        <w:rPr>
          <w:rFonts w:ascii="Arial" w:hAnsi="Arial" w:cs="Arial"/>
          <w:bCs/>
        </w:rPr>
        <w:t>No statistical tests have been applied to demonstrate differences among the measured entities at the practice/hospital level.  Inappropriate use rates for individual practitioners ranged from 10% to 77% (P&lt;0.001) and were higher among primary care physicians than cardiologists (47% versus 28%; P&lt;0.001)</w:t>
      </w:r>
      <w:r w:rsidRPr="005B6ADF">
        <w:rPr>
          <w:rFonts w:ascii="Arial" w:hAnsi="Arial" w:cs="Arial"/>
          <w:bCs/>
        </w:rPr>
        <w:br/>
      </w:r>
    </w:p>
    <w:p w14:paraId="42491C72" w14:textId="77777777" w:rsidR="001E3EF1" w:rsidRPr="005B6ADF" w:rsidRDefault="001E3EF1" w:rsidP="001E3EF1">
      <w:pPr>
        <w:autoSpaceDE w:val="0"/>
        <w:autoSpaceDN w:val="0"/>
        <w:adjustRightInd w:val="0"/>
        <w:spacing w:after="0"/>
        <w:rPr>
          <w:rFonts w:ascii="Arial" w:hAnsi="Arial" w:cs="Arial"/>
          <w:bCs/>
        </w:rPr>
      </w:pPr>
      <w:r w:rsidRPr="005B6ADF">
        <w:rPr>
          <w:rFonts w:ascii="Arial" w:hAnsi="Arial" w:cs="Arial"/>
          <w:bCs/>
        </w:rPr>
        <w:t xml:space="preserve">Fonseca R, </w:t>
      </w:r>
      <w:proofErr w:type="spellStart"/>
      <w:r w:rsidRPr="005B6ADF">
        <w:rPr>
          <w:rFonts w:ascii="Arial" w:hAnsi="Arial" w:cs="Arial"/>
          <w:bCs/>
        </w:rPr>
        <w:t>Negishi</w:t>
      </w:r>
      <w:proofErr w:type="spellEnd"/>
      <w:r w:rsidRPr="005B6ADF">
        <w:rPr>
          <w:rFonts w:ascii="Arial" w:hAnsi="Arial" w:cs="Arial"/>
          <w:bCs/>
        </w:rPr>
        <w:t xml:space="preserve"> K, </w:t>
      </w:r>
      <w:proofErr w:type="spellStart"/>
      <w:r w:rsidRPr="005B6ADF">
        <w:rPr>
          <w:rFonts w:ascii="Arial" w:hAnsi="Arial" w:cs="Arial"/>
          <w:bCs/>
        </w:rPr>
        <w:t>Otahal</w:t>
      </w:r>
      <w:proofErr w:type="spellEnd"/>
      <w:r w:rsidRPr="005B6ADF">
        <w:rPr>
          <w:rFonts w:ascii="Arial" w:hAnsi="Arial" w:cs="Arial"/>
          <w:bCs/>
        </w:rPr>
        <w:t xml:space="preserve"> P, et al.  Temporal Changes in Appropriateness of Cardiac Imaging.   J Am Coll </w:t>
      </w:r>
      <w:proofErr w:type="spellStart"/>
      <w:r w:rsidRPr="005B6ADF">
        <w:rPr>
          <w:rFonts w:ascii="Arial" w:hAnsi="Arial" w:cs="Arial"/>
          <w:bCs/>
        </w:rPr>
        <w:t>Cardiol</w:t>
      </w:r>
      <w:proofErr w:type="spellEnd"/>
      <w:r w:rsidRPr="005B6ADF">
        <w:rPr>
          <w:rFonts w:ascii="Arial" w:hAnsi="Arial" w:cs="Arial"/>
          <w:bCs/>
        </w:rPr>
        <w:t>. 2015 Mar 3;65(8):763-73.</w:t>
      </w:r>
    </w:p>
    <w:p w14:paraId="09D52AB1" w14:textId="02F937AA" w:rsidR="001E3EF1" w:rsidRPr="005B6ADF" w:rsidRDefault="001E3EF1" w:rsidP="001E3EF1">
      <w:pPr>
        <w:autoSpaceDE w:val="0"/>
        <w:autoSpaceDN w:val="0"/>
        <w:adjustRightInd w:val="0"/>
        <w:spacing w:after="0"/>
        <w:rPr>
          <w:rFonts w:ascii="Arial" w:hAnsi="Arial" w:cs="Arial"/>
          <w:bCs/>
        </w:rPr>
      </w:pPr>
      <w:r w:rsidRPr="005B6ADF">
        <w:rPr>
          <w:rFonts w:ascii="Arial" w:hAnsi="Arial" w:cs="Arial"/>
          <w:bCs/>
        </w:rPr>
        <w:t xml:space="preserve">A separate meta-analysis demonstrated wide variation of appropriate use rates as described in the performance scores over time in section </w:t>
      </w:r>
      <w:r w:rsidR="006D6B2C">
        <w:rPr>
          <w:rFonts w:ascii="Arial" w:hAnsi="Arial" w:cs="Arial"/>
          <w:bCs/>
        </w:rPr>
        <w:t>2.b.1.</w:t>
      </w:r>
    </w:p>
    <w:p w14:paraId="0CABD00A" w14:textId="5577D90F" w:rsidR="00D61410" w:rsidRDefault="00D61410" w:rsidP="00D61410">
      <w:pPr>
        <w:autoSpaceDE w:val="0"/>
        <w:autoSpaceDN w:val="0"/>
        <w:adjustRightInd w:val="0"/>
        <w:spacing w:after="0" w:line="240" w:lineRule="auto"/>
        <w:rPr>
          <w:rFonts w:cstheme="minorHAnsi"/>
          <w:bCs/>
        </w:rPr>
      </w:pPr>
      <w:r w:rsidRPr="00A25024">
        <w:rPr>
          <w:rFonts w:cstheme="minorHAnsi"/>
          <w:bCs/>
        </w:rPr>
        <w:br/>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20495E09" w14:textId="77777777" w:rsidR="001E3EF1"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4DCFE8C0" w14:textId="77777777" w:rsidR="005B6ADF" w:rsidRDefault="005B6ADF" w:rsidP="00D61410">
      <w:pPr>
        <w:autoSpaceDE w:val="0"/>
        <w:autoSpaceDN w:val="0"/>
        <w:adjustRightInd w:val="0"/>
        <w:spacing w:after="0" w:line="240" w:lineRule="auto"/>
        <w:rPr>
          <w:rFonts w:cstheme="minorHAnsi"/>
          <w:bCs/>
        </w:rPr>
      </w:pPr>
    </w:p>
    <w:p w14:paraId="0CABD00C" w14:textId="3C20F71A" w:rsidR="00D61410" w:rsidRPr="005B6ADF" w:rsidRDefault="005B6ADF" w:rsidP="00D61410">
      <w:pPr>
        <w:autoSpaceDE w:val="0"/>
        <w:autoSpaceDN w:val="0"/>
        <w:adjustRightInd w:val="0"/>
        <w:spacing w:after="0" w:line="240" w:lineRule="auto"/>
        <w:rPr>
          <w:rFonts w:ascii="Arial" w:hAnsi="Arial" w:cs="Arial"/>
          <w:bCs/>
        </w:rPr>
      </w:pPr>
      <w:r w:rsidRPr="005B6ADF">
        <w:rPr>
          <w:rFonts w:ascii="Arial" w:hAnsi="Arial" w:cs="Arial"/>
          <w:bCs/>
        </w:rPr>
        <w:t>In</w:t>
      </w:r>
      <w:r w:rsidR="001E3EF1" w:rsidRPr="005B6ADF">
        <w:rPr>
          <w:rFonts w:ascii="Arial" w:hAnsi="Arial" w:cs="Arial"/>
          <w:bCs/>
        </w:rPr>
        <w:t>appropriate use is common among a wide range of practices and hospitals.  Variability exists within practices and provides opportunities for peer to peer learning and improvement on these measures, especially within a practice or between primary care and specialists.</w:t>
      </w:r>
      <w:r w:rsidR="00D61410" w:rsidRPr="005B6ADF">
        <w:rPr>
          <w:rFonts w:ascii="Arial" w:hAnsi="Arial" w:cs="Arial"/>
          <w:bCs/>
        </w:rPr>
        <w:br/>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lastRenderedPageBreak/>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92D625F" w14:textId="77777777" w:rsidR="00175F85"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
    <w:p w14:paraId="4A00E318" w14:textId="77777777" w:rsidR="00175F85" w:rsidRDefault="00175F85" w:rsidP="008F7E67">
      <w:pPr>
        <w:autoSpaceDE w:val="0"/>
        <w:autoSpaceDN w:val="0"/>
        <w:adjustRightInd w:val="0"/>
        <w:spacing w:after="0" w:line="240" w:lineRule="auto"/>
        <w:rPr>
          <w:rFonts w:cstheme="minorHAnsi"/>
          <w:bCs/>
        </w:rPr>
      </w:pPr>
    </w:p>
    <w:p w14:paraId="1F14FC98" w14:textId="77777777" w:rsidR="00175F85" w:rsidRPr="005A4430" w:rsidRDefault="00175F85" w:rsidP="00175F85">
      <w:pPr>
        <w:autoSpaceDE w:val="0"/>
        <w:autoSpaceDN w:val="0"/>
        <w:adjustRightInd w:val="0"/>
        <w:spacing w:after="0"/>
        <w:rPr>
          <w:rFonts w:ascii="Arial" w:hAnsi="Arial" w:cs="Arial"/>
          <w:bCs/>
          <w:color w:val="FF0000"/>
        </w:rPr>
      </w:pPr>
      <w:r w:rsidRPr="005A4430">
        <w:rPr>
          <w:rFonts w:ascii="Arial" w:hAnsi="Arial" w:cs="Arial"/>
          <w:bCs/>
          <w:color w:val="FF0000"/>
        </w:rPr>
        <w:t xml:space="preserve">All subjects were classifiable according to the 2009 AUC and therefore no analysis for missing data was required.  For validity testing, some subjects were lost to follow-up.  Their demographic and AUC patterns were analyzed for similarity to the included patient cohort. </w:t>
      </w:r>
    </w:p>
    <w:p w14:paraId="0CABD01B" w14:textId="7A6006E1" w:rsidR="008F7E67" w:rsidRPr="00A25024" w:rsidRDefault="008F7E67"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3CB15857" w14:textId="77777777" w:rsidR="00175F85" w:rsidRDefault="00175F85" w:rsidP="008F7E67">
      <w:pPr>
        <w:autoSpaceDE w:val="0"/>
        <w:autoSpaceDN w:val="0"/>
        <w:adjustRightInd w:val="0"/>
        <w:spacing w:after="0" w:line="240" w:lineRule="auto"/>
        <w:rPr>
          <w:rFonts w:cstheme="minorHAnsi"/>
          <w:bCs/>
        </w:rPr>
      </w:pPr>
    </w:p>
    <w:p w14:paraId="0992A8E6" w14:textId="77777777" w:rsidR="00175F85" w:rsidRPr="005B6ADF" w:rsidRDefault="00175F85" w:rsidP="00175F85">
      <w:pPr>
        <w:autoSpaceDE w:val="0"/>
        <w:autoSpaceDN w:val="0"/>
        <w:adjustRightInd w:val="0"/>
        <w:spacing w:after="0"/>
        <w:rPr>
          <w:rFonts w:ascii="Arial" w:hAnsi="Arial" w:cs="Arial"/>
          <w:bCs/>
        </w:rPr>
      </w:pPr>
      <w:proofErr w:type="spellStart"/>
      <w:r w:rsidRPr="005B6ADF">
        <w:rPr>
          <w:rFonts w:ascii="Arial" w:hAnsi="Arial" w:cs="Arial"/>
          <w:bCs/>
        </w:rPr>
        <w:t>Doukky</w:t>
      </w:r>
      <w:proofErr w:type="spellEnd"/>
      <w:r w:rsidRPr="005B6ADF">
        <w:rPr>
          <w:rFonts w:ascii="Arial" w:hAnsi="Arial" w:cs="Arial"/>
          <w:bCs/>
        </w:rPr>
        <w:t xml:space="preserve"> R, Hayes K, </w:t>
      </w:r>
      <w:proofErr w:type="spellStart"/>
      <w:r w:rsidRPr="005B6ADF">
        <w:rPr>
          <w:rFonts w:ascii="Arial" w:hAnsi="Arial" w:cs="Arial"/>
          <w:bCs/>
        </w:rPr>
        <w:t>Frogge</w:t>
      </w:r>
      <w:proofErr w:type="spellEnd"/>
      <w:r w:rsidRPr="005B6ADF">
        <w:rPr>
          <w:rFonts w:ascii="Arial" w:hAnsi="Arial" w:cs="Arial"/>
          <w:bCs/>
        </w:rPr>
        <w:t xml:space="preserve"> N, Balakrishnan G, et al.  Impact of appropriate use on the prognostic value of single-photon emission computed tomography myocardial perfusion imaging.</w:t>
      </w:r>
    </w:p>
    <w:p w14:paraId="5A66343A" w14:textId="77777777" w:rsidR="00175F85" w:rsidRPr="005B6ADF" w:rsidRDefault="00175F85" w:rsidP="00175F85">
      <w:pPr>
        <w:autoSpaceDE w:val="0"/>
        <w:autoSpaceDN w:val="0"/>
        <w:adjustRightInd w:val="0"/>
        <w:spacing w:after="0"/>
        <w:rPr>
          <w:rFonts w:ascii="Arial" w:hAnsi="Arial" w:cs="Arial"/>
          <w:bCs/>
        </w:rPr>
      </w:pPr>
      <w:r w:rsidRPr="005B6ADF">
        <w:rPr>
          <w:rFonts w:ascii="Arial" w:hAnsi="Arial" w:cs="Arial"/>
          <w:bCs/>
        </w:rPr>
        <w:t>Compared with subjects with complete follow-up, the patients excluded (n=182) or lost to follow-up (n=14) were younger (mean age, 55±15 versus 59±13 years; P=0.001) and had lower likelihood of obstructive CAD (15±13% versus 18±13%; P=0.007) but similar mean 10-year Framingham coronary heart disease risk (12.7±10.8% versus 12.8±10%; P=0.88) and CAD prevalence (19% versus 18%; P=0.62). The prevalence of depressed LVEF and abnormal perfusion was nearly identical (P=0.97 and 0.89, respectively), with a similar breakdown of reversible, fixed, and mixed defects (P=0.64). The excluded patients had a similar distribution of AUC classifications: 104 (53.1%) appropriate, 89 (45.4%) inappropriate, and 3 (1.5%) uncertain (P=0.53).</w:t>
      </w:r>
    </w:p>
    <w:p w14:paraId="7A96E315" w14:textId="77777777" w:rsidR="00175F85" w:rsidRDefault="00175F85"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70EAD804" w14:textId="77777777" w:rsidR="00175F85" w:rsidRDefault="00175F85">
      <w:pPr>
        <w:autoSpaceDE w:val="0"/>
        <w:autoSpaceDN w:val="0"/>
        <w:adjustRightInd w:val="0"/>
        <w:spacing w:after="0" w:line="240" w:lineRule="auto"/>
        <w:rPr>
          <w:rFonts w:cstheme="minorHAnsi"/>
          <w:bCs/>
        </w:rPr>
      </w:pPr>
    </w:p>
    <w:p w14:paraId="2277D082" w14:textId="77777777" w:rsidR="00175F85" w:rsidRPr="005B6ADF" w:rsidRDefault="00175F85" w:rsidP="00175F85">
      <w:pPr>
        <w:autoSpaceDE w:val="0"/>
        <w:autoSpaceDN w:val="0"/>
        <w:adjustRightInd w:val="0"/>
        <w:spacing w:after="0"/>
        <w:rPr>
          <w:rFonts w:ascii="Arial" w:hAnsi="Arial" w:cs="Arial"/>
        </w:rPr>
      </w:pPr>
      <w:r w:rsidRPr="005B6ADF">
        <w:rPr>
          <w:rFonts w:ascii="Arial" w:hAnsi="Arial" w:cs="Arial"/>
          <w:bCs/>
        </w:rPr>
        <w:t>Performance results were not biased as no missing data was recorded for the metrics themselves.  Validity testing showed similar distribution of AUC, perfusion defects, and CAD prevalence and thus unlikely to have impacted results of this testing.</w:t>
      </w:r>
    </w:p>
    <w:p w14:paraId="7C6DFC5F" w14:textId="77777777" w:rsidR="00175F85" w:rsidRDefault="00175F85">
      <w:pPr>
        <w:autoSpaceDE w:val="0"/>
        <w:autoSpaceDN w:val="0"/>
        <w:adjustRightInd w:val="0"/>
        <w:spacing w:after="0" w:line="240" w:lineRule="auto"/>
        <w:rPr>
          <w:rFonts w:cstheme="minorHAnsi"/>
          <w:bCs/>
        </w:rPr>
      </w:pP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50AFE" w14:textId="77777777" w:rsidR="009D2E8B" w:rsidRDefault="009D2E8B" w:rsidP="005C73CA">
      <w:pPr>
        <w:spacing w:after="0" w:line="240" w:lineRule="auto"/>
      </w:pPr>
      <w:r>
        <w:separator/>
      </w:r>
    </w:p>
  </w:endnote>
  <w:endnote w:type="continuationSeparator" w:id="0">
    <w:p w14:paraId="54D3EA29" w14:textId="77777777" w:rsidR="009D2E8B" w:rsidRDefault="009D2E8B"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636E0D3D"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6D6B2C">
      <w:rPr>
        <w:noProof/>
      </w:rPr>
      <w:t>10</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9AB1B" w14:textId="77777777" w:rsidR="009D2E8B" w:rsidRDefault="009D2E8B" w:rsidP="005C73CA">
      <w:pPr>
        <w:spacing w:after="0" w:line="240" w:lineRule="auto"/>
      </w:pPr>
      <w:r>
        <w:separator/>
      </w:r>
    </w:p>
  </w:footnote>
  <w:footnote w:type="continuationSeparator" w:id="0">
    <w:p w14:paraId="67B64C5E" w14:textId="77777777" w:rsidR="009D2E8B" w:rsidRDefault="009D2E8B"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5F85"/>
    <w:rsid w:val="0017696D"/>
    <w:rsid w:val="001848FC"/>
    <w:rsid w:val="00193F21"/>
    <w:rsid w:val="001969C5"/>
    <w:rsid w:val="001A6CDD"/>
    <w:rsid w:val="001C12EE"/>
    <w:rsid w:val="001C7B02"/>
    <w:rsid w:val="001E3EF1"/>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4329"/>
    <w:rsid w:val="0033567F"/>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401"/>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5946"/>
    <w:rsid w:val="00567D12"/>
    <w:rsid w:val="00576062"/>
    <w:rsid w:val="0059559F"/>
    <w:rsid w:val="005A4430"/>
    <w:rsid w:val="005A49FF"/>
    <w:rsid w:val="005A7634"/>
    <w:rsid w:val="005B6ADF"/>
    <w:rsid w:val="005B6F04"/>
    <w:rsid w:val="005C0447"/>
    <w:rsid w:val="005C739F"/>
    <w:rsid w:val="005C73CA"/>
    <w:rsid w:val="005D4768"/>
    <w:rsid w:val="005E2CAB"/>
    <w:rsid w:val="005E429E"/>
    <w:rsid w:val="00601ED4"/>
    <w:rsid w:val="00602CFB"/>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C3A4F"/>
    <w:rsid w:val="006C4845"/>
    <w:rsid w:val="006D6B2C"/>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2FF3"/>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77DBA"/>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162F0"/>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2E8B"/>
    <w:rsid w:val="009D3882"/>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F2D68"/>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1CC6"/>
    <w:rsid w:val="00E672D6"/>
    <w:rsid w:val="00E76024"/>
    <w:rsid w:val="00E856A2"/>
    <w:rsid w:val="00E967AD"/>
    <w:rsid w:val="00E96884"/>
    <w:rsid w:val="00EA5435"/>
    <w:rsid w:val="00EA5F47"/>
    <w:rsid w:val="00EB455E"/>
    <w:rsid w:val="00EC79DE"/>
    <w:rsid w:val="00ED1033"/>
    <w:rsid w:val="00ED4ACE"/>
    <w:rsid w:val="00EE4D35"/>
    <w:rsid w:val="00EF2DA7"/>
    <w:rsid w:val="00F1412B"/>
    <w:rsid w:val="00F15BFA"/>
    <w:rsid w:val="00F34FAB"/>
    <w:rsid w:val="00F435AA"/>
    <w:rsid w:val="00F5738A"/>
    <w:rsid w:val="00F612D4"/>
    <w:rsid w:val="00F7389E"/>
    <w:rsid w:val="00F77F1D"/>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0CABCF53"/>
  <w15:docId w15:val="{8A47C581-5C6E-457D-9ACC-6F195CEC4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CA660C"/>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836b82f1-340d-495e-85b5-201c5296619a"/>
    <ds:schemaRef ds:uri="http://www.w3.org/XML/1998/namespace"/>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90213327-94DD-4463-8C51-6CB4510E9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4828</Words>
  <Characters>27523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Amy Dearborn</cp:lastModifiedBy>
  <cp:revision>3</cp:revision>
  <dcterms:created xsi:type="dcterms:W3CDTF">2019-11-21T18:06:00Z</dcterms:created>
  <dcterms:modified xsi:type="dcterms:W3CDTF">2019-11-21T18:08:00Z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