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B8DA2C" w14:textId="77777777" w:rsidR="00496AF8" w:rsidRPr="001A6D05" w:rsidRDefault="007C1887" w:rsidP="001A196B">
      <w:pPr>
        <w:jc w:val="center"/>
        <w:rPr>
          <w:b/>
          <w:noProof/>
          <w:sz w:val="24"/>
          <w:szCs w:val="24"/>
        </w:rPr>
      </w:pPr>
      <w:bookmarkStart w:id="0" w:name="_GoBack"/>
      <w:bookmarkEnd w:id="0"/>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14:paraId="55B8DA2D" w14:textId="7D9763C3" w:rsidR="00496AF8" w:rsidRPr="00DC68AC" w:rsidRDefault="00E41116" w:rsidP="002E2177">
      <w:pPr>
        <w:ind w:left="0" w:firstLine="0"/>
        <w:rPr>
          <w:b/>
          <w:noProof/>
          <w:color w:val="FF0000"/>
        </w:rPr>
      </w:pPr>
      <w:r>
        <w:rPr>
          <w:b/>
          <w:noProof/>
          <w:color w:val="FF0000"/>
        </w:rPr>
        <w:t xml:space="preserve">Component # 1 </w:t>
      </w:r>
      <w:r w:rsidR="006F4D98">
        <w:rPr>
          <w:b/>
          <w:noProof/>
          <w:color w:val="FF0000"/>
        </w:rPr>
        <w:t>Beta Blocker</w:t>
      </w:r>
      <w:r>
        <w:rPr>
          <w:b/>
          <w:noProof/>
          <w:color w:val="FF0000"/>
        </w:rPr>
        <w:t xml:space="preserve"> Therapy</w:t>
      </w:r>
    </w:p>
    <w:p w14:paraId="55B8DA2E" w14:textId="7EC2F275"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CC1453">
            <w:rPr>
              <w:rStyle w:val="Style1"/>
            </w:rPr>
            <w:t>0</w:t>
          </w:r>
          <w:r w:rsidR="00E41116">
            <w:rPr>
              <w:rStyle w:val="Style1"/>
            </w:rPr>
            <w:t>965</w:t>
          </w:r>
        </w:sdtContent>
      </w:sdt>
    </w:p>
    <w:p w14:paraId="55B8DA2F" w14:textId="503098CC"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sdt>
            <w:sdtPr>
              <w:rPr>
                <w:rStyle w:val="Style1"/>
              </w:rPr>
              <w:id w:val="-905384785"/>
              <w:placeholder>
                <w:docPart w:val="27DCA8B40E9A81438A07641B415202FE"/>
              </w:placeholder>
            </w:sdtPr>
            <w:sdtEndPr>
              <w:rPr>
                <w:rStyle w:val="DefaultParagraphFont"/>
                <w:noProof/>
                <w:color w:val="auto"/>
              </w:rPr>
            </w:sdtEndPr>
            <w:sdtContent>
              <w:sdt>
                <w:sdtPr>
                  <w:rPr>
                    <w:rStyle w:val="Style1"/>
                  </w:rPr>
                  <w:id w:val="830719106"/>
                  <w:placeholder>
                    <w:docPart w:val="827A0D9B810EC140B88F003CD49B0008"/>
                  </w:placeholder>
                </w:sdtPr>
                <w:sdtEndPr>
                  <w:rPr>
                    <w:rStyle w:val="DefaultParagraphFont"/>
                    <w:noProof/>
                    <w:color w:val="auto"/>
                  </w:rPr>
                </w:sdtEndPr>
                <w:sdtContent>
                  <w:r w:rsidR="00E41116">
                    <w:rPr>
                      <w:rStyle w:val="Style1"/>
                    </w:rPr>
                    <w:t xml:space="preserve">Patients with </w:t>
                  </w:r>
                  <w:r w:rsidR="009A2E65">
                    <w:rPr>
                      <w:rStyle w:val="Style1"/>
                    </w:rPr>
                    <w:t xml:space="preserve">a prior MI and </w:t>
                  </w:r>
                  <w:r w:rsidR="00E41116">
                    <w:rPr>
                      <w:rStyle w:val="Style1"/>
                    </w:rPr>
                    <w:t xml:space="preserve">an ICD implant who receive beta blocker therapy at discharge </w:t>
                  </w:r>
                </w:sdtContent>
              </w:sdt>
            </w:sdtContent>
          </w:sdt>
        </w:sdtContent>
      </w:sdt>
    </w:p>
    <w:p w14:paraId="55B8DA30" w14:textId="6A7D7ADA" w:rsidR="00114848"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dtPr>
        <w:sdtEndPr>
          <w:rPr>
            <w:rStyle w:val="DefaultParagraphFont"/>
            <w:noProof/>
            <w:color w:val="auto"/>
          </w:rPr>
        </w:sdtEndPr>
        <w:sdtContent>
          <w:sdt>
            <w:sdtPr>
              <w:rPr>
                <w:rStyle w:val="Style1"/>
              </w:rPr>
              <w:id w:val="698978320"/>
              <w:placeholder>
                <w:docPart w:val="BF33FB18C463ED498302757080B33040"/>
              </w:placeholder>
            </w:sdtPr>
            <w:sdtEndPr>
              <w:rPr>
                <w:rStyle w:val="DefaultParagraphFont"/>
                <w:noProof/>
                <w:color w:val="auto"/>
              </w:rPr>
            </w:sdtEndPr>
            <w:sdtContent>
              <w:sdt>
                <w:sdtPr>
                  <w:rPr>
                    <w:rStyle w:val="Style1"/>
                  </w:rPr>
                  <w:id w:val="58685741"/>
                  <w:placeholder>
                    <w:docPart w:val="471F1E540D749C4E9B9EAFA3C61FADDB"/>
                  </w:placeholder>
                </w:sdtPr>
                <w:sdtEndPr>
                  <w:rPr>
                    <w:rStyle w:val="DefaultParagraphFont"/>
                    <w:noProof/>
                    <w:color w:val="auto"/>
                  </w:rPr>
                </w:sdtEndPr>
                <w:sdtContent>
                  <w:r w:rsidR="00E41116">
                    <w:rPr>
                      <w:rStyle w:val="Style1"/>
                    </w:rPr>
                    <w:t xml:space="preserve">Patients with an ICD implant who receive ACE-I/ARB and beta blocker therapy at discharge </w:t>
                  </w:r>
                </w:sdtContent>
              </w:sdt>
            </w:sdtContent>
          </w:sdt>
          <w:r w:rsidR="00E41116">
            <w:rPr>
              <w:noProof/>
            </w:rPr>
            <w:t xml:space="preserve"> </w:t>
          </w:r>
        </w:sdtContent>
      </w:sdt>
    </w:p>
    <w:p w14:paraId="55B8DA31" w14:textId="14474416"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showingPlcHdr/>
          <w:date w:fullDate="2018-10-30T00:00:00Z">
            <w:dateFormat w:val="M/d/yyyy"/>
            <w:lid w:val="en-US"/>
            <w:storeMappedDataAs w:val="dateTime"/>
            <w:calendar w:val="gregorian"/>
          </w:date>
        </w:sdtPr>
        <w:sdtEndPr>
          <w:rPr>
            <w:rStyle w:val="DefaultParagraphFont"/>
            <w:noProof/>
            <w:color w:val="auto"/>
            <w:u w:val="none"/>
          </w:rPr>
        </w:sdtEndPr>
        <w:sdtContent>
          <w:r w:rsidR="00E41116" w:rsidRPr="003B1CC5">
            <w:rPr>
              <w:rStyle w:val="PlaceholderText"/>
              <w:rFonts w:cstheme="minorHAnsi"/>
              <w:color w:val="A6A6A6" w:themeColor="background1" w:themeShade="A6"/>
            </w:rPr>
            <w:t>Click here to enter a date</w:t>
          </w:r>
        </w:sdtContent>
      </w:sdt>
    </w:p>
    <w:p w14:paraId="55B8DA32" w14:textId="77777777"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285"/>
      </w:tblGrid>
      <w:tr w:rsidR="00496AF8" w:rsidRPr="003B1CC5" w14:paraId="55B8DA3C" w14:textId="77777777" w:rsidTr="00176E60">
        <w:trPr>
          <w:jc w:val="center"/>
        </w:trPr>
        <w:tc>
          <w:tcPr>
            <w:tcW w:w="9576" w:type="dxa"/>
          </w:tcPr>
          <w:p w14:paraId="55B8DA33" w14:textId="77777777"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14:paraId="55B8DA34" w14:textId="7155EBC7" w:rsidR="000F4A7F" w:rsidRDefault="000F4A7F" w:rsidP="00024526">
            <w:pPr>
              <w:pStyle w:val="CommentText"/>
              <w:numPr>
                <w:ilvl w:val="0"/>
                <w:numId w:val="5"/>
              </w:numPr>
              <w:rPr>
                <w:i/>
                <w:sz w:val="22"/>
                <w:szCs w:val="22"/>
              </w:rPr>
            </w:pPr>
            <w:r>
              <w:rPr>
                <w:i/>
                <w:sz w:val="22"/>
                <w:szCs w:val="22"/>
              </w:rPr>
              <w:t xml:space="preserve">Complete 1a.1 </w:t>
            </w:r>
            <w:r w:rsidR="004922E4">
              <w:rPr>
                <w:i/>
                <w:sz w:val="22"/>
                <w:szCs w:val="22"/>
              </w:rPr>
              <w:t>and 1a.</w:t>
            </w:r>
            <w:r>
              <w:rPr>
                <w:i/>
                <w:sz w:val="22"/>
                <w:szCs w:val="22"/>
              </w:rPr>
              <w:t xml:space="preserve">2 for all measures. </w:t>
            </w:r>
            <w:r w:rsidR="004922E4">
              <w:rPr>
                <w:i/>
                <w:sz w:val="22"/>
                <w:szCs w:val="22"/>
              </w:rPr>
              <w:t>If instrument-based measure, complete 1a.3.</w:t>
            </w:r>
          </w:p>
          <w:p w14:paraId="55B8DA35" w14:textId="77777777" w:rsidR="000F4A7F" w:rsidRDefault="000F4A7F" w:rsidP="00024526">
            <w:pPr>
              <w:pStyle w:val="CommentText"/>
              <w:numPr>
                <w:ilvl w:val="0"/>
                <w:numId w:val="5"/>
              </w:numPr>
              <w:rPr>
                <w:i/>
                <w:sz w:val="22"/>
                <w:szCs w:val="22"/>
              </w:rPr>
            </w:pPr>
            <w:r>
              <w:rPr>
                <w:i/>
                <w:sz w:val="22"/>
                <w:szCs w:val="22"/>
              </w:rPr>
              <w:t xml:space="preserve">Complete </w:t>
            </w:r>
            <w:r w:rsidRPr="000F4A7F">
              <w:rPr>
                <w:b/>
                <w:i/>
                <w:sz w:val="22"/>
                <w:szCs w:val="22"/>
              </w:rPr>
              <w:t>EITHER 1a.2, 1a.3 or 1a.4</w:t>
            </w:r>
            <w:r>
              <w:rPr>
                <w:b/>
                <w:i/>
                <w:sz w:val="22"/>
                <w:szCs w:val="22"/>
              </w:rPr>
              <w:t xml:space="preserve"> </w:t>
            </w:r>
            <w:r w:rsidRPr="000F4A7F">
              <w:rPr>
                <w:i/>
                <w:sz w:val="22"/>
                <w:szCs w:val="22"/>
              </w:rPr>
              <w:t xml:space="preserve">as applicable for the </w:t>
            </w:r>
            <w:r>
              <w:rPr>
                <w:i/>
                <w:sz w:val="22"/>
                <w:szCs w:val="22"/>
              </w:rPr>
              <w:t xml:space="preserve">type of </w:t>
            </w:r>
            <w:r w:rsidRPr="000F4A7F">
              <w:rPr>
                <w:i/>
                <w:sz w:val="22"/>
                <w:szCs w:val="22"/>
              </w:rPr>
              <w:t>measure and evidence.</w:t>
            </w:r>
          </w:p>
          <w:p w14:paraId="55B8DA36" w14:textId="77777777"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14:paraId="55B8DA37"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14:paraId="55B8DA38"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14:paraId="55B8DA39" w14:textId="77777777" w:rsidR="002F20A7" w:rsidRPr="003B1CC5" w:rsidRDefault="008B652E" w:rsidP="00024526">
            <w:pPr>
              <w:pStyle w:val="ListParagraph"/>
              <w:numPr>
                <w:ilvl w:val="0"/>
                <w:numId w:val="5"/>
              </w:numPr>
              <w:spacing w:after="0" w:line="240" w:lineRule="auto"/>
            </w:pPr>
            <w:r w:rsidRPr="003B1CC5">
              <w:t xml:space="preserve">All information needed to demonstrate meeting the </w:t>
            </w:r>
            <w:r w:rsidRPr="003B1CC5">
              <w:rPr>
                <w:rFonts w:cstheme="minorHAnsi"/>
              </w:rPr>
              <w:t xml:space="preserve">evidence </w:t>
            </w:r>
            <w:r w:rsidR="00A13867" w:rsidRPr="003B1CC5">
              <w:rPr>
                <w:rFonts w:cstheme="minorHAnsi"/>
              </w:rPr>
              <w:t>sub</w:t>
            </w:r>
            <w:r w:rsidRPr="003B1CC5">
              <w:rPr>
                <w:rFonts w:cstheme="minorHAnsi"/>
              </w:rPr>
              <w:t>criterion (1a)</w:t>
            </w:r>
            <w:r w:rsidRPr="003B1CC5">
              <w:t xml:space="preserve"> must be in this form.  An appendix of </w:t>
            </w:r>
            <w:r w:rsidRPr="003B1CC5">
              <w:rPr>
                <w:i/>
              </w:rPr>
              <w:t>supplemental</w:t>
            </w:r>
            <w:r w:rsidRPr="003B1CC5">
              <w:t xml:space="preserve"> materials may be submitted, but there is no guarantee it will be reviewed.</w:t>
            </w:r>
          </w:p>
          <w:p w14:paraId="55B8DA3A" w14:textId="77777777"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14:paraId="55B8DA3B" w14:textId="77777777"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12" w:history="1">
              <w:r w:rsidRPr="003B1CC5">
                <w:rPr>
                  <w:rStyle w:val="Hyperlink"/>
                </w:rPr>
                <w:t>Submitting Standards webpage</w:t>
              </w:r>
            </w:hyperlink>
            <w:r w:rsidRPr="003B1CC5">
              <w:t>.</w:t>
            </w:r>
          </w:p>
        </w:tc>
      </w:tr>
    </w:tbl>
    <w:p w14:paraId="55B8DA3D" w14:textId="77777777"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285"/>
      </w:tblGrid>
      <w:tr w:rsidR="00176E60" w:rsidRPr="003B1CC5" w14:paraId="55B8DA4D" w14:textId="77777777" w:rsidTr="00F81FE3">
        <w:trPr>
          <w:jc w:val="center"/>
        </w:trPr>
        <w:tc>
          <w:tcPr>
            <w:tcW w:w="10534" w:type="dxa"/>
          </w:tcPr>
          <w:p w14:paraId="55B8DA3E" w14:textId="77777777"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w:t>
            </w:r>
            <w:r w:rsidR="00676BD4">
              <w:rPr>
                <w:b/>
                <w:bCs/>
                <w:sz w:val="20"/>
                <w:szCs w:val="20"/>
              </w:rPr>
              <w:t>and</w:t>
            </w:r>
            <w:r w:rsidR="008B652E" w:rsidRPr="003B1CC5">
              <w:rPr>
                <w:b/>
                <w:bCs/>
                <w:sz w:val="20"/>
                <w:szCs w:val="20"/>
              </w:rPr>
              <w:t>ing Committee and other stakeholders in understanding to what degree the evidence for this measure meets NQF’s evaluation criteria.</w:t>
            </w:r>
          </w:p>
          <w:p w14:paraId="55B8DA3F" w14:textId="77777777" w:rsidR="008659ED" w:rsidRPr="003B1CC5" w:rsidRDefault="008659ED" w:rsidP="008659ED">
            <w:pPr>
              <w:ind w:left="90" w:hanging="90"/>
              <w:rPr>
                <w:sz w:val="20"/>
                <w:szCs w:val="20"/>
              </w:rPr>
            </w:pPr>
            <w:bookmarkStart w:id="1" w:name="Note2"/>
            <w:bookmarkEnd w:id="1"/>
          </w:p>
          <w:p w14:paraId="55B8DA40" w14:textId="77777777"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14:paraId="55B8DA41" w14:textId="77777777"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14:paraId="55B8DA42" w14:textId="6C3402AF" w:rsidR="008659ED" w:rsidRPr="0061327A" w:rsidRDefault="00B35C5F" w:rsidP="00B35C5F">
            <w:pPr>
              <w:numPr>
                <w:ilvl w:val="0"/>
                <w:numId w:val="7"/>
              </w:numPr>
              <w:rPr>
                <w:rFonts w:eastAsia="Calibri" w:cs="Calibri"/>
                <w:sz w:val="20"/>
                <w:szCs w:val="20"/>
              </w:rPr>
            </w:pPr>
            <w:r w:rsidRPr="00B35C5F">
              <w:rPr>
                <w:rFonts w:eastAsia="Calibri" w:cs="Calibri"/>
                <w:sz w:val="20"/>
                <w:szCs w:val="20"/>
                <w:u w:val="single"/>
              </w:rPr>
              <w:t>O</w:t>
            </w:r>
            <w:r w:rsidR="008659ED" w:rsidRPr="00B35C5F">
              <w:rPr>
                <w:rFonts w:eastAsia="Calibri" w:cs="Calibri"/>
                <w:sz w:val="20"/>
                <w:szCs w:val="20"/>
                <w:u w:val="single"/>
              </w:rPr>
              <w:t>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B35C5F">
              <w:rPr>
                <w:rFonts w:eastAsia="Calibri" w:cs="Calibri"/>
                <w:sz w:val="20"/>
                <w:szCs w:val="20"/>
              </w:rPr>
              <w:t xml:space="preserve">Empirical data demonstrate a relationship between the outcome and at least one healthcare structure, process, intervention, or service.  If not available, wide variation in performance can be used as evidence, assuming the data are from a robust number of providers and results are not subject to systematic bias.  </w:t>
            </w:r>
          </w:p>
          <w:p w14:paraId="55B8DA43"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14:paraId="55B8DA44"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14:paraId="55B8DA45" w14:textId="77777777"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14:paraId="56E2DE06" w14:textId="27691AAB" w:rsidR="00B35C5F" w:rsidRPr="00EE6069" w:rsidRDefault="008659ED"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r w:rsidR="00B35C5F" w:rsidRPr="0039109D">
              <w:rPr>
                <w:rFonts w:ascii="Calibri" w:hAnsi="Calibri" w:cstheme="minorHAnsi"/>
                <w:bCs/>
                <w:iCs/>
                <w:sz w:val="20"/>
                <w:szCs w:val="20"/>
              </w:rPr>
              <w:t xml:space="preserve"> </w:t>
            </w:r>
          </w:p>
          <w:p w14:paraId="586C6545" w14:textId="2A0699B5" w:rsidR="00B35C5F" w:rsidRPr="00EE6069" w:rsidRDefault="00B35C5F"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EE6069">
              <w:rPr>
                <w:rFonts w:ascii="Calibri" w:hAnsi="Calibri" w:cstheme="minorHAnsi"/>
                <w:sz w:val="20"/>
                <w:szCs w:val="20"/>
              </w:rPr>
              <w:t xml:space="preserve">For measures derived from </w:t>
            </w:r>
            <w:r w:rsidRPr="00EE6069">
              <w:rPr>
                <w:rFonts w:ascii="Calibri" w:hAnsi="Calibri" w:cstheme="minorHAnsi"/>
                <w:sz w:val="20"/>
                <w:szCs w:val="20"/>
                <w:u w:val="single"/>
              </w:rPr>
              <w:t>patient reports</w:t>
            </w:r>
            <w:r w:rsidRPr="00EE6069">
              <w:rPr>
                <w:rFonts w:ascii="Calibri" w:hAnsi="Calibri" w:cstheme="minorHAnsi"/>
                <w:sz w:val="20"/>
                <w:szCs w:val="20"/>
              </w:rPr>
              <w:t>, evidence should demonstrate that the target population values the measured outcome, process, or st</w:t>
            </w:r>
            <w:r>
              <w:rPr>
                <w:rFonts w:ascii="Calibri" w:hAnsi="Calibri" w:cstheme="minorHAnsi"/>
                <w:sz w:val="20"/>
                <w:szCs w:val="20"/>
              </w:rPr>
              <w:t>ructure and finds it meaningful.</w:t>
            </w:r>
          </w:p>
          <w:p w14:paraId="55B8DA46" w14:textId="429C6E55" w:rsidR="008659ED" w:rsidRPr="003B1CC5" w:rsidRDefault="00B35C5F" w:rsidP="00B35C5F">
            <w:pPr>
              <w:numPr>
                <w:ilvl w:val="0"/>
                <w:numId w:val="8"/>
              </w:numPr>
              <w:autoSpaceDE w:val="0"/>
              <w:autoSpaceDN w:val="0"/>
              <w:adjustRightInd w:val="0"/>
              <w:contextualSpacing/>
              <w:rPr>
                <w:sz w:val="20"/>
                <w:szCs w:val="20"/>
              </w:rPr>
            </w:pPr>
            <w:r>
              <w:rPr>
                <w:rFonts w:ascii="Calibri" w:hAnsi="Calibri" w:cstheme="minorHAnsi"/>
                <w:sz w:val="20"/>
                <w:szCs w:val="20"/>
                <w:u w:val="single"/>
              </w:rPr>
              <w:t>Process m</w:t>
            </w:r>
            <w:r w:rsidRPr="004B26FC">
              <w:rPr>
                <w:rFonts w:ascii="Calibri" w:hAnsi="Calibri" w:cstheme="minorHAnsi"/>
                <w:sz w:val="20"/>
                <w:szCs w:val="20"/>
                <w:u w:val="single"/>
              </w:rPr>
              <w:t>easures incorporating Appropriate Use Criteria:</w:t>
            </w:r>
            <w:r w:rsidRPr="004B26FC">
              <w:rPr>
                <w:sz w:val="20"/>
                <w:szCs w:val="20"/>
              </w:rPr>
              <w:t xml:space="preserve"> </w:t>
            </w:r>
            <w:r>
              <w:rPr>
                <w:sz w:val="20"/>
                <w:szCs w:val="20"/>
              </w:rPr>
              <w:t xml:space="preserve">See </w:t>
            </w:r>
            <w:r w:rsidRPr="004B26FC">
              <w:rPr>
                <w:sz w:val="20"/>
                <w:szCs w:val="20"/>
              </w:rPr>
              <w:t>NQF’s guidance for evidence for measures</w:t>
            </w:r>
            <w:r>
              <w:rPr>
                <w:sz w:val="20"/>
                <w:szCs w:val="20"/>
              </w:rPr>
              <w:t>, in general; guidance for measures</w:t>
            </w:r>
            <w:r w:rsidRPr="004B26FC">
              <w:rPr>
                <w:sz w:val="20"/>
                <w:szCs w:val="20"/>
              </w:rPr>
              <w:t xml:space="preserve"> specifically based on </w:t>
            </w:r>
            <w:r>
              <w:rPr>
                <w:sz w:val="20"/>
                <w:szCs w:val="20"/>
              </w:rPr>
              <w:t>clinical practice guidelines</w:t>
            </w:r>
            <w:r w:rsidRPr="004B26FC">
              <w:rPr>
                <w:sz w:val="20"/>
                <w:szCs w:val="20"/>
              </w:rPr>
              <w:t xml:space="preserve"> apply </w:t>
            </w:r>
            <w:r w:rsidRPr="006D0681">
              <w:rPr>
                <w:sz w:val="20"/>
                <w:szCs w:val="20"/>
              </w:rPr>
              <w:t xml:space="preserve">as well. </w:t>
            </w:r>
          </w:p>
          <w:p w14:paraId="55B8DA47" w14:textId="77777777" w:rsidR="00CB1E41" w:rsidRPr="003B1CC5" w:rsidRDefault="00CB1E41" w:rsidP="008659ED">
            <w:pPr>
              <w:autoSpaceDE w:val="0"/>
              <w:autoSpaceDN w:val="0"/>
              <w:adjustRightInd w:val="0"/>
              <w:rPr>
                <w:rFonts w:eastAsia="Calibri" w:cs="Calibri"/>
                <w:b/>
                <w:bCs/>
                <w:iCs/>
                <w:sz w:val="18"/>
              </w:rPr>
            </w:pPr>
          </w:p>
          <w:p w14:paraId="55B8DA48" w14:textId="77777777"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14:paraId="55B8DA49" w14:textId="77777777" w:rsidR="008659ED" w:rsidRPr="003B1CC5" w:rsidRDefault="008659ED" w:rsidP="00CB1E41">
            <w:pPr>
              <w:ind w:left="0" w:firstLine="0"/>
              <w:rPr>
                <w:rFonts w:eastAsia="Calibri" w:cs="Calibri"/>
                <w:sz w:val="20"/>
                <w:szCs w:val="20"/>
              </w:rPr>
            </w:pPr>
            <w:bookmarkStart w:id="2" w:name="Note3"/>
            <w:bookmarkEnd w:id="2"/>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55B8DA4A" w14:textId="17E98CB2" w:rsidR="008659ED" w:rsidRPr="003B1CC5" w:rsidRDefault="008659ED" w:rsidP="00CB1E41">
            <w:pPr>
              <w:ind w:left="0" w:firstLine="0"/>
              <w:rPr>
                <w:rFonts w:eastAsia="Calibri" w:cs="Calibri"/>
                <w:sz w:val="20"/>
                <w:szCs w:val="20"/>
              </w:rPr>
            </w:pPr>
            <w:bookmarkStart w:id="3" w:name="Note4"/>
            <w:bookmarkEnd w:id="3"/>
            <w:r w:rsidRPr="003B1CC5">
              <w:rPr>
                <w:rFonts w:eastAsia="Calibri" w:cs="Calibri"/>
                <w:b/>
                <w:sz w:val="20"/>
                <w:szCs w:val="20"/>
              </w:rPr>
              <w:t>4.</w:t>
            </w:r>
            <w:r w:rsidRPr="003B1CC5">
              <w:rPr>
                <w:rFonts w:eastAsia="Calibri" w:cs="Calibri"/>
                <w:sz w:val="20"/>
                <w:szCs w:val="20"/>
              </w:rPr>
              <w:t xml:space="preserve"> The preferred systems for grading the evidence are </w:t>
            </w:r>
            <w:r w:rsidR="00B35C5F">
              <w:rPr>
                <w:rFonts w:eastAsia="Calibri" w:cs="Calibri"/>
                <w:sz w:val="20"/>
                <w:szCs w:val="20"/>
              </w:rPr>
              <w:t xml:space="preserve">the </w:t>
            </w:r>
            <w:r w:rsidRPr="003B1CC5">
              <w:rPr>
                <w:rFonts w:eastAsia="Calibri" w:cs="Calibri"/>
                <w:sz w:val="20"/>
                <w:szCs w:val="20"/>
              </w:rPr>
              <w:t xml:space="preserve">Grading of Recommendations, Assessment, Development and Evaluation </w:t>
            </w:r>
            <w:hyperlink r:id="rId13" w:history="1">
              <w:r w:rsidRPr="003B1CC5">
                <w:rPr>
                  <w:rFonts w:eastAsia="Calibri" w:cs="Calibri"/>
                  <w:color w:val="0000FF"/>
                  <w:sz w:val="20"/>
                  <w:szCs w:val="20"/>
                  <w:u w:val="single"/>
                </w:rPr>
                <w:t>(GRADE) guidelines</w:t>
              </w:r>
            </w:hyperlink>
            <w:r w:rsidR="00B35C5F">
              <w:rPr>
                <w:rFonts w:eastAsia="Calibri" w:cs="Calibri"/>
                <w:sz w:val="20"/>
                <w:szCs w:val="20"/>
              </w:rPr>
              <w:t xml:space="preserve"> and/or modified GRADE.</w:t>
            </w:r>
          </w:p>
          <w:p w14:paraId="55B8DA4B" w14:textId="77777777" w:rsidR="008659ED" w:rsidRPr="003B1CC5" w:rsidRDefault="008659ED" w:rsidP="00CB1E41">
            <w:pPr>
              <w:ind w:left="0" w:firstLine="0"/>
              <w:rPr>
                <w:rFonts w:eastAsia="Calibri" w:cs="Calibri"/>
                <w:sz w:val="20"/>
                <w:szCs w:val="20"/>
              </w:rPr>
            </w:pPr>
            <w:bookmarkStart w:id="4" w:name="Note5"/>
            <w:bookmarkEnd w:id="4"/>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w:t>
            </w:r>
            <w:r w:rsidRPr="003B1CC5">
              <w:rPr>
                <w:rFonts w:eastAsia="Calibri" w:cs="Calibri"/>
                <w:sz w:val="20"/>
                <w:szCs w:val="20"/>
              </w:rPr>
              <w:lastRenderedPageBreak/>
              <w:t xml:space="preserve">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step in such a multistep process, the step with the strongest evidence for the link to the desired outcome should be selected as the focus of measurement. Note: A measure focused only on collecting PROM data is not a PRO-PM.</w:t>
            </w:r>
          </w:p>
          <w:p w14:paraId="55B8DA4C" w14:textId="77777777" w:rsidR="008659ED" w:rsidRPr="003B1CC5" w:rsidRDefault="008659ED" w:rsidP="00CB1E41">
            <w:pPr>
              <w:autoSpaceDE w:val="0"/>
              <w:autoSpaceDN w:val="0"/>
              <w:adjustRightInd w:val="0"/>
              <w:ind w:left="0" w:firstLine="0"/>
              <w:contextualSpacing/>
            </w:pPr>
            <w:bookmarkStart w:id="5" w:name="Note6"/>
            <w:bookmarkEnd w:id="5"/>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4"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5"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14:paraId="55B8DA4E" w14:textId="77777777" w:rsidR="00F81FE3" w:rsidRDefault="00F81FE3" w:rsidP="002E2177">
      <w:pPr>
        <w:ind w:left="0" w:firstLine="0"/>
        <w:rPr>
          <w:b/>
          <w:bCs/>
          <w:color w:val="0000FF"/>
        </w:rPr>
      </w:pPr>
    </w:p>
    <w:p w14:paraId="55B8DA4F" w14:textId="77777777" w:rsidR="00A67EB1" w:rsidRPr="003B1CC5" w:rsidRDefault="00496AF8" w:rsidP="002E2177">
      <w:pPr>
        <w:ind w:left="0" w:firstLine="0"/>
        <w:rPr>
          <w:bCs/>
          <w:i/>
        </w:rPr>
      </w:pPr>
      <w:r w:rsidRPr="003B1CC5">
        <w:rPr>
          <w:b/>
          <w:bCs/>
          <w:color w:val="0000FF"/>
        </w:rPr>
        <w:t>1</w:t>
      </w:r>
      <w:r w:rsidR="00773485" w:rsidRPr="003B1CC5">
        <w:rPr>
          <w:b/>
          <w:bCs/>
          <w:color w:val="0000FF"/>
        </w:rPr>
        <w:t>a</w:t>
      </w:r>
      <w:r w:rsidRPr="003B1CC5">
        <w:rPr>
          <w:b/>
          <w:bCs/>
          <w:color w:val="0000FF"/>
        </w:rPr>
        <w:t>.1.</w:t>
      </w:r>
      <w:r w:rsidRPr="008F6F51">
        <w:rPr>
          <w:b/>
          <w:bCs/>
        </w:rPr>
        <w:t>This is a measure</w:t>
      </w:r>
      <w:r w:rsidRPr="003B1CC5">
        <w:rPr>
          <w:b/>
          <w:bCs/>
        </w:rPr>
        <w:t xml:space="preserv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14:paraId="55B8DA50" w14:textId="77777777"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14:paraId="55B8DA51" w14:textId="73B32973" w:rsidR="00496AF8" w:rsidRPr="003B1CC5" w:rsidRDefault="00D77B7A" w:rsidP="00A9011D">
      <w:pPr>
        <w:ind w:left="432"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A9011D" w:rsidRPr="00B632E1">
            <w:rPr>
              <w:rFonts w:ascii="MS Gothic" w:eastAsia="MS Gothic" w:hAnsi="MS Gothic" w:hint="eastAsia"/>
              <w:bCs/>
              <w:color w:val="0000FF"/>
            </w:rPr>
            <w:t>☐</w:t>
          </w:r>
        </w:sdtContent>
      </w:sdt>
      <w:r w:rsidR="0015535B" w:rsidRPr="003B1CC5">
        <w:rPr>
          <w:bCs/>
          <w:color w:val="0000FF"/>
        </w:rPr>
        <w:t xml:space="preserve"> </w:t>
      </w:r>
      <w:r w:rsidR="00CC0F87">
        <w:rPr>
          <w:bCs/>
          <w:color w:val="0000FF"/>
        </w:rPr>
        <w:t>O</w:t>
      </w:r>
      <w:r w:rsidR="00BE6373" w:rsidRPr="003B1CC5">
        <w:rPr>
          <w:bCs/>
        </w:rPr>
        <w:t>utc</w:t>
      </w:r>
      <w:r w:rsidR="00496AF8" w:rsidRPr="003B1CC5">
        <w:rPr>
          <w:bCs/>
        </w:rPr>
        <w:t>ome</w:t>
      </w:r>
      <w:r w:rsidR="00B117D0" w:rsidRPr="003B1CC5">
        <w:rPr>
          <w:bCs/>
        </w:rPr>
        <w:t xml:space="preserve">: </w:t>
      </w:r>
      <w:sdt>
        <w:sdtPr>
          <w:rPr>
            <w:rStyle w:val="Style2"/>
            <w:rFonts w:cstheme="minorHAnsi"/>
          </w:rPr>
          <w:id w:val="-768232283"/>
          <w:showingPlcHdr/>
        </w:sdtPr>
        <w:sdtEndPr>
          <w:rPr>
            <w:rStyle w:val="DefaultParagraphFont"/>
            <w:rFonts w:cstheme="minorBidi"/>
            <w:color w:val="auto"/>
            <w:u w:val="none"/>
          </w:rPr>
        </w:sdtEndPr>
        <w:sdtContent>
          <w:r w:rsidR="00496AF8" w:rsidRPr="003B1CC5">
            <w:rPr>
              <w:color w:val="A6A6A6" w:themeColor="background1" w:themeShade="A6"/>
            </w:rPr>
            <w:t>Click here to n</w:t>
          </w:r>
          <w:r w:rsidR="00496AF8" w:rsidRPr="003B1CC5">
            <w:rPr>
              <w:rStyle w:val="PlaceholderText"/>
              <w:rFonts w:cstheme="minorHAnsi"/>
              <w:color w:val="A6A6A6" w:themeColor="background1" w:themeShade="A6"/>
            </w:rPr>
            <w:t>ame the health outcome</w:t>
          </w:r>
        </w:sdtContent>
      </w:sdt>
    </w:p>
    <w:p w14:paraId="55B8DA52" w14:textId="77777777" w:rsidR="00236F87" w:rsidRPr="003B1CC5" w:rsidRDefault="00D77B7A" w:rsidP="00A9011D">
      <w:pPr>
        <w:ind w:left="864" w:hanging="432"/>
        <w:rPr>
          <w:b/>
          <w:bCs/>
        </w:rPr>
      </w:pPr>
      <w:sdt>
        <w:sdtPr>
          <w:rPr>
            <w:bCs/>
            <w:color w:val="0000FF"/>
          </w:rPr>
          <w:id w:val="-1541041819"/>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14:paraId="55B8DA53" w14:textId="77777777" w:rsidR="00B117D0" w:rsidRPr="0061327A"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r w:rsidR="005857F8" w:rsidRPr="003B1CC5">
        <w:rPr>
          <w:bCs/>
          <w:i/>
        </w:rPr>
        <w:t>HRQoL/functional status, symptom/</w:t>
      </w:r>
      <w:r w:rsidR="003008F4">
        <w:rPr>
          <w:bCs/>
          <w:i/>
        </w:rPr>
        <w:t xml:space="preserve">symptom </w:t>
      </w:r>
      <w:r w:rsidR="005857F8" w:rsidRPr="003B1CC5">
        <w:rPr>
          <w:bCs/>
          <w:i/>
        </w:rPr>
        <w:t>burden, experience with care, health-related behaviors</w:t>
      </w:r>
      <w:r w:rsidR="0061327A" w:rsidRPr="0061327A">
        <w:rPr>
          <w:bCs/>
          <w:i/>
        </w:rPr>
        <w:t>.</w:t>
      </w:r>
      <w:r w:rsidR="0061327A" w:rsidRPr="0061327A">
        <w:rPr>
          <w:rFonts w:eastAsia="Calibri" w:cs="Calibri"/>
          <w:sz w:val="20"/>
          <w:szCs w:val="20"/>
        </w:rPr>
        <w:t xml:space="preserve"> </w:t>
      </w:r>
      <w:r w:rsidR="0061327A" w:rsidRPr="0061327A">
        <w:rPr>
          <w:rFonts w:eastAsia="Calibri" w:cs="Calibri"/>
        </w:rPr>
        <w:t>(</w:t>
      </w:r>
      <w:r w:rsidR="0061327A" w:rsidRPr="0061327A">
        <w:rPr>
          <w:rFonts w:eastAsia="Calibri" w:cs="Calibri"/>
          <w:i/>
        </w:rPr>
        <w:t>A PRO</w:t>
      </w:r>
      <w:r w:rsidR="00E42FAA">
        <w:rPr>
          <w:rFonts w:eastAsia="Calibri" w:cs="Calibri"/>
          <w:i/>
        </w:rPr>
        <w:t>-based performance</w:t>
      </w:r>
      <w:r w:rsidR="0061327A" w:rsidRPr="0061327A">
        <w:rPr>
          <w:rFonts w:eastAsia="Calibri" w:cs="Calibri"/>
          <w:i/>
        </w:rPr>
        <w:t xml:space="preserve"> measure is not a survey instrument. Data may be collected using a survey instrument to construct a PRO measure.)</w:t>
      </w:r>
    </w:p>
    <w:p w14:paraId="55B8DA54" w14:textId="06F3B9B8" w:rsidR="00496AF8" w:rsidRPr="003B1CC5" w:rsidRDefault="00D77B7A" w:rsidP="004E7215">
      <w:pPr>
        <w:rPr>
          <w:bCs/>
        </w:rPr>
      </w:pPr>
      <w:sdt>
        <w:sdtPr>
          <w:rPr>
            <w:bCs/>
            <w:color w:val="0000FF"/>
          </w:rPr>
          <w:id w:val="736743040"/>
          <w14:checkbox>
            <w14:checked w14:val="0"/>
            <w14:checkedState w14:val="2612" w14:font="MS Gothic"/>
            <w14:uncheckedState w14:val="2610" w14:font="MS Gothic"/>
          </w14:checkbox>
        </w:sdtPr>
        <w:sdtEndPr/>
        <w:sdtContent>
          <w:r w:rsidR="00E41116">
            <w:rPr>
              <w:rFonts w:ascii="MS Gothic" w:eastAsia="MS Gothic" w:hAnsi="MS Gothic" w:hint="eastAsia"/>
              <w:bCs/>
              <w:color w:val="0000FF"/>
            </w:rPr>
            <w:t>☐</w:t>
          </w:r>
        </w:sdtContent>
      </w:sdt>
      <w:r w:rsidR="00E41116" w:rsidRPr="003B1CC5">
        <w:rPr>
          <w:bCs/>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E41116">
            <w:rPr>
              <w:rStyle w:val="Style2"/>
              <w:rFonts w:cstheme="minorHAnsi"/>
            </w:rPr>
            <w:t xml:space="preserve">     </w:t>
          </w:r>
        </w:sdtContent>
      </w:sdt>
    </w:p>
    <w:p w14:paraId="55B8DA55" w14:textId="787342E6" w:rsidR="00D73685" w:rsidRDefault="00D77B7A" w:rsidP="00015986">
      <w:pPr>
        <w:ind w:left="432" w:hanging="432"/>
        <w:rPr>
          <w:bCs/>
        </w:rPr>
      </w:pPr>
      <w:sdt>
        <w:sdtPr>
          <w:rPr>
            <w:bCs/>
            <w:color w:val="0000FF"/>
          </w:rPr>
          <w:id w:val="-2074808306"/>
          <w14:checkbox>
            <w14:checked w14:val="1"/>
            <w14:checkedState w14:val="2612" w14:font="MS Gothic"/>
            <w14:uncheckedState w14:val="2610" w14:font="MS Gothic"/>
          </w14:checkbox>
        </w:sdtPr>
        <w:sdtEndPr/>
        <w:sdtContent>
          <w:r w:rsidR="00E41116">
            <w:rPr>
              <w:rFonts w:ascii="MS Gothic" w:eastAsia="MS Gothic" w:hAnsi="MS Gothic" w:hint="eastAsia"/>
              <w:bCs/>
              <w:color w:val="0000FF"/>
            </w:rPr>
            <w:t>☒</w:t>
          </w:r>
        </w:sdtContent>
      </w:sdt>
      <w:r w:rsidR="00E41116" w:rsidRPr="003B1CC5">
        <w:rPr>
          <w:bCs/>
        </w:rPr>
        <w:t xml:space="preserve"> </w:t>
      </w:r>
      <w:r w:rsidR="00E41417" w:rsidRPr="003B1CC5">
        <w:rPr>
          <w:bCs/>
        </w:rPr>
        <w:t>P</w:t>
      </w:r>
      <w:r w:rsidR="00496AF8" w:rsidRPr="003B1CC5">
        <w:rPr>
          <w:bCs/>
        </w:rPr>
        <w:t>rocess:</w:t>
      </w:r>
      <w:r w:rsidR="00D73685">
        <w:rPr>
          <w:bCs/>
        </w:rPr>
        <w:t xml:space="preserve">  </w:t>
      </w:r>
      <w:sdt>
        <w:sdtPr>
          <w:rPr>
            <w:rStyle w:val="Style2"/>
            <w:rFonts w:cstheme="minorHAnsi"/>
          </w:rPr>
          <w:id w:val="-247648753"/>
        </w:sdtPr>
        <w:sdtEndPr>
          <w:rPr>
            <w:rStyle w:val="DefaultParagraphFont"/>
            <w:rFonts w:cstheme="minorBidi"/>
            <w:bCs/>
            <w:color w:val="auto"/>
            <w:u w:val="none"/>
          </w:rPr>
        </w:sdtEndPr>
        <w:sdtContent>
          <w:sdt>
            <w:sdtPr>
              <w:rPr>
                <w:rStyle w:val="Style2"/>
                <w:rFonts w:cstheme="minorHAnsi"/>
              </w:rPr>
              <w:id w:val="-856118389"/>
            </w:sdtPr>
            <w:sdtEndPr>
              <w:rPr>
                <w:rStyle w:val="DefaultParagraphFont"/>
                <w:rFonts w:cstheme="minorBidi"/>
                <w:bCs/>
                <w:color w:val="auto"/>
                <w:u w:val="none"/>
              </w:rPr>
            </w:sdtEndPr>
            <w:sdtContent>
              <w:r w:rsidR="006F4D98">
                <w:rPr>
                  <w:rStyle w:val="Style2"/>
                  <w:rFonts w:cstheme="minorHAnsi"/>
                </w:rPr>
                <w:t>Beta-blocker therapy for patients with a prior MI receiving an ICD</w:t>
              </w:r>
            </w:sdtContent>
          </w:sdt>
        </w:sdtContent>
      </w:sdt>
    </w:p>
    <w:p w14:paraId="55B8DA56" w14:textId="77777777" w:rsidR="00496AF8" w:rsidRPr="004E7215" w:rsidRDefault="00D73685" w:rsidP="00D73685">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03807965"/>
          <w14:checkbox>
            <w14:checked w14:val="0"/>
            <w14:checkedState w14:val="2612" w14:font="MS Gothic"/>
            <w14:uncheckedState w14:val="2610" w14:font="MS Gothic"/>
          </w14:checkbox>
        </w:sdtPr>
        <w:sdtEndPr/>
        <w:sdtContent>
          <w:r w:rsidRPr="00D73685">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00496AF8" w:rsidRPr="00D73685">
        <w:rPr>
          <w:bCs/>
        </w:rPr>
        <w:t xml:space="preserve"> </w:t>
      </w:r>
      <w:r w:rsidRPr="00D73685">
        <w:rPr>
          <w:rStyle w:val="Style2"/>
          <w:rFonts w:cstheme="minorHAnsi"/>
        </w:rPr>
        <w:t xml:space="preserve"> </w:t>
      </w:r>
      <w:sdt>
        <w:sdtPr>
          <w:rPr>
            <w:rStyle w:val="Style2"/>
            <w:rFonts w:cstheme="minorHAnsi"/>
          </w:rPr>
          <w:id w:val="-2123911889"/>
          <w:showingPlcHdr/>
        </w:sdtPr>
        <w:sdtEndPr>
          <w:rPr>
            <w:rStyle w:val="DefaultParagraphFont"/>
            <w:rFonts w:cstheme="minorBidi"/>
            <w:bCs/>
            <w:color w:val="auto"/>
            <w:u w:val="none"/>
          </w:rPr>
        </w:sdtEndPr>
        <w:sdtContent>
          <w:r w:rsidRPr="003B1CC5">
            <w:rPr>
              <w:rStyle w:val="PlaceholderText"/>
              <w:rFonts w:cstheme="minorHAnsi"/>
              <w:color w:val="A6A6A6" w:themeColor="background1" w:themeShade="A6"/>
            </w:rPr>
            <w:t>Click here to name what is being measured</w:t>
          </w:r>
        </w:sdtContent>
      </w:sdt>
      <w:r>
        <w:rPr>
          <w:rStyle w:val="Style2"/>
          <w:rFonts w:cstheme="minorHAnsi"/>
        </w:rPr>
        <w:t xml:space="preserve"> </w:t>
      </w:r>
      <w:sdt>
        <w:sdtPr>
          <w:rPr>
            <w:rStyle w:val="Style2"/>
            <w:rFonts w:cstheme="minorHAnsi"/>
          </w:rPr>
          <w:id w:val="-1371599399"/>
          <w:showingPlcHdr/>
        </w:sdtPr>
        <w:sdtEndPr>
          <w:rPr>
            <w:rStyle w:val="DefaultParagraphFont"/>
            <w:rFonts w:cstheme="minorBidi"/>
            <w:bCs/>
            <w:color w:val="auto"/>
            <w:u w:val="none"/>
          </w:rPr>
        </w:sdtEndPr>
        <w:sdtContent>
          <w:r>
            <w:rPr>
              <w:rStyle w:val="Style2"/>
              <w:rFonts w:cstheme="minorHAnsi"/>
            </w:rPr>
            <w:t xml:space="preserve">     </w:t>
          </w:r>
        </w:sdtContent>
      </w:sdt>
    </w:p>
    <w:p w14:paraId="55B8DA57" w14:textId="77777777" w:rsidR="00496AF8" w:rsidRPr="003B1CC5" w:rsidRDefault="00D77B7A"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14:paraId="55B8DA58" w14:textId="77777777" w:rsidR="00496AF8" w:rsidRPr="003B1CC5" w:rsidRDefault="00D77B7A"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D73685">
        <w:rPr>
          <w:bCs/>
        </w:rPr>
        <w:t>Composite</w:t>
      </w:r>
      <w:r w:rsidR="00496AF8" w:rsidRPr="003B1CC5">
        <w:rPr>
          <w:bCs/>
        </w:rPr>
        <w:t xml:space="preserve">: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14:paraId="55B8DA59" w14:textId="77777777" w:rsidR="00496AF8" w:rsidRPr="003B1CC5" w:rsidRDefault="00496AF8" w:rsidP="002E2177">
      <w:pPr>
        <w:ind w:left="0" w:firstLine="0"/>
        <w:rPr>
          <w:bCs/>
        </w:rPr>
      </w:pPr>
    </w:p>
    <w:p w14:paraId="55B8DA5B" w14:textId="44EEC345" w:rsidR="002B06BD" w:rsidRPr="006F4D98" w:rsidRDefault="00676BD4" w:rsidP="006F4D98">
      <w:pPr>
        <w:ind w:left="432" w:hanging="432"/>
        <w:rPr>
          <w:iCs/>
        </w:rPr>
      </w:pPr>
      <w:r>
        <w:rPr>
          <w:b/>
          <w:bCs/>
          <w:color w:val="0000FF"/>
        </w:rPr>
        <w:t>1a.</w:t>
      </w:r>
      <w:r w:rsidR="00C41794">
        <w:rPr>
          <w:b/>
          <w:bCs/>
          <w:color w:val="0000FF"/>
        </w:rPr>
        <w:t>2</w:t>
      </w:r>
      <w:r w:rsidR="002B06BD" w:rsidRPr="003B1CC5">
        <w:rPr>
          <w:bCs/>
        </w:rPr>
        <w:t xml:space="preserve"> </w:t>
      </w:r>
      <w:r w:rsidRPr="00676BD4">
        <w:rPr>
          <w:b/>
          <w:bCs/>
        </w:rPr>
        <w:t>LOGIC MODEL</w:t>
      </w:r>
      <w:r>
        <w:rPr>
          <w:bCs/>
        </w:rPr>
        <w:t xml:space="preserve"> </w:t>
      </w:r>
      <w:r w:rsidRPr="00676BD4">
        <w:rPr>
          <w:iCs/>
        </w:rPr>
        <w:t>Diagram or briefly describe</w:t>
      </w:r>
      <w:r w:rsidR="002B06BD" w:rsidRPr="00676BD4">
        <w:rPr>
          <w:iCs/>
        </w:rPr>
        <w:t xml:space="preserve"> the </w:t>
      </w:r>
      <w:r w:rsidRPr="00676BD4">
        <w:rPr>
          <w:iCs/>
        </w:rPr>
        <w:t>steps</w:t>
      </w:r>
      <w:r w:rsidR="00236F87" w:rsidRPr="00676BD4">
        <w:rPr>
          <w:iCs/>
        </w:rPr>
        <w:t xml:space="preserve"> </w:t>
      </w:r>
      <w:r w:rsidR="002B06BD" w:rsidRPr="00676BD4">
        <w:rPr>
          <w:iCs/>
        </w:rPr>
        <w:t xml:space="preserve">between </w:t>
      </w:r>
      <w:r w:rsidR="00CB06C9" w:rsidRPr="00676BD4">
        <w:rPr>
          <w:iCs/>
        </w:rPr>
        <w:t>the</w:t>
      </w:r>
      <w:r w:rsidR="002B06BD" w:rsidRPr="00676BD4">
        <w:rPr>
          <w:iCs/>
        </w:rPr>
        <w:t xml:space="preserve"> healthcare structure</w:t>
      </w:r>
      <w:r w:rsidR="00CB06C9" w:rsidRPr="00676BD4">
        <w:rPr>
          <w:iCs/>
        </w:rPr>
        <w:t>s</w:t>
      </w:r>
      <w:r w:rsidR="00F90F82">
        <w:rPr>
          <w:iCs/>
        </w:rPr>
        <w:t xml:space="preserve"> and</w:t>
      </w:r>
      <w:r w:rsidR="002B06BD" w:rsidRPr="00676BD4">
        <w:rPr>
          <w:iCs/>
        </w:rPr>
        <w:t xml:space="preserve"> process</w:t>
      </w:r>
      <w:r w:rsidR="00CB06C9" w:rsidRPr="00676BD4">
        <w:rPr>
          <w:iCs/>
        </w:rPr>
        <w:t>es</w:t>
      </w:r>
      <w:r>
        <w:rPr>
          <w:iCs/>
        </w:rPr>
        <w:t xml:space="preserve"> (e.g.,</w:t>
      </w:r>
      <w:r w:rsidR="002B06BD" w:rsidRPr="00676BD4">
        <w:rPr>
          <w:iCs/>
        </w:rPr>
        <w:t xml:space="preserve"> intervention</w:t>
      </w:r>
      <w:r w:rsidR="00CB06C9" w:rsidRPr="00676BD4">
        <w:rPr>
          <w:iCs/>
        </w:rPr>
        <w:t>s</w:t>
      </w:r>
      <w:r w:rsidR="002B06BD" w:rsidRPr="00676BD4">
        <w:rPr>
          <w:iCs/>
        </w:rPr>
        <w:t>, or service</w:t>
      </w:r>
      <w:r w:rsidR="00CB06C9" w:rsidRPr="00676BD4">
        <w:rPr>
          <w:iCs/>
        </w:rPr>
        <w:t>s</w:t>
      </w:r>
      <w:r>
        <w:rPr>
          <w:iCs/>
        </w:rPr>
        <w:t>)</w:t>
      </w:r>
      <w:r w:rsidR="00CB06C9" w:rsidRPr="00676BD4">
        <w:rPr>
          <w:iCs/>
        </w:rPr>
        <w:t xml:space="preserve"> </w:t>
      </w:r>
      <w:r w:rsidRPr="00676BD4">
        <w:rPr>
          <w:iCs/>
        </w:rPr>
        <w:t>and the patient</w:t>
      </w:r>
      <w:r>
        <w:rPr>
          <w:iCs/>
        </w:rPr>
        <w:t>’s</w:t>
      </w:r>
      <w:r w:rsidRPr="00676BD4">
        <w:rPr>
          <w:iCs/>
        </w:rPr>
        <w:t xml:space="preserve"> health outcome</w:t>
      </w:r>
      <w:r w:rsidR="00F90F82">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w:t>
      </w:r>
      <w:r w:rsidR="00F90F82">
        <w:rPr>
          <w:iCs/>
        </w:rPr>
        <w:t xml:space="preserve">structure, </w:t>
      </w:r>
      <w:r>
        <w:rPr>
          <w:iCs/>
        </w:rPr>
        <w:t>process o</w:t>
      </w:r>
      <w:r w:rsidRPr="00676BD4">
        <w:rPr>
          <w:iCs/>
        </w:rPr>
        <w:t>r outcome being measured.</w:t>
      </w:r>
    </w:p>
    <w:p w14:paraId="7C9F2ED0" w14:textId="0B0F32C2" w:rsidR="00DC68AC" w:rsidRPr="003B1CC5" w:rsidRDefault="006F4D98" w:rsidP="002E2177">
      <w:pPr>
        <w:ind w:left="432" w:hanging="432"/>
        <w:rPr>
          <w:color w:val="0000FF"/>
        </w:rPr>
      </w:pPr>
      <w:r>
        <w:rPr>
          <w:noProof/>
        </w:rPr>
        <w:drawing>
          <wp:inline distT="0" distB="0" distL="0" distR="0" wp14:anchorId="611AEDEE" wp14:editId="16C602E3">
            <wp:extent cx="5486400" cy="1633541"/>
            <wp:effectExtent l="50800" t="0" r="2540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3DB3C7EE" w14:textId="4A36BBBA" w:rsidR="00DC68AC" w:rsidRPr="006F4D98" w:rsidRDefault="006F4D98" w:rsidP="00DC68AC">
      <w:pPr>
        <w:ind w:left="0" w:firstLine="0"/>
        <w:rPr>
          <w:rFonts w:cs="Calibri"/>
          <w:szCs w:val="18"/>
        </w:rPr>
      </w:pPr>
      <w:r>
        <w:rPr>
          <w:rFonts w:cs="Calibri"/>
          <w:szCs w:val="18"/>
        </w:rPr>
        <w:t xml:space="preserve">Beta-blockers reduce </w:t>
      </w:r>
      <w:r w:rsidRPr="005E6377">
        <w:rPr>
          <w:rFonts w:cs="Calibri"/>
          <w:szCs w:val="18"/>
        </w:rPr>
        <w:t>morbidity, mortality, and ho</w:t>
      </w:r>
      <w:r>
        <w:rPr>
          <w:rFonts w:cs="Calibri"/>
          <w:szCs w:val="18"/>
        </w:rPr>
        <w:t>spitalizations for patients who had a prior myocardial infarction (MI)</w:t>
      </w:r>
      <w:r w:rsidRPr="005E6377">
        <w:rPr>
          <w:rFonts w:cs="Calibri"/>
          <w:szCs w:val="18"/>
        </w:rPr>
        <w:t>.</w:t>
      </w:r>
    </w:p>
    <w:p w14:paraId="55B8DA5C" w14:textId="47993695" w:rsidR="00676BD4" w:rsidRDefault="00676BD4" w:rsidP="002E2177">
      <w:pPr>
        <w:ind w:left="432" w:hanging="432"/>
        <w:rPr>
          <w:b/>
          <w:color w:val="0000FF"/>
        </w:rPr>
      </w:pPr>
    </w:p>
    <w:p w14:paraId="33C7741B" w14:textId="4993289B" w:rsidR="004922E4" w:rsidRPr="004922E4" w:rsidRDefault="004922E4" w:rsidP="004922E4">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55B8DA5F" w14:textId="704A4D76" w:rsidR="00676BD4" w:rsidRDefault="00676BD4" w:rsidP="00A9011D">
      <w:pPr>
        <w:ind w:left="0" w:firstLine="0"/>
        <w:rPr>
          <w:b/>
          <w:color w:val="0000FF"/>
        </w:rPr>
      </w:pPr>
    </w:p>
    <w:p w14:paraId="55B8DA60" w14:textId="77777777" w:rsidR="00676BD4" w:rsidRDefault="00676BD4" w:rsidP="002E2177">
      <w:pPr>
        <w:ind w:left="432" w:hanging="432"/>
        <w:rPr>
          <w:b/>
          <w:color w:val="0000FF"/>
        </w:rPr>
      </w:pPr>
    </w:p>
    <w:p w14:paraId="55B8DA61" w14:textId="77777777" w:rsidR="00676BD4" w:rsidRDefault="00C41794" w:rsidP="002E2177">
      <w:pPr>
        <w:ind w:left="432" w:hanging="432"/>
        <w:rPr>
          <w:b/>
          <w:color w:val="0000FF"/>
        </w:rPr>
      </w:pPr>
      <w:r>
        <w:rPr>
          <w:b/>
          <w:color w:val="0000FF"/>
        </w:rPr>
        <w:t xml:space="preserve">**RESPOND TO ONLY ONE SECTION </w:t>
      </w:r>
      <w:r w:rsidR="004E7215">
        <w:rPr>
          <w:b/>
          <w:color w:val="0000FF"/>
        </w:rPr>
        <w:t>BELOW -</w:t>
      </w:r>
      <w:r>
        <w:rPr>
          <w:b/>
          <w:color w:val="0000FF"/>
        </w:rPr>
        <w:t xml:space="preserve">EITHER 1a.2, 1a.3 or 1a.4) </w:t>
      </w:r>
      <w:r w:rsidR="00AB4ECE">
        <w:rPr>
          <w:b/>
          <w:color w:val="0000FF"/>
        </w:rPr>
        <w:t>**</w:t>
      </w:r>
    </w:p>
    <w:p w14:paraId="55B8DA62" w14:textId="77777777" w:rsidR="00676BD4" w:rsidRDefault="00676BD4" w:rsidP="002E2177">
      <w:pPr>
        <w:ind w:left="432" w:hanging="432"/>
        <w:rPr>
          <w:b/>
          <w:color w:val="0000FF"/>
        </w:rPr>
      </w:pPr>
    </w:p>
    <w:p w14:paraId="55B8DA63" w14:textId="26AB307C" w:rsidR="00496AF8" w:rsidRPr="00C41794" w:rsidRDefault="00B058A6" w:rsidP="00C41794">
      <w:pPr>
        <w:ind w:left="432" w:hanging="432"/>
        <w:rPr>
          <w:b/>
        </w:rPr>
      </w:pPr>
      <w:r w:rsidRPr="003B1CC5">
        <w:rPr>
          <w:b/>
          <w:color w:val="0000FF"/>
        </w:rPr>
        <w:t>1</w:t>
      </w:r>
      <w:r w:rsidR="00773485" w:rsidRPr="003B1CC5">
        <w:rPr>
          <w:b/>
          <w:color w:val="0000FF"/>
        </w:rPr>
        <w:t>a</w:t>
      </w:r>
      <w:r w:rsidRPr="003B1CC5">
        <w:rPr>
          <w:b/>
          <w:color w:val="0000FF"/>
        </w:rPr>
        <w:t>.2</w:t>
      </w:r>
      <w:r w:rsidR="00E41417" w:rsidRPr="003B1CC5">
        <w:rPr>
          <w:iCs/>
        </w:rPr>
        <w:t xml:space="preserve"> </w:t>
      </w:r>
      <w:r w:rsidR="00C41794" w:rsidRPr="00676BD4">
        <w:rPr>
          <w:b/>
        </w:rPr>
        <w:t>FOR OUTCOME MEASURES including PATIENT REPORTED OUTCOMES</w:t>
      </w:r>
      <w:r w:rsidR="003D6721">
        <w:rPr>
          <w:b/>
        </w:rPr>
        <w:t xml:space="preserve"> </w:t>
      </w:r>
      <w:r w:rsidR="00C41794">
        <w:rPr>
          <w:b/>
        </w:rPr>
        <w:t>-</w:t>
      </w:r>
      <w:r w:rsidR="00C41794" w:rsidRPr="003B1CC5">
        <w:rPr>
          <w:b/>
          <w:iCs/>
        </w:rPr>
        <w:t xml:space="preserve"> </w:t>
      </w:r>
      <w:r w:rsidR="003D6721">
        <w:rPr>
          <w:b/>
          <w:iCs/>
        </w:rPr>
        <w:t xml:space="preserve">Provide empirical data demonstrating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3D6721">
        <w:rPr>
          <w:b/>
          <w:iCs/>
        </w:rPr>
        <w:t xml:space="preserve">healthcare structure, process, </w:t>
      </w:r>
      <w:r w:rsidR="00496AF8" w:rsidRPr="003B1CC5">
        <w:rPr>
          <w:b/>
          <w:iCs/>
        </w:rPr>
        <w:t>intervention, or service</w:t>
      </w:r>
      <w:r w:rsidR="00676BD4">
        <w:rPr>
          <w:b/>
          <w:iCs/>
        </w:rPr>
        <w:t>.</w:t>
      </w:r>
      <w:r w:rsidR="00AC1E53">
        <w:rPr>
          <w:b/>
          <w:iCs/>
        </w:rPr>
        <w:t xml:space="preserve"> </w:t>
      </w:r>
    </w:p>
    <w:p w14:paraId="55B8DA64" w14:textId="77777777" w:rsidR="00D14F0B" w:rsidRPr="003B1CC5" w:rsidRDefault="00D14F0B" w:rsidP="002E2177">
      <w:pPr>
        <w:ind w:left="0" w:firstLine="0"/>
        <w:rPr>
          <w:iCs/>
        </w:rPr>
      </w:pPr>
    </w:p>
    <w:p w14:paraId="55B8DA65" w14:textId="77777777" w:rsidR="00676BD4" w:rsidRDefault="00676BD4" w:rsidP="002E2177">
      <w:pPr>
        <w:ind w:left="0" w:firstLine="0"/>
        <w:rPr>
          <w:i/>
          <w:iCs/>
          <w:highlight w:val="green"/>
          <w:u w:val="single"/>
        </w:rPr>
      </w:pPr>
    </w:p>
    <w:p w14:paraId="55B8DA66" w14:textId="725FE95F" w:rsidR="00C41794" w:rsidRPr="003B1CC5" w:rsidRDefault="002B06BD" w:rsidP="00C41794">
      <w:pPr>
        <w:ind w:left="0" w:firstLine="0"/>
        <w:rPr>
          <w:b/>
          <w:iCs/>
        </w:rPr>
      </w:pPr>
      <w:bookmarkStart w:id="6" w:name="Section1a3"/>
      <w:bookmarkEnd w:id="6"/>
      <w:r w:rsidRPr="003B1CC5">
        <w:rPr>
          <w:b/>
          <w:iCs/>
          <w:color w:val="0000FF"/>
        </w:rPr>
        <w:lastRenderedPageBreak/>
        <w:t>1a.3.</w:t>
      </w:r>
      <w:r w:rsidRPr="003B1CC5">
        <w:rPr>
          <w:i/>
          <w:iCs/>
          <w:color w:val="0000FF"/>
        </w:rPr>
        <w:t xml:space="preserve"> </w:t>
      </w:r>
      <w:r w:rsidR="00C41794">
        <w:rPr>
          <w:b/>
          <w:iCs/>
          <w:color w:val="0000FF"/>
        </w:rPr>
        <w:t>SYSTEMATIC REVIEW</w:t>
      </w:r>
      <w:r w:rsidR="00AB4ECE">
        <w:rPr>
          <w:b/>
          <w:iCs/>
          <w:color w:val="0000FF"/>
        </w:rPr>
        <w:t>(SR)</w:t>
      </w:r>
      <w:r w:rsidR="00C41794">
        <w:rPr>
          <w:b/>
          <w:iCs/>
          <w:color w:val="0000FF"/>
        </w:rPr>
        <w:t xml:space="preserve"> OF THE EVIDENCE (</w:t>
      </w:r>
      <w:r w:rsidR="00C41794" w:rsidRPr="00F90F82">
        <w:rPr>
          <w:b/>
          <w:iCs/>
        </w:rPr>
        <w:t>for</w:t>
      </w:r>
      <w:r w:rsidR="00C41794" w:rsidRPr="00F90F82">
        <w:rPr>
          <w:b/>
          <w:iCs/>
          <w:caps/>
        </w:rPr>
        <w:t xml:space="preserve"> </w:t>
      </w:r>
      <w:r w:rsidR="00C41794">
        <w:rPr>
          <w:b/>
          <w:iCs/>
          <w:caps/>
        </w:rPr>
        <w:t xml:space="preserve"> </w:t>
      </w:r>
      <w:r w:rsidR="00C41794" w:rsidRPr="003B1CC5">
        <w:rPr>
          <w:b/>
          <w:iCs/>
          <w:caps/>
        </w:rPr>
        <w:t>intermediate outcome, PROCESS, or STRUCTURE PERFORMANCE measure</w:t>
      </w:r>
      <w:r w:rsidR="00C41794">
        <w:rPr>
          <w:b/>
          <w:iCs/>
          <w:caps/>
        </w:rPr>
        <w:t>s</w:t>
      </w:r>
      <w:r w:rsidR="003D6721">
        <w:rPr>
          <w:b/>
          <w:iCs/>
          <w:caps/>
        </w:rPr>
        <w:t>, including those that are instrument-based</w:t>
      </w:r>
      <w:r w:rsidR="00C41794">
        <w:rPr>
          <w:b/>
          <w:iCs/>
          <w:caps/>
        </w:rPr>
        <w:t>)</w:t>
      </w:r>
      <w:r w:rsidR="00C41794" w:rsidRPr="003B1CC5">
        <w:rPr>
          <w:b/>
          <w:iCs/>
        </w:rPr>
        <w:t xml:space="preserve"> </w:t>
      </w:r>
      <w:r w:rsidR="00C41794">
        <w:rPr>
          <w:b/>
          <w:iCs/>
        </w:rPr>
        <w:t>If the evidence is not based on a system</w:t>
      </w:r>
      <w:r w:rsidR="00AB4ECE">
        <w:rPr>
          <w:b/>
          <w:iCs/>
        </w:rPr>
        <w:t>a</w:t>
      </w:r>
      <w:r w:rsidR="00C41794">
        <w:rPr>
          <w:b/>
          <w:iCs/>
        </w:rPr>
        <w:t>tic review go to section 1a.4)</w:t>
      </w:r>
      <w:r w:rsidR="00AB4ECE">
        <w:rPr>
          <w:b/>
          <w:iCs/>
        </w:rPr>
        <w:t xml:space="preserve"> If you wish to include more than one systematic review, add </w:t>
      </w:r>
      <w:r w:rsidR="000F4A7F">
        <w:rPr>
          <w:b/>
          <w:iCs/>
        </w:rPr>
        <w:t>additional tables.</w:t>
      </w:r>
      <w:r w:rsidR="00AB4ECE">
        <w:rPr>
          <w:b/>
          <w:iCs/>
        </w:rPr>
        <w:t xml:space="preserve"> </w:t>
      </w:r>
    </w:p>
    <w:p w14:paraId="55B8DA67" w14:textId="77777777" w:rsidR="00496AF8" w:rsidRDefault="00496AF8" w:rsidP="002E2177">
      <w:pPr>
        <w:ind w:left="0" w:firstLine="0"/>
        <w:rPr>
          <w:i/>
          <w:iCs/>
        </w:rPr>
      </w:pPr>
    </w:p>
    <w:p w14:paraId="55B8DA68" w14:textId="77777777" w:rsidR="00A9011D" w:rsidRPr="00A9011D" w:rsidRDefault="00A9011D" w:rsidP="00A9011D">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55B8DA69" w14:textId="599A8280" w:rsidR="00A9011D" w:rsidRPr="00A9011D" w:rsidRDefault="00D77B7A" w:rsidP="00A9011D">
      <w:pPr>
        <w:ind w:left="0" w:firstLine="0"/>
        <w:rPr>
          <w:rFonts w:ascii="Calibri" w:eastAsia="Calibri" w:hAnsi="Calibri" w:cs="Times New Roman"/>
        </w:rPr>
      </w:pPr>
      <w:sdt>
        <w:sdtPr>
          <w:rPr>
            <w:bCs/>
            <w:color w:val="0000FF"/>
          </w:rPr>
          <w:id w:val="-468508862"/>
          <w14:checkbox>
            <w14:checked w14:val="1"/>
            <w14:checkedState w14:val="2612" w14:font="MS Gothic"/>
            <w14:uncheckedState w14:val="2610" w14:font="MS Gothic"/>
          </w14:checkbox>
        </w:sdtPr>
        <w:sdtEndPr/>
        <w:sdtContent>
          <w:r w:rsidR="00DC68AC">
            <w:rPr>
              <w:rFonts w:ascii="MS Gothic" w:eastAsia="MS Gothic" w:hAnsi="MS Gothic" w:hint="eastAsia"/>
              <w:bCs/>
              <w:color w:val="0000FF"/>
            </w:rPr>
            <w:t>☒</w:t>
          </w:r>
        </w:sdtContent>
      </w:sdt>
      <w:r w:rsidR="00DC68AC" w:rsidRPr="003B1CC5">
        <w:t xml:space="preserve"> </w:t>
      </w:r>
      <w:r w:rsidR="00A9011D" w:rsidRPr="00A9011D">
        <w:rPr>
          <w:rFonts w:ascii="Calibri" w:eastAsia="Calibri" w:hAnsi="Calibri" w:cs="Times New Roman"/>
        </w:rPr>
        <w:t xml:space="preserve">Clinical Practice Guideline recommendation </w:t>
      </w:r>
      <w:r w:rsidR="00EC1225">
        <w:rPr>
          <w:rFonts w:ascii="Calibri" w:eastAsia="Calibri" w:hAnsi="Calibri" w:cs="Times New Roman"/>
        </w:rPr>
        <w:t xml:space="preserve"> (with evidence review)</w:t>
      </w:r>
    </w:p>
    <w:p w14:paraId="55B8DA6A" w14:textId="77777777" w:rsidR="00A9011D" w:rsidRPr="00A9011D" w:rsidRDefault="00A9011D" w:rsidP="00A9011D">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55B8DA6B" w14:textId="77777777" w:rsidR="00A9011D" w:rsidRPr="00A9011D" w:rsidRDefault="00A9011D" w:rsidP="00A9011D">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55B8DA6C" w14:textId="4E8E246E" w:rsidR="00A9011D" w:rsidRDefault="00A9011D" w:rsidP="002E2177">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w:t>
      </w:r>
    </w:p>
    <w:p w14:paraId="3E1877F6" w14:textId="4BBEF6B4" w:rsidR="00F63474" w:rsidRDefault="00F63474" w:rsidP="002E2177">
      <w:pPr>
        <w:ind w:left="0" w:firstLine="0"/>
        <w:rPr>
          <w:rFonts w:ascii="Calibri" w:eastAsia="Calibri" w:hAnsi="Calibri" w:cs="Times New Roman"/>
        </w:rPr>
      </w:pPr>
    </w:p>
    <w:tbl>
      <w:tblPr>
        <w:tblStyle w:val="TableGrid"/>
        <w:tblW w:w="0" w:type="auto"/>
        <w:tblLook w:val="04A0" w:firstRow="1" w:lastRow="0" w:firstColumn="1" w:lastColumn="0" w:noHBand="0" w:noVBand="1"/>
      </w:tblPr>
      <w:tblGrid>
        <w:gridCol w:w="1792"/>
        <w:gridCol w:w="7558"/>
      </w:tblGrid>
      <w:tr w:rsidR="00F63474" w:rsidRPr="00371E29" w14:paraId="49C9BD3C" w14:textId="77777777" w:rsidTr="00C0208A">
        <w:tc>
          <w:tcPr>
            <w:tcW w:w="3927" w:type="dxa"/>
          </w:tcPr>
          <w:p w14:paraId="5E9DAAED" w14:textId="77777777" w:rsidR="00F63474" w:rsidRPr="00371E29" w:rsidRDefault="00F63474" w:rsidP="00F63474">
            <w:pPr>
              <w:ind w:left="0" w:firstLine="0"/>
              <w:rPr>
                <w:rFonts w:ascii="Calibri" w:hAnsi="Calibri" w:cs="Calibri"/>
                <w:b/>
              </w:rPr>
            </w:pPr>
            <w:r w:rsidRPr="00371E29">
              <w:rPr>
                <w:rFonts w:ascii="Calibri" w:hAnsi="Calibri" w:cs="Calibri"/>
                <w:b/>
              </w:rPr>
              <w:t>Source of Systematic Review:</w:t>
            </w:r>
          </w:p>
          <w:p w14:paraId="61B32AE0" w14:textId="77777777" w:rsidR="00F63474" w:rsidRPr="00371E29" w:rsidRDefault="00F63474" w:rsidP="00F63474">
            <w:pPr>
              <w:pStyle w:val="ListParagraph"/>
              <w:numPr>
                <w:ilvl w:val="0"/>
                <w:numId w:val="9"/>
              </w:numPr>
              <w:rPr>
                <w:rFonts w:ascii="Calibri" w:hAnsi="Calibri" w:cs="Calibri"/>
                <w:b/>
              </w:rPr>
            </w:pPr>
            <w:r w:rsidRPr="00371E29">
              <w:rPr>
                <w:rFonts w:ascii="Calibri" w:hAnsi="Calibri" w:cs="Calibri"/>
                <w:b/>
              </w:rPr>
              <w:t>Title</w:t>
            </w:r>
          </w:p>
          <w:p w14:paraId="3180B8FB" w14:textId="77777777" w:rsidR="00F63474" w:rsidRPr="00371E29" w:rsidRDefault="00F63474" w:rsidP="00F63474">
            <w:pPr>
              <w:pStyle w:val="ListParagraph"/>
              <w:numPr>
                <w:ilvl w:val="0"/>
                <w:numId w:val="9"/>
              </w:numPr>
              <w:rPr>
                <w:rFonts w:ascii="Calibri" w:hAnsi="Calibri" w:cs="Calibri"/>
                <w:b/>
              </w:rPr>
            </w:pPr>
            <w:r w:rsidRPr="00371E29">
              <w:rPr>
                <w:rFonts w:ascii="Calibri" w:hAnsi="Calibri" w:cs="Calibri"/>
                <w:b/>
              </w:rPr>
              <w:t>Author</w:t>
            </w:r>
          </w:p>
          <w:p w14:paraId="32453459" w14:textId="77777777" w:rsidR="00F63474" w:rsidRPr="00371E29" w:rsidRDefault="00F63474" w:rsidP="00F63474">
            <w:pPr>
              <w:pStyle w:val="ListParagraph"/>
              <w:numPr>
                <w:ilvl w:val="0"/>
                <w:numId w:val="9"/>
              </w:numPr>
              <w:rPr>
                <w:rFonts w:ascii="Calibri" w:hAnsi="Calibri" w:cs="Calibri"/>
                <w:b/>
              </w:rPr>
            </w:pPr>
            <w:r w:rsidRPr="00371E29">
              <w:rPr>
                <w:rFonts w:ascii="Calibri" w:hAnsi="Calibri" w:cs="Calibri"/>
                <w:b/>
              </w:rPr>
              <w:t>Date</w:t>
            </w:r>
          </w:p>
          <w:p w14:paraId="23F618E5" w14:textId="77777777" w:rsidR="00F63474" w:rsidRPr="00371E29" w:rsidRDefault="00F63474" w:rsidP="00F63474">
            <w:pPr>
              <w:pStyle w:val="ListParagraph"/>
              <w:numPr>
                <w:ilvl w:val="0"/>
                <w:numId w:val="9"/>
              </w:numPr>
              <w:rPr>
                <w:rFonts w:ascii="Calibri" w:hAnsi="Calibri" w:cs="Calibri"/>
                <w:b/>
              </w:rPr>
            </w:pPr>
            <w:r w:rsidRPr="00371E29">
              <w:rPr>
                <w:rFonts w:ascii="Calibri" w:hAnsi="Calibri" w:cs="Calibri"/>
                <w:b/>
              </w:rPr>
              <w:t>Citation, including page number</w:t>
            </w:r>
          </w:p>
          <w:p w14:paraId="3325C583" w14:textId="77777777" w:rsidR="00F63474" w:rsidRPr="00371E29" w:rsidRDefault="00F63474" w:rsidP="00F63474">
            <w:pPr>
              <w:pStyle w:val="ListParagraph"/>
              <w:numPr>
                <w:ilvl w:val="0"/>
                <w:numId w:val="9"/>
              </w:numPr>
              <w:rPr>
                <w:rFonts w:ascii="Calibri" w:hAnsi="Calibri" w:cs="Calibri"/>
                <w:b/>
              </w:rPr>
            </w:pPr>
            <w:r w:rsidRPr="00371E29">
              <w:rPr>
                <w:rFonts w:ascii="Calibri" w:hAnsi="Calibri" w:cs="Calibri"/>
                <w:b/>
              </w:rPr>
              <w:t>URL</w:t>
            </w:r>
          </w:p>
        </w:tc>
        <w:tc>
          <w:tcPr>
            <w:tcW w:w="5649" w:type="dxa"/>
          </w:tcPr>
          <w:p w14:paraId="1D3E8F08" w14:textId="6A2C1D0C" w:rsidR="006314FD" w:rsidRPr="006314FD" w:rsidRDefault="006314FD" w:rsidP="006314FD">
            <w:pPr>
              <w:widowControl w:val="0"/>
              <w:autoSpaceDE w:val="0"/>
              <w:autoSpaceDN w:val="0"/>
              <w:adjustRightInd w:val="0"/>
              <w:spacing w:after="240"/>
              <w:ind w:left="0" w:firstLine="0"/>
              <w:rPr>
                <w:rFonts w:cs="Times"/>
              </w:rPr>
            </w:pPr>
            <w:r w:rsidRPr="00BA26ED">
              <w:rPr>
                <w:rFonts w:cs="Times"/>
              </w:rPr>
              <w:t xml:space="preserve">Amsterdam EA, Wenger NK, Brindis RG, Casey DE Jr, Ganiats TG, Holmes DR Jr, Jaffe AS, Jneid H, Kelly RF, Kontos MC, Levine GN, Liebson PR, Mukherjee D, Peterson ED, Sabatine MS, Smalling RW, Zieman SJ. 2014 AHA/ACC guideline for the management of patients with non–ST-elevation acute coronary syndromes: a report of the American College of Cardiology/ American Heart Association Task Force on Practice Guidelines. J Am Coll Cardiol 2014;64:e139–228. </w:t>
            </w:r>
            <w:hyperlink r:id="rId21" w:history="1">
              <w:r w:rsidRPr="00AD209F">
                <w:rPr>
                  <w:rStyle w:val="Hyperlink"/>
                  <w:rFonts w:cs="Arial"/>
                </w:rPr>
                <w:t>http://content.onlinejacc.org/article.aspx?articleid=1910086</w:t>
              </w:r>
            </w:hyperlink>
          </w:p>
          <w:p w14:paraId="5EC6A637" w14:textId="39634DB2" w:rsidR="006314FD" w:rsidRPr="006314FD" w:rsidRDefault="006314FD" w:rsidP="006314FD">
            <w:pPr>
              <w:widowControl w:val="0"/>
              <w:autoSpaceDE w:val="0"/>
              <w:autoSpaceDN w:val="0"/>
              <w:adjustRightInd w:val="0"/>
              <w:spacing w:after="240"/>
              <w:ind w:left="0" w:firstLine="0"/>
              <w:rPr>
                <w:rFonts w:cs="Times"/>
              </w:rPr>
            </w:pPr>
            <w:r w:rsidRPr="009109BE">
              <w:rPr>
                <w:rFonts w:cs="Times"/>
              </w:rPr>
              <w:t xml:space="preserve">O’Gara PT, Kushner FG, Ascheim DD, Casey DE Jr, Chung MK, de Lemos JA, Ettinger SM, Fang JC, Fesmire FM, Franklin BA, Granger CB, Krumholz HM, Linderbaum JA, Morrow DA, Newby LK, Ornato JP, Ou N, Radford MJ, Tamis-Holland JE, Tommaso CL, Tracy CM, Woo YJ, Zhao DX. 2013 ACCF/AHA guideline for </w:t>
            </w:r>
            <w:r w:rsidRPr="00A12553">
              <w:rPr>
                <w:rFonts w:cs="Times"/>
              </w:rPr>
              <w:t xml:space="preserve">the management of ST-elevation myocardial infarction: a report of the American College of Cardiology Foundation/American Heart Association Task Force on Practice Guidelines. J Am Coll Cardiol 2013;61:e78–140, doi:10.1016/j.jacc.2012.11.019. </w:t>
            </w:r>
            <w:hyperlink r:id="rId22" w:history="1">
              <w:r w:rsidRPr="00AD209F">
                <w:rPr>
                  <w:rStyle w:val="Hyperlink"/>
                </w:rPr>
                <w:t>http://content.onlinejacc.org/article.aspx?articleid=1486115</w:t>
              </w:r>
            </w:hyperlink>
          </w:p>
          <w:p w14:paraId="04EA7FBC" w14:textId="5D572391" w:rsidR="006314FD" w:rsidRPr="006314FD" w:rsidRDefault="006314FD" w:rsidP="006314FD">
            <w:pPr>
              <w:widowControl w:val="0"/>
              <w:autoSpaceDE w:val="0"/>
              <w:autoSpaceDN w:val="0"/>
              <w:adjustRightInd w:val="0"/>
              <w:spacing w:after="240"/>
              <w:ind w:left="0" w:firstLine="0"/>
              <w:rPr>
                <w:rFonts w:cs="Times"/>
                <w:sz w:val="24"/>
                <w:szCs w:val="24"/>
              </w:rPr>
            </w:pPr>
            <w:r w:rsidRPr="00A12553">
              <w:rPr>
                <w:rFonts w:cs="Times"/>
              </w:rPr>
              <w:t xml:space="preserve">Smith SC Jr., Benjamin EJ, Bonow RO, Braun LT, Creager MA, Franklin BA, Gibbons RJ, Grundy SM, Hiratzka LF, Jones DW, Lloyd-Jones DM, Minissian M, Mosca L, Peterson ED, Sacco RL, Spertus J, Stein JH, Taubert KA. AHA/ACCF secondary prevention and risk reduction therapy for patients with coronary and other atherosclerotic vascular disease: 2011 update: a guideline from the American Heart Association and American College of Cardiology Foundation. Circulation. 2011: published online before print November 3, 2011, 10.1161/CIR.0b013e318235eb4d. </w:t>
            </w:r>
            <w:hyperlink r:id="rId23" w:history="1">
              <w:r w:rsidRPr="00A12553">
                <w:rPr>
                  <w:rStyle w:val="Hyperlink"/>
                  <w:rFonts w:cs="Times"/>
                </w:rPr>
                <w:t>http://content.onlinejacc.org/article.aspx?articleid=1147807</w:t>
              </w:r>
            </w:hyperlink>
          </w:p>
          <w:p w14:paraId="4B16EE88" w14:textId="3F334A87" w:rsidR="00F63474" w:rsidRPr="00857B53" w:rsidRDefault="006314FD" w:rsidP="00857B53">
            <w:pPr>
              <w:widowControl w:val="0"/>
              <w:autoSpaceDE w:val="0"/>
              <w:autoSpaceDN w:val="0"/>
              <w:adjustRightInd w:val="0"/>
              <w:spacing w:after="240"/>
              <w:ind w:left="0" w:firstLine="0"/>
              <w:rPr>
                <w:rFonts w:cs="Times"/>
              </w:rPr>
            </w:pPr>
            <w:r w:rsidRPr="00A566C0">
              <w:rPr>
                <w:rFonts w:cs="Times"/>
              </w:rPr>
              <w:t xml:space="preserve">Fihn SD, Gardin JM, Abrams J, Berra K, Blankenship JC, Dallas AP, Douglas PS, Foody JM, Gerber TC, Hinderliter AL, King SB III, Kligfield PD, Krumholz HM, Kwong RYK, Lim MJ, Linderbaum JA, Mack MJ, Munger MA, Prager RL, Sabik JF, Shaw LJ, Sikkema JD, Smith CR Jr, Smith SC Jr, Spertus JA, Williams SV. 2012 ACCF/AHA/ACP/AATS/PCNA/SCAI/STS guideline for the diagnosis and management of patients with stable ischemic heart disease: a report of the American College of Cardiology Foundation/American Heart Association Task Force on, American Association for Thoracic Surgery, Preventive Cardiovascular Nurses Association, Society for Cardiovascular Angiography and Interventions, and Society of Thoracic Surgeons. J Am Coll Cardiol 2012;60:e44–164. </w:t>
            </w:r>
            <w:hyperlink r:id="rId24" w:history="1">
              <w:r w:rsidRPr="00A566C0">
                <w:rPr>
                  <w:rStyle w:val="Hyperlink"/>
                  <w:rFonts w:cs="Times"/>
                </w:rPr>
                <w:t>http://content.onlinejacc.org/article.aspx?articleid=1391404</w:t>
              </w:r>
            </w:hyperlink>
          </w:p>
        </w:tc>
      </w:tr>
      <w:tr w:rsidR="00F63474" w:rsidRPr="00371E29" w14:paraId="74360A45" w14:textId="77777777" w:rsidTr="00C0208A">
        <w:tc>
          <w:tcPr>
            <w:tcW w:w="3927" w:type="dxa"/>
          </w:tcPr>
          <w:p w14:paraId="5B6D7ADD" w14:textId="77777777" w:rsidR="00F63474" w:rsidRPr="00371E29" w:rsidRDefault="00F63474" w:rsidP="00F63474">
            <w:pPr>
              <w:ind w:left="0" w:firstLine="0"/>
              <w:rPr>
                <w:rFonts w:ascii="Calibri" w:hAnsi="Calibri" w:cs="Calibri"/>
              </w:rPr>
            </w:pPr>
            <w:r w:rsidRPr="00371E29">
              <w:rPr>
                <w:rFonts w:ascii="Calibri" w:hAnsi="Calibri" w:cs="Calibri"/>
              </w:rPr>
              <w:t>Quote the guideline or recommendation verbatim about the process, structure or intermediate outcome being measured. If not a guideline, summarize the conclusions from the SR.</w:t>
            </w:r>
          </w:p>
        </w:tc>
        <w:tc>
          <w:tcPr>
            <w:tcW w:w="5649" w:type="dxa"/>
          </w:tcPr>
          <w:p w14:paraId="4A54D228" w14:textId="77777777" w:rsidR="00983A2B" w:rsidRDefault="00983A2B" w:rsidP="00983A2B">
            <w:pPr>
              <w:ind w:left="0" w:firstLine="0"/>
              <w:rPr>
                <w:rFonts w:cs="Times"/>
              </w:rPr>
            </w:pPr>
            <w:r w:rsidRPr="00BA26ED">
              <w:rPr>
                <w:rFonts w:cs="Times"/>
              </w:rPr>
              <w:t>2014 AHA/ACC guideline for the management of patients with non–ST-elevation acute coronary syndromes</w:t>
            </w:r>
            <w:r>
              <w:rPr>
                <w:rFonts w:cs="Times"/>
              </w:rPr>
              <w:t xml:space="preserve"> (p. e 159)</w:t>
            </w:r>
          </w:p>
          <w:p w14:paraId="330F285E" w14:textId="77777777" w:rsidR="00983A2B" w:rsidRDefault="00983A2B" w:rsidP="00983A2B">
            <w:pPr>
              <w:ind w:left="0" w:firstLine="0"/>
              <w:rPr>
                <w:rFonts w:cs="Times"/>
              </w:rPr>
            </w:pPr>
          </w:p>
          <w:p w14:paraId="678C5DD6" w14:textId="77777777" w:rsidR="00983A2B" w:rsidRPr="00983A2B" w:rsidRDefault="00983A2B" w:rsidP="00983A2B">
            <w:pPr>
              <w:pStyle w:val="ListParagraph"/>
              <w:widowControl w:val="0"/>
              <w:numPr>
                <w:ilvl w:val="0"/>
                <w:numId w:val="24"/>
              </w:numPr>
              <w:tabs>
                <w:tab w:val="left" w:pos="220"/>
                <w:tab w:val="left" w:pos="720"/>
              </w:tabs>
              <w:autoSpaceDE w:val="0"/>
              <w:autoSpaceDN w:val="0"/>
              <w:adjustRightInd w:val="0"/>
              <w:spacing w:after="186"/>
              <w:rPr>
                <w:rFonts w:cs="Times"/>
              </w:rPr>
            </w:pPr>
            <w:r w:rsidRPr="00983A2B">
              <w:rPr>
                <w:rFonts w:cs="Times"/>
              </w:rPr>
              <w:t xml:space="preserve">In patients with concomitant NSTE-ACS, stabilized HF, and reduced systolic function, it is recommended to continue beta-blocker therapy with 1 of the 3 drugs proven to reduce mortality in patients with HF: sustained-release metoprolol succinate, carvedilol, or bisoprolol. </w:t>
            </w:r>
            <w:r w:rsidRPr="00983A2B">
              <w:rPr>
                <w:rFonts w:cs="Times"/>
                <w:b/>
                <w:color w:val="3B3B3B"/>
              </w:rPr>
              <w:t xml:space="preserve">Class I: Level of Evidence: C </w:t>
            </w:r>
          </w:p>
          <w:p w14:paraId="2F6035EB" w14:textId="77777777" w:rsidR="00983A2B" w:rsidRPr="009109BE" w:rsidRDefault="00983A2B" w:rsidP="00983A2B">
            <w:pPr>
              <w:ind w:left="0" w:firstLine="0"/>
              <w:rPr>
                <w:rFonts w:cs="Times"/>
              </w:rPr>
            </w:pPr>
            <w:r w:rsidRPr="009109BE">
              <w:rPr>
                <w:rFonts w:cs="Times"/>
              </w:rPr>
              <w:t>2013 ACCF/AHA guideline for the management of ST-elevation myocardial infarction</w:t>
            </w:r>
            <w:r>
              <w:rPr>
                <w:rFonts w:cs="Times"/>
              </w:rPr>
              <w:t xml:space="preserve"> (p. e104)</w:t>
            </w:r>
          </w:p>
          <w:p w14:paraId="1901525D" w14:textId="77777777" w:rsidR="00983A2B" w:rsidRDefault="00983A2B" w:rsidP="00983A2B">
            <w:pPr>
              <w:ind w:left="0" w:firstLine="0"/>
              <w:rPr>
                <w:rFonts w:cs="Times"/>
              </w:rPr>
            </w:pPr>
          </w:p>
          <w:p w14:paraId="62C17307" w14:textId="77777777" w:rsidR="00983A2B" w:rsidRPr="00E665A2" w:rsidRDefault="00983A2B" w:rsidP="00983A2B">
            <w:pPr>
              <w:pStyle w:val="ListParagraph"/>
              <w:widowControl w:val="0"/>
              <w:numPr>
                <w:ilvl w:val="0"/>
                <w:numId w:val="25"/>
              </w:numPr>
              <w:autoSpaceDE w:val="0"/>
              <w:autoSpaceDN w:val="0"/>
              <w:adjustRightInd w:val="0"/>
              <w:spacing w:after="240"/>
              <w:rPr>
                <w:rFonts w:cs="Times"/>
                <w:sz w:val="24"/>
                <w:szCs w:val="24"/>
              </w:rPr>
            </w:pPr>
            <w:r w:rsidRPr="00E665A2">
              <w:rPr>
                <w:rFonts w:cs="Times"/>
                <w:bCs/>
              </w:rPr>
              <w:t xml:space="preserve">Beta blockers should be continued during and after hospitalization for all patients with STEMI and with no contraindications to their use. </w:t>
            </w:r>
            <w:r w:rsidRPr="00E665A2">
              <w:rPr>
                <w:rFonts w:cs="Times"/>
                <w:b/>
                <w:bCs/>
              </w:rPr>
              <w:t xml:space="preserve">Class I: </w:t>
            </w:r>
            <w:r w:rsidRPr="00E665A2">
              <w:rPr>
                <w:rFonts w:cs="Times"/>
                <w:b/>
                <w:bCs/>
                <w:iCs/>
              </w:rPr>
              <w:t>Level of Evidence: B</w:t>
            </w:r>
          </w:p>
          <w:p w14:paraId="3266CB0E" w14:textId="77777777" w:rsidR="00983A2B" w:rsidRDefault="00983A2B" w:rsidP="00983A2B">
            <w:pPr>
              <w:ind w:left="0" w:firstLine="0"/>
              <w:rPr>
                <w:rFonts w:cs="Times"/>
              </w:rPr>
            </w:pPr>
            <w:r w:rsidRPr="00A12553">
              <w:rPr>
                <w:rFonts w:cs="Times"/>
              </w:rPr>
              <w:t>AHA/ACCF secondary prevention and risk reduction therapy for patients with coronary and other atherosclerotic vascular disease: 2011 update</w:t>
            </w:r>
            <w:r>
              <w:rPr>
                <w:rFonts w:cs="Times"/>
              </w:rPr>
              <w:t xml:space="preserve"> (p. e2435)</w:t>
            </w:r>
          </w:p>
          <w:p w14:paraId="2C88A710" w14:textId="77777777" w:rsidR="00983A2B" w:rsidRDefault="00983A2B" w:rsidP="00983A2B">
            <w:pPr>
              <w:ind w:left="0" w:firstLine="0"/>
              <w:rPr>
                <w:rFonts w:cs="Times"/>
              </w:rPr>
            </w:pPr>
          </w:p>
          <w:p w14:paraId="117DD586" w14:textId="77777777" w:rsidR="00983A2B" w:rsidRPr="00E665A2" w:rsidRDefault="00983A2B" w:rsidP="00983A2B">
            <w:pPr>
              <w:pStyle w:val="ListParagraph"/>
              <w:widowControl w:val="0"/>
              <w:numPr>
                <w:ilvl w:val="0"/>
                <w:numId w:val="25"/>
              </w:numPr>
              <w:tabs>
                <w:tab w:val="left" w:pos="220"/>
                <w:tab w:val="left" w:pos="720"/>
              </w:tabs>
              <w:autoSpaceDE w:val="0"/>
              <w:autoSpaceDN w:val="0"/>
              <w:adjustRightInd w:val="0"/>
              <w:spacing w:after="213"/>
              <w:rPr>
                <w:rFonts w:cs="Helvetica Neue"/>
              </w:rPr>
            </w:pPr>
            <w:r w:rsidRPr="00E665A2">
              <w:rPr>
                <w:rFonts w:cs="Times"/>
              </w:rPr>
              <w:t>Beta</w:t>
            </w:r>
            <w:r w:rsidRPr="00E665A2">
              <w:rPr>
                <w:rFonts w:cs="Helvetica Neue"/>
              </w:rPr>
              <w:t xml:space="preserve">-blocker therapy should be used in all patients with left ventricular systolic dysfunction (ejection fraction </w:t>
            </w:r>
            <w:r>
              <w:rPr>
                <w:rFonts w:cs="Times"/>
              </w:rPr>
              <w:t>&lt;</w:t>
            </w:r>
            <w:r w:rsidRPr="00E665A2">
              <w:rPr>
                <w:rFonts w:cs="Helvetica Neue"/>
              </w:rPr>
              <w:t xml:space="preserve">40%) with heart failure or prior myocardial infarction, unless contraindicated. (Use should be limited to carvedilol, metoprolol succinate, or bisoprolol, which have been shown to reduce mortality.) </w:t>
            </w:r>
            <w:r w:rsidRPr="00E665A2">
              <w:rPr>
                <w:rFonts w:cs="Helvetica Neue"/>
                <w:b/>
                <w:bCs/>
                <w:iCs/>
              </w:rPr>
              <w:t>Class I: Level of Evidence: A</w:t>
            </w:r>
          </w:p>
          <w:p w14:paraId="23753ED0" w14:textId="77777777" w:rsidR="00983A2B" w:rsidRPr="00E665A2" w:rsidRDefault="00983A2B" w:rsidP="00983A2B">
            <w:pPr>
              <w:pStyle w:val="ListParagraph"/>
              <w:widowControl w:val="0"/>
              <w:numPr>
                <w:ilvl w:val="0"/>
                <w:numId w:val="25"/>
              </w:numPr>
              <w:tabs>
                <w:tab w:val="left" w:pos="220"/>
                <w:tab w:val="left" w:pos="720"/>
              </w:tabs>
              <w:autoSpaceDE w:val="0"/>
              <w:autoSpaceDN w:val="0"/>
              <w:adjustRightInd w:val="0"/>
              <w:spacing w:after="213"/>
              <w:rPr>
                <w:rFonts w:cs="Helvetica Neue"/>
              </w:rPr>
            </w:pPr>
            <w:r w:rsidRPr="00E665A2">
              <w:rPr>
                <w:rFonts w:cs="Times"/>
              </w:rPr>
              <w:t>Beta</w:t>
            </w:r>
            <w:r w:rsidRPr="00E665A2">
              <w:rPr>
                <w:rFonts w:cs="Helvetica Neue"/>
              </w:rPr>
              <w:t xml:space="preserve">-blocker therapy should be started and continued for 3 years in all patients with normal left ventricular function who have had myocardial infarction or ACS. </w:t>
            </w:r>
            <w:r w:rsidRPr="00E665A2">
              <w:rPr>
                <w:rFonts w:cs="Helvetica Neue"/>
                <w:b/>
                <w:bCs/>
                <w:iCs/>
              </w:rPr>
              <w:t>Class I: Level of Evidence: B</w:t>
            </w:r>
          </w:p>
          <w:p w14:paraId="63F76FD3" w14:textId="77777777" w:rsidR="00983A2B" w:rsidRPr="001C2FC0" w:rsidRDefault="00983A2B" w:rsidP="00983A2B">
            <w:pPr>
              <w:ind w:left="0" w:firstLine="0"/>
              <w:rPr>
                <w:rFonts w:cs="Times"/>
              </w:rPr>
            </w:pPr>
            <w:r w:rsidRPr="001C2FC0">
              <w:rPr>
                <w:rFonts w:cs="Times"/>
              </w:rPr>
              <w:t>2012 ACCF/AHA/ACP/AATS/PCNA/SCAI/STS guideline for the diagnosis and management of patients with stable ischemic heart disease</w:t>
            </w:r>
            <w:r>
              <w:rPr>
                <w:rFonts w:cs="Times"/>
              </w:rPr>
              <w:t xml:space="preserve"> (p. e96)</w:t>
            </w:r>
          </w:p>
          <w:p w14:paraId="2689EFAF" w14:textId="77777777" w:rsidR="00983A2B" w:rsidRPr="00E76385" w:rsidRDefault="00983A2B" w:rsidP="00983A2B">
            <w:pPr>
              <w:ind w:left="0" w:firstLine="0"/>
            </w:pPr>
          </w:p>
          <w:p w14:paraId="14BCD3FC" w14:textId="77777777" w:rsidR="00983A2B" w:rsidRPr="00E76385" w:rsidRDefault="00983A2B" w:rsidP="00983A2B">
            <w:pPr>
              <w:widowControl w:val="0"/>
              <w:numPr>
                <w:ilvl w:val="0"/>
                <w:numId w:val="25"/>
              </w:numPr>
              <w:tabs>
                <w:tab w:val="left" w:pos="220"/>
                <w:tab w:val="left" w:pos="720"/>
              </w:tabs>
              <w:autoSpaceDE w:val="0"/>
              <w:autoSpaceDN w:val="0"/>
              <w:adjustRightInd w:val="0"/>
              <w:spacing w:after="213"/>
              <w:rPr>
                <w:rFonts w:cs="Times"/>
              </w:rPr>
            </w:pPr>
            <w:r w:rsidRPr="00E76385">
              <w:rPr>
                <w:rFonts w:cs="Times"/>
              </w:rPr>
              <w:t xml:space="preserve">Beta-blocker therapy should be started and continued for 3 years in all patients with normal LV function after MI or ACS. </w:t>
            </w:r>
            <w:r w:rsidRPr="00E76385">
              <w:rPr>
                <w:rFonts w:cs="Helvetica Neue"/>
                <w:b/>
                <w:bCs/>
                <w:iCs/>
              </w:rPr>
              <w:t>Class I: Level of Evidence: B</w:t>
            </w:r>
          </w:p>
          <w:p w14:paraId="120F68D9" w14:textId="6F938A3E" w:rsidR="00952580" w:rsidRPr="00857B53" w:rsidRDefault="00983A2B" w:rsidP="00857B53">
            <w:pPr>
              <w:widowControl w:val="0"/>
              <w:numPr>
                <w:ilvl w:val="0"/>
                <w:numId w:val="25"/>
              </w:numPr>
              <w:tabs>
                <w:tab w:val="left" w:pos="220"/>
                <w:tab w:val="left" w:pos="720"/>
              </w:tabs>
              <w:autoSpaceDE w:val="0"/>
              <w:autoSpaceDN w:val="0"/>
              <w:adjustRightInd w:val="0"/>
              <w:spacing w:after="213"/>
              <w:rPr>
                <w:rFonts w:cs="Times"/>
              </w:rPr>
            </w:pPr>
            <w:r w:rsidRPr="00E76385">
              <w:rPr>
                <w:rFonts w:cs="Times"/>
              </w:rPr>
              <w:t xml:space="preserve">Beta-blocker therapy should be used in all patients with LV systolic dysfunction (EF </w:t>
            </w:r>
            <w:r>
              <w:rPr>
                <w:rFonts w:cs="Apple Symbols"/>
              </w:rPr>
              <w:t>&lt;</w:t>
            </w:r>
            <w:r w:rsidRPr="00E76385">
              <w:rPr>
                <w:rFonts w:cs="Times"/>
              </w:rPr>
              <w:t xml:space="preserve">40%) with heart failure or prior MI, unless contra- indicated. (Use should be limited to carvedilol, metoprolol succinate, or bisoprolol, which have been shown to reduce risk of death.). </w:t>
            </w:r>
            <w:r w:rsidRPr="00E76385">
              <w:rPr>
                <w:rFonts w:cs="Helvetica Neue"/>
                <w:b/>
                <w:bCs/>
                <w:iCs/>
              </w:rPr>
              <w:t>Class I: Level of Evidence: A</w:t>
            </w:r>
          </w:p>
        </w:tc>
      </w:tr>
      <w:tr w:rsidR="00F63474" w:rsidRPr="00371E29" w14:paraId="773E7FFB" w14:textId="77777777" w:rsidTr="00C0208A">
        <w:tc>
          <w:tcPr>
            <w:tcW w:w="3927" w:type="dxa"/>
          </w:tcPr>
          <w:p w14:paraId="5834F72B" w14:textId="77777777" w:rsidR="00F63474" w:rsidRPr="00371E29" w:rsidRDefault="00F63474" w:rsidP="00F63474">
            <w:pPr>
              <w:ind w:left="0" w:firstLine="0"/>
              <w:rPr>
                <w:rFonts w:ascii="Calibri" w:hAnsi="Calibri" w:cs="Calibri"/>
              </w:rPr>
            </w:pPr>
            <w:r w:rsidRPr="00371E29">
              <w:rPr>
                <w:rFonts w:ascii="Calibri" w:hAnsi="Calibri" w:cs="Calibri"/>
              </w:rPr>
              <w:t xml:space="preserve">Grade assigned to the </w:t>
            </w:r>
            <w:r w:rsidRPr="00371E29">
              <w:rPr>
                <w:rFonts w:ascii="Calibri" w:hAnsi="Calibri" w:cs="Calibri"/>
                <w:b/>
              </w:rPr>
              <w:t>evidence</w:t>
            </w:r>
            <w:r w:rsidRPr="00371E29">
              <w:rPr>
                <w:rFonts w:ascii="Calibri" w:hAnsi="Calibri" w:cs="Calibri"/>
              </w:rPr>
              <w:t xml:space="preserve"> associated with the recommendation with the definition of the grade</w:t>
            </w:r>
          </w:p>
        </w:tc>
        <w:tc>
          <w:tcPr>
            <w:tcW w:w="5649" w:type="dxa"/>
          </w:tcPr>
          <w:p w14:paraId="02FB2170" w14:textId="1AD5965A" w:rsidR="00F63474" w:rsidRPr="00371E29" w:rsidRDefault="00C0208A" w:rsidP="001F25C9">
            <w:pPr>
              <w:ind w:left="0" w:firstLine="0"/>
              <w:rPr>
                <w:rFonts w:ascii="Calibri" w:hAnsi="Calibri" w:cs="Calibri"/>
              </w:rPr>
            </w:pPr>
            <w:r>
              <w:t>The weight of the evidence in support of most of the recommendations includ</w:t>
            </w:r>
            <w:r w:rsidR="00B11081">
              <w:t>ed are rated as Level A, Level B and Level C</w:t>
            </w:r>
            <w:r w:rsidR="001F25C9">
              <w:t xml:space="preserve"> as noted following each statement</w:t>
            </w:r>
            <w:r>
              <w:t>. Level A evidence refers to “Data derived from multiple randomized clinical trials or meta-analyses.” The weight of the evidence in support of additional recommendations is rated as Level B and C. Level B evidence refers to “Data derived from a single randomized trial, or nonrandomized studies” while Level C evidence refers to “Only consensus opinion of experts, case studies, or standard-of-care.”</w:t>
            </w:r>
          </w:p>
        </w:tc>
      </w:tr>
      <w:tr w:rsidR="00F63474" w:rsidRPr="00371E29" w14:paraId="7E3F642A" w14:textId="77777777" w:rsidTr="00C0208A">
        <w:tc>
          <w:tcPr>
            <w:tcW w:w="3927" w:type="dxa"/>
          </w:tcPr>
          <w:p w14:paraId="33C0A62A" w14:textId="77777777" w:rsidR="00F63474" w:rsidRPr="00371E29" w:rsidRDefault="00F63474" w:rsidP="00F63474">
            <w:pPr>
              <w:ind w:left="0" w:firstLine="0"/>
              <w:rPr>
                <w:rFonts w:ascii="Calibri" w:hAnsi="Calibri" w:cs="Calibri"/>
              </w:rPr>
            </w:pPr>
            <w:r w:rsidRPr="00371E29">
              <w:rPr>
                <w:rFonts w:ascii="Calibri" w:hAnsi="Calibri" w:cs="Calibri"/>
              </w:rPr>
              <w:t>Provide all other grades and definitions from the evidence grading system</w:t>
            </w:r>
          </w:p>
        </w:tc>
        <w:tc>
          <w:tcPr>
            <w:tcW w:w="5649" w:type="dxa"/>
          </w:tcPr>
          <w:p w14:paraId="00B36BE8" w14:textId="4244EF92" w:rsidR="00F63474" w:rsidRPr="00C0208A" w:rsidRDefault="00C0208A" w:rsidP="00F63474">
            <w:pPr>
              <w:ind w:left="0" w:firstLine="0"/>
            </w:pPr>
            <w:r>
              <w:t>See question above and next two questions below for more information.</w:t>
            </w:r>
          </w:p>
        </w:tc>
      </w:tr>
      <w:tr w:rsidR="00F63474" w:rsidRPr="00371E29" w14:paraId="33311DA4" w14:textId="77777777" w:rsidTr="00C0208A">
        <w:tc>
          <w:tcPr>
            <w:tcW w:w="3927" w:type="dxa"/>
          </w:tcPr>
          <w:p w14:paraId="60F2AB00" w14:textId="77777777" w:rsidR="00F63474" w:rsidRPr="00371E29" w:rsidRDefault="00F63474" w:rsidP="00F63474">
            <w:pPr>
              <w:ind w:left="0" w:firstLine="0"/>
              <w:rPr>
                <w:rFonts w:ascii="Calibri" w:hAnsi="Calibri" w:cs="Calibri"/>
              </w:rPr>
            </w:pPr>
            <w:r w:rsidRPr="00371E29">
              <w:rPr>
                <w:rFonts w:ascii="Calibri" w:hAnsi="Calibri" w:cs="Calibri"/>
              </w:rPr>
              <w:t xml:space="preserve">Grade assigned to the </w:t>
            </w:r>
            <w:r w:rsidRPr="00371E29">
              <w:rPr>
                <w:rFonts w:ascii="Calibri" w:hAnsi="Calibri" w:cs="Calibri"/>
                <w:b/>
              </w:rPr>
              <w:t>recommendation</w:t>
            </w:r>
            <w:r w:rsidRPr="00371E29">
              <w:rPr>
                <w:rFonts w:ascii="Calibri" w:hAnsi="Calibri" w:cs="Calibri"/>
              </w:rPr>
              <w:t xml:space="preserve"> with definition of the grade</w:t>
            </w:r>
          </w:p>
        </w:tc>
        <w:tc>
          <w:tcPr>
            <w:tcW w:w="5649" w:type="dxa"/>
          </w:tcPr>
          <w:p w14:paraId="5896FB3C" w14:textId="3CEF555B" w:rsidR="00F63474" w:rsidRPr="00C0208A" w:rsidRDefault="00F779EC" w:rsidP="00F779EC">
            <w:pPr>
              <w:ind w:left="0" w:firstLine="0"/>
            </w:pPr>
            <w:r>
              <w:t>The</w:t>
            </w:r>
            <w:r w:rsidR="00C0208A" w:rsidRPr="00DB17DF">
              <w:t xml:space="preserve"> recommendations included have been assigned a Class I recommendation. Class I recommendations refer to “Conditions for which there is evidence and/or general agreement that a given procedure or treatment is beneficial, useful, and effective.” </w:t>
            </w:r>
          </w:p>
        </w:tc>
      </w:tr>
      <w:tr w:rsidR="00C0208A" w:rsidRPr="00371E29" w14:paraId="342EE309" w14:textId="77777777" w:rsidTr="00C0208A">
        <w:tc>
          <w:tcPr>
            <w:tcW w:w="3927" w:type="dxa"/>
          </w:tcPr>
          <w:p w14:paraId="7E4AE52E" w14:textId="77777777" w:rsidR="00C0208A" w:rsidRPr="00371E29" w:rsidRDefault="00C0208A" w:rsidP="00F63474">
            <w:pPr>
              <w:ind w:left="0" w:firstLine="0"/>
              <w:rPr>
                <w:rFonts w:ascii="Calibri" w:hAnsi="Calibri" w:cs="Calibri"/>
              </w:rPr>
            </w:pPr>
            <w:r w:rsidRPr="00371E29">
              <w:rPr>
                <w:rFonts w:ascii="Calibri" w:hAnsi="Calibri" w:cs="Calibri"/>
              </w:rPr>
              <w:t>Provide all other grades and definitions from the recommendation grading system</w:t>
            </w:r>
          </w:p>
        </w:tc>
        <w:tc>
          <w:tcPr>
            <w:tcW w:w="5649" w:type="dxa"/>
          </w:tcPr>
          <w:p w14:paraId="529C4EB8" w14:textId="77777777" w:rsidR="00C0208A" w:rsidRDefault="00C0208A" w:rsidP="00F779EC">
            <w:pPr>
              <w:pStyle w:val="BodyText"/>
              <w:ind w:right="165"/>
            </w:pPr>
            <w:r>
              <w:t>ACCF/AHA guideline methodology categorizes indications as class I,II,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14:paraId="5184DA6F" w14:textId="77777777" w:rsidR="00C0208A" w:rsidRDefault="00C0208A" w:rsidP="00A744C3">
            <w:pPr>
              <w:pStyle w:val="BodyText"/>
              <w:spacing w:before="12"/>
              <w:rPr>
                <w:sz w:val="21"/>
              </w:rPr>
            </w:pPr>
          </w:p>
          <w:p w14:paraId="70BCBC3F" w14:textId="77777777" w:rsidR="00C0208A" w:rsidRDefault="00C0208A" w:rsidP="00A744C3">
            <w:pPr>
              <w:pStyle w:val="BodyText"/>
              <w:ind w:left="119"/>
            </w:pPr>
            <w:r>
              <w:rPr>
                <w:u w:val="single"/>
              </w:rPr>
              <w:t>Classification Types</w:t>
            </w:r>
          </w:p>
          <w:p w14:paraId="138EBA9F" w14:textId="77777777" w:rsidR="00C0208A" w:rsidRDefault="00C0208A" w:rsidP="00A744C3">
            <w:pPr>
              <w:pStyle w:val="BodyText"/>
              <w:ind w:left="119" w:right="645"/>
            </w:pPr>
            <w:r>
              <w:t>Class I: Conditions for which there is evidence and/or general agreement that a given procedure or treatment is useful and effective.</w:t>
            </w:r>
          </w:p>
          <w:p w14:paraId="659A1171" w14:textId="77777777" w:rsidR="00C0208A" w:rsidRDefault="00C0208A" w:rsidP="00A744C3">
            <w:pPr>
              <w:pStyle w:val="BodyText"/>
              <w:spacing w:before="10"/>
              <w:rPr>
                <w:sz w:val="21"/>
              </w:rPr>
            </w:pPr>
          </w:p>
          <w:p w14:paraId="629C1848" w14:textId="77777777" w:rsidR="00C0208A" w:rsidRDefault="00C0208A" w:rsidP="00A744C3">
            <w:pPr>
              <w:pStyle w:val="BodyText"/>
              <w:ind w:left="119" w:right="608"/>
            </w:pPr>
            <w:r>
              <w:t>Class II: Conditions for which there is conflicting evidence and/or a divergence of opinion about the usefulness/efficacy of a procedure or treatment.</w:t>
            </w:r>
          </w:p>
          <w:p w14:paraId="195C6224" w14:textId="77777777" w:rsidR="00C0208A" w:rsidRDefault="00C0208A" w:rsidP="00C0208A">
            <w:pPr>
              <w:pStyle w:val="ListParagraph"/>
              <w:widowControl w:val="0"/>
              <w:numPr>
                <w:ilvl w:val="1"/>
                <w:numId w:val="22"/>
              </w:numPr>
              <w:tabs>
                <w:tab w:val="left" w:pos="839"/>
                <w:tab w:val="left" w:pos="840"/>
              </w:tabs>
              <w:autoSpaceDE w:val="0"/>
              <w:autoSpaceDN w:val="0"/>
              <w:spacing w:after="0" w:line="240" w:lineRule="auto"/>
              <w:contextualSpacing w:val="0"/>
            </w:pPr>
            <w:r>
              <w:t>IIa: Weight of evidence/opinion is in favor of</w:t>
            </w:r>
            <w:r>
              <w:rPr>
                <w:spacing w:val="-28"/>
              </w:rPr>
              <w:t xml:space="preserve"> </w:t>
            </w:r>
            <w:r>
              <w:t>usefulness/efficacy</w:t>
            </w:r>
          </w:p>
          <w:p w14:paraId="082DCCB5" w14:textId="77777777" w:rsidR="00C0208A" w:rsidRDefault="00C0208A" w:rsidP="00C0208A">
            <w:pPr>
              <w:pStyle w:val="ListParagraph"/>
              <w:widowControl w:val="0"/>
              <w:numPr>
                <w:ilvl w:val="1"/>
                <w:numId w:val="22"/>
              </w:numPr>
              <w:tabs>
                <w:tab w:val="left" w:pos="839"/>
                <w:tab w:val="left" w:pos="840"/>
              </w:tabs>
              <w:autoSpaceDE w:val="0"/>
              <w:autoSpaceDN w:val="0"/>
              <w:spacing w:before="2" w:after="0" w:line="240" w:lineRule="auto"/>
              <w:contextualSpacing w:val="0"/>
            </w:pPr>
            <w:r>
              <w:t>IIb: Usefulness/efficacy is less well established by</w:t>
            </w:r>
            <w:r>
              <w:rPr>
                <w:spacing w:val="-32"/>
              </w:rPr>
              <w:t xml:space="preserve"> </w:t>
            </w:r>
            <w:r>
              <w:t>evidence/opinion.</w:t>
            </w:r>
          </w:p>
          <w:p w14:paraId="6012F61F" w14:textId="77777777" w:rsidR="00C0208A" w:rsidRDefault="00C0208A" w:rsidP="00A744C3">
            <w:pPr>
              <w:pStyle w:val="BodyText"/>
              <w:spacing w:before="196"/>
              <w:ind w:left="119" w:right="114"/>
            </w:pPr>
            <w:r>
              <w:t>Class III: Conditions for which there is evidence and/or general agreement that the procedure/treatment is not useful/effective e and in some cases may be harmful.</w:t>
            </w:r>
          </w:p>
          <w:p w14:paraId="5278F035" w14:textId="77777777" w:rsidR="00C0208A" w:rsidRDefault="00C0208A" w:rsidP="00C0208A">
            <w:pPr>
              <w:pStyle w:val="ListParagraph"/>
              <w:widowControl w:val="0"/>
              <w:numPr>
                <w:ilvl w:val="1"/>
                <w:numId w:val="22"/>
              </w:numPr>
              <w:tabs>
                <w:tab w:val="left" w:pos="839"/>
                <w:tab w:val="left" w:pos="840"/>
              </w:tabs>
              <w:autoSpaceDE w:val="0"/>
              <w:autoSpaceDN w:val="0"/>
              <w:spacing w:after="0" w:line="240" w:lineRule="auto"/>
              <w:contextualSpacing w:val="0"/>
            </w:pPr>
            <w:r>
              <w:t>No Benefit- Procedure/Test not helpful or</w:t>
            </w:r>
            <w:r>
              <w:rPr>
                <w:spacing w:val="-35"/>
              </w:rPr>
              <w:t xml:space="preserve"> </w:t>
            </w:r>
            <w:r>
              <w:t>Treatment w/o established proven benefit</w:t>
            </w:r>
          </w:p>
          <w:p w14:paraId="04A3FF25" w14:textId="77777777" w:rsidR="00C0208A" w:rsidRDefault="00C0208A" w:rsidP="00C0208A">
            <w:pPr>
              <w:pStyle w:val="ListParagraph"/>
              <w:widowControl w:val="0"/>
              <w:numPr>
                <w:ilvl w:val="1"/>
                <w:numId w:val="22"/>
              </w:numPr>
              <w:tabs>
                <w:tab w:val="left" w:pos="839"/>
                <w:tab w:val="left" w:pos="840"/>
              </w:tabs>
              <w:autoSpaceDE w:val="0"/>
              <w:autoSpaceDN w:val="0"/>
              <w:spacing w:before="9" w:after="0" w:line="266" w:lineRule="exact"/>
              <w:ind w:right="802"/>
              <w:contextualSpacing w:val="0"/>
            </w:pPr>
            <w:r>
              <w:t>Harm- Procedure/Test leads to excess cost w/o benefit or is harmful, and or Treatment is harmful</w:t>
            </w:r>
          </w:p>
          <w:p w14:paraId="227FD269" w14:textId="77777777" w:rsidR="00C0208A" w:rsidRDefault="00C0208A" w:rsidP="00A744C3">
            <w:pPr>
              <w:pStyle w:val="BodyText"/>
              <w:spacing w:before="6"/>
            </w:pPr>
          </w:p>
          <w:p w14:paraId="1CB7C0D1" w14:textId="77777777" w:rsidR="00C0208A" w:rsidRDefault="00C0208A" w:rsidP="00A744C3">
            <w:pPr>
              <w:pStyle w:val="BodyText"/>
              <w:spacing w:line="242" w:lineRule="auto"/>
              <w:ind w:left="120" w:right="165"/>
            </w:pPr>
            <w:r>
              <w:t>Additional detail regarding the classification of recommendation and level of evidence is provided in the following table.</w:t>
            </w:r>
          </w:p>
          <w:p w14:paraId="506CCE05" w14:textId="77777777" w:rsidR="00C0208A" w:rsidRDefault="00C0208A" w:rsidP="00A744C3">
            <w:pPr>
              <w:ind w:left="0" w:firstLine="0"/>
            </w:pPr>
          </w:p>
          <w:p w14:paraId="79286337" w14:textId="77777777" w:rsidR="00C0208A" w:rsidRDefault="00C0208A" w:rsidP="00A744C3">
            <w:pPr>
              <w:ind w:left="0" w:firstLine="0"/>
            </w:pPr>
          </w:p>
          <w:p w14:paraId="1D73272C" w14:textId="77777777" w:rsidR="00C0208A" w:rsidRDefault="00C0208A" w:rsidP="00A744C3">
            <w:pPr>
              <w:ind w:left="0" w:firstLine="0"/>
            </w:pPr>
            <w:r>
              <w:t>Table 1:</w:t>
            </w:r>
          </w:p>
          <w:p w14:paraId="65B295EE" w14:textId="77777777" w:rsidR="00C0208A" w:rsidRDefault="00C0208A" w:rsidP="00A744C3">
            <w:pPr>
              <w:ind w:left="0" w:firstLine="0"/>
            </w:pPr>
            <w:r>
              <w:rPr>
                <w:noProof/>
                <w:sz w:val="20"/>
              </w:rPr>
              <w:drawing>
                <wp:inline distT="0" distB="0" distL="0" distR="0" wp14:anchorId="0F2EA83A" wp14:editId="7FC966A2">
                  <wp:extent cx="4675635" cy="3077047"/>
                  <wp:effectExtent l="0" t="0" r="0" b="0"/>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5" cstate="print"/>
                          <a:stretch>
                            <a:fillRect/>
                          </a:stretch>
                        </pic:blipFill>
                        <pic:spPr>
                          <a:xfrm>
                            <a:off x="0" y="0"/>
                            <a:ext cx="4677075" cy="3077995"/>
                          </a:xfrm>
                          <a:prstGeom prst="rect">
                            <a:avLst/>
                          </a:prstGeom>
                        </pic:spPr>
                      </pic:pic>
                    </a:graphicData>
                  </a:graphic>
                </wp:inline>
              </w:drawing>
            </w:r>
          </w:p>
          <w:p w14:paraId="1A47164A" w14:textId="0956757D" w:rsidR="00C0208A" w:rsidRPr="00E41116" w:rsidRDefault="00C0208A" w:rsidP="00E41116">
            <w:pPr>
              <w:rPr>
                <w:rFonts w:ascii="Calibri" w:hAnsi="Calibri" w:cs="Calibri"/>
              </w:rPr>
            </w:pPr>
          </w:p>
        </w:tc>
      </w:tr>
      <w:tr w:rsidR="00C0208A" w:rsidRPr="00371E29" w14:paraId="408C0CF2" w14:textId="77777777" w:rsidTr="00C0208A">
        <w:tc>
          <w:tcPr>
            <w:tcW w:w="3927" w:type="dxa"/>
          </w:tcPr>
          <w:p w14:paraId="05C8950F" w14:textId="77777777" w:rsidR="00C0208A" w:rsidRPr="00371E29" w:rsidRDefault="00C0208A" w:rsidP="00F63474">
            <w:pPr>
              <w:ind w:left="0" w:firstLine="0"/>
              <w:rPr>
                <w:rFonts w:ascii="Calibri" w:hAnsi="Calibri" w:cs="Calibri"/>
              </w:rPr>
            </w:pPr>
            <w:r w:rsidRPr="00371E29">
              <w:rPr>
                <w:rFonts w:ascii="Calibri" w:hAnsi="Calibri" w:cs="Calibri"/>
              </w:rPr>
              <w:t>Body of evidence:</w:t>
            </w:r>
          </w:p>
          <w:p w14:paraId="7B0B0A2E" w14:textId="77777777" w:rsidR="00C0208A" w:rsidRPr="00371E29" w:rsidRDefault="00C0208A" w:rsidP="00F63474">
            <w:pPr>
              <w:pStyle w:val="ListParagraph"/>
              <w:numPr>
                <w:ilvl w:val="0"/>
                <w:numId w:val="10"/>
              </w:numPr>
              <w:rPr>
                <w:rFonts w:ascii="Calibri" w:hAnsi="Calibri" w:cs="Calibri"/>
              </w:rPr>
            </w:pPr>
            <w:r w:rsidRPr="00371E29">
              <w:rPr>
                <w:rFonts w:ascii="Calibri" w:hAnsi="Calibri" w:cs="Calibri"/>
              </w:rPr>
              <w:t>Quantity – how many studies?</w:t>
            </w:r>
          </w:p>
          <w:p w14:paraId="71928D94" w14:textId="77777777" w:rsidR="00C0208A" w:rsidRPr="00371E29" w:rsidRDefault="00C0208A" w:rsidP="00F63474">
            <w:pPr>
              <w:pStyle w:val="ListParagraph"/>
              <w:numPr>
                <w:ilvl w:val="0"/>
                <w:numId w:val="10"/>
              </w:numPr>
              <w:spacing w:after="0" w:line="240" w:lineRule="auto"/>
              <w:rPr>
                <w:rFonts w:ascii="Calibri" w:hAnsi="Calibri" w:cs="Calibri"/>
              </w:rPr>
            </w:pPr>
            <w:r w:rsidRPr="00371E29">
              <w:rPr>
                <w:rFonts w:ascii="Calibri" w:hAnsi="Calibri" w:cs="Calibri"/>
              </w:rPr>
              <w:t>Quality – what type of studies?</w:t>
            </w:r>
          </w:p>
        </w:tc>
        <w:tc>
          <w:tcPr>
            <w:tcW w:w="5649" w:type="dxa"/>
          </w:tcPr>
          <w:p w14:paraId="6E51D602" w14:textId="3DD125FA" w:rsidR="00C0208A" w:rsidRDefault="00CC00E7" w:rsidP="00CC00E7">
            <w:pPr>
              <w:ind w:left="0" w:firstLine="0"/>
            </w:pPr>
            <w:r>
              <w:t>All but one of the recommendations for this process is rated as Level of Evidence A or B, meaning that the data was derived from one or more RCTs or meta-analyses.  Additional information on the overall quality of evidence across the RCTs is not provided; although, t</w:t>
            </w:r>
            <w:r w:rsidR="00EB696C">
              <w:t>hree of the cited guidelines discuss the evidence supporting the use of beta blockers in this population</w:t>
            </w:r>
            <w:r>
              <w:t>, which is provided below</w:t>
            </w:r>
            <w:r w:rsidR="00EB696C">
              <w:t xml:space="preserve">. </w:t>
            </w:r>
          </w:p>
          <w:p w14:paraId="0D4A741E" w14:textId="77777777" w:rsidR="00EB696C" w:rsidRDefault="00EB696C" w:rsidP="00EB696C">
            <w:pPr>
              <w:pStyle w:val="BodyText"/>
              <w:ind w:right="212"/>
            </w:pPr>
          </w:p>
          <w:p w14:paraId="72BC9D13" w14:textId="77777777" w:rsidR="00EB696C" w:rsidRDefault="00EB696C" w:rsidP="00EB696C">
            <w:pPr>
              <w:ind w:left="0" w:firstLine="0"/>
              <w:rPr>
                <w:rFonts w:cs="Times"/>
              </w:rPr>
            </w:pPr>
            <w:r w:rsidRPr="00BA26ED">
              <w:rPr>
                <w:rFonts w:cs="Times"/>
              </w:rPr>
              <w:t>2014 AHA/ACC guideline for the management of patients with non–ST-elevation acute coronary syndromes</w:t>
            </w:r>
            <w:r>
              <w:rPr>
                <w:rFonts w:cs="Times"/>
              </w:rPr>
              <w:t xml:space="preserve"> (p. e 159)</w:t>
            </w:r>
          </w:p>
          <w:p w14:paraId="48E2E819" w14:textId="3A49F456" w:rsidR="00EB696C" w:rsidRPr="00F13FD9" w:rsidRDefault="00F13FD9" w:rsidP="00F13FD9">
            <w:pPr>
              <w:widowControl w:val="0"/>
              <w:autoSpaceDE w:val="0"/>
              <w:autoSpaceDN w:val="0"/>
              <w:adjustRightInd w:val="0"/>
              <w:spacing w:after="240" w:line="260" w:lineRule="atLeast"/>
              <w:ind w:left="278" w:firstLine="0"/>
              <w:rPr>
                <w:rFonts w:cs="Times Roman"/>
                <w:color w:val="000000"/>
              </w:rPr>
            </w:pPr>
            <w:r w:rsidRPr="00F13FD9">
              <w:rPr>
                <w:rFonts w:cs="Times Roman"/>
                <w:color w:val="000000"/>
              </w:rPr>
              <w:t>Beta blockers decrease heart rate, contractility, and BP, resulting in decreased MVO</w:t>
            </w:r>
            <w:r w:rsidRPr="00F13FD9">
              <w:rPr>
                <w:rFonts w:cs="Times Roman"/>
                <w:color w:val="000000"/>
                <w:position w:val="-3"/>
              </w:rPr>
              <w:t>2</w:t>
            </w:r>
            <w:r w:rsidRPr="00F13FD9">
              <w:rPr>
                <w:rFonts w:cs="Times Roman"/>
                <w:color w:val="000000"/>
              </w:rPr>
              <w:t xml:space="preserve">. Beta blockers without increased sympathomimetic activity should be administered orally in the absence of contraindications. Although early administration does not reduce short-term mortality </w:t>
            </w:r>
            <w:r w:rsidRPr="00F13FD9">
              <w:rPr>
                <w:rFonts w:cs="Times Roman"/>
              </w:rPr>
              <w:t>(241,244), beta blockers decrease myocardial ischemia, reinfarction, and the freque</w:t>
            </w:r>
            <w:r>
              <w:rPr>
                <w:rFonts w:cs="Times Roman"/>
              </w:rPr>
              <w:t>ncy of complex ventricular dys</w:t>
            </w:r>
            <w:r w:rsidRPr="00F13FD9">
              <w:rPr>
                <w:rFonts w:cs="Times Roman"/>
              </w:rPr>
              <w:t xml:space="preserve">rhythmias (240,245), </w:t>
            </w:r>
            <w:r w:rsidRPr="00F13FD9">
              <w:rPr>
                <w:rFonts w:cs="Times Roman"/>
                <w:color w:val="000000"/>
              </w:rPr>
              <w:t xml:space="preserve">and they increase long-term survival. </w:t>
            </w:r>
          </w:p>
          <w:p w14:paraId="400EFA32" w14:textId="77777777" w:rsidR="00EB696C" w:rsidRDefault="00EB696C" w:rsidP="00EB696C">
            <w:pPr>
              <w:ind w:left="0" w:firstLine="0"/>
              <w:rPr>
                <w:rFonts w:cs="Times"/>
              </w:rPr>
            </w:pPr>
            <w:r w:rsidRPr="009109BE">
              <w:rPr>
                <w:rFonts w:cs="Times"/>
              </w:rPr>
              <w:t>2013 ACCF/AHA guideline for the management of ST-elevation myocardial infarction</w:t>
            </w:r>
            <w:r>
              <w:rPr>
                <w:rFonts w:cs="Times"/>
              </w:rPr>
              <w:t xml:space="preserve"> (p. e104)</w:t>
            </w:r>
          </w:p>
          <w:p w14:paraId="19A1383E" w14:textId="660CDA8E" w:rsidR="00EB696C" w:rsidRPr="00B90A90" w:rsidRDefault="00EB696C" w:rsidP="00B90A90">
            <w:pPr>
              <w:widowControl w:val="0"/>
              <w:autoSpaceDE w:val="0"/>
              <w:autoSpaceDN w:val="0"/>
              <w:adjustRightInd w:val="0"/>
              <w:spacing w:after="240" w:line="300" w:lineRule="atLeast"/>
              <w:ind w:left="278" w:firstLine="0"/>
              <w:rPr>
                <w:rFonts w:cs="Times Roman"/>
                <w:sz w:val="24"/>
                <w:szCs w:val="24"/>
              </w:rPr>
            </w:pPr>
            <w:r w:rsidRPr="00EB696C">
              <w:rPr>
                <w:rFonts w:cs="Times Roman"/>
                <w:szCs w:val="26"/>
              </w:rPr>
              <w:t xml:space="preserve">The benefit of beta blockers for secondary prevention has been established in numerous trials conducted in the prereperfusion era and appears to be greatest for patients with MI complicated by HF, LV dysfunction, or ventricular arrhythmias (418). The long-term duration of routine beta-blocker therapy after uncomplicated MI in patients without HF or hypertension has not been prospectively addressed. AHA/ ACCF secondary prevention guidelines recommend a 3-year treatment course in this patient subset (257). </w:t>
            </w:r>
          </w:p>
          <w:p w14:paraId="169C8FB1" w14:textId="75F39B61" w:rsidR="00EB696C" w:rsidRPr="001C2FC0" w:rsidRDefault="00EB696C" w:rsidP="00EB696C">
            <w:pPr>
              <w:ind w:left="0" w:firstLine="0"/>
              <w:rPr>
                <w:rFonts w:cs="Times"/>
              </w:rPr>
            </w:pPr>
            <w:r w:rsidRPr="001C2FC0">
              <w:rPr>
                <w:rFonts w:cs="Times"/>
              </w:rPr>
              <w:t>2012 ACCF/AHA/ACP/AATS/PCNA/SCAI/STS guideline for the diagnosis and management of patients with stable ischemic heart disease</w:t>
            </w:r>
            <w:r>
              <w:rPr>
                <w:rFonts w:cs="Times"/>
              </w:rPr>
              <w:t xml:space="preserve"> (p. e96)</w:t>
            </w:r>
          </w:p>
          <w:p w14:paraId="1E4E652C" w14:textId="7CA2A10A" w:rsidR="00C0208A" w:rsidRPr="00B90A90" w:rsidRDefault="00B90A90" w:rsidP="00B90A90">
            <w:pPr>
              <w:widowControl w:val="0"/>
              <w:autoSpaceDE w:val="0"/>
              <w:autoSpaceDN w:val="0"/>
              <w:adjustRightInd w:val="0"/>
              <w:spacing w:after="240" w:line="300" w:lineRule="atLeast"/>
              <w:ind w:left="278" w:firstLine="0"/>
              <w:rPr>
                <w:rFonts w:cs="Times Roman"/>
                <w:color w:val="000000"/>
              </w:rPr>
            </w:pPr>
            <w:r w:rsidRPr="00B90A90">
              <w:rPr>
                <w:rFonts w:cs="Times Roman"/>
                <w:color w:val="000000"/>
              </w:rPr>
              <w:t xml:space="preserve">Beta-receptor activation is associated with increases in heart rate, accelerated AV nodal conduction, and increased contractility, which contribute to increased myocardial oxygen demand. Decreases in the rate–BP product, AV nodal conduction, and myocardial contractility from beta blockers reduce myocardial oxygen demand, counteracting beta- receptor activity and contributing to a reduction in angina onset, with improvement in the ischemic threshold during exercise and in symptoms (764–769). These agents significantly reduce deaths and recurrent MIs in patients who have suffered a MI and are especially effective when a STEMI is complicated by persistent or recurrent ischemia or tachyarrhythmias early after the onset of infarction (757). However, no large trials have assessed effects of beta blockers on survival or coronary event rates in patients with SIHD. </w:t>
            </w:r>
          </w:p>
        </w:tc>
      </w:tr>
      <w:tr w:rsidR="00C0208A" w:rsidRPr="00371E29" w14:paraId="68FC4683" w14:textId="77777777" w:rsidTr="00C0208A">
        <w:tc>
          <w:tcPr>
            <w:tcW w:w="3927" w:type="dxa"/>
          </w:tcPr>
          <w:p w14:paraId="57D97016" w14:textId="77777777" w:rsidR="00C0208A" w:rsidRPr="00371E29" w:rsidRDefault="00C0208A" w:rsidP="00F63474">
            <w:pPr>
              <w:ind w:left="0" w:firstLine="0"/>
              <w:rPr>
                <w:rFonts w:ascii="Calibri" w:hAnsi="Calibri" w:cs="Calibri"/>
              </w:rPr>
            </w:pPr>
            <w:r w:rsidRPr="00371E29">
              <w:rPr>
                <w:rFonts w:ascii="Calibri" w:hAnsi="Calibri" w:cs="Calibri"/>
              </w:rPr>
              <w:t xml:space="preserve">Estimates of benefit and consistency across studies </w:t>
            </w:r>
          </w:p>
        </w:tc>
        <w:tc>
          <w:tcPr>
            <w:tcW w:w="5649" w:type="dxa"/>
          </w:tcPr>
          <w:p w14:paraId="1BE3A8D0" w14:textId="4E4C7764" w:rsidR="005F0D38" w:rsidRDefault="005F0D38" w:rsidP="005F0D38">
            <w:pPr>
              <w:pStyle w:val="BodyText"/>
              <w:ind w:left="119"/>
            </w:pPr>
            <w:r>
              <w:t>Estimates of the benefit of beta blocker therapy across the body of evidence are not reported.</w:t>
            </w:r>
          </w:p>
          <w:p w14:paraId="4BADE378" w14:textId="293E3FC6" w:rsidR="00C0208A" w:rsidRPr="00371E29" w:rsidRDefault="00C0208A" w:rsidP="00F63474">
            <w:pPr>
              <w:spacing w:before="120"/>
              <w:ind w:left="0" w:firstLine="0"/>
              <w:rPr>
                <w:rFonts w:ascii="Calibri" w:hAnsi="Calibri" w:cs="Calibri"/>
              </w:rPr>
            </w:pPr>
          </w:p>
        </w:tc>
      </w:tr>
      <w:tr w:rsidR="00C0208A" w:rsidRPr="00371E29" w14:paraId="2DC1B1C0" w14:textId="77777777" w:rsidTr="00C0208A">
        <w:tc>
          <w:tcPr>
            <w:tcW w:w="3927" w:type="dxa"/>
          </w:tcPr>
          <w:p w14:paraId="3129FA37" w14:textId="77777777" w:rsidR="00C0208A" w:rsidRPr="00371E29" w:rsidRDefault="00C0208A" w:rsidP="00F63474">
            <w:pPr>
              <w:ind w:left="0" w:firstLine="0"/>
              <w:rPr>
                <w:rFonts w:ascii="Calibri" w:hAnsi="Calibri" w:cs="Calibri"/>
              </w:rPr>
            </w:pPr>
            <w:r w:rsidRPr="00371E29">
              <w:rPr>
                <w:rFonts w:ascii="Calibri" w:hAnsi="Calibri" w:cs="Calibri"/>
              </w:rPr>
              <w:t>What harms were identified?</w:t>
            </w:r>
          </w:p>
        </w:tc>
        <w:tc>
          <w:tcPr>
            <w:tcW w:w="5649" w:type="dxa"/>
          </w:tcPr>
          <w:p w14:paraId="3270D5AA" w14:textId="668D0D92" w:rsidR="00C0208A" w:rsidRPr="00371E29" w:rsidRDefault="005F0D38" w:rsidP="00F63474">
            <w:pPr>
              <w:ind w:left="0" w:firstLine="0"/>
              <w:rPr>
                <w:rFonts w:ascii="Calibri" w:hAnsi="Calibri" w:cs="Calibri"/>
              </w:rPr>
            </w:pPr>
            <w:r>
              <w:rPr>
                <w:rFonts w:ascii="Calibri" w:hAnsi="Calibri" w:cs="Calibri"/>
              </w:rPr>
              <w:t>NA</w:t>
            </w:r>
          </w:p>
        </w:tc>
      </w:tr>
      <w:tr w:rsidR="00C0208A" w:rsidRPr="00371E29" w14:paraId="18D462F6" w14:textId="77777777" w:rsidTr="00C0208A">
        <w:tc>
          <w:tcPr>
            <w:tcW w:w="3927" w:type="dxa"/>
          </w:tcPr>
          <w:p w14:paraId="7ACCE82A" w14:textId="77777777" w:rsidR="00C0208A" w:rsidRPr="00371E29" w:rsidRDefault="00C0208A" w:rsidP="00F63474">
            <w:pPr>
              <w:ind w:left="0" w:firstLine="0"/>
              <w:rPr>
                <w:rFonts w:ascii="Calibri" w:hAnsi="Calibri" w:cs="Calibri"/>
              </w:rPr>
            </w:pPr>
            <w:r w:rsidRPr="00371E29">
              <w:rPr>
                <w:rFonts w:ascii="Calibri" w:hAnsi="Calibri" w:cs="Calibri"/>
              </w:rPr>
              <w:t>Identify any new studies conducted since the SR. Do the new studies change the conclusions from the SR?</w:t>
            </w:r>
          </w:p>
        </w:tc>
        <w:tc>
          <w:tcPr>
            <w:tcW w:w="5649" w:type="dxa"/>
          </w:tcPr>
          <w:p w14:paraId="21F39629" w14:textId="187A1FB6" w:rsidR="00C0208A" w:rsidRPr="00371E29" w:rsidRDefault="005F0D38" w:rsidP="00F63474">
            <w:pPr>
              <w:ind w:left="0" w:firstLine="0"/>
              <w:rPr>
                <w:rFonts w:ascii="Calibri" w:hAnsi="Calibri" w:cs="Calibri"/>
              </w:rPr>
            </w:pPr>
            <w:r>
              <w:t>Updated guidelines continue to support this measure.</w:t>
            </w:r>
          </w:p>
        </w:tc>
      </w:tr>
    </w:tbl>
    <w:p w14:paraId="2659B2DD" w14:textId="77777777" w:rsidR="00BA32C5" w:rsidRDefault="00BA32C5" w:rsidP="002E2177">
      <w:pPr>
        <w:ind w:left="0" w:firstLine="0"/>
        <w:rPr>
          <w:b/>
          <w:iCs/>
          <w:caps/>
        </w:rPr>
      </w:pPr>
    </w:p>
    <w:p w14:paraId="55B8DA95" w14:textId="43B887BF" w:rsidR="0094689F" w:rsidRPr="003B1CC5" w:rsidRDefault="00925F11" w:rsidP="002E2177">
      <w:pPr>
        <w:ind w:left="0" w:firstLine="0"/>
        <w:rPr>
          <w:b/>
          <w:color w:val="0070C0"/>
        </w:rPr>
      </w:pPr>
      <w:r w:rsidRPr="003B1CC5">
        <w:rPr>
          <w:b/>
          <w:iCs/>
          <w:caps/>
        </w:rPr>
        <w:t>____________________</w:t>
      </w:r>
    </w:p>
    <w:p w14:paraId="55B8DA96" w14:textId="77777777" w:rsidR="00837121" w:rsidRPr="003B1CC5" w:rsidRDefault="000E5C93" w:rsidP="002E2177">
      <w:pPr>
        <w:ind w:left="0" w:firstLine="0"/>
        <w:rPr>
          <w:b/>
        </w:rPr>
      </w:pPr>
      <w:bookmarkStart w:id="7" w:name="Section1a8"/>
      <w:bookmarkEnd w:id="7"/>
      <w:r>
        <w:rPr>
          <w:b/>
          <w:color w:val="0000FF"/>
        </w:rPr>
        <w:t>1a.4</w:t>
      </w:r>
      <w:r w:rsidR="00837121" w:rsidRPr="003B1CC5">
        <w:rPr>
          <w:b/>
          <w:color w:val="0000FF"/>
        </w:rPr>
        <w:t xml:space="preserve"> </w:t>
      </w:r>
      <w:r w:rsidR="00837121" w:rsidRPr="003B1CC5">
        <w:rPr>
          <w:b/>
        </w:rPr>
        <w:t>OTHER SOURCE OF EVIDENCE</w:t>
      </w:r>
    </w:p>
    <w:p w14:paraId="55B8DA97" w14:textId="77777777" w:rsidR="00837121" w:rsidRPr="003B1CC5"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14:paraId="55B8DA98" w14:textId="77777777" w:rsidR="00837121" w:rsidRPr="003B1CC5" w:rsidRDefault="00837121" w:rsidP="002E2177">
      <w:pPr>
        <w:ind w:left="0" w:firstLine="0"/>
      </w:pPr>
    </w:p>
    <w:p w14:paraId="55B8DA99" w14:textId="77777777" w:rsidR="000E5C93" w:rsidRPr="000E5C93" w:rsidRDefault="000E5C93" w:rsidP="002E2177">
      <w:pPr>
        <w:ind w:left="0" w:firstLine="0"/>
        <w:rPr>
          <w:color w:val="0070C0"/>
        </w:rPr>
      </w:pPr>
      <w:r>
        <w:rPr>
          <w:b/>
          <w:color w:val="0000FF"/>
        </w:rPr>
        <w:t>1a.4</w:t>
      </w:r>
      <w:r w:rsidR="00837121" w:rsidRPr="003B1CC5">
        <w:rPr>
          <w:b/>
          <w:color w:val="0000FF"/>
        </w:rPr>
        <w:t>.1</w:t>
      </w:r>
      <w:r w:rsidR="00837121" w:rsidRPr="003B1CC5">
        <w:rPr>
          <w:color w:val="0070C0"/>
        </w:rPr>
        <w:t xml:space="preserve"> </w:t>
      </w:r>
      <w:r w:rsidRPr="000E5C93">
        <w:rPr>
          <w:b/>
        </w:rPr>
        <w:t>B</w:t>
      </w:r>
      <w:r>
        <w:rPr>
          <w:b/>
        </w:rPr>
        <w:t xml:space="preserve">riefly </w:t>
      </w:r>
      <w:r w:rsidR="00E42FAA">
        <w:rPr>
          <w:b/>
        </w:rPr>
        <w:t>SYNTHESIZE</w:t>
      </w:r>
      <w:r w:rsidR="00E42FAA" w:rsidRPr="000E5C93">
        <w:rPr>
          <w:b/>
        </w:rPr>
        <w:t xml:space="preserve"> </w:t>
      </w:r>
      <w:r>
        <w:rPr>
          <w:b/>
        </w:rPr>
        <w:t xml:space="preserve">the evidence that supports the measure. </w:t>
      </w:r>
      <w:r>
        <w:t>A list of references without a summary is not acceptable.</w:t>
      </w:r>
    </w:p>
    <w:p w14:paraId="55B8DA9A" w14:textId="77777777" w:rsidR="000E5C93" w:rsidRDefault="000E5C93" w:rsidP="002E2177">
      <w:pPr>
        <w:ind w:left="0" w:firstLine="0"/>
        <w:rPr>
          <w:b/>
        </w:rPr>
      </w:pPr>
    </w:p>
    <w:p w14:paraId="55B8DA9B" w14:textId="77777777" w:rsidR="00837121" w:rsidRPr="003B1CC5" w:rsidRDefault="000E5C93" w:rsidP="002E2177">
      <w:pPr>
        <w:ind w:left="0" w:firstLine="0"/>
      </w:pPr>
      <w:r w:rsidRPr="0005334F">
        <w:rPr>
          <w:b/>
          <w:color w:val="0000FF"/>
        </w:rPr>
        <w:t>1a.4.2</w:t>
      </w:r>
      <w:r w:rsidRPr="000E5C93">
        <w:rPr>
          <w:b/>
          <w:color w:val="244061" w:themeColor="accent1" w:themeShade="80"/>
        </w:rPr>
        <w:t xml:space="preserve"> </w:t>
      </w:r>
      <w:r w:rsidR="00837121" w:rsidRPr="003B1CC5">
        <w:rPr>
          <w:b/>
        </w:rPr>
        <w:t>What process was used to identify the evidence?</w:t>
      </w:r>
    </w:p>
    <w:p w14:paraId="55B8DA9C" w14:textId="77777777" w:rsidR="00837121" w:rsidRPr="003B1CC5" w:rsidRDefault="00837121" w:rsidP="002E2177">
      <w:pPr>
        <w:ind w:left="0" w:firstLine="0"/>
      </w:pPr>
    </w:p>
    <w:p w14:paraId="55B8DA9D" w14:textId="77C59596" w:rsidR="00837121" w:rsidRDefault="000E5C93" w:rsidP="002E2177">
      <w:pPr>
        <w:ind w:left="0" w:firstLine="0"/>
        <w:rPr>
          <w:b/>
        </w:rPr>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p w14:paraId="720889C9" w14:textId="6D5D61B7" w:rsidR="00B32030" w:rsidRDefault="00B32030" w:rsidP="002E2177">
      <w:pPr>
        <w:ind w:left="0" w:firstLine="0"/>
      </w:pPr>
    </w:p>
    <w:p w14:paraId="327AAA5C" w14:textId="1717FBAF" w:rsidR="00B32030" w:rsidRDefault="003026D3" w:rsidP="002E2177">
      <w:pPr>
        <w:ind w:left="0" w:firstLine="0"/>
      </w:pPr>
      <w:r>
        <w:rPr>
          <w:noProof/>
        </w:rPr>
        <mc:AlternateContent>
          <mc:Choice Requires="wps">
            <w:drawing>
              <wp:anchor distT="0" distB="0" distL="114300" distR="114300" simplePos="0" relativeHeight="251659264" behindDoc="0" locked="0" layoutInCell="1" allowOverlap="1" wp14:anchorId="0E1F359B" wp14:editId="16D27802">
                <wp:simplePos x="0" y="0"/>
                <wp:positionH relativeFrom="column">
                  <wp:posOffset>17362</wp:posOffset>
                </wp:positionH>
                <wp:positionV relativeFrom="paragraph">
                  <wp:posOffset>3722</wp:posOffset>
                </wp:positionV>
                <wp:extent cx="6383438" cy="5787"/>
                <wp:effectExtent l="0" t="0" r="36830" b="32385"/>
                <wp:wrapNone/>
                <wp:docPr id="5" name="Straight Connector 5"/>
                <wp:cNvGraphicFramePr/>
                <a:graphic xmlns:a="http://schemas.openxmlformats.org/drawingml/2006/main">
                  <a:graphicData uri="http://schemas.microsoft.com/office/word/2010/wordprocessingShape">
                    <wps:wsp>
                      <wps:cNvCnPr/>
                      <wps:spPr>
                        <a:xfrm flipV="1">
                          <a:off x="0" y="0"/>
                          <a:ext cx="6383438" cy="5787"/>
                        </a:xfrm>
                        <a:prstGeom prst="line">
                          <a:avLst/>
                        </a:prstGeom>
                        <a:ln>
                          <a:solidFill>
                            <a:srgbClr val="0033C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7FFAD3" id="Straight Connector 5"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1.35pt,.3pt" to="7in,.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" strokecolor="#03c"/>
            </w:pict>
          </mc:Fallback>
        </mc:AlternateContent>
      </w:r>
    </w:p>
    <w:p w14:paraId="1FDEF480" w14:textId="7BCEB874" w:rsidR="00B32030" w:rsidRPr="003B1CC5" w:rsidRDefault="00B32030" w:rsidP="00B32030">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542718662"/>
        </w:sdtPr>
        <w:sdtEndPr>
          <w:rPr>
            <w:rStyle w:val="DefaultParagraphFont"/>
            <w:rFonts w:cstheme="minorHAnsi"/>
            <w:b/>
            <w:noProof/>
            <w:color w:val="auto"/>
          </w:rPr>
        </w:sdtEndPr>
        <w:sdtContent>
          <w:r>
            <w:rPr>
              <w:rStyle w:val="Style1"/>
            </w:rPr>
            <w:t>0</w:t>
          </w:r>
          <w:r w:rsidR="00E41116">
            <w:rPr>
              <w:rStyle w:val="Style1"/>
            </w:rPr>
            <w:t>965</w:t>
          </w:r>
        </w:sdtContent>
      </w:sdt>
    </w:p>
    <w:p w14:paraId="4756A2D3" w14:textId="2CAB16C2" w:rsidR="00B32030" w:rsidRPr="003B1CC5" w:rsidRDefault="00B32030" w:rsidP="00B32030">
      <w:pPr>
        <w:ind w:left="0" w:firstLine="0"/>
        <w:rPr>
          <w:noProof/>
        </w:rPr>
      </w:pPr>
      <w:r w:rsidRPr="003B1CC5">
        <w:rPr>
          <w:b/>
          <w:noProof/>
        </w:rPr>
        <w:t>Measure Title</w:t>
      </w:r>
      <w:r w:rsidRPr="003B1CC5">
        <w:rPr>
          <w:noProof/>
        </w:rPr>
        <w:t xml:space="preserve">:  </w:t>
      </w:r>
      <w:sdt>
        <w:sdtPr>
          <w:rPr>
            <w:rStyle w:val="Style1"/>
          </w:rPr>
          <w:id w:val="459157859"/>
        </w:sdtPr>
        <w:sdtEndPr>
          <w:rPr>
            <w:rStyle w:val="DefaultParagraphFont"/>
            <w:noProof/>
            <w:color w:val="auto"/>
          </w:rPr>
        </w:sdtEndPr>
        <w:sdtContent>
          <w:sdt>
            <w:sdtPr>
              <w:rPr>
                <w:rStyle w:val="Style1"/>
              </w:rPr>
              <w:id w:val="513348143"/>
            </w:sdtPr>
            <w:sdtEndPr>
              <w:rPr>
                <w:rStyle w:val="DefaultParagraphFont"/>
                <w:noProof/>
                <w:color w:val="auto"/>
              </w:rPr>
            </w:sdtEndPr>
            <w:sdtContent>
              <w:sdt>
                <w:sdtPr>
                  <w:rPr>
                    <w:rStyle w:val="Style1"/>
                  </w:rPr>
                  <w:id w:val="-200469354"/>
                </w:sdtPr>
                <w:sdtEndPr>
                  <w:rPr>
                    <w:rStyle w:val="DefaultParagraphFont"/>
                    <w:noProof/>
                    <w:color w:val="auto"/>
                  </w:rPr>
                </w:sdtEndPr>
                <w:sdtContent>
                  <w:r w:rsidR="00E41116">
                    <w:rPr>
                      <w:rStyle w:val="Style1"/>
                    </w:rPr>
                    <w:t xml:space="preserve">Patients with </w:t>
                  </w:r>
                  <w:r w:rsidR="009A2E65">
                    <w:rPr>
                      <w:rStyle w:val="Style1"/>
                    </w:rPr>
                    <w:t xml:space="preserve">LVSD and </w:t>
                  </w:r>
                  <w:r w:rsidR="00E41116">
                    <w:rPr>
                      <w:rStyle w:val="Style1"/>
                    </w:rPr>
                    <w:t xml:space="preserve">an ICD implant who receive beta blocker therapy at discharge </w:t>
                  </w:r>
                </w:sdtContent>
              </w:sdt>
            </w:sdtContent>
          </w:sdt>
          <w:r w:rsidR="00E41116">
            <w:rPr>
              <w:noProof/>
            </w:rPr>
            <w:t xml:space="preserve"> </w:t>
          </w:r>
        </w:sdtContent>
      </w:sdt>
    </w:p>
    <w:p w14:paraId="61B147B3" w14:textId="29745D26" w:rsidR="00B32030" w:rsidRPr="003B1CC5" w:rsidRDefault="00B32030" w:rsidP="00B32030">
      <w:pPr>
        <w:ind w:left="0" w:firstLine="0"/>
        <w:rPr>
          <w:b/>
          <w:noProof/>
        </w:rPr>
      </w:pPr>
      <w:r w:rsidRPr="003B1CC5">
        <w:rPr>
          <w:i/>
          <w:noProof/>
        </w:rPr>
        <w:t xml:space="preserve"> </w:t>
      </w:r>
      <w:r w:rsidRPr="003B1CC5">
        <w:rPr>
          <w:b/>
          <w:noProof/>
        </w:rPr>
        <w:t>IF the measure is a component in a composite performance measure, provide the title of the Composite Measure here:</w:t>
      </w:r>
      <w:r w:rsidRPr="003B1CC5">
        <w:rPr>
          <w:noProof/>
        </w:rPr>
        <w:t xml:space="preserve"> </w:t>
      </w:r>
      <w:sdt>
        <w:sdtPr>
          <w:rPr>
            <w:rStyle w:val="Style1"/>
          </w:rPr>
          <w:id w:val="-37368012"/>
        </w:sdtPr>
        <w:sdtEndPr>
          <w:rPr>
            <w:rStyle w:val="DefaultParagraphFont"/>
            <w:noProof/>
            <w:color w:val="auto"/>
          </w:rPr>
        </w:sdtEndPr>
        <w:sdtContent>
          <w:sdt>
            <w:sdtPr>
              <w:rPr>
                <w:rStyle w:val="Style1"/>
              </w:rPr>
              <w:id w:val="407035545"/>
            </w:sdtPr>
            <w:sdtEndPr>
              <w:rPr>
                <w:rStyle w:val="DefaultParagraphFont"/>
                <w:noProof/>
                <w:color w:val="auto"/>
              </w:rPr>
            </w:sdtEndPr>
            <w:sdtContent>
              <w:sdt>
                <w:sdtPr>
                  <w:rPr>
                    <w:rStyle w:val="Style1"/>
                  </w:rPr>
                  <w:id w:val="-220135323"/>
                </w:sdtPr>
                <w:sdtEndPr>
                  <w:rPr>
                    <w:rStyle w:val="DefaultParagraphFont"/>
                    <w:noProof/>
                    <w:color w:val="auto"/>
                  </w:rPr>
                </w:sdtEndPr>
                <w:sdtContent>
                  <w:r w:rsidR="00E41116">
                    <w:rPr>
                      <w:rStyle w:val="Style1"/>
                    </w:rPr>
                    <w:t xml:space="preserve">Patients with an ICD implant who receive ACE-I/ARB and beta blocker therapy at discharge </w:t>
                  </w:r>
                </w:sdtContent>
              </w:sdt>
            </w:sdtContent>
          </w:sdt>
          <w:r w:rsidR="00E41116">
            <w:rPr>
              <w:noProof/>
            </w:rPr>
            <w:t xml:space="preserve"> </w:t>
          </w:r>
        </w:sdtContent>
      </w:sdt>
    </w:p>
    <w:p w14:paraId="69189011" w14:textId="64568233" w:rsidR="00B32030" w:rsidRPr="003B1CC5" w:rsidRDefault="00B32030" w:rsidP="00B32030">
      <w:pPr>
        <w:ind w:left="0" w:firstLine="0"/>
        <w:rPr>
          <w:rStyle w:val="Style2"/>
        </w:rPr>
      </w:pPr>
      <w:r w:rsidRPr="003B1CC5">
        <w:rPr>
          <w:b/>
          <w:noProof/>
        </w:rPr>
        <w:t>Date of Submission</w:t>
      </w:r>
      <w:r w:rsidRPr="003B1CC5">
        <w:rPr>
          <w:noProof/>
        </w:rPr>
        <w:t xml:space="preserve">:  </w:t>
      </w:r>
      <w:sdt>
        <w:sdtPr>
          <w:rPr>
            <w:rStyle w:val="Style2"/>
          </w:rPr>
          <w:id w:val="1425764208"/>
          <w:showingPlcHdr/>
          <w:date w:fullDate="2018-10-30T00:00:00Z">
            <w:dateFormat w:val="M/d/yyyy"/>
            <w:lid w:val="en-US"/>
            <w:storeMappedDataAs w:val="dateTime"/>
            <w:calendar w:val="gregorian"/>
          </w:date>
        </w:sdtPr>
        <w:sdtEndPr>
          <w:rPr>
            <w:rStyle w:val="DefaultParagraphFont"/>
            <w:noProof/>
            <w:color w:val="auto"/>
            <w:u w:val="none"/>
          </w:rPr>
        </w:sdtEndPr>
        <w:sdtContent>
          <w:r w:rsidR="00E41116" w:rsidRPr="003B1CC5">
            <w:rPr>
              <w:rStyle w:val="PlaceholderText"/>
              <w:rFonts w:cstheme="minorHAnsi"/>
              <w:color w:val="A6A6A6" w:themeColor="background1" w:themeShade="A6"/>
            </w:rPr>
            <w:t>Click here to enter a date</w:t>
          </w:r>
        </w:sdtContent>
      </w:sdt>
    </w:p>
    <w:p w14:paraId="7CF8376D" w14:textId="2352B414" w:rsidR="00B32030" w:rsidRDefault="00B32030" w:rsidP="00B32030">
      <w:pPr>
        <w:ind w:left="0" w:firstLine="0"/>
        <w:rPr>
          <w:b/>
          <w:bCs/>
          <w:color w:val="0000FF"/>
        </w:rPr>
      </w:pPr>
    </w:p>
    <w:p w14:paraId="59733E5E" w14:textId="77777777" w:rsidR="00B32030" w:rsidRPr="003B1CC5" w:rsidRDefault="00B32030" w:rsidP="00B32030">
      <w:pPr>
        <w:ind w:left="0" w:firstLine="0"/>
        <w:rPr>
          <w:bCs/>
          <w:i/>
        </w:rPr>
      </w:pPr>
      <w:r w:rsidRPr="003B1CC5">
        <w:rPr>
          <w:b/>
          <w:bCs/>
          <w:color w:val="0000FF"/>
        </w:rPr>
        <w:t>1a.1.</w:t>
      </w:r>
      <w:r w:rsidRPr="008F6F51">
        <w:rPr>
          <w:b/>
          <w:bCs/>
        </w:rPr>
        <w:t>This is a measure</w:t>
      </w:r>
      <w:r w:rsidRPr="003B1CC5">
        <w:rPr>
          <w:b/>
          <w:bCs/>
        </w:rPr>
        <w:t xml:space="preserve"> of</w:t>
      </w:r>
      <w:r w:rsidRPr="003B1CC5">
        <w:rPr>
          <w:bCs/>
        </w:rPr>
        <w:t>: (</w:t>
      </w:r>
      <w:r w:rsidRPr="003B1CC5">
        <w:rPr>
          <w:bCs/>
          <w:i/>
        </w:rPr>
        <w:t>should be consistent with type of measure entered in De.1</w:t>
      </w:r>
      <w:r w:rsidRPr="003B1CC5">
        <w:rPr>
          <w:bCs/>
        </w:rPr>
        <w:t xml:space="preserve">) </w:t>
      </w:r>
    </w:p>
    <w:p w14:paraId="352C7A09" w14:textId="77777777" w:rsidR="00B32030" w:rsidRPr="003B1CC5" w:rsidRDefault="00B32030" w:rsidP="00B32030">
      <w:pPr>
        <w:ind w:left="432" w:hanging="432"/>
        <w:rPr>
          <w:rFonts w:cs="Calibri"/>
          <w:bCs/>
        </w:rPr>
      </w:pPr>
      <w:r w:rsidRPr="003B1CC5">
        <w:rPr>
          <w:rFonts w:cs="Calibri"/>
          <w:bCs/>
        </w:rPr>
        <w:t>Outcome</w:t>
      </w:r>
    </w:p>
    <w:p w14:paraId="0652759A" w14:textId="77777777" w:rsidR="00B32030" w:rsidRPr="003B1CC5" w:rsidRDefault="00D77B7A" w:rsidP="00B32030">
      <w:pPr>
        <w:ind w:left="432" w:hanging="432"/>
        <w:rPr>
          <w:rStyle w:val="Style2"/>
          <w:rFonts w:cstheme="minorHAnsi"/>
        </w:rPr>
      </w:pPr>
      <w:sdt>
        <w:sdtPr>
          <w:rPr>
            <w:bCs/>
            <w:color w:val="0000FF"/>
            <w:u w:val="single"/>
          </w:rPr>
          <w:id w:val="2085641036"/>
          <w14:checkbox>
            <w14:checked w14:val="0"/>
            <w14:checkedState w14:val="2612" w14:font="MS Gothic"/>
            <w14:uncheckedState w14:val="2610" w14:font="MS Gothic"/>
          </w14:checkbox>
        </w:sdtPr>
        <w:sdtEndPr/>
        <w:sdtContent>
          <w:r w:rsidR="00B32030" w:rsidRPr="002E1646">
            <w:rPr>
              <w:rFonts w:ascii="MS Gothic" w:eastAsia="MS Gothic" w:hAnsi="MS Gothic" w:hint="eastAsia"/>
              <w:bCs/>
              <w:color w:val="0000FF"/>
            </w:rPr>
            <w:t>☐</w:t>
          </w:r>
        </w:sdtContent>
      </w:sdt>
      <w:r w:rsidR="00B32030" w:rsidRPr="003B1CC5">
        <w:rPr>
          <w:bCs/>
          <w:color w:val="0000FF"/>
        </w:rPr>
        <w:t xml:space="preserve"> </w:t>
      </w:r>
      <w:r w:rsidR="00B32030">
        <w:rPr>
          <w:bCs/>
          <w:color w:val="0000FF"/>
        </w:rPr>
        <w:t>O</w:t>
      </w:r>
      <w:r w:rsidR="00B32030" w:rsidRPr="003B1CC5">
        <w:rPr>
          <w:bCs/>
        </w:rPr>
        <w:t xml:space="preserve">utcome: </w:t>
      </w:r>
      <w:sdt>
        <w:sdtPr>
          <w:rPr>
            <w:rStyle w:val="Style2"/>
            <w:rFonts w:cstheme="minorHAnsi"/>
          </w:rPr>
          <w:id w:val="-643973498"/>
          <w:showingPlcHdr/>
        </w:sdtPr>
        <w:sdtEndPr>
          <w:rPr>
            <w:rStyle w:val="DefaultParagraphFont"/>
            <w:rFonts w:cstheme="minorBidi"/>
            <w:color w:val="auto"/>
            <w:u w:val="none"/>
          </w:rPr>
        </w:sdtEndPr>
        <w:sdtContent>
          <w:r w:rsidR="00B32030" w:rsidRPr="003B1CC5">
            <w:rPr>
              <w:color w:val="A6A6A6" w:themeColor="background1" w:themeShade="A6"/>
            </w:rPr>
            <w:t>Click here to n</w:t>
          </w:r>
          <w:r w:rsidR="00B32030" w:rsidRPr="003B1CC5">
            <w:rPr>
              <w:rStyle w:val="PlaceholderText"/>
              <w:rFonts w:cstheme="minorHAnsi"/>
              <w:color w:val="A6A6A6" w:themeColor="background1" w:themeShade="A6"/>
            </w:rPr>
            <w:t>ame the health outcome</w:t>
          </w:r>
        </w:sdtContent>
      </w:sdt>
    </w:p>
    <w:p w14:paraId="24764F9E" w14:textId="77777777" w:rsidR="00B32030" w:rsidRPr="003B1CC5" w:rsidRDefault="00D77B7A" w:rsidP="00B32030">
      <w:pPr>
        <w:ind w:left="864" w:hanging="432"/>
        <w:rPr>
          <w:b/>
          <w:bCs/>
        </w:rPr>
      </w:pPr>
      <w:sdt>
        <w:sdtPr>
          <w:rPr>
            <w:bCs/>
            <w:color w:val="0000FF"/>
          </w:rPr>
          <w:id w:val="-1978675756"/>
          <w14:checkbox>
            <w14:checked w14:val="0"/>
            <w14:checkedState w14:val="2612" w14:font="MS Gothic"/>
            <w14:uncheckedState w14:val="2610" w14:font="MS Gothic"/>
          </w14:checkbox>
        </w:sdtPr>
        <w:sdtEndPr/>
        <w:sdtContent>
          <w:r w:rsidR="00B32030">
            <w:rPr>
              <w:rFonts w:ascii="MS Gothic" w:eastAsia="MS Gothic" w:hAnsi="MS Gothic" w:hint="eastAsia"/>
              <w:bCs/>
              <w:color w:val="0000FF"/>
            </w:rPr>
            <w:t>☐</w:t>
          </w:r>
        </w:sdtContent>
      </w:sdt>
      <w:r w:rsidR="00B32030" w:rsidRPr="001E6153">
        <w:rPr>
          <w:bCs/>
        </w:rPr>
        <w:t>Patient-reported outcome (PRO)</w:t>
      </w:r>
      <w:r w:rsidR="00B32030" w:rsidRPr="003B1CC5">
        <w:rPr>
          <w:bCs/>
        </w:rPr>
        <w:t xml:space="preserve">: </w:t>
      </w:r>
      <w:sdt>
        <w:sdtPr>
          <w:rPr>
            <w:rStyle w:val="Style2"/>
            <w:rFonts w:cstheme="minorHAnsi"/>
          </w:rPr>
          <w:id w:val="-1372298397"/>
          <w:showingPlcHdr/>
        </w:sdtPr>
        <w:sdtEndPr>
          <w:rPr>
            <w:rStyle w:val="DefaultParagraphFont"/>
            <w:rFonts w:cstheme="minorBidi"/>
            <w:color w:val="auto"/>
            <w:u w:val="none"/>
          </w:rPr>
        </w:sdtEndPr>
        <w:sdtContent>
          <w:r w:rsidR="00B32030" w:rsidRPr="003B1CC5">
            <w:rPr>
              <w:color w:val="A6A6A6" w:themeColor="background1" w:themeShade="A6"/>
            </w:rPr>
            <w:t>Click here to n</w:t>
          </w:r>
          <w:r w:rsidR="00B32030" w:rsidRPr="003B1CC5">
            <w:rPr>
              <w:rStyle w:val="PlaceholderText"/>
              <w:rFonts w:cstheme="minorHAnsi"/>
              <w:color w:val="A6A6A6" w:themeColor="background1" w:themeShade="A6"/>
            </w:rPr>
            <w:t xml:space="preserve">ame the </w:t>
          </w:r>
          <w:r w:rsidR="00B32030">
            <w:rPr>
              <w:rStyle w:val="PlaceholderText"/>
              <w:rFonts w:cstheme="minorHAnsi"/>
              <w:color w:val="A6A6A6" w:themeColor="background1" w:themeShade="A6"/>
            </w:rPr>
            <w:t>PRO</w:t>
          </w:r>
        </w:sdtContent>
      </w:sdt>
    </w:p>
    <w:p w14:paraId="69D91C7D" w14:textId="77777777" w:rsidR="00B32030" w:rsidRPr="0061327A" w:rsidRDefault="00B32030" w:rsidP="00B32030">
      <w:pPr>
        <w:ind w:left="720" w:firstLine="0"/>
        <w:rPr>
          <w:rFonts w:eastAsia="MS Gothic" w:cs="MS Gothic"/>
          <w:bCs/>
          <w:i/>
          <w:color w:val="0000FF"/>
        </w:rPr>
      </w:pPr>
      <w:r w:rsidRPr="003B1CC5">
        <w:rPr>
          <w:bCs/>
          <w:i/>
        </w:rPr>
        <w:t>PROs include HRQoL/functional status, symptom/</w:t>
      </w:r>
      <w:r>
        <w:rPr>
          <w:bCs/>
          <w:i/>
        </w:rPr>
        <w:t xml:space="preserve">symptom </w:t>
      </w:r>
      <w:r w:rsidRPr="003B1CC5">
        <w:rPr>
          <w:bCs/>
          <w:i/>
        </w:rPr>
        <w:t>burden, experience with care, health-related behaviors</w:t>
      </w:r>
      <w:r w:rsidRPr="0061327A">
        <w:rPr>
          <w:bCs/>
          <w:i/>
        </w:rPr>
        <w:t>.</w:t>
      </w:r>
      <w:r w:rsidRPr="0061327A">
        <w:rPr>
          <w:rFonts w:eastAsia="Calibri" w:cs="Calibri"/>
          <w:sz w:val="20"/>
          <w:szCs w:val="20"/>
        </w:rPr>
        <w:t xml:space="preserve"> </w:t>
      </w:r>
      <w:r w:rsidRPr="0061327A">
        <w:rPr>
          <w:rFonts w:eastAsia="Calibri" w:cs="Calibri"/>
        </w:rPr>
        <w:t>(</w:t>
      </w:r>
      <w:r w:rsidRPr="0061327A">
        <w:rPr>
          <w:rFonts w:eastAsia="Calibri" w:cs="Calibri"/>
          <w:i/>
        </w:rPr>
        <w:t>A PRO</w:t>
      </w:r>
      <w:r>
        <w:rPr>
          <w:rFonts w:eastAsia="Calibri" w:cs="Calibri"/>
          <w:i/>
        </w:rPr>
        <w:t>-based performance</w:t>
      </w:r>
      <w:r w:rsidRPr="0061327A">
        <w:rPr>
          <w:rFonts w:eastAsia="Calibri" w:cs="Calibri"/>
          <w:i/>
        </w:rPr>
        <w:t xml:space="preserve"> measure is not a survey instrument. Data may be collected using a survey instrument to construct a PRO measure.)</w:t>
      </w:r>
    </w:p>
    <w:p w14:paraId="4926DB2D" w14:textId="7520F07B" w:rsidR="00B32030" w:rsidRPr="003B1CC5" w:rsidRDefault="00D77B7A" w:rsidP="005009F1">
      <w:pPr>
        <w:ind w:left="720" w:hanging="432"/>
        <w:rPr>
          <w:bCs/>
        </w:rPr>
      </w:pPr>
      <w:sdt>
        <w:sdtPr>
          <w:rPr>
            <w:rFonts w:ascii="MS Gothic" w:eastAsia="MS Gothic" w:hAnsi="MS Gothic"/>
            <w:bCs/>
            <w:color w:val="0000FF"/>
          </w:rPr>
          <w:id w:val="-392274693"/>
          <w14:checkbox>
            <w14:checked w14:val="0"/>
            <w14:checkedState w14:val="2612" w14:font="MS Gothic"/>
            <w14:uncheckedState w14:val="2610" w14:font="MS Gothic"/>
          </w14:checkbox>
        </w:sdtPr>
        <w:sdtEndPr/>
        <w:sdtContent>
          <w:r w:rsidR="00E41116" w:rsidRPr="00D73685">
            <w:rPr>
              <w:rFonts w:ascii="MS Gothic" w:eastAsia="MS Gothic" w:hAnsi="MS Gothic" w:hint="eastAsia"/>
              <w:bCs/>
              <w:color w:val="0000FF"/>
            </w:rPr>
            <w:t>☐</w:t>
          </w:r>
        </w:sdtContent>
      </w:sdt>
      <w:r w:rsidR="00E41116" w:rsidRPr="003B1CC5">
        <w:rPr>
          <w:bCs/>
        </w:rPr>
        <w:t xml:space="preserve"> </w:t>
      </w:r>
      <w:r w:rsidR="00B32030" w:rsidRPr="003B1CC5">
        <w:rPr>
          <w:bCs/>
        </w:rPr>
        <w:t>Intermediate clinical outcome (</w:t>
      </w:r>
      <w:r w:rsidR="00B32030" w:rsidRPr="003B1CC5">
        <w:rPr>
          <w:bCs/>
          <w:i/>
        </w:rPr>
        <w:t>e.g., lab value</w:t>
      </w:r>
      <w:r w:rsidR="00B32030" w:rsidRPr="003B1CC5">
        <w:rPr>
          <w:bCs/>
        </w:rPr>
        <w:t xml:space="preserve">):  </w:t>
      </w:r>
    </w:p>
    <w:p w14:paraId="72B3192C" w14:textId="2774035E" w:rsidR="00B32030" w:rsidRDefault="00D77B7A" w:rsidP="00B32030">
      <w:pPr>
        <w:ind w:left="432" w:hanging="432"/>
        <w:rPr>
          <w:bCs/>
        </w:rPr>
      </w:pPr>
      <w:sdt>
        <w:sdtPr>
          <w:rPr>
            <w:bCs/>
            <w:color w:val="0000FF"/>
          </w:rPr>
          <w:id w:val="809526257"/>
          <w14:checkbox>
            <w14:checked w14:val="1"/>
            <w14:checkedState w14:val="2612" w14:font="MS Gothic"/>
            <w14:uncheckedState w14:val="2610" w14:font="MS Gothic"/>
          </w14:checkbox>
        </w:sdtPr>
        <w:sdtEndPr/>
        <w:sdtContent>
          <w:r w:rsidR="00E41116">
            <w:rPr>
              <w:rFonts w:ascii="MS Gothic" w:eastAsia="MS Gothic" w:hAnsi="MS Gothic" w:hint="eastAsia"/>
              <w:bCs/>
              <w:color w:val="0000FF"/>
            </w:rPr>
            <w:t>☒</w:t>
          </w:r>
        </w:sdtContent>
      </w:sdt>
      <w:r w:rsidR="00E41116" w:rsidRPr="003B1CC5">
        <w:rPr>
          <w:bCs/>
        </w:rPr>
        <w:t xml:space="preserve"> </w:t>
      </w:r>
      <w:r w:rsidR="00B32030" w:rsidRPr="003B1CC5">
        <w:rPr>
          <w:bCs/>
        </w:rPr>
        <w:t>Process:</w:t>
      </w:r>
      <w:r w:rsidR="00B32030">
        <w:rPr>
          <w:bCs/>
        </w:rPr>
        <w:t xml:space="preserve">  </w:t>
      </w:r>
      <w:sdt>
        <w:sdtPr>
          <w:rPr>
            <w:rStyle w:val="Style2"/>
            <w:rFonts w:cstheme="minorHAnsi"/>
          </w:rPr>
          <w:id w:val="1347757219"/>
        </w:sdtPr>
        <w:sdtEndPr>
          <w:rPr>
            <w:rStyle w:val="DefaultParagraphFont"/>
            <w:rFonts w:cstheme="minorBidi"/>
            <w:bCs/>
            <w:color w:val="auto"/>
            <w:u w:val="none"/>
          </w:rPr>
        </w:sdtEndPr>
        <w:sdtContent>
          <w:r w:rsidR="008B7BA7">
            <w:rPr>
              <w:rStyle w:val="Style2"/>
              <w:rFonts w:cstheme="minorHAnsi"/>
            </w:rPr>
            <w:t>Beta-blocker therapy for patients with LVSD receiving an ICD</w:t>
          </w:r>
        </w:sdtContent>
      </w:sdt>
    </w:p>
    <w:p w14:paraId="5BD9A64B" w14:textId="77777777" w:rsidR="00B32030" w:rsidRPr="004E7215" w:rsidRDefault="00B32030" w:rsidP="00B32030">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884406219"/>
          <w14:checkbox>
            <w14:checked w14:val="0"/>
            <w14:checkedState w14:val="2612" w14:font="MS Gothic"/>
            <w14:uncheckedState w14:val="2610" w14:font="MS Gothic"/>
          </w14:checkbox>
        </w:sdtPr>
        <w:sdtEndPr/>
        <w:sdtContent>
          <w:r w:rsidRPr="00D73685">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Pr="00D73685">
        <w:rPr>
          <w:bCs/>
        </w:rPr>
        <w:t xml:space="preserve"> </w:t>
      </w:r>
      <w:r w:rsidRPr="00D73685">
        <w:rPr>
          <w:rStyle w:val="Style2"/>
          <w:rFonts w:cstheme="minorHAnsi"/>
        </w:rPr>
        <w:t xml:space="preserve"> </w:t>
      </w:r>
      <w:sdt>
        <w:sdtPr>
          <w:rPr>
            <w:rStyle w:val="Style2"/>
            <w:rFonts w:cstheme="minorHAnsi"/>
          </w:rPr>
          <w:id w:val="503246888"/>
          <w:showingPlcHdr/>
        </w:sdtPr>
        <w:sdtEndPr>
          <w:rPr>
            <w:rStyle w:val="DefaultParagraphFont"/>
            <w:rFonts w:cstheme="minorBidi"/>
            <w:bCs/>
            <w:color w:val="auto"/>
            <w:u w:val="none"/>
          </w:rPr>
        </w:sdtEndPr>
        <w:sdtContent>
          <w:r w:rsidRPr="003B1CC5">
            <w:rPr>
              <w:rStyle w:val="PlaceholderText"/>
              <w:rFonts w:cstheme="minorHAnsi"/>
              <w:color w:val="A6A6A6" w:themeColor="background1" w:themeShade="A6"/>
            </w:rPr>
            <w:t>Click here to name what is being measured</w:t>
          </w:r>
        </w:sdtContent>
      </w:sdt>
      <w:r>
        <w:rPr>
          <w:rStyle w:val="Style2"/>
          <w:rFonts w:cstheme="minorHAnsi"/>
        </w:rPr>
        <w:t xml:space="preserve"> </w:t>
      </w:r>
      <w:sdt>
        <w:sdtPr>
          <w:rPr>
            <w:rStyle w:val="Style2"/>
            <w:rFonts w:cstheme="minorHAnsi"/>
          </w:rPr>
          <w:id w:val="-1997566664"/>
          <w:showingPlcHdr/>
        </w:sdtPr>
        <w:sdtEndPr>
          <w:rPr>
            <w:rStyle w:val="DefaultParagraphFont"/>
            <w:rFonts w:cstheme="minorBidi"/>
            <w:bCs/>
            <w:color w:val="auto"/>
            <w:u w:val="none"/>
          </w:rPr>
        </w:sdtEndPr>
        <w:sdtContent>
          <w:r>
            <w:rPr>
              <w:rStyle w:val="Style2"/>
              <w:rFonts w:cstheme="minorHAnsi"/>
            </w:rPr>
            <w:t xml:space="preserve">     </w:t>
          </w:r>
        </w:sdtContent>
      </w:sdt>
    </w:p>
    <w:p w14:paraId="47CD6815" w14:textId="77777777" w:rsidR="00B32030" w:rsidRPr="003B1CC5" w:rsidRDefault="00D77B7A" w:rsidP="00B32030">
      <w:pPr>
        <w:ind w:left="432" w:hanging="432"/>
        <w:rPr>
          <w:bCs/>
        </w:rPr>
      </w:pPr>
      <w:sdt>
        <w:sdtPr>
          <w:rPr>
            <w:bCs/>
            <w:color w:val="0000FF"/>
          </w:rPr>
          <w:id w:val="17664230"/>
          <w14:checkbox>
            <w14:checked w14:val="0"/>
            <w14:checkedState w14:val="2612" w14:font="MS Gothic"/>
            <w14:uncheckedState w14:val="2610" w14:font="MS Gothic"/>
          </w14:checkbox>
        </w:sdtPr>
        <w:sdtEndPr/>
        <w:sdtContent>
          <w:r w:rsidR="00B32030">
            <w:rPr>
              <w:rFonts w:ascii="MS Gothic" w:eastAsia="MS Gothic" w:hAnsi="MS Gothic" w:hint="eastAsia"/>
              <w:bCs/>
              <w:color w:val="0000FF"/>
            </w:rPr>
            <w:t>☐</w:t>
          </w:r>
        </w:sdtContent>
      </w:sdt>
      <w:r w:rsidR="00B32030" w:rsidRPr="003B1CC5">
        <w:rPr>
          <w:bCs/>
        </w:rPr>
        <w:t xml:space="preserve"> Structure:  </w:t>
      </w:r>
      <w:sdt>
        <w:sdtPr>
          <w:rPr>
            <w:rStyle w:val="Style2"/>
            <w:rFonts w:cstheme="minorHAnsi"/>
          </w:rPr>
          <w:id w:val="1227029448"/>
          <w:showingPlcHdr/>
        </w:sdtPr>
        <w:sdtEndPr>
          <w:rPr>
            <w:rStyle w:val="DefaultParagraphFont"/>
            <w:rFonts w:cstheme="minorBidi"/>
            <w:bCs/>
            <w:color w:val="auto"/>
            <w:u w:val="none"/>
          </w:rPr>
        </w:sdtEndPr>
        <w:sdtContent>
          <w:r w:rsidR="00B32030" w:rsidRPr="003B1CC5">
            <w:rPr>
              <w:rStyle w:val="PlaceholderText"/>
              <w:rFonts w:cstheme="minorHAnsi"/>
              <w:color w:val="A6A6A6" w:themeColor="background1" w:themeShade="A6"/>
            </w:rPr>
            <w:t>Click here to name the structure</w:t>
          </w:r>
        </w:sdtContent>
      </w:sdt>
    </w:p>
    <w:p w14:paraId="2E1EC97E" w14:textId="77777777" w:rsidR="00B32030" w:rsidRPr="003B1CC5" w:rsidRDefault="00D77B7A" w:rsidP="00B32030">
      <w:pPr>
        <w:ind w:left="432" w:hanging="432"/>
        <w:rPr>
          <w:bCs/>
        </w:rPr>
      </w:pPr>
      <w:sdt>
        <w:sdtPr>
          <w:rPr>
            <w:bCs/>
            <w:color w:val="0000FF"/>
          </w:rPr>
          <w:id w:val="-2024002014"/>
          <w14:checkbox>
            <w14:checked w14:val="0"/>
            <w14:checkedState w14:val="2612" w14:font="MS Gothic"/>
            <w14:uncheckedState w14:val="2610" w14:font="MS Gothic"/>
          </w14:checkbox>
        </w:sdtPr>
        <w:sdtEndPr/>
        <w:sdtContent>
          <w:r w:rsidR="00B32030" w:rsidRPr="003B1CC5">
            <w:rPr>
              <w:rFonts w:ascii="MS Gothic" w:eastAsia="MS Gothic" w:hAnsi="MS Gothic" w:cs="MS Gothic" w:hint="eastAsia"/>
              <w:bCs/>
              <w:color w:val="0000FF"/>
            </w:rPr>
            <w:t>☐</w:t>
          </w:r>
        </w:sdtContent>
      </w:sdt>
      <w:r w:rsidR="00B32030" w:rsidRPr="003B1CC5">
        <w:rPr>
          <w:bCs/>
        </w:rPr>
        <w:t xml:space="preserve"> </w:t>
      </w:r>
      <w:r w:rsidR="00B32030">
        <w:rPr>
          <w:bCs/>
        </w:rPr>
        <w:t>Composite</w:t>
      </w:r>
      <w:r w:rsidR="00B32030" w:rsidRPr="003B1CC5">
        <w:rPr>
          <w:bCs/>
        </w:rPr>
        <w:t xml:space="preserve">:  </w:t>
      </w:r>
      <w:sdt>
        <w:sdtPr>
          <w:rPr>
            <w:rStyle w:val="Style2"/>
            <w:rFonts w:cstheme="minorHAnsi"/>
          </w:rPr>
          <w:id w:val="572864263"/>
          <w:showingPlcHdr/>
        </w:sdtPr>
        <w:sdtEndPr>
          <w:rPr>
            <w:rStyle w:val="DefaultParagraphFont"/>
            <w:rFonts w:cstheme="minorBidi"/>
            <w:bCs/>
            <w:color w:val="auto"/>
            <w:u w:val="none"/>
          </w:rPr>
        </w:sdtEndPr>
        <w:sdtContent>
          <w:r w:rsidR="00B32030" w:rsidRPr="003B1CC5">
            <w:rPr>
              <w:rStyle w:val="PlaceholderText"/>
              <w:rFonts w:cstheme="minorHAnsi"/>
              <w:color w:val="A6A6A6" w:themeColor="background1" w:themeShade="A6"/>
            </w:rPr>
            <w:t>Click here to name what is being measured</w:t>
          </w:r>
        </w:sdtContent>
      </w:sdt>
    </w:p>
    <w:p w14:paraId="6E24B4C5" w14:textId="77777777" w:rsidR="00B32030" w:rsidRPr="003B1CC5" w:rsidRDefault="00B32030" w:rsidP="00B32030">
      <w:pPr>
        <w:ind w:left="0" w:firstLine="0"/>
        <w:rPr>
          <w:bCs/>
        </w:rPr>
      </w:pPr>
    </w:p>
    <w:p w14:paraId="2991566C" w14:textId="72E0E29D" w:rsidR="00B32030" w:rsidRPr="00474E88" w:rsidRDefault="00B32030" w:rsidP="00474E88">
      <w:pPr>
        <w:ind w:left="432" w:hanging="432"/>
        <w:rPr>
          <w:iCs/>
        </w:rPr>
      </w:pPr>
      <w:r>
        <w:rPr>
          <w:b/>
          <w:bCs/>
          <w:color w:val="0000FF"/>
        </w:rPr>
        <w:t>1a.2</w:t>
      </w:r>
      <w:r w:rsidRPr="003B1CC5">
        <w:rPr>
          <w:bCs/>
        </w:rPr>
        <w:t xml:space="preserve"> </w:t>
      </w:r>
      <w:r w:rsidRPr="00676BD4">
        <w:rPr>
          <w:b/>
          <w:bCs/>
        </w:rPr>
        <w:t>LOGIC MODEL</w:t>
      </w:r>
      <w:r>
        <w:rPr>
          <w:bCs/>
        </w:rPr>
        <w:t xml:space="preserve"> </w:t>
      </w:r>
      <w:r w:rsidRPr="00676BD4">
        <w:rPr>
          <w:iCs/>
        </w:rPr>
        <w:t>Diagram or briefly describe the steps between the healthcare structures</w:t>
      </w:r>
      <w:r>
        <w:rPr>
          <w:iCs/>
        </w:rPr>
        <w:t xml:space="preserve"> and</w:t>
      </w:r>
      <w:r w:rsidRPr="00676BD4">
        <w:rPr>
          <w:iCs/>
        </w:rPr>
        <w:t xml:space="preserve"> processes</w:t>
      </w:r>
      <w:r>
        <w:rPr>
          <w:iCs/>
        </w:rPr>
        <w:t xml:space="preserve"> (e.g.,</w:t>
      </w:r>
      <w:r w:rsidRPr="00676BD4">
        <w:rPr>
          <w:iCs/>
        </w:rPr>
        <w:t xml:space="preserve"> interventions, or services</w:t>
      </w:r>
      <w:r>
        <w:rPr>
          <w:iCs/>
        </w:rPr>
        <w:t>)</w:t>
      </w:r>
      <w:r w:rsidRPr="00676BD4">
        <w:rPr>
          <w:iCs/>
        </w:rPr>
        <w:t xml:space="preserve"> and the patient</w:t>
      </w:r>
      <w:r>
        <w:rPr>
          <w:iCs/>
        </w:rPr>
        <w:t>’s</w:t>
      </w:r>
      <w:r w:rsidRPr="00676BD4">
        <w:rPr>
          <w:iCs/>
        </w:rPr>
        <w:t xml:space="preserve"> health outcome</w:t>
      </w:r>
      <w:r>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structure, process o</w:t>
      </w:r>
      <w:r w:rsidRPr="00676BD4">
        <w:rPr>
          <w:iCs/>
        </w:rPr>
        <w:t>r outcome being measured.</w:t>
      </w:r>
    </w:p>
    <w:p w14:paraId="47AD26A1" w14:textId="3C75191D" w:rsidR="00B32030" w:rsidRPr="003B1CC5" w:rsidRDefault="008B7BA7" w:rsidP="00B32030">
      <w:pPr>
        <w:ind w:left="432" w:hanging="432"/>
        <w:rPr>
          <w:color w:val="0000FF"/>
        </w:rPr>
      </w:pPr>
      <w:r>
        <w:rPr>
          <w:noProof/>
        </w:rPr>
        <w:drawing>
          <wp:inline distT="0" distB="0" distL="0" distR="0" wp14:anchorId="73514EF0" wp14:editId="114E527D">
            <wp:extent cx="5486400" cy="1633541"/>
            <wp:effectExtent l="50800" t="0" r="2540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11BA7929" w14:textId="77777777" w:rsidR="00B6636C" w:rsidRDefault="00B6636C" w:rsidP="00B6636C">
      <w:pPr>
        <w:ind w:left="0" w:firstLine="0"/>
        <w:rPr>
          <w:rFonts w:cs="Calibri"/>
          <w:szCs w:val="18"/>
        </w:rPr>
      </w:pPr>
      <w:r>
        <w:rPr>
          <w:rFonts w:cs="Calibri"/>
          <w:szCs w:val="18"/>
        </w:rPr>
        <w:t>Beta-blockers reduce</w:t>
      </w:r>
      <w:r w:rsidRPr="005E6377">
        <w:rPr>
          <w:rFonts w:cs="Calibri"/>
          <w:szCs w:val="18"/>
        </w:rPr>
        <w:t xml:space="preserve"> morbidity, mortality, and hospitalizations for patients with heart failure and left ventricular systolic dysfunction.</w:t>
      </w:r>
    </w:p>
    <w:p w14:paraId="5A37B382" w14:textId="77777777" w:rsidR="00B32030" w:rsidRDefault="00B32030" w:rsidP="00B32030">
      <w:pPr>
        <w:ind w:left="432" w:hanging="432"/>
        <w:rPr>
          <w:b/>
          <w:color w:val="0000FF"/>
        </w:rPr>
      </w:pPr>
    </w:p>
    <w:p w14:paraId="25EE6AFB" w14:textId="77777777" w:rsidR="00B32030" w:rsidRPr="004922E4" w:rsidRDefault="00B32030" w:rsidP="00B32030">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468ADB93" w14:textId="77777777" w:rsidR="00B32030" w:rsidRDefault="00B32030" w:rsidP="00B32030">
      <w:pPr>
        <w:ind w:left="0" w:firstLine="0"/>
        <w:rPr>
          <w:b/>
          <w:color w:val="0000FF"/>
        </w:rPr>
      </w:pPr>
    </w:p>
    <w:p w14:paraId="722CF18D" w14:textId="77777777" w:rsidR="00B32030" w:rsidRDefault="00B32030" w:rsidP="00B32030">
      <w:pPr>
        <w:ind w:left="432" w:hanging="432"/>
        <w:rPr>
          <w:b/>
          <w:color w:val="0000FF"/>
        </w:rPr>
      </w:pPr>
    </w:p>
    <w:p w14:paraId="413BA908" w14:textId="77777777" w:rsidR="00B32030" w:rsidRDefault="00B32030" w:rsidP="00B32030">
      <w:pPr>
        <w:ind w:left="432" w:hanging="432"/>
        <w:rPr>
          <w:b/>
          <w:color w:val="0000FF"/>
        </w:rPr>
      </w:pPr>
      <w:r>
        <w:rPr>
          <w:b/>
          <w:color w:val="0000FF"/>
        </w:rPr>
        <w:t>**RESPOND TO ONLY ONE SECTION BELOW -EITHER 1a.2, 1a.3 or 1a.4) **</w:t>
      </w:r>
    </w:p>
    <w:p w14:paraId="28D066A8" w14:textId="77777777" w:rsidR="00B32030" w:rsidRDefault="00B32030" w:rsidP="00B32030">
      <w:pPr>
        <w:ind w:left="432" w:hanging="432"/>
        <w:rPr>
          <w:b/>
          <w:color w:val="0000FF"/>
        </w:rPr>
      </w:pPr>
    </w:p>
    <w:p w14:paraId="5DFF1133" w14:textId="77777777" w:rsidR="00B32030" w:rsidRPr="00C41794" w:rsidRDefault="00B32030" w:rsidP="00B32030">
      <w:pPr>
        <w:ind w:left="432" w:hanging="432"/>
        <w:rPr>
          <w:b/>
        </w:rPr>
      </w:pPr>
      <w:r w:rsidRPr="003B1CC5">
        <w:rPr>
          <w:b/>
          <w:color w:val="0000FF"/>
        </w:rPr>
        <w:t>1a.2</w:t>
      </w:r>
      <w:r w:rsidRPr="003B1CC5">
        <w:rPr>
          <w:iCs/>
        </w:rPr>
        <w:t xml:space="preserve"> </w:t>
      </w:r>
      <w:r w:rsidRPr="00676BD4">
        <w:rPr>
          <w:b/>
        </w:rPr>
        <w:t>FOR OUTCOME MEASURES including PATIENT REPORTED OUTCOMES</w:t>
      </w:r>
      <w:r>
        <w:rPr>
          <w:b/>
        </w:rPr>
        <w:t xml:space="preserve"> -</w:t>
      </w:r>
      <w:r w:rsidRPr="003B1CC5">
        <w:rPr>
          <w:b/>
          <w:iCs/>
        </w:rPr>
        <w:t xml:space="preserve"> </w:t>
      </w:r>
      <w:r>
        <w:rPr>
          <w:b/>
          <w:iCs/>
        </w:rPr>
        <w:t xml:space="preserve">Provide empirical data demonstrating </w:t>
      </w:r>
      <w:r w:rsidRPr="003B1CC5">
        <w:rPr>
          <w:b/>
          <w:iCs/>
        </w:rPr>
        <w:t xml:space="preserve">the </w:t>
      </w:r>
      <w:r>
        <w:rPr>
          <w:b/>
          <w:iCs/>
        </w:rPr>
        <w:t xml:space="preserve">relationship between the </w:t>
      </w:r>
      <w:r w:rsidRPr="003B1CC5">
        <w:rPr>
          <w:b/>
          <w:iCs/>
        </w:rPr>
        <w:t xml:space="preserve">outcome (or PRO) </w:t>
      </w:r>
      <w:r>
        <w:rPr>
          <w:b/>
          <w:iCs/>
        </w:rPr>
        <w:t>to</w:t>
      </w:r>
      <w:r w:rsidRPr="003B1CC5">
        <w:rPr>
          <w:b/>
          <w:iCs/>
        </w:rPr>
        <w:t xml:space="preserve"> at least one </w:t>
      </w:r>
      <w:r>
        <w:rPr>
          <w:b/>
          <w:iCs/>
        </w:rPr>
        <w:t xml:space="preserve">healthcare structure, process, </w:t>
      </w:r>
      <w:r w:rsidRPr="003B1CC5">
        <w:rPr>
          <w:b/>
          <w:iCs/>
        </w:rPr>
        <w:t>intervention, or service</w:t>
      </w:r>
      <w:r>
        <w:rPr>
          <w:b/>
          <w:iCs/>
        </w:rPr>
        <w:t xml:space="preserve">. </w:t>
      </w:r>
    </w:p>
    <w:p w14:paraId="1D43A706" w14:textId="77777777" w:rsidR="00B32030" w:rsidRPr="003B1CC5" w:rsidRDefault="00B32030" w:rsidP="00B32030">
      <w:pPr>
        <w:ind w:left="0" w:firstLine="0"/>
        <w:rPr>
          <w:iCs/>
        </w:rPr>
      </w:pPr>
    </w:p>
    <w:p w14:paraId="476B4E52" w14:textId="77777777" w:rsidR="00B32030" w:rsidRDefault="00B32030" w:rsidP="00B32030">
      <w:pPr>
        <w:ind w:left="0" w:firstLine="0"/>
        <w:rPr>
          <w:i/>
          <w:iCs/>
          <w:highlight w:val="green"/>
          <w:u w:val="single"/>
        </w:rPr>
      </w:pPr>
    </w:p>
    <w:p w14:paraId="7AA88204" w14:textId="77777777" w:rsidR="00B32030" w:rsidRPr="003B1CC5" w:rsidRDefault="00B32030" w:rsidP="00B32030">
      <w:pPr>
        <w:ind w:left="0" w:firstLine="0"/>
        <w:rPr>
          <w:b/>
          <w:iCs/>
        </w:rPr>
      </w:pPr>
      <w:r w:rsidRPr="003B1CC5">
        <w:rPr>
          <w:b/>
          <w:iCs/>
          <w:color w:val="0000FF"/>
        </w:rPr>
        <w:t>1a.3.</w:t>
      </w:r>
      <w:r w:rsidRPr="003B1CC5">
        <w:rPr>
          <w:i/>
          <w:iCs/>
          <w:color w:val="0000FF"/>
        </w:rPr>
        <w:t xml:space="preserve"> </w:t>
      </w:r>
      <w:r>
        <w:rPr>
          <w:b/>
          <w:iCs/>
          <w:color w:val="0000FF"/>
        </w:rPr>
        <w:t>SYSTEMATIC REVIEW(SR) OF THE EVIDENCE (</w:t>
      </w:r>
      <w:r w:rsidRPr="00F90F82">
        <w:rPr>
          <w:b/>
          <w:iCs/>
        </w:rPr>
        <w:t>for</w:t>
      </w:r>
      <w:r w:rsidRPr="00F90F82">
        <w:rPr>
          <w:b/>
          <w:iCs/>
          <w:caps/>
        </w:rPr>
        <w:t xml:space="preserve"> </w:t>
      </w:r>
      <w:r>
        <w:rPr>
          <w:b/>
          <w:iCs/>
          <w:caps/>
        </w:rPr>
        <w:t xml:space="preserve"> </w:t>
      </w:r>
      <w:r w:rsidRPr="003B1CC5">
        <w:rPr>
          <w:b/>
          <w:iCs/>
          <w:caps/>
        </w:rPr>
        <w:t>intermediate outcome, PROCESS, or STRUCTURE PERFORMANCE measure</w:t>
      </w:r>
      <w:r>
        <w:rPr>
          <w:b/>
          <w:iCs/>
          <w:caps/>
        </w:rPr>
        <w:t>s, including those that are instrument-based)</w:t>
      </w:r>
      <w:r w:rsidRPr="003B1CC5">
        <w:rPr>
          <w:b/>
          <w:iCs/>
        </w:rPr>
        <w:t xml:space="preserve"> </w:t>
      </w:r>
      <w:r>
        <w:rPr>
          <w:b/>
          <w:iCs/>
        </w:rPr>
        <w:t xml:space="preserve">If the evidence is not based on a systematic review go to section 1a.4) If you wish to include more than one systematic review, add additional tables. </w:t>
      </w:r>
    </w:p>
    <w:p w14:paraId="2D90D8AD" w14:textId="77777777" w:rsidR="00B32030" w:rsidRDefault="00B32030" w:rsidP="00B32030">
      <w:pPr>
        <w:ind w:left="0" w:firstLine="0"/>
        <w:rPr>
          <w:i/>
          <w:iCs/>
        </w:rPr>
      </w:pPr>
    </w:p>
    <w:p w14:paraId="28D53D31" w14:textId="77777777" w:rsidR="00B32030" w:rsidRPr="00A9011D" w:rsidRDefault="00B32030" w:rsidP="00B32030">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17993A33" w14:textId="0C06FA8C" w:rsidR="00B32030" w:rsidRPr="00A9011D" w:rsidRDefault="00D77B7A" w:rsidP="00B32030">
      <w:pPr>
        <w:ind w:left="0" w:firstLine="0"/>
        <w:rPr>
          <w:rFonts w:ascii="Calibri" w:eastAsia="Calibri" w:hAnsi="Calibri" w:cs="Times New Roman"/>
        </w:rPr>
      </w:pPr>
      <w:sdt>
        <w:sdtPr>
          <w:rPr>
            <w:bCs/>
            <w:color w:val="0000FF"/>
          </w:rPr>
          <w:id w:val="1644777259"/>
          <w14:checkbox>
            <w14:checked w14:val="1"/>
            <w14:checkedState w14:val="2612" w14:font="MS Gothic"/>
            <w14:uncheckedState w14:val="2610" w14:font="MS Gothic"/>
          </w14:checkbox>
        </w:sdtPr>
        <w:sdtEndPr/>
        <w:sdtContent>
          <w:r w:rsidR="00B32030">
            <w:rPr>
              <w:rFonts w:ascii="MS Gothic" w:eastAsia="MS Gothic" w:hAnsi="MS Gothic" w:hint="eastAsia"/>
              <w:bCs/>
              <w:color w:val="0000FF"/>
            </w:rPr>
            <w:t>☒</w:t>
          </w:r>
        </w:sdtContent>
      </w:sdt>
      <w:r w:rsidR="00B32030" w:rsidRPr="003B1CC5">
        <w:t xml:space="preserve"> </w:t>
      </w:r>
      <w:r w:rsidR="00B32030" w:rsidRPr="00A9011D">
        <w:rPr>
          <w:rFonts w:ascii="Calibri" w:eastAsia="Calibri" w:hAnsi="Calibri" w:cs="Times New Roman"/>
        </w:rPr>
        <w:t xml:space="preserve">Clinical Practice Guideline recommendation </w:t>
      </w:r>
      <w:r w:rsidR="00B32030">
        <w:rPr>
          <w:rFonts w:ascii="Calibri" w:eastAsia="Calibri" w:hAnsi="Calibri" w:cs="Times New Roman"/>
        </w:rPr>
        <w:t>(with evidence review)</w:t>
      </w:r>
    </w:p>
    <w:p w14:paraId="6C5A6F3F" w14:textId="77777777" w:rsidR="00B32030" w:rsidRPr="00A9011D" w:rsidRDefault="00B32030" w:rsidP="00B32030">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646AB0FB" w14:textId="77777777" w:rsidR="00B32030" w:rsidRPr="00A9011D" w:rsidRDefault="00B32030" w:rsidP="00B32030">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6C147901" w14:textId="77777777" w:rsidR="00B32030" w:rsidRDefault="00B32030" w:rsidP="00B32030">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w:t>
      </w:r>
    </w:p>
    <w:p w14:paraId="606F1CAC" w14:textId="77777777" w:rsidR="00857B53" w:rsidRDefault="00857B53" w:rsidP="00B32030">
      <w:pPr>
        <w:ind w:left="0" w:firstLine="0"/>
        <w:rPr>
          <w:rFonts w:ascii="Calibri" w:eastAsia="Calibri" w:hAnsi="Calibri" w:cs="Times New Roman"/>
        </w:rPr>
      </w:pPr>
    </w:p>
    <w:tbl>
      <w:tblPr>
        <w:tblStyle w:val="TableGrid"/>
        <w:tblW w:w="0" w:type="auto"/>
        <w:tblLook w:val="04A0" w:firstRow="1" w:lastRow="0" w:firstColumn="1" w:lastColumn="0" w:noHBand="0" w:noVBand="1"/>
      </w:tblPr>
      <w:tblGrid>
        <w:gridCol w:w="1495"/>
        <w:gridCol w:w="7855"/>
      </w:tblGrid>
      <w:tr w:rsidR="00857B53" w:rsidRPr="00371E29" w14:paraId="798911DD" w14:textId="77777777" w:rsidTr="006823A8">
        <w:tc>
          <w:tcPr>
            <w:tcW w:w="3927" w:type="dxa"/>
          </w:tcPr>
          <w:p w14:paraId="56A4FF81" w14:textId="77777777" w:rsidR="00857B53" w:rsidRPr="00371E29" w:rsidRDefault="00857B53" w:rsidP="006823A8">
            <w:pPr>
              <w:ind w:left="0" w:firstLine="0"/>
              <w:rPr>
                <w:rFonts w:ascii="Calibri" w:hAnsi="Calibri" w:cs="Calibri"/>
                <w:b/>
              </w:rPr>
            </w:pPr>
            <w:r w:rsidRPr="00371E29">
              <w:rPr>
                <w:rFonts w:ascii="Calibri" w:hAnsi="Calibri" w:cs="Calibri"/>
                <w:b/>
              </w:rPr>
              <w:t>Source of Systematic Review:</w:t>
            </w:r>
          </w:p>
          <w:p w14:paraId="12EAE077" w14:textId="77777777" w:rsidR="00857B53" w:rsidRPr="00371E29" w:rsidRDefault="00857B53" w:rsidP="006823A8">
            <w:pPr>
              <w:pStyle w:val="ListParagraph"/>
              <w:numPr>
                <w:ilvl w:val="0"/>
                <w:numId w:val="9"/>
              </w:numPr>
              <w:rPr>
                <w:rFonts w:ascii="Calibri" w:hAnsi="Calibri" w:cs="Calibri"/>
                <w:b/>
              </w:rPr>
            </w:pPr>
            <w:r w:rsidRPr="00371E29">
              <w:rPr>
                <w:rFonts w:ascii="Calibri" w:hAnsi="Calibri" w:cs="Calibri"/>
                <w:b/>
              </w:rPr>
              <w:t>Title</w:t>
            </w:r>
          </w:p>
          <w:p w14:paraId="57B1FE96" w14:textId="77777777" w:rsidR="00857B53" w:rsidRPr="00371E29" w:rsidRDefault="00857B53" w:rsidP="006823A8">
            <w:pPr>
              <w:pStyle w:val="ListParagraph"/>
              <w:numPr>
                <w:ilvl w:val="0"/>
                <w:numId w:val="9"/>
              </w:numPr>
              <w:rPr>
                <w:rFonts w:ascii="Calibri" w:hAnsi="Calibri" w:cs="Calibri"/>
                <w:b/>
              </w:rPr>
            </w:pPr>
            <w:r w:rsidRPr="00371E29">
              <w:rPr>
                <w:rFonts w:ascii="Calibri" w:hAnsi="Calibri" w:cs="Calibri"/>
                <w:b/>
              </w:rPr>
              <w:t>Author</w:t>
            </w:r>
          </w:p>
          <w:p w14:paraId="628093A9" w14:textId="77777777" w:rsidR="00857B53" w:rsidRPr="00371E29" w:rsidRDefault="00857B53" w:rsidP="006823A8">
            <w:pPr>
              <w:pStyle w:val="ListParagraph"/>
              <w:numPr>
                <w:ilvl w:val="0"/>
                <w:numId w:val="9"/>
              </w:numPr>
              <w:rPr>
                <w:rFonts w:ascii="Calibri" w:hAnsi="Calibri" w:cs="Calibri"/>
                <w:b/>
              </w:rPr>
            </w:pPr>
            <w:r w:rsidRPr="00371E29">
              <w:rPr>
                <w:rFonts w:ascii="Calibri" w:hAnsi="Calibri" w:cs="Calibri"/>
                <w:b/>
              </w:rPr>
              <w:t>Date</w:t>
            </w:r>
          </w:p>
          <w:p w14:paraId="79ADAC0F" w14:textId="77777777" w:rsidR="00857B53" w:rsidRPr="00371E29" w:rsidRDefault="00857B53" w:rsidP="006823A8">
            <w:pPr>
              <w:pStyle w:val="ListParagraph"/>
              <w:numPr>
                <w:ilvl w:val="0"/>
                <w:numId w:val="9"/>
              </w:numPr>
              <w:rPr>
                <w:rFonts w:ascii="Calibri" w:hAnsi="Calibri" w:cs="Calibri"/>
                <w:b/>
              </w:rPr>
            </w:pPr>
            <w:r w:rsidRPr="00371E29">
              <w:rPr>
                <w:rFonts w:ascii="Calibri" w:hAnsi="Calibri" w:cs="Calibri"/>
                <w:b/>
              </w:rPr>
              <w:t>Citation, including page number</w:t>
            </w:r>
          </w:p>
          <w:p w14:paraId="16AEAA59" w14:textId="77777777" w:rsidR="00857B53" w:rsidRPr="00371E29" w:rsidRDefault="00857B53" w:rsidP="006823A8">
            <w:pPr>
              <w:pStyle w:val="ListParagraph"/>
              <w:numPr>
                <w:ilvl w:val="0"/>
                <w:numId w:val="9"/>
              </w:numPr>
              <w:rPr>
                <w:rFonts w:ascii="Calibri" w:hAnsi="Calibri" w:cs="Calibri"/>
                <w:b/>
              </w:rPr>
            </w:pPr>
            <w:r w:rsidRPr="00371E29">
              <w:rPr>
                <w:rFonts w:ascii="Calibri" w:hAnsi="Calibri" w:cs="Calibri"/>
                <w:b/>
              </w:rPr>
              <w:t>URL</w:t>
            </w:r>
          </w:p>
        </w:tc>
        <w:tc>
          <w:tcPr>
            <w:tcW w:w="5649" w:type="dxa"/>
          </w:tcPr>
          <w:p w14:paraId="028E588D" w14:textId="77777777" w:rsidR="0016441B" w:rsidRPr="001C707E" w:rsidRDefault="0016441B" w:rsidP="0016441B">
            <w:pPr>
              <w:widowControl w:val="0"/>
              <w:autoSpaceDE w:val="0"/>
              <w:autoSpaceDN w:val="0"/>
              <w:adjustRightInd w:val="0"/>
              <w:spacing w:after="240"/>
              <w:ind w:left="0" w:firstLine="0"/>
              <w:rPr>
                <w:rFonts w:cs="Times"/>
              </w:rPr>
            </w:pPr>
            <w:r w:rsidRPr="001C707E">
              <w:rPr>
                <w:rFonts w:cs="Times"/>
              </w:rPr>
              <w:t xml:space="preserve">Yancy CW, Jessup M, Bozkurt B, Butler J, Casey DE Jr, Drazner MH, Fonarow GC, Geraci SA, Horwich T, Januzzi JL, Johnson MR, Kasper EK, Levy WC, Masoudi FA, McBride PE, McMurray JJV, Mitchell JE, Peterson PN, Riegel B, Sam F, Stevenson LW, Tang WHW, Tsai EJ, Wilkoff BL. 2013 ACCF/AHA guideline for the management of heart failure: a report of the American College of Cardiology Foundation/American Heart Association Task Force on Practice Guidelines. J Am Coll Cardiol 2013;62:e147–239. </w:t>
            </w:r>
          </w:p>
          <w:p w14:paraId="29E7D697" w14:textId="77777777" w:rsidR="0016441B" w:rsidRPr="001C707E" w:rsidRDefault="00D77B7A" w:rsidP="0016441B">
            <w:pPr>
              <w:widowControl w:val="0"/>
              <w:autoSpaceDE w:val="0"/>
              <w:autoSpaceDN w:val="0"/>
              <w:adjustRightInd w:val="0"/>
              <w:spacing w:after="240"/>
              <w:ind w:left="0" w:firstLine="0"/>
              <w:rPr>
                <w:rStyle w:val="Hyperlink"/>
                <w:rFonts w:cs="Times"/>
              </w:rPr>
            </w:pPr>
            <w:hyperlink r:id="rId31" w:history="1">
              <w:r w:rsidR="0016441B" w:rsidRPr="001C707E">
                <w:rPr>
                  <w:rStyle w:val="Hyperlink"/>
                  <w:rFonts w:cs="Times"/>
                </w:rPr>
                <w:t>http://content.onlinejacc.org/article.aspx?articleid=1695825</w:t>
              </w:r>
            </w:hyperlink>
          </w:p>
          <w:p w14:paraId="4EF9FF06" w14:textId="77777777" w:rsidR="00857B53" w:rsidRPr="006314FD" w:rsidRDefault="00857B53" w:rsidP="006823A8">
            <w:pPr>
              <w:widowControl w:val="0"/>
              <w:autoSpaceDE w:val="0"/>
              <w:autoSpaceDN w:val="0"/>
              <w:adjustRightInd w:val="0"/>
              <w:spacing w:after="240"/>
              <w:ind w:left="0" w:firstLine="0"/>
              <w:rPr>
                <w:rFonts w:cs="Times"/>
                <w:sz w:val="24"/>
                <w:szCs w:val="24"/>
              </w:rPr>
            </w:pPr>
            <w:r w:rsidRPr="00A12553">
              <w:rPr>
                <w:rFonts w:cs="Times"/>
              </w:rPr>
              <w:t xml:space="preserve">Smith SC Jr., Benjamin EJ, Bonow RO, Braun LT, Creager MA, Franklin BA, Gibbons RJ, Grundy SM, Hiratzka LF, Jones DW, Lloyd-Jones DM, Minissian M, Mosca L, Peterson ED, Sacco RL, Spertus J, Stein JH, Taubert KA. AHA/ACCF secondary prevention and risk reduction therapy for patients with coronary and other atherosclerotic vascular disease: 2011 update: a guideline from the American Heart Association and American College of Cardiology Foundation. Circulation. 2011: published online before print November 3, 2011, 10.1161/CIR.0b013e318235eb4d. </w:t>
            </w:r>
            <w:hyperlink r:id="rId32" w:history="1">
              <w:r w:rsidRPr="00A12553">
                <w:rPr>
                  <w:rStyle w:val="Hyperlink"/>
                  <w:rFonts w:cs="Times"/>
                </w:rPr>
                <w:t>http://content.onlinejacc.org/article.aspx?articleid=1147807</w:t>
              </w:r>
            </w:hyperlink>
          </w:p>
          <w:p w14:paraId="5D64A7E0" w14:textId="25BA4FD3" w:rsidR="007953E4" w:rsidRPr="007953E4" w:rsidRDefault="00857B53" w:rsidP="007953E4">
            <w:pPr>
              <w:ind w:left="0" w:firstLine="0"/>
              <w:rPr>
                <w:rFonts w:eastAsia="Times New Roman"/>
              </w:rPr>
            </w:pPr>
            <w:r w:rsidRPr="00505210">
              <w:rPr>
                <w:rFonts w:cs="Times Roman"/>
                <w:color w:val="FF0000"/>
                <w:szCs w:val="16"/>
              </w:rPr>
              <w:t xml:space="preserve">Al-Khatib SM, Stevenson WG, Ackerman MJ, Bryant WJ, Callans DJ, Curtis AB, Deal BJ, Dickfeld T, Field ME, Fonarow GC, Gillis AM, Granger CB, Hammill SC, Hlatky MA, Joglar JA, Kay GN, Matlock DD, Myerburg RJ, Page RL. 2017 AHA/ACC/HRS guideline for management of patients with ventricular arrhythmias and the prevention of sudden cardiac death: a report of the American College of Cardiology Foundation/American Heart Association Task Force on Clinical Practice Guidelines and the Heart Rhythm Society. J Am Coll Cardiol 2018;72:e91–220. </w:t>
            </w:r>
            <w:hyperlink r:id="rId33" w:history="1">
              <w:r w:rsidR="007953E4">
                <w:rPr>
                  <w:rStyle w:val="Hyperlink"/>
                  <w:rFonts w:ascii="Calibri" w:eastAsia="Times New Roman" w:hAnsi="Calibri"/>
                  <w:color w:val="954F72"/>
                </w:rPr>
                <w:t>http://www.onlinejacc.org/content/accj/72/14/e91.full.pdf?_ga=2.238225088.1385433901.1570125164-1634948755.1534437338</w:t>
              </w:r>
            </w:hyperlink>
          </w:p>
        </w:tc>
      </w:tr>
      <w:tr w:rsidR="00857B53" w:rsidRPr="00371E29" w14:paraId="08ACADF6" w14:textId="77777777" w:rsidTr="006823A8">
        <w:tc>
          <w:tcPr>
            <w:tcW w:w="3927" w:type="dxa"/>
          </w:tcPr>
          <w:p w14:paraId="1A7F5528" w14:textId="77777777" w:rsidR="00857B53" w:rsidRPr="00371E29" w:rsidRDefault="00857B53" w:rsidP="006823A8">
            <w:pPr>
              <w:ind w:left="0" w:firstLine="0"/>
              <w:rPr>
                <w:rFonts w:ascii="Calibri" w:hAnsi="Calibri" w:cs="Calibri"/>
              </w:rPr>
            </w:pPr>
            <w:r w:rsidRPr="00371E29">
              <w:rPr>
                <w:rFonts w:ascii="Calibri" w:hAnsi="Calibri" w:cs="Calibri"/>
              </w:rPr>
              <w:t>Quote the guideline or recommendation verbatim about the process, structure or intermediate outcome being measured. If not a guideline, summarize the conclusions from the SR.</w:t>
            </w:r>
          </w:p>
        </w:tc>
        <w:tc>
          <w:tcPr>
            <w:tcW w:w="5649" w:type="dxa"/>
          </w:tcPr>
          <w:p w14:paraId="00973ECD" w14:textId="77777777" w:rsidR="0016441B" w:rsidRPr="00E2579B" w:rsidRDefault="0016441B" w:rsidP="0016441B">
            <w:pPr>
              <w:ind w:left="0" w:firstLine="0"/>
              <w:rPr>
                <w:rFonts w:cs="Times"/>
              </w:rPr>
            </w:pPr>
            <w:r w:rsidRPr="00E2579B">
              <w:rPr>
                <w:rFonts w:cs="Times"/>
              </w:rPr>
              <w:t>2013 ACCF/AHA Guideline for the Management of Heart Failure (p. e169-170, 176, 195)</w:t>
            </w:r>
          </w:p>
          <w:p w14:paraId="4550EBF4" w14:textId="77777777" w:rsidR="0016441B" w:rsidRDefault="0016441B" w:rsidP="0016441B">
            <w:pPr>
              <w:ind w:left="0" w:firstLine="0"/>
            </w:pPr>
            <w:r>
              <w:t>Stages of Heart Failure:</w:t>
            </w:r>
          </w:p>
          <w:p w14:paraId="4C78D34C" w14:textId="77777777" w:rsidR="0016441B" w:rsidRDefault="0016441B" w:rsidP="0016441B">
            <w:pPr>
              <w:ind w:left="0" w:firstLine="0"/>
            </w:pPr>
            <w:r>
              <w:t>Stage A: At high risk for HF, but without structural heart disease or symptoms of Failure</w:t>
            </w:r>
          </w:p>
          <w:p w14:paraId="524EDFE1" w14:textId="77777777" w:rsidR="0016441B" w:rsidRDefault="0016441B" w:rsidP="0016441B">
            <w:pPr>
              <w:ind w:left="0" w:firstLine="0"/>
            </w:pPr>
            <w:r>
              <w:t>Stage B: Structural heart disease, but without signs or symptoms of HF</w:t>
            </w:r>
          </w:p>
          <w:p w14:paraId="36EF8957" w14:textId="77777777" w:rsidR="0016441B" w:rsidRDefault="0016441B" w:rsidP="0016441B">
            <w:pPr>
              <w:ind w:left="0" w:firstLine="0"/>
            </w:pPr>
            <w:r>
              <w:t>Stage C: Structural heart disease with prior or current symptoms of HF</w:t>
            </w:r>
          </w:p>
          <w:p w14:paraId="1E7496D7" w14:textId="77777777" w:rsidR="0016441B" w:rsidRDefault="0016441B" w:rsidP="0016441B">
            <w:pPr>
              <w:ind w:left="0" w:firstLine="0"/>
            </w:pPr>
            <w:r>
              <w:t>Stage D: Refractory HF requiring specialized interventions</w:t>
            </w:r>
          </w:p>
          <w:p w14:paraId="79CB6D79" w14:textId="77777777" w:rsidR="0016441B" w:rsidRPr="00E2579B" w:rsidRDefault="0016441B" w:rsidP="0016441B">
            <w:pPr>
              <w:ind w:left="0" w:firstLine="0"/>
            </w:pPr>
          </w:p>
          <w:p w14:paraId="0C33C414" w14:textId="77777777" w:rsidR="0016441B" w:rsidRPr="00E2579B" w:rsidRDefault="0016441B" w:rsidP="0016441B">
            <w:pPr>
              <w:ind w:left="0" w:firstLine="0"/>
            </w:pPr>
            <w:r w:rsidRPr="00E2579B">
              <w:t>p. e169</w:t>
            </w:r>
          </w:p>
          <w:p w14:paraId="38F5F654" w14:textId="77777777" w:rsidR="0016441B" w:rsidRPr="00E2579B" w:rsidRDefault="0016441B" w:rsidP="0016441B">
            <w:pPr>
              <w:ind w:left="0" w:firstLine="0"/>
            </w:pPr>
            <w:r w:rsidRPr="00E2579B">
              <w:t xml:space="preserve">Stage B: </w:t>
            </w:r>
          </w:p>
          <w:p w14:paraId="4EF7BDCB" w14:textId="77777777" w:rsidR="0016441B" w:rsidRPr="00E2579B" w:rsidRDefault="0016441B" w:rsidP="0016441B">
            <w:pPr>
              <w:pStyle w:val="ListParagraph"/>
              <w:widowControl w:val="0"/>
              <w:numPr>
                <w:ilvl w:val="0"/>
                <w:numId w:val="30"/>
              </w:numPr>
              <w:autoSpaceDE w:val="0"/>
              <w:autoSpaceDN w:val="0"/>
              <w:adjustRightInd w:val="0"/>
              <w:spacing w:after="240"/>
              <w:rPr>
                <w:rFonts w:cs="Times"/>
                <w:sz w:val="24"/>
                <w:szCs w:val="24"/>
              </w:rPr>
            </w:pPr>
            <w:r w:rsidRPr="00E2579B">
              <w:rPr>
                <w:rFonts w:cs="Times"/>
              </w:rPr>
              <w:t xml:space="preserve">In all patients with a recent or remote history of MI or ACS and reduced EF, evidence-based beta blockers should be used to reduce mortality. </w:t>
            </w:r>
            <w:r w:rsidRPr="00E2579B">
              <w:rPr>
                <w:rFonts w:cs="Times"/>
                <w:b/>
              </w:rPr>
              <w:t>Class I: Level of Evidence: B</w:t>
            </w:r>
          </w:p>
          <w:p w14:paraId="11390751" w14:textId="77777777" w:rsidR="0016441B" w:rsidRPr="00E2579B" w:rsidRDefault="0016441B" w:rsidP="0016441B">
            <w:pPr>
              <w:pStyle w:val="ListParagraph"/>
              <w:widowControl w:val="0"/>
              <w:numPr>
                <w:ilvl w:val="0"/>
                <w:numId w:val="29"/>
              </w:numPr>
              <w:autoSpaceDE w:val="0"/>
              <w:autoSpaceDN w:val="0"/>
              <w:adjustRightInd w:val="0"/>
              <w:spacing w:after="240"/>
              <w:rPr>
                <w:rFonts w:cs="Times"/>
                <w:sz w:val="24"/>
                <w:szCs w:val="24"/>
              </w:rPr>
            </w:pPr>
            <w:r w:rsidRPr="00E2579B">
              <w:rPr>
                <w:rFonts w:cs="Times"/>
              </w:rPr>
              <w:t xml:space="preserve">Beta blockers should be used in all patients with a reduced EF to prevent symptomatic HF, even if they do not have a history of MI. </w:t>
            </w:r>
            <w:r w:rsidRPr="00E2579B">
              <w:rPr>
                <w:rFonts w:cs="Times"/>
                <w:b/>
              </w:rPr>
              <w:t>Class I: Level of Evidence: C</w:t>
            </w:r>
          </w:p>
          <w:p w14:paraId="53DA577C" w14:textId="77777777" w:rsidR="0016441B" w:rsidRPr="00E2579B" w:rsidRDefault="0016441B" w:rsidP="0016441B">
            <w:r w:rsidRPr="00E2579B">
              <w:t>p. e176:</w:t>
            </w:r>
          </w:p>
          <w:p w14:paraId="7A5B1E90" w14:textId="77777777" w:rsidR="0016441B" w:rsidRPr="00E2579B" w:rsidRDefault="0016441B" w:rsidP="0016441B">
            <w:r w:rsidRPr="00E2579B">
              <w:t xml:space="preserve">Stage C: </w:t>
            </w:r>
          </w:p>
          <w:p w14:paraId="14B07772" w14:textId="77777777" w:rsidR="0016441B" w:rsidRPr="00E2579B" w:rsidRDefault="0016441B" w:rsidP="0016441B">
            <w:pPr>
              <w:pStyle w:val="ListParagraph"/>
              <w:widowControl w:val="0"/>
              <w:numPr>
                <w:ilvl w:val="0"/>
                <w:numId w:val="28"/>
              </w:numPr>
              <w:autoSpaceDE w:val="0"/>
              <w:autoSpaceDN w:val="0"/>
              <w:adjustRightInd w:val="0"/>
              <w:spacing w:after="240"/>
              <w:rPr>
                <w:rFonts w:cs="Times"/>
                <w:sz w:val="24"/>
                <w:szCs w:val="24"/>
              </w:rPr>
            </w:pPr>
            <w:r w:rsidRPr="00E2579B">
              <w:rPr>
                <w:rFonts w:cs="Times"/>
              </w:rPr>
              <w:t xml:space="preserve">Use of 1 of the 3 beta blockers proven to reduce mortality (e.g., bisoprolol, carvedilol, and sustained-release metoprolol succinate) is recommended for all patients with current or prior symptoms of HFrEF, unless contraindicated, to reduce morbidity and mortality. </w:t>
            </w:r>
            <w:r w:rsidRPr="00604CD0">
              <w:rPr>
                <w:rFonts w:cs="Times"/>
                <w:b/>
              </w:rPr>
              <w:t>Class I: Level of Evidence: A</w:t>
            </w:r>
          </w:p>
          <w:p w14:paraId="50E31114" w14:textId="77777777" w:rsidR="0016441B" w:rsidRPr="00E2579B" w:rsidRDefault="0016441B" w:rsidP="0016441B">
            <w:pPr>
              <w:widowControl w:val="0"/>
              <w:autoSpaceDE w:val="0"/>
              <w:autoSpaceDN w:val="0"/>
              <w:adjustRightInd w:val="0"/>
              <w:spacing w:after="240"/>
              <w:ind w:left="0" w:firstLine="0"/>
              <w:rPr>
                <w:rFonts w:cs="Times"/>
              </w:rPr>
            </w:pPr>
            <w:r w:rsidRPr="00E2579B">
              <w:rPr>
                <w:rFonts w:cs="Times"/>
              </w:rPr>
              <w:t>AHA/ACCF secondary prevention and risk reduction therapy for patients with coronary and other atherosclerotic vascular disease: 2011 update (p. 2435)</w:t>
            </w:r>
          </w:p>
          <w:p w14:paraId="3212FCBD" w14:textId="77777777" w:rsidR="0016441B" w:rsidRPr="00E2579B" w:rsidRDefault="0016441B" w:rsidP="0016441B">
            <w:pPr>
              <w:widowControl w:val="0"/>
              <w:numPr>
                <w:ilvl w:val="0"/>
                <w:numId w:val="27"/>
              </w:numPr>
              <w:tabs>
                <w:tab w:val="left" w:pos="220"/>
                <w:tab w:val="left" w:pos="720"/>
              </w:tabs>
              <w:autoSpaceDE w:val="0"/>
              <w:autoSpaceDN w:val="0"/>
              <w:adjustRightInd w:val="0"/>
              <w:spacing w:after="213"/>
              <w:rPr>
                <w:rFonts w:cs="Helvetica Neue"/>
              </w:rPr>
            </w:pPr>
            <w:r w:rsidRPr="00E2579B">
              <w:rPr>
                <w:rFonts w:cs="Helvetica Neue"/>
              </w:rPr>
              <w:t xml:space="preserve">Beta-blocker therapy should be used in all patients with left ventricular systolic dysfunction (ejection fraction </w:t>
            </w:r>
            <w:r>
              <w:rPr>
                <w:rFonts w:cs="Times"/>
              </w:rPr>
              <w:t>&lt;</w:t>
            </w:r>
            <w:r w:rsidRPr="00E2579B">
              <w:rPr>
                <w:rFonts w:cs="Helvetica Neue"/>
              </w:rPr>
              <w:t xml:space="preserve">40%) with heart failure or prior myocardial infarction, unless contraindicated. (Use should be limited to carvedilol, metoprolol succinate, or bisoprolol, which have been shown to reduce mortality.)  </w:t>
            </w:r>
            <w:r w:rsidRPr="00E2579B">
              <w:rPr>
                <w:rFonts w:cs="Helvetica Neue"/>
                <w:b/>
                <w:bCs/>
                <w:iCs/>
              </w:rPr>
              <w:t>Class I: Level of Evidence: A</w:t>
            </w:r>
          </w:p>
          <w:p w14:paraId="6B2D3626" w14:textId="77777777" w:rsidR="00857B53" w:rsidRPr="003C6AAA" w:rsidRDefault="00857B53" w:rsidP="003B0DF2">
            <w:pPr>
              <w:widowControl w:val="0"/>
              <w:tabs>
                <w:tab w:val="left" w:pos="220"/>
                <w:tab w:val="left" w:pos="720"/>
              </w:tabs>
              <w:autoSpaceDE w:val="0"/>
              <w:autoSpaceDN w:val="0"/>
              <w:adjustRightInd w:val="0"/>
              <w:spacing w:after="186"/>
              <w:ind w:left="8" w:hanging="8"/>
              <w:rPr>
                <w:rFonts w:cs="Times"/>
                <w:color w:val="FF0000"/>
              </w:rPr>
            </w:pPr>
            <w:r w:rsidRPr="003C6AAA">
              <w:rPr>
                <w:rFonts w:cs="Times Roman"/>
                <w:color w:val="FF0000"/>
              </w:rPr>
              <w:t>2017 AHA/ACC/HRS guideline for management of patients with ventricular arrhythmias and the prevention of sudden cardiac death (p. e116):</w:t>
            </w:r>
          </w:p>
          <w:p w14:paraId="4083504F" w14:textId="43CCC72A" w:rsidR="00857B53" w:rsidRPr="003C6AAA" w:rsidRDefault="008D1376" w:rsidP="006823A8">
            <w:pPr>
              <w:widowControl w:val="0"/>
              <w:numPr>
                <w:ilvl w:val="0"/>
                <w:numId w:val="25"/>
              </w:numPr>
              <w:tabs>
                <w:tab w:val="left" w:pos="220"/>
                <w:tab w:val="left" w:pos="720"/>
              </w:tabs>
              <w:autoSpaceDE w:val="0"/>
              <w:autoSpaceDN w:val="0"/>
              <w:adjustRightInd w:val="0"/>
              <w:spacing w:after="213"/>
              <w:rPr>
                <w:rFonts w:cs="Times"/>
              </w:rPr>
            </w:pPr>
            <w:r>
              <w:rPr>
                <w:rFonts w:cs="Times Roman"/>
                <w:color w:val="FF0000"/>
              </w:rPr>
              <w:t xml:space="preserve">In patients with HFrEF (LVEF </w:t>
            </w:r>
            <w:r w:rsidRPr="008D1376">
              <w:rPr>
                <w:rFonts w:cs="Times Roman"/>
                <w:color w:val="FF0000"/>
                <w:u w:val="single"/>
              </w:rPr>
              <w:t>&lt;</w:t>
            </w:r>
            <w:r w:rsidR="00857B53" w:rsidRPr="003C6AAA">
              <w:rPr>
                <w:rFonts w:cs="Times Roman"/>
                <w:color w:val="FF0000"/>
              </w:rPr>
              <w:t xml:space="preserve">40%), treatment with a beta blocker, a mineralocorticoid receptor antagonist and either an angiotensin-converting enzyme inhibitor, an angiotensin-receptor blocker, or an angiotensin receptor-neprilysin inhibitor is recommended to reduce SCD and all-cause mortality. </w:t>
            </w:r>
            <w:r w:rsidR="00857B53" w:rsidRPr="003C6AAA">
              <w:rPr>
                <w:rFonts w:cs="Helvetica Neue"/>
                <w:b/>
                <w:bCs/>
                <w:iCs/>
                <w:color w:val="FF0000"/>
              </w:rPr>
              <w:t>Class I: Level of Evidence: A</w:t>
            </w:r>
          </w:p>
        </w:tc>
      </w:tr>
      <w:tr w:rsidR="00857B53" w:rsidRPr="00371E29" w14:paraId="6FC91C02" w14:textId="77777777" w:rsidTr="006823A8">
        <w:tc>
          <w:tcPr>
            <w:tcW w:w="3927" w:type="dxa"/>
          </w:tcPr>
          <w:p w14:paraId="639A5FE0" w14:textId="77777777" w:rsidR="00857B53" w:rsidRPr="00371E29" w:rsidRDefault="00857B53" w:rsidP="006823A8">
            <w:pPr>
              <w:ind w:left="0" w:firstLine="0"/>
              <w:rPr>
                <w:rFonts w:ascii="Calibri" w:hAnsi="Calibri" w:cs="Calibri"/>
              </w:rPr>
            </w:pPr>
            <w:r w:rsidRPr="00371E29">
              <w:rPr>
                <w:rFonts w:ascii="Calibri" w:hAnsi="Calibri" w:cs="Calibri"/>
              </w:rPr>
              <w:t xml:space="preserve">Grade assigned to the </w:t>
            </w:r>
            <w:r w:rsidRPr="00371E29">
              <w:rPr>
                <w:rFonts w:ascii="Calibri" w:hAnsi="Calibri" w:cs="Calibri"/>
                <w:b/>
              </w:rPr>
              <w:t>evidence</w:t>
            </w:r>
            <w:r w:rsidRPr="00371E29">
              <w:rPr>
                <w:rFonts w:ascii="Calibri" w:hAnsi="Calibri" w:cs="Calibri"/>
              </w:rPr>
              <w:t xml:space="preserve"> associated with the recommendation with the definition of the grade</w:t>
            </w:r>
          </w:p>
        </w:tc>
        <w:tc>
          <w:tcPr>
            <w:tcW w:w="5649" w:type="dxa"/>
          </w:tcPr>
          <w:p w14:paraId="65C88A23" w14:textId="77777777" w:rsidR="001C6635" w:rsidRDefault="001C6635" w:rsidP="00B11081">
            <w:pPr>
              <w:ind w:left="0" w:firstLine="0"/>
            </w:pPr>
            <w:r>
              <w:t>For guidelines released prior to 2015:</w:t>
            </w:r>
          </w:p>
          <w:p w14:paraId="107B35AA" w14:textId="77777777" w:rsidR="00857B53" w:rsidRDefault="00857B53" w:rsidP="00B11081">
            <w:pPr>
              <w:ind w:left="0" w:firstLine="0"/>
            </w:pPr>
            <w:r>
              <w:t>The weight of the evidence in support of most of the recommendations includ</w:t>
            </w:r>
            <w:r w:rsidR="00B11081">
              <w:t>ed are rated as Level A, Level B and Level C</w:t>
            </w:r>
            <w:r w:rsidR="002E1646">
              <w:t>,</w:t>
            </w:r>
            <w:r>
              <w:t xml:space="preserve"> </w:t>
            </w:r>
            <w:r w:rsidR="001F25C9">
              <w:t>as noted following each statement</w:t>
            </w:r>
            <w:r>
              <w:t>. Level A evidence refers to “Data derived from multiple randomized clinical trials or meta-analyses.” The weight of the evidence in support of additional recommendations is rated as Level B and C. Level B evidence refers to “Data derived from a single randomized trial, or nonrandomized studies” while Level C evidence refers to “Only consensus opinion of experts, case studies, or standard-of-care.”</w:t>
            </w:r>
          </w:p>
          <w:p w14:paraId="61C6701B" w14:textId="77777777" w:rsidR="001C6635" w:rsidRDefault="001C6635" w:rsidP="00B11081">
            <w:pPr>
              <w:ind w:left="0" w:firstLine="0"/>
            </w:pPr>
          </w:p>
          <w:p w14:paraId="55C89B36" w14:textId="77777777" w:rsidR="001C6635" w:rsidRDefault="001C6635" w:rsidP="00B11081">
            <w:pPr>
              <w:ind w:left="0" w:firstLine="0"/>
            </w:pPr>
            <w:r>
              <w:t>For guidelines released from 2015 forward:</w:t>
            </w:r>
          </w:p>
          <w:p w14:paraId="345D0658" w14:textId="72411DA8" w:rsidR="001C6635" w:rsidRPr="005805A7" w:rsidRDefault="001C6635" w:rsidP="00B11081">
            <w:pPr>
              <w:ind w:left="0" w:firstLine="0"/>
            </w:pPr>
            <w:r>
              <w:t xml:space="preserve">The weight of the evidence in support of most of the recommendations included are rated as Level A, Level B-R, Level B-NR, Level C-LD and Level C-EO, as noted following each statement. Level A evidence refers to high quality evidence from more than one randomized control trial (RCT), meta analyses of high-quality RCTs, and/or one or more RCTs corroborated </w:t>
            </w:r>
            <w:r w:rsidR="00825BF2">
              <w:t>by high-quality registry studies.</w:t>
            </w:r>
            <w:r>
              <w:t xml:space="preserve"> Level B</w:t>
            </w:r>
            <w:r w:rsidR="00825BF2">
              <w:t>-R</w:t>
            </w:r>
            <w:r>
              <w:t xml:space="preserve"> evidence refers to </w:t>
            </w:r>
            <w:r w:rsidR="00825BF2">
              <w:t>moderate-quality evidence from one or more RCTs and/or meta-analyses of moderate-quality RCTs and Level B-NR evidence includes moderate quality evidence from one or more well-designed, well-executed nonrandomized studies, observational studies, or registry studies and/or meta-analyses of such studies. Level C-LD refers to randomized or nonrandomized observational or registry studies with limitation</w:t>
            </w:r>
            <w:r w:rsidR="005805A7">
              <w:t xml:space="preserve"> of design or execution, meta-analyses of such studies, and/or physiological or mechanistic studies in human subjects. Level C-EO refers to consensus of expert opinion based on clinical experience. </w:t>
            </w:r>
            <w:r w:rsidR="00825BF2">
              <w:t xml:space="preserve"> </w:t>
            </w:r>
          </w:p>
        </w:tc>
      </w:tr>
      <w:tr w:rsidR="00857B53" w:rsidRPr="00371E29" w14:paraId="24BCAF4A" w14:textId="77777777" w:rsidTr="006823A8">
        <w:tc>
          <w:tcPr>
            <w:tcW w:w="3927" w:type="dxa"/>
          </w:tcPr>
          <w:p w14:paraId="114461DB" w14:textId="0BF7500B" w:rsidR="00857B53" w:rsidRPr="00371E29" w:rsidRDefault="00857B53" w:rsidP="006823A8">
            <w:pPr>
              <w:ind w:left="0" w:firstLine="0"/>
              <w:rPr>
                <w:rFonts w:ascii="Calibri" w:hAnsi="Calibri" w:cs="Calibri"/>
              </w:rPr>
            </w:pPr>
            <w:r w:rsidRPr="00371E29">
              <w:rPr>
                <w:rFonts w:ascii="Calibri" w:hAnsi="Calibri" w:cs="Calibri"/>
              </w:rPr>
              <w:t>Provide all other grades and definitions from the evidence grading system</w:t>
            </w:r>
          </w:p>
        </w:tc>
        <w:tc>
          <w:tcPr>
            <w:tcW w:w="5649" w:type="dxa"/>
          </w:tcPr>
          <w:p w14:paraId="076ABC0B" w14:textId="77777777" w:rsidR="00857B53" w:rsidRPr="00C0208A" w:rsidRDefault="00857B53" w:rsidP="006823A8">
            <w:pPr>
              <w:ind w:left="0" w:firstLine="0"/>
            </w:pPr>
            <w:r>
              <w:t>See question above and next two questions below for more information.</w:t>
            </w:r>
          </w:p>
        </w:tc>
      </w:tr>
      <w:tr w:rsidR="00857B53" w:rsidRPr="00371E29" w14:paraId="2DEB0987" w14:textId="77777777" w:rsidTr="006823A8">
        <w:tc>
          <w:tcPr>
            <w:tcW w:w="3927" w:type="dxa"/>
          </w:tcPr>
          <w:p w14:paraId="759D73AF" w14:textId="77777777" w:rsidR="00857B53" w:rsidRPr="00371E29" w:rsidRDefault="00857B53" w:rsidP="006823A8">
            <w:pPr>
              <w:ind w:left="0" w:firstLine="0"/>
              <w:rPr>
                <w:rFonts w:ascii="Calibri" w:hAnsi="Calibri" w:cs="Calibri"/>
              </w:rPr>
            </w:pPr>
            <w:r w:rsidRPr="00371E29">
              <w:rPr>
                <w:rFonts w:ascii="Calibri" w:hAnsi="Calibri" w:cs="Calibri"/>
              </w:rPr>
              <w:t xml:space="preserve">Grade assigned to the </w:t>
            </w:r>
            <w:r w:rsidRPr="00371E29">
              <w:rPr>
                <w:rFonts w:ascii="Calibri" w:hAnsi="Calibri" w:cs="Calibri"/>
                <w:b/>
              </w:rPr>
              <w:t>recommendation</w:t>
            </w:r>
            <w:r w:rsidRPr="00371E29">
              <w:rPr>
                <w:rFonts w:ascii="Calibri" w:hAnsi="Calibri" w:cs="Calibri"/>
              </w:rPr>
              <w:t xml:space="preserve"> with definition of the grade</w:t>
            </w:r>
          </w:p>
        </w:tc>
        <w:tc>
          <w:tcPr>
            <w:tcW w:w="5649" w:type="dxa"/>
          </w:tcPr>
          <w:p w14:paraId="5DD80680" w14:textId="77777777" w:rsidR="00D25E6C" w:rsidRDefault="00857B53" w:rsidP="006823A8">
            <w:pPr>
              <w:ind w:left="0" w:firstLine="0"/>
            </w:pPr>
            <w:r>
              <w:t>The</w:t>
            </w:r>
            <w:r w:rsidRPr="00DB17DF">
              <w:t xml:space="preserve"> recommendations included have been assigned a Class I recommendation. </w:t>
            </w:r>
          </w:p>
          <w:p w14:paraId="5D368AEC" w14:textId="77777777" w:rsidR="00D25E6C" w:rsidRDefault="00D25E6C" w:rsidP="006823A8">
            <w:pPr>
              <w:ind w:left="0" w:firstLine="0"/>
            </w:pPr>
          </w:p>
          <w:p w14:paraId="107C5C0D" w14:textId="77777777" w:rsidR="00D25E6C" w:rsidRDefault="00D25E6C" w:rsidP="00D25E6C">
            <w:pPr>
              <w:ind w:left="0" w:firstLine="0"/>
            </w:pPr>
            <w:r>
              <w:t>For guidelines released prior to 2015:</w:t>
            </w:r>
          </w:p>
          <w:p w14:paraId="00590EB0" w14:textId="77777777" w:rsidR="00857B53" w:rsidRDefault="00857B53" w:rsidP="006823A8">
            <w:pPr>
              <w:ind w:left="0" w:firstLine="0"/>
            </w:pPr>
            <w:r w:rsidRPr="00DB17DF">
              <w:t xml:space="preserve">Class I recommendations refer to “Conditions for which there is evidence and/or general agreement that a given procedure or treatment is beneficial, useful, and effective.” </w:t>
            </w:r>
          </w:p>
          <w:p w14:paraId="73952A29" w14:textId="77777777" w:rsidR="00D25E6C" w:rsidRDefault="00D25E6C" w:rsidP="006823A8">
            <w:pPr>
              <w:ind w:left="0" w:firstLine="0"/>
            </w:pPr>
          </w:p>
          <w:p w14:paraId="3C7F57E3" w14:textId="77777777" w:rsidR="00D25E6C" w:rsidRDefault="00D25E6C" w:rsidP="00D25E6C">
            <w:pPr>
              <w:ind w:left="0" w:firstLine="0"/>
            </w:pPr>
            <w:r>
              <w:t>For guidelines released from 2015 forward:</w:t>
            </w:r>
          </w:p>
          <w:p w14:paraId="346BFD8E" w14:textId="6FF72D41" w:rsidR="00D25E6C" w:rsidRPr="00C0208A" w:rsidRDefault="00D25E6C" w:rsidP="006823A8">
            <w:pPr>
              <w:ind w:left="0" w:firstLine="0"/>
            </w:pPr>
            <w:r>
              <w:t xml:space="preserve">Class I recommendations </w:t>
            </w:r>
            <w:r w:rsidRPr="00D25E6C">
              <w:rPr>
                <w:rFonts w:eastAsia="Times New Roman"/>
              </w:rPr>
              <w:t>are “strong and indicate that the treatment, procedure, or intervention is useful and effective and should be performed or administered for most patients under most circumstances.”</w:t>
            </w:r>
          </w:p>
        </w:tc>
      </w:tr>
      <w:tr w:rsidR="00857B53" w:rsidRPr="00371E29" w14:paraId="304AF10C" w14:textId="77777777" w:rsidTr="006823A8">
        <w:tc>
          <w:tcPr>
            <w:tcW w:w="3927" w:type="dxa"/>
          </w:tcPr>
          <w:p w14:paraId="2CD94AD3" w14:textId="77777777" w:rsidR="00857B53" w:rsidRPr="00371E29" w:rsidRDefault="00857B53" w:rsidP="006823A8">
            <w:pPr>
              <w:ind w:left="0" w:firstLine="0"/>
              <w:rPr>
                <w:rFonts w:ascii="Calibri" w:hAnsi="Calibri" w:cs="Calibri"/>
              </w:rPr>
            </w:pPr>
            <w:r w:rsidRPr="00371E29">
              <w:rPr>
                <w:rFonts w:ascii="Calibri" w:hAnsi="Calibri" w:cs="Calibri"/>
              </w:rPr>
              <w:t>Provide all other grades and definitions from the recommendation grading system</w:t>
            </w:r>
          </w:p>
        </w:tc>
        <w:tc>
          <w:tcPr>
            <w:tcW w:w="5649" w:type="dxa"/>
          </w:tcPr>
          <w:p w14:paraId="1593B01D" w14:textId="77777777" w:rsidR="00D25E6C" w:rsidRDefault="00D25E6C" w:rsidP="00D25E6C">
            <w:pPr>
              <w:ind w:left="0" w:firstLine="0"/>
            </w:pPr>
            <w:r>
              <w:t>For guidelines released prior to 2015:</w:t>
            </w:r>
          </w:p>
          <w:p w14:paraId="27183EC5" w14:textId="77777777" w:rsidR="00857B53" w:rsidRDefault="00857B53" w:rsidP="006823A8">
            <w:pPr>
              <w:pStyle w:val="BodyText"/>
              <w:ind w:right="165"/>
            </w:pPr>
            <w:r>
              <w:t>ACCF/AHA guideline methodology categorizes indications as class I,II,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14:paraId="682CD54B" w14:textId="77777777" w:rsidR="00857B53" w:rsidRDefault="00857B53" w:rsidP="006823A8">
            <w:pPr>
              <w:pStyle w:val="BodyText"/>
              <w:spacing w:before="12"/>
              <w:rPr>
                <w:sz w:val="21"/>
              </w:rPr>
            </w:pPr>
          </w:p>
          <w:p w14:paraId="1AFF9443" w14:textId="77777777" w:rsidR="00857B53" w:rsidRDefault="00857B53" w:rsidP="006823A8">
            <w:pPr>
              <w:pStyle w:val="BodyText"/>
              <w:ind w:left="119"/>
            </w:pPr>
            <w:r>
              <w:rPr>
                <w:u w:val="single"/>
              </w:rPr>
              <w:t>Classification Types</w:t>
            </w:r>
          </w:p>
          <w:p w14:paraId="59E78509" w14:textId="77777777" w:rsidR="00857B53" w:rsidRDefault="00857B53" w:rsidP="006823A8">
            <w:pPr>
              <w:pStyle w:val="BodyText"/>
              <w:ind w:left="119" w:right="645"/>
            </w:pPr>
            <w:r>
              <w:t>Class I: Conditions for which there is evidence and/or general agreement that a given procedure or treatment is useful and effective.</w:t>
            </w:r>
          </w:p>
          <w:p w14:paraId="21E79B0A" w14:textId="77777777" w:rsidR="00857B53" w:rsidRDefault="00857B53" w:rsidP="006823A8">
            <w:pPr>
              <w:pStyle w:val="BodyText"/>
              <w:spacing w:before="10"/>
              <w:rPr>
                <w:sz w:val="21"/>
              </w:rPr>
            </w:pPr>
          </w:p>
          <w:p w14:paraId="4D339045" w14:textId="77777777" w:rsidR="00857B53" w:rsidRDefault="00857B53" w:rsidP="006823A8">
            <w:pPr>
              <w:pStyle w:val="BodyText"/>
              <w:ind w:left="119" w:right="608"/>
            </w:pPr>
            <w:r>
              <w:t>Class II: Conditions for which there is conflicting evidence and/or a divergence of opinion about the usefulness/efficacy of a procedure or treatment.</w:t>
            </w:r>
          </w:p>
          <w:p w14:paraId="4E328567" w14:textId="77777777" w:rsidR="00857B53" w:rsidRDefault="00857B53" w:rsidP="006823A8">
            <w:pPr>
              <w:pStyle w:val="ListParagraph"/>
              <w:widowControl w:val="0"/>
              <w:numPr>
                <w:ilvl w:val="1"/>
                <w:numId w:val="22"/>
              </w:numPr>
              <w:tabs>
                <w:tab w:val="left" w:pos="839"/>
                <w:tab w:val="left" w:pos="840"/>
              </w:tabs>
              <w:autoSpaceDE w:val="0"/>
              <w:autoSpaceDN w:val="0"/>
              <w:spacing w:after="0" w:line="240" w:lineRule="auto"/>
              <w:contextualSpacing w:val="0"/>
            </w:pPr>
            <w:r>
              <w:t>IIa: Weight of evidence/opinion is in favor of</w:t>
            </w:r>
            <w:r>
              <w:rPr>
                <w:spacing w:val="-28"/>
              </w:rPr>
              <w:t xml:space="preserve"> </w:t>
            </w:r>
            <w:r>
              <w:t>usefulness/efficacy</w:t>
            </w:r>
          </w:p>
          <w:p w14:paraId="03348E33" w14:textId="77777777" w:rsidR="00857B53" w:rsidRDefault="00857B53" w:rsidP="006823A8">
            <w:pPr>
              <w:pStyle w:val="ListParagraph"/>
              <w:widowControl w:val="0"/>
              <w:numPr>
                <w:ilvl w:val="1"/>
                <w:numId w:val="22"/>
              </w:numPr>
              <w:tabs>
                <w:tab w:val="left" w:pos="839"/>
                <w:tab w:val="left" w:pos="840"/>
              </w:tabs>
              <w:autoSpaceDE w:val="0"/>
              <w:autoSpaceDN w:val="0"/>
              <w:spacing w:before="2" w:after="0" w:line="240" w:lineRule="auto"/>
              <w:contextualSpacing w:val="0"/>
            </w:pPr>
            <w:r>
              <w:t>IIb: Usefulness/efficacy is less well established by</w:t>
            </w:r>
            <w:r>
              <w:rPr>
                <w:spacing w:val="-32"/>
              </w:rPr>
              <w:t xml:space="preserve"> </w:t>
            </w:r>
            <w:r>
              <w:t>evidence/opinion.</w:t>
            </w:r>
          </w:p>
          <w:p w14:paraId="123FDC79" w14:textId="77777777" w:rsidR="00857B53" w:rsidRDefault="00857B53" w:rsidP="006823A8">
            <w:pPr>
              <w:pStyle w:val="BodyText"/>
              <w:spacing w:before="196"/>
              <w:ind w:left="119" w:right="114"/>
            </w:pPr>
            <w:r>
              <w:t>Class III: Conditions for which there is evidence and/or general agreement that the procedure/treatment is not useful/effective e and in some cases may be harmful.</w:t>
            </w:r>
          </w:p>
          <w:p w14:paraId="36F9CC4D" w14:textId="77777777" w:rsidR="00857B53" w:rsidRDefault="00857B53" w:rsidP="006823A8">
            <w:pPr>
              <w:pStyle w:val="ListParagraph"/>
              <w:widowControl w:val="0"/>
              <w:numPr>
                <w:ilvl w:val="1"/>
                <w:numId w:val="22"/>
              </w:numPr>
              <w:tabs>
                <w:tab w:val="left" w:pos="839"/>
                <w:tab w:val="left" w:pos="840"/>
              </w:tabs>
              <w:autoSpaceDE w:val="0"/>
              <w:autoSpaceDN w:val="0"/>
              <w:spacing w:after="0" w:line="240" w:lineRule="auto"/>
              <w:contextualSpacing w:val="0"/>
            </w:pPr>
            <w:r>
              <w:t>No Benefit- Procedure/Test not helpful or</w:t>
            </w:r>
            <w:r>
              <w:rPr>
                <w:spacing w:val="-35"/>
              </w:rPr>
              <w:t xml:space="preserve"> </w:t>
            </w:r>
            <w:r>
              <w:t>Treatment w/o established proven benefit</w:t>
            </w:r>
          </w:p>
          <w:p w14:paraId="281F7540" w14:textId="77777777" w:rsidR="00857B53" w:rsidRDefault="00857B53" w:rsidP="006823A8">
            <w:pPr>
              <w:pStyle w:val="ListParagraph"/>
              <w:widowControl w:val="0"/>
              <w:numPr>
                <w:ilvl w:val="1"/>
                <w:numId w:val="22"/>
              </w:numPr>
              <w:tabs>
                <w:tab w:val="left" w:pos="839"/>
                <w:tab w:val="left" w:pos="840"/>
              </w:tabs>
              <w:autoSpaceDE w:val="0"/>
              <w:autoSpaceDN w:val="0"/>
              <w:spacing w:before="9" w:after="0" w:line="266" w:lineRule="exact"/>
              <w:ind w:right="802"/>
              <w:contextualSpacing w:val="0"/>
            </w:pPr>
            <w:r>
              <w:t>Harm- Procedure/Test leads to excess cost w/o benefit or is harmful, and or Treatment is harmful</w:t>
            </w:r>
          </w:p>
          <w:p w14:paraId="59E1D278" w14:textId="77777777" w:rsidR="00857B53" w:rsidRDefault="00857B53" w:rsidP="006823A8">
            <w:pPr>
              <w:pStyle w:val="BodyText"/>
              <w:spacing w:before="6"/>
            </w:pPr>
          </w:p>
          <w:p w14:paraId="020D0E14" w14:textId="379616EC" w:rsidR="00857B53" w:rsidRDefault="00857B53" w:rsidP="003B0DF2">
            <w:pPr>
              <w:pStyle w:val="BodyText"/>
              <w:spacing w:line="242" w:lineRule="auto"/>
              <w:ind w:left="120" w:right="165"/>
            </w:pPr>
            <w:r>
              <w:t>Additional detail regarding the classification of recommendation and level of evidence is provided in the following table.</w:t>
            </w:r>
          </w:p>
          <w:p w14:paraId="49E1B87B" w14:textId="77777777" w:rsidR="00857B53" w:rsidRDefault="00857B53" w:rsidP="006823A8">
            <w:pPr>
              <w:ind w:left="0" w:firstLine="0"/>
            </w:pPr>
          </w:p>
          <w:p w14:paraId="736F2EC2" w14:textId="77777777" w:rsidR="00857B53" w:rsidRDefault="00857B53" w:rsidP="006823A8">
            <w:pPr>
              <w:ind w:left="0" w:firstLine="0"/>
            </w:pPr>
            <w:r>
              <w:t>Table 1:</w:t>
            </w:r>
          </w:p>
          <w:p w14:paraId="0B61C4C9" w14:textId="77777777" w:rsidR="00857B53" w:rsidRDefault="00857B53" w:rsidP="006823A8">
            <w:pPr>
              <w:ind w:left="0" w:firstLine="0"/>
            </w:pPr>
            <w:r>
              <w:rPr>
                <w:noProof/>
                <w:sz w:val="20"/>
              </w:rPr>
              <w:drawing>
                <wp:inline distT="0" distB="0" distL="0" distR="0" wp14:anchorId="428497FE" wp14:editId="73C7BEAA">
                  <wp:extent cx="4675635" cy="3077047"/>
                  <wp:effectExtent l="0" t="0" r="0" b="0"/>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5" cstate="print"/>
                          <a:stretch>
                            <a:fillRect/>
                          </a:stretch>
                        </pic:blipFill>
                        <pic:spPr>
                          <a:xfrm>
                            <a:off x="0" y="0"/>
                            <a:ext cx="4677075" cy="3077995"/>
                          </a:xfrm>
                          <a:prstGeom prst="rect">
                            <a:avLst/>
                          </a:prstGeom>
                        </pic:spPr>
                      </pic:pic>
                    </a:graphicData>
                  </a:graphic>
                </wp:inline>
              </w:drawing>
            </w:r>
          </w:p>
          <w:p w14:paraId="7C5B8464" w14:textId="77777777" w:rsidR="00857B53" w:rsidRDefault="00857B53" w:rsidP="006823A8">
            <w:pPr>
              <w:rPr>
                <w:rFonts w:ascii="Calibri" w:hAnsi="Calibri" w:cs="Calibri"/>
              </w:rPr>
            </w:pPr>
          </w:p>
          <w:p w14:paraId="5DF2E3DE" w14:textId="77777777" w:rsidR="00D25E6C" w:rsidRDefault="00D25E6C" w:rsidP="00D25E6C">
            <w:pPr>
              <w:ind w:left="0" w:firstLine="0"/>
            </w:pPr>
            <w:r>
              <w:t>For guidelines released from 2015 forward:</w:t>
            </w:r>
          </w:p>
          <w:p w14:paraId="62A215CA" w14:textId="77777777" w:rsidR="0092398C" w:rsidRPr="00A8657F" w:rsidRDefault="0092398C" w:rsidP="00D25E6C">
            <w:pPr>
              <w:ind w:left="0" w:firstLine="0"/>
            </w:pPr>
          </w:p>
          <w:p w14:paraId="4A804ECE" w14:textId="77777777" w:rsidR="00A8657F" w:rsidRPr="00A8657F" w:rsidRDefault="0092398C" w:rsidP="00D25E6C">
            <w:pPr>
              <w:ind w:left="0" w:firstLine="0"/>
              <w:rPr>
                <w:rFonts w:eastAsia="Times New Roman"/>
              </w:rPr>
            </w:pPr>
            <w:r w:rsidRPr="00A8657F">
              <w:rPr>
                <w:rFonts w:eastAsia="Times New Roman"/>
              </w:rPr>
              <w:t xml:space="preserve">In 2015, the ACC and AHA updated Classes of Recommendation (COR) and Levels of Evidence (LOE) in an effort to align patient care with scientific evidence. </w:t>
            </w:r>
          </w:p>
          <w:p w14:paraId="64243811" w14:textId="77777777" w:rsidR="00A8657F" w:rsidRPr="00A8657F" w:rsidRDefault="00A8657F" w:rsidP="00D25E6C">
            <w:pPr>
              <w:ind w:left="0" w:firstLine="0"/>
              <w:rPr>
                <w:rFonts w:eastAsia="Times New Roman"/>
              </w:rPr>
            </w:pPr>
          </w:p>
          <w:p w14:paraId="7F2ABF18" w14:textId="06B696FF" w:rsidR="0092398C" w:rsidRPr="00A8657F" w:rsidRDefault="0092398C" w:rsidP="00D25E6C">
            <w:pPr>
              <w:ind w:left="0" w:firstLine="0"/>
              <w:rPr>
                <w:rFonts w:eastAsia="Times New Roman"/>
              </w:rPr>
            </w:pPr>
            <w:r w:rsidRPr="00A8657F">
              <w:rPr>
                <w:rFonts w:eastAsia="Times New Roman"/>
              </w:rPr>
              <w:t>The COR reflects the magnitude of benefit over risk and corresponds to the strength of the recommendation. Class I recommendations are strong and indicate that the treatment, procedure, or intervention is useful and effective and should be performed or administered for most patients under most circumstances. Class II recommendations are weaker, denoting a lower degree</w:t>
            </w:r>
            <w:r w:rsidR="00A8657F" w:rsidRPr="00A8657F">
              <w:rPr>
                <w:rFonts w:eastAsia="Times New Roman"/>
              </w:rPr>
              <w:t xml:space="preserve"> of benefit in proportion to risk. Benefit is generally greater</w:t>
            </w:r>
            <w:r w:rsidR="00A8657F">
              <w:rPr>
                <w:rFonts w:eastAsia="Times New Roman"/>
              </w:rPr>
              <w:t xml:space="preserve"> </w:t>
            </w:r>
            <w:r w:rsidR="00A8657F" w:rsidRPr="00A8657F">
              <w:rPr>
                <w:rFonts w:eastAsia="Times New Roman"/>
              </w:rPr>
              <w:t>for Class IIa (moderate) recommendations and smaller for</w:t>
            </w:r>
            <w:r w:rsidR="00A8657F">
              <w:rPr>
                <w:rFonts w:eastAsia="Times New Roman"/>
              </w:rPr>
              <w:t xml:space="preserve"> </w:t>
            </w:r>
            <w:r w:rsidR="00A8657F" w:rsidRPr="00A8657F">
              <w:rPr>
                <w:rFonts w:eastAsia="Times New Roman"/>
              </w:rPr>
              <w:t>Class IIb (weak) recommendations, for which benefit</w:t>
            </w:r>
            <w:r w:rsidR="00A8657F">
              <w:rPr>
                <w:rFonts w:eastAsia="Times New Roman"/>
              </w:rPr>
              <w:t xml:space="preserve"> </w:t>
            </w:r>
            <w:r w:rsidR="00A8657F" w:rsidRPr="00A8657F">
              <w:rPr>
                <w:rFonts w:eastAsia="Times New Roman"/>
              </w:rPr>
              <w:t>only</w:t>
            </w:r>
            <w:r w:rsidR="00A8657F">
              <w:rPr>
                <w:rFonts w:eastAsia="Times New Roman"/>
              </w:rPr>
              <w:t xml:space="preserve"> </w:t>
            </w:r>
            <w:r w:rsidR="00A8657F" w:rsidRPr="00A8657F">
              <w:rPr>
                <w:rFonts w:eastAsia="Times New Roman"/>
              </w:rPr>
              <w:t>marginally exceeds risk. A COR of IIb suggests that</w:t>
            </w:r>
            <w:r w:rsidR="00A8657F">
              <w:rPr>
                <w:rFonts w:eastAsia="Times New Roman"/>
              </w:rPr>
              <w:t xml:space="preserve"> </w:t>
            </w:r>
            <w:r w:rsidR="00A8657F" w:rsidRPr="00A8657F">
              <w:rPr>
                <w:rFonts w:eastAsia="Times New Roman"/>
              </w:rPr>
              <w:t>implementation should be selective and based on careful</w:t>
            </w:r>
            <w:r w:rsidR="00A8657F">
              <w:rPr>
                <w:rFonts w:eastAsia="Times New Roman"/>
              </w:rPr>
              <w:t xml:space="preserve"> </w:t>
            </w:r>
            <w:r w:rsidR="00A8657F" w:rsidRPr="00A8657F">
              <w:rPr>
                <w:rFonts w:eastAsia="Times New Roman"/>
              </w:rPr>
              <w:t>consideration of individual patient factors and, for invasive procedures, available expertise. Class III is assigned</w:t>
            </w:r>
            <w:r w:rsidR="00A8657F">
              <w:rPr>
                <w:rFonts w:eastAsia="Times New Roman"/>
              </w:rPr>
              <w:t xml:space="preserve"> </w:t>
            </w:r>
            <w:r w:rsidR="00A8657F" w:rsidRPr="00A8657F">
              <w:rPr>
                <w:rFonts w:eastAsia="Times New Roman"/>
              </w:rPr>
              <w:t>when actions are specifically not recommended, either</w:t>
            </w:r>
            <w:r w:rsidR="00A8657F">
              <w:rPr>
                <w:rFonts w:eastAsia="Times New Roman"/>
              </w:rPr>
              <w:t xml:space="preserve"> </w:t>
            </w:r>
            <w:r w:rsidR="00A8657F" w:rsidRPr="00A8657F">
              <w:rPr>
                <w:rFonts w:eastAsia="Times New Roman"/>
              </w:rPr>
              <w:t>because studies have found no evidence of benefit</w:t>
            </w:r>
            <w:r w:rsidR="00A8657F">
              <w:rPr>
                <w:rFonts w:eastAsia="Times New Roman"/>
              </w:rPr>
              <w:t xml:space="preserve"> </w:t>
            </w:r>
            <w:r w:rsidR="00A8657F" w:rsidRPr="00A8657F">
              <w:rPr>
                <w:rFonts w:eastAsia="Times New Roman"/>
              </w:rPr>
              <w:t>or</w:t>
            </w:r>
            <w:r w:rsidR="00A8657F">
              <w:rPr>
                <w:rFonts w:eastAsia="Times New Roman"/>
              </w:rPr>
              <w:t xml:space="preserve"> </w:t>
            </w:r>
            <w:r w:rsidR="00A8657F" w:rsidRPr="00A8657F">
              <w:rPr>
                <w:rFonts w:eastAsia="Times New Roman"/>
              </w:rPr>
              <w:t>because the intervention causes harm.</w:t>
            </w:r>
          </w:p>
          <w:p w14:paraId="26911D19" w14:textId="77777777" w:rsidR="0026275F" w:rsidRDefault="0026275F" w:rsidP="0026275F">
            <w:pPr>
              <w:pStyle w:val="BodyText"/>
              <w:spacing w:line="242" w:lineRule="auto"/>
              <w:ind w:right="165"/>
            </w:pPr>
          </w:p>
          <w:p w14:paraId="70A6350D" w14:textId="14D553A7" w:rsidR="00EF3663" w:rsidRDefault="00EF3663" w:rsidP="0026275F">
            <w:pPr>
              <w:pStyle w:val="BodyText"/>
              <w:spacing w:line="242" w:lineRule="auto"/>
              <w:ind w:right="165"/>
            </w:pPr>
            <w:r>
              <w:t>Additional detail regarding the COR and LOE is provided in the following table.</w:t>
            </w:r>
          </w:p>
          <w:p w14:paraId="28160AFF" w14:textId="77777777" w:rsidR="0026275F" w:rsidRPr="00EF3663" w:rsidRDefault="0026275F" w:rsidP="0026275F">
            <w:pPr>
              <w:pStyle w:val="BodyText"/>
              <w:spacing w:line="242" w:lineRule="auto"/>
              <w:ind w:right="165"/>
            </w:pPr>
          </w:p>
          <w:p w14:paraId="74F52A1D" w14:textId="70B093FA" w:rsidR="00D25E6C" w:rsidRDefault="0026275F" w:rsidP="006823A8">
            <w:pPr>
              <w:rPr>
                <w:rFonts w:ascii="Calibri" w:hAnsi="Calibri" w:cs="Calibri"/>
              </w:rPr>
            </w:pPr>
            <w:r>
              <w:rPr>
                <w:rFonts w:ascii="Calibri" w:hAnsi="Calibri" w:cs="Calibri"/>
              </w:rPr>
              <w:t>Table 2:</w:t>
            </w:r>
          </w:p>
          <w:p w14:paraId="40C713AF" w14:textId="5CBC4BCB" w:rsidR="004271D6" w:rsidRPr="00E41116" w:rsidRDefault="00613211" w:rsidP="006823A8">
            <w:pPr>
              <w:rPr>
                <w:rFonts w:ascii="Calibri" w:hAnsi="Calibri" w:cs="Calibri"/>
              </w:rPr>
            </w:pPr>
            <w:r>
              <w:rPr>
                <w:noProof/>
              </w:rPr>
              <w:drawing>
                <wp:inline distT="0" distB="0" distL="0" distR="0" wp14:anchorId="3EB4937F" wp14:editId="308B466E">
                  <wp:extent cx="4814820" cy="4974167"/>
                  <wp:effectExtent l="0" t="0" r="1143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r="2775"/>
                          <a:stretch/>
                        </pic:blipFill>
                        <pic:spPr bwMode="auto">
                          <a:xfrm>
                            <a:off x="0" y="0"/>
                            <a:ext cx="4815299" cy="497466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857B53" w:rsidRPr="00371E29" w14:paraId="7BB8DE95" w14:textId="77777777" w:rsidTr="006823A8">
        <w:tc>
          <w:tcPr>
            <w:tcW w:w="3927" w:type="dxa"/>
          </w:tcPr>
          <w:p w14:paraId="460E3658" w14:textId="77777777" w:rsidR="00857B53" w:rsidRPr="00371E29" w:rsidRDefault="00857B53" w:rsidP="006823A8">
            <w:pPr>
              <w:ind w:left="0" w:firstLine="0"/>
              <w:rPr>
                <w:rFonts w:ascii="Calibri" w:hAnsi="Calibri" w:cs="Calibri"/>
              </w:rPr>
            </w:pPr>
            <w:r w:rsidRPr="00371E29">
              <w:rPr>
                <w:rFonts w:ascii="Calibri" w:hAnsi="Calibri" w:cs="Calibri"/>
              </w:rPr>
              <w:t>Body of evidence:</w:t>
            </w:r>
          </w:p>
          <w:p w14:paraId="2A47B7C5" w14:textId="77777777" w:rsidR="00857B53" w:rsidRPr="00371E29" w:rsidRDefault="00857B53" w:rsidP="006823A8">
            <w:pPr>
              <w:pStyle w:val="ListParagraph"/>
              <w:numPr>
                <w:ilvl w:val="0"/>
                <w:numId w:val="10"/>
              </w:numPr>
              <w:rPr>
                <w:rFonts w:ascii="Calibri" w:hAnsi="Calibri" w:cs="Calibri"/>
              </w:rPr>
            </w:pPr>
            <w:r w:rsidRPr="00371E29">
              <w:rPr>
                <w:rFonts w:ascii="Calibri" w:hAnsi="Calibri" w:cs="Calibri"/>
              </w:rPr>
              <w:t>Quantity – how many studies?</w:t>
            </w:r>
          </w:p>
          <w:p w14:paraId="1C61C654" w14:textId="77777777" w:rsidR="00857B53" w:rsidRPr="00371E29" w:rsidRDefault="00857B53" w:rsidP="006823A8">
            <w:pPr>
              <w:pStyle w:val="ListParagraph"/>
              <w:numPr>
                <w:ilvl w:val="0"/>
                <w:numId w:val="10"/>
              </w:numPr>
              <w:spacing w:after="0" w:line="240" w:lineRule="auto"/>
              <w:rPr>
                <w:rFonts w:ascii="Calibri" w:hAnsi="Calibri" w:cs="Calibri"/>
              </w:rPr>
            </w:pPr>
            <w:r w:rsidRPr="00371E29">
              <w:rPr>
                <w:rFonts w:ascii="Calibri" w:hAnsi="Calibri" w:cs="Calibri"/>
              </w:rPr>
              <w:t>Quality – what type of studies?</w:t>
            </w:r>
          </w:p>
        </w:tc>
        <w:tc>
          <w:tcPr>
            <w:tcW w:w="5649" w:type="dxa"/>
          </w:tcPr>
          <w:p w14:paraId="21C2BC40" w14:textId="21A51071" w:rsidR="00AA7AEB" w:rsidRDefault="00AA7AEB" w:rsidP="00AA7AEB">
            <w:pPr>
              <w:ind w:left="0" w:firstLine="0"/>
            </w:pPr>
            <w:r>
              <w:t xml:space="preserve">All but one of the recommendations for this process is rated as Level of Evidence A or B, meaning that the data was derived from one or more RCTs or meta-analyses.  Additional information on the overall quality of evidence across the RCTs is not provided; although, two of the cited guidelines discuss the evidence supporting the use of beta blockers in this population, which is provided below. </w:t>
            </w:r>
          </w:p>
          <w:p w14:paraId="71EE4852" w14:textId="77777777" w:rsidR="0016441B" w:rsidRDefault="0016441B" w:rsidP="0016441B">
            <w:pPr>
              <w:pStyle w:val="BodyText"/>
              <w:ind w:right="212"/>
            </w:pPr>
          </w:p>
          <w:p w14:paraId="4A3F5065" w14:textId="77777777" w:rsidR="0079268B" w:rsidRDefault="0079268B" w:rsidP="0079268B">
            <w:pPr>
              <w:ind w:left="0" w:firstLine="0"/>
              <w:rPr>
                <w:rFonts w:cs="Times"/>
              </w:rPr>
            </w:pPr>
            <w:r w:rsidRPr="00E2579B">
              <w:rPr>
                <w:rFonts w:cs="Times"/>
              </w:rPr>
              <w:t>2013 ACCF/AHA Guideline for the Management of Heart Failure (p. e169-170, 176, 195)</w:t>
            </w:r>
          </w:p>
          <w:p w14:paraId="4EBA01E7" w14:textId="56D2410A" w:rsidR="00B46330" w:rsidRPr="00B46330" w:rsidRDefault="00B46330" w:rsidP="00B46330">
            <w:pPr>
              <w:ind w:left="278" w:firstLine="0"/>
            </w:pPr>
            <w:r w:rsidRPr="007F20FA">
              <w:t xml:space="preserve">The body of evidence supporting the recommendations on </w:t>
            </w:r>
            <w:r>
              <w:t xml:space="preserve">beta-blocker therapy for patients with LVSD in this guideline includes 7 </w:t>
            </w:r>
            <w:r w:rsidRPr="007F20FA">
              <w:t>randomized controlled trials</w:t>
            </w:r>
            <w:r>
              <w:t>.</w:t>
            </w:r>
          </w:p>
          <w:p w14:paraId="194D9195" w14:textId="77777777" w:rsidR="0055542D" w:rsidRDefault="0055542D" w:rsidP="0055542D">
            <w:pPr>
              <w:widowControl w:val="0"/>
              <w:autoSpaceDE w:val="0"/>
              <w:autoSpaceDN w:val="0"/>
              <w:adjustRightInd w:val="0"/>
              <w:ind w:left="274" w:firstLine="0"/>
              <w:rPr>
                <w:rFonts w:cs="Times"/>
                <w:szCs w:val="24"/>
              </w:rPr>
            </w:pPr>
          </w:p>
          <w:p w14:paraId="41D4EA13" w14:textId="3DC05178" w:rsidR="0055542D" w:rsidRPr="0055542D" w:rsidRDefault="0055542D" w:rsidP="0055542D">
            <w:pPr>
              <w:widowControl w:val="0"/>
              <w:autoSpaceDE w:val="0"/>
              <w:autoSpaceDN w:val="0"/>
              <w:adjustRightInd w:val="0"/>
              <w:ind w:left="274" w:firstLine="0"/>
              <w:rPr>
                <w:rFonts w:cs="Times"/>
                <w:szCs w:val="24"/>
              </w:rPr>
            </w:pPr>
            <w:r w:rsidRPr="00F81332">
              <w:rPr>
                <w:rFonts w:cs="Times"/>
                <w:szCs w:val="24"/>
              </w:rPr>
              <w:t xml:space="preserve">p. e170: </w:t>
            </w:r>
          </w:p>
          <w:p w14:paraId="5CA743EB" w14:textId="399A9E62" w:rsidR="0055542D" w:rsidRDefault="0055542D" w:rsidP="0055542D">
            <w:pPr>
              <w:widowControl w:val="0"/>
              <w:autoSpaceDE w:val="0"/>
              <w:autoSpaceDN w:val="0"/>
              <w:adjustRightInd w:val="0"/>
              <w:spacing w:after="240"/>
              <w:ind w:left="278" w:firstLine="0"/>
              <w:rPr>
                <w:rFonts w:cs="Times"/>
                <w:szCs w:val="24"/>
              </w:rPr>
            </w:pPr>
            <w:r w:rsidRPr="00F81332">
              <w:rPr>
                <w:rFonts w:cs="Times"/>
                <w:szCs w:val="24"/>
              </w:rPr>
              <w:t>CAD is a major risk factor for the development of HF and a key target for prevention of HF. The 5-year risk of developing HF after acute MI is 7% and 12% for men and women, respectively; for men and women between the ages of 40 and 69 and those &gt;70 years of age, the risk is 22% and 25%, respectively</w:t>
            </w:r>
            <w:r w:rsidR="006823A8">
              <w:rPr>
                <w:rFonts w:cs="Times"/>
                <w:szCs w:val="24"/>
              </w:rPr>
              <w:t xml:space="preserve"> (51)</w:t>
            </w:r>
            <w:r w:rsidRPr="00F81332">
              <w:rPr>
                <w:rFonts w:cs="Times"/>
                <w:szCs w:val="24"/>
              </w:rPr>
              <w:t>. Current evidence supports the use of ACE inhibitors and (to a lower level of evidence) beta-blocker therapy to impede maladaptive LV remodeling in patients with stage B HF and low LVEF to improve mortality and morbidity</w:t>
            </w:r>
            <w:r w:rsidR="00D919D2">
              <w:rPr>
                <w:rFonts w:cs="Times"/>
                <w:szCs w:val="24"/>
              </w:rPr>
              <w:t xml:space="preserve"> (344)</w:t>
            </w:r>
            <w:r w:rsidRPr="00F81332">
              <w:rPr>
                <w:rFonts w:cs="Times"/>
                <w:szCs w:val="24"/>
              </w:rPr>
              <w:t xml:space="preserve">. </w:t>
            </w:r>
          </w:p>
          <w:p w14:paraId="17E57A1F" w14:textId="5F003765" w:rsidR="0055542D" w:rsidRDefault="0055542D" w:rsidP="0055542D">
            <w:pPr>
              <w:widowControl w:val="0"/>
              <w:autoSpaceDE w:val="0"/>
              <w:autoSpaceDN w:val="0"/>
              <w:adjustRightInd w:val="0"/>
              <w:spacing w:after="240"/>
              <w:ind w:left="278" w:firstLine="0"/>
              <w:rPr>
                <w:rFonts w:cs="Times"/>
                <w:szCs w:val="24"/>
              </w:rPr>
            </w:pPr>
            <w:r w:rsidRPr="00F81332">
              <w:rPr>
                <w:rFonts w:cs="Times"/>
                <w:szCs w:val="24"/>
              </w:rPr>
              <w:t>In 1 study, losartan reduced adverse outcomes in a population with hypertension</w:t>
            </w:r>
            <w:r w:rsidR="00D919D2">
              <w:rPr>
                <w:rFonts w:cs="Times"/>
                <w:szCs w:val="24"/>
              </w:rPr>
              <w:t xml:space="preserve"> (357)</w:t>
            </w:r>
            <w:r w:rsidRPr="00F81332">
              <w:rPr>
                <w:rFonts w:cs="Times"/>
                <w:szCs w:val="24"/>
              </w:rPr>
              <w:t>, and in another study of patients post-MI with low LVEF, valsartan was equivalent to captopril</w:t>
            </w:r>
            <w:r w:rsidR="00D919D2">
              <w:rPr>
                <w:rFonts w:cs="Times"/>
                <w:szCs w:val="24"/>
              </w:rPr>
              <w:t xml:space="preserve"> (345)</w:t>
            </w:r>
            <w:r w:rsidRPr="00F81332">
              <w:rPr>
                <w:rFonts w:cs="Times"/>
                <w:szCs w:val="24"/>
              </w:rPr>
              <w:t xml:space="preserve">. Data with beta blockers are less convincing in a population with known CAD, although in 1 </w:t>
            </w:r>
            <w:r w:rsidRPr="00D919D2">
              <w:rPr>
                <w:rFonts w:cs="Times"/>
                <w:szCs w:val="24"/>
              </w:rPr>
              <w:t xml:space="preserve">trial </w:t>
            </w:r>
            <w:r w:rsidR="00D919D2" w:rsidRPr="00D919D2">
              <w:rPr>
                <w:rFonts w:cs="Times"/>
                <w:szCs w:val="24"/>
              </w:rPr>
              <w:t>(346)</w:t>
            </w:r>
            <w:r w:rsidR="00D919D2">
              <w:rPr>
                <w:rFonts w:cs="Times"/>
                <w:color w:val="2085C8"/>
                <w:szCs w:val="24"/>
              </w:rPr>
              <w:t xml:space="preserve"> </w:t>
            </w:r>
            <w:r w:rsidRPr="00F81332">
              <w:rPr>
                <w:rFonts w:cs="Times"/>
                <w:szCs w:val="24"/>
              </w:rPr>
              <w:t xml:space="preserve">carvedilol therapy in patients with stage B and low LVEF was associated with a 31% relative risk reduction in adverse long-term outcomes. In patients with previously established structural heart disease, the administration of agents known to have negative inotropic properties such as non-dihydropyridine calcium channel blockers and certain antiarrhythmics should be avoided.  </w:t>
            </w:r>
          </w:p>
          <w:p w14:paraId="598AB261" w14:textId="77777777" w:rsidR="0055542D" w:rsidRPr="00071CD9" w:rsidRDefault="0055542D" w:rsidP="0055542D">
            <w:pPr>
              <w:widowControl w:val="0"/>
              <w:autoSpaceDE w:val="0"/>
              <w:autoSpaceDN w:val="0"/>
              <w:adjustRightInd w:val="0"/>
              <w:spacing w:after="240"/>
              <w:ind w:left="278" w:firstLine="0"/>
              <w:rPr>
                <w:rFonts w:cs="Times"/>
              </w:rPr>
            </w:pPr>
            <w:r w:rsidRPr="00071CD9">
              <w:rPr>
                <w:rFonts w:cs="Times"/>
              </w:rPr>
              <w:t>p. e176:</w:t>
            </w:r>
          </w:p>
          <w:p w14:paraId="3B23AE7B" w14:textId="68D81BC5" w:rsidR="002C7B48" w:rsidRPr="00E2579B" w:rsidRDefault="0055542D" w:rsidP="0055542D">
            <w:pPr>
              <w:widowControl w:val="0"/>
              <w:autoSpaceDE w:val="0"/>
              <w:autoSpaceDN w:val="0"/>
              <w:adjustRightInd w:val="0"/>
              <w:spacing w:after="240"/>
              <w:ind w:left="278" w:firstLine="0"/>
              <w:rPr>
                <w:rFonts w:cs="Times"/>
              </w:rPr>
            </w:pPr>
            <w:r w:rsidRPr="00071CD9">
              <w:rPr>
                <w:rFonts w:cs="Times"/>
              </w:rPr>
              <w:t>Three beta blockers have been shown to be effective in reducing the risk of death in patients with chronic HFrEF: bisoprolol and sustained-release metoprolol (succinate), which selectively block beta-1–receptors; and carvedilol, which blocks alpha-1–, beta-1–, and beta-2–receptors. Positive findings with these 3 agents, however, should not be considered a beta-blocker class effect. Bucindolol lacked uniform effectiveness across different populations, and short-acting metoprolol tartrate was less effective in HF clinical trials. Beta-1 selective blocker nebivolol demonstrated a modest reduction in the primary endpoint of all-cause mortality or cardiovascular hospitalization but did not affect mortality alone in an elderly population that included patients with HFpEF</w:t>
            </w:r>
            <w:r w:rsidR="00D919D2">
              <w:rPr>
                <w:rFonts w:cs="Times"/>
              </w:rPr>
              <w:t xml:space="preserve"> (472)</w:t>
            </w:r>
            <w:r w:rsidRPr="00071CD9">
              <w:rPr>
                <w:rFonts w:cs="Times"/>
              </w:rPr>
              <w:t xml:space="preserve">. </w:t>
            </w:r>
          </w:p>
          <w:p w14:paraId="7B688EDA" w14:textId="74680A3B" w:rsidR="0079268B" w:rsidRPr="0079268B" w:rsidRDefault="0079268B" w:rsidP="003B0DF2">
            <w:pPr>
              <w:widowControl w:val="0"/>
              <w:tabs>
                <w:tab w:val="left" w:pos="0"/>
                <w:tab w:val="left" w:pos="720"/>
              </w:tabs>
              <w:autoSpaceDE w:val="0"/>
              <w:autoSpaceDN w:val="0"/>
              <w:adjustRightInd w:val="0"/>
              <w:spacing w:after="186"/>
              <w:ind w:left="0" w:firstLine="0"/>
              <w:rPr>
                <w:rFonts w:cs="Times"/>
                <w:color w:val="FF0000"/>
              </w:rPr>
            </w:pPr>
            <w:r w:rsidRPr="003C6AAA">
              <w:rPr>
                <w:rFonts w:cs="Times Roman"/>
                <w:color w:val="FF0000"/>
              </w:rPr>
              <w:t>2017 AHA/ACC/HRS guideline for management of patients with ventricular arrhythmias and the prevention of sudden cardiac death (p. e116):</w:t>
            </w:r>
          </w:p>
          <w:p w14:paraId="468BC95D" w14:textId="01A00DE4" w:rsidR="00857B53" w:rsidRPr="00EA5D85" w:rsidRDefault="0079268B" w:rsidP="00EA5D85">
            <w:pPr>
              <w:widowControl w:val="0"/>
              <w:autoSpaceDE w:val="0"/>
              <w:autoSpaceDN w:val="0"/>
              <w:adjustRightInd w:val="0"/>
              <w:spacing w:after="240" w:line="260" w:lineRule="atLeast"/>
              <w:ind w:left="368" w:firstLine="0"/>
              <w:rPr>
                <w:rFonts w:cs="Times Roman"/>
                <w:color w:val="FF0000"/>
              </w:rPr>
            </w:pPr>
            <w:r w:rsidRPr="0079268B">
              <w:rPr>
                <w:rFonts w:cs="Times Roman"/>
                <w:color w:val="FF0000"/>
              </w:rPr>
              <w:t>RCTs in patients with HFrEF have consistently demonstrated that chronic</w:t>
            </w:r>
            <w:r>
              <w:rPr>
                <w:rFonts w:cs="Times Roman"/>
                <w:color w:val="FF0000"/>
              </w:rPr>
              <w:t xml:space="preserve"> therapy with beta blockers re</w:t>
            </w:r>
            <w:r w:rsidRPr="0079268B">
              <w:rPr>
                <w:rFonts w:cs="Times Roman"/>
                <w:color w:val="FF0000"/>
              </w:rPr>
              <w:t>duces all-cause mortality, VA, and SCD (S5.2-2,S5.2-4, S5.2-5,S5.2-9). Three beta blo</w:t>
            </w:r>
            <w:r>
              <w:rPr>
                <w:rFonts w:cs="Times Roman"/>
                <w:color w:val="FF0000"/>
              </w:rPr>
              <w:t>ckers (i.e., bisoprolol, carve</w:t>
            </w:r>
            <w:r w:rsidRPr="0079268B">
              <w:rPr>
                <w:rFonts w:cs="Times Roman"/>
                <w:color w:val="FF0000"/>
              </w:rPr>
              <w:t>dilol, sustained-release metoprolol succinate) have been proven to reduce mortality in patients with current or prior symptoms of HFrEF</w:t>
            </w:r>
            <w:r>
              <w:rPr>
                <w:rFonts w:cs="Times Roman"/>
                <w:color w:val="FF0000"/>
              </w:rPr>
              <w:t xml:space="preserve"> without beta-blocker contrain</w:t>
            </w:r>
            <w:r w:rsidR="00EA5D85">
              <w:rPr>
                <w:rFonts w:cs="Times Roman"/>
                <w:color w:val="FF0000"/>
              </w:rPr>
              <w:t>dications.</w:t>
            </w:r>
          </w:p>
        </w:tc>
      </w:tr>
      <w:tr w:rsidR="00857B53" w:rsidRPr="00371E29" w14:paraId="1373DAC2" w14:textId="77777777" w:rsidTr="006823A8">
        <w:tc>
          <w:tcPr>
            <w:tcW w:w="3927" w:type="dxa"/>
          </w:tcPr>
          <w:p w14:paraId="7E3FE63F" w14:textId="77777777" w:rsidR="00857B53" w:rsidRPr="00371E29" w:rsidRDefault="00857B53" w:rsidP="006823A8">
            <w:pPr>
              <w:ind w:left="0" w:firstLine="0"/>
              <w:rPr>
                <w:rFonts w:ascii="Calibri" w:hAnsi="Calibri" w:cs="Calibri"/>
              </w:rPr>
            </w:pPr>
            <w:r w:rsidRPr="00371E29">
              <w:rPr>
                <w:rFonts w:ascii="Calibri" w:hAnsi="Calibri" w:cs="Calibri"/>
              </w:rPr>
              <w:t xml:space="preserve">Estimates of benefit and consistency across studies </w:t>
            </w:r>
          </w:p>
        </w:tc>
        <w:tc>
          <w:tcPr>
            <w:tcW w:w="5649" w:type="dxa"/>
          </w:tcPr>
          <w:p w14:paraId="74710348" w14:textId="77777777" w:rsidR="00857B53" w:rsidRDefault="00857B53" w:rsidP="006823A8">
            <w:pPr>
              <w:pStyle w:val="BodyText"/>
              <w:ind w:left="119"/>
            </w:pPr>
            <w:r>
              <w:t>Estimates of the benefit of beta blocker therapy across the body of evidence are not reported.</w:t>
            </w:r>
          </w:p>
          <w:p w14:paraId="2E97DFDD" w14:textId="77777777" w:rsidR="00857B53" w:rsidRPr="00371E29" w:rsidRDefault="00857B53" w:rsidP="006823A8">
            <w:pPr>
              <w:spacing w:before="120"/>
              <w:ind w:left="0" w:firstLine="0"/>
              <w:rPr>
                <w:rFonts w:ascii="Calibri" w:hAnsi="Calibri" w:cs="Calibri"/>
              </w:rPr>
            </w:pPr>
          </w:p>
        </w:tc>
      </w:tr>
      <w:tr w:rsidR="00857B53" w:rsidRPr="00371E29" w14:paraId="3E3ACBA1" w14:textId="77777777" w:rsidTr="006823A8">
        <w:tc>
          <w:tcPr>
            <w:tcW w:w="3927" w:type="dxa"/>
          </w:tcPr>
          <w:p w14:paraId="5E9C042A" w14:textId="77777777" w:rsidR="00857B53" w:rsidRPr="00371E29" w:rsidRDefault="00857B53" w:rsidP="006823A8">
            <w:pPr>
              <w:ind w:left="0" w:firstLine="0"/>
              <w:rPr>
                <w:rFonts w:ascii="Calibri" w:hAnsi="Calibri" w:cs="Calibri"/>
              </w:rPr>
            </w:pPr>
            <w:r w:rsidRPr="00371E29">
              <w:rPr>
                <w:rFonts w:ascii="Calibri" w:hAnsi="Calibri" w:cs="Calibri"/>
              </w:rPr>
              <w:t>What harms were identified?</w:t>
            </w:r>
          </w:p>
        </w:tc>
        <w:tc>
          <w:tcPr>
            <w:tcW w:w="5649" w:type="dxa"/>
          </w:tcPr>
          <w:p w14:paraId="2258A83C" w14:textId="77777777" w:rsidR="00857B53" w:rsidRPr="00371E29" w:rsidRDefault="00857B53" w:rsidP="006823A8">
            <w:pPr>
              <w:ind w:left="0" w:firstLine="0"/>
              <w:rPr>
                <w:rFonts w:ascii="Calibri" w:hAnsi="Calibri" w:cs="Calibri"/>
              </w:rPr>
            </w:pPr>
            <w:r>
              <w:rPr>
                <w:rFonts w:ascii="Calibri" w:hAnsi="Calibri" w:cs="Calibri"/>
              </w:rPr>
              <w:t>NA</w:t>
            </w:r>
          </w:p>
        </w:tc>
      </w:tr>
      <w:tr w:rsidR="00857B53" w:rsidRPr="00371E29" w14:paraId="12CC4BCC" w14:textId="77777777" w:rsidTr="006823A8">
        <w:tc>
          <w:tcPr>
            <w:tcW w:w="3927" w:type="dxa"/>
          </w:tcPr>
          <w:p w14:paraId="70A2C46A" w14:textId="77777777" w:rsidR="00857B53" w:rsidRPr="00371E29" w:rsidRDefault="00857B53" w:rsidP="006823A8">
            <w:pPr>
              <w:ind w:left="0" w:firstLine="0"/>
              <w:rPr>
                <w:rFonts w:ascii="Calibri" w:hAnsi="Calibri" w:cs="Calibri"/>
              </w:rPr>
            </w:pPr>
            <w:r w:rsidRPr="00371E29">
              <w:rPr>
                <w:rFonts w:ascii="Calibri" w:hAnsi="Calibri" w:cs="Calibri"/>
              </w:rPr>
              <w:t>Identify any new studies conducted since the SR. Do the new studies change the conclusions from the SR?</w:t>
            </w:r>
          </w:p>
        </w:tc>
        <w:tc>
          <w:tcPr>
            <w:tcW w:w="5649" w:type="dxa"/>
          </w:tcPr>
          <w:p w14:paraId="2F560A0C" w14:textId="77777777" w:rsidR="00857B53" w:rsidRPr="00371E29" w:rsidRDefault="00857B53" w:rsidP="006823A8">
            <w:pPr>
              <w:ind w:left="0" w:firstLine="0"/>
              <w:rPr>
                <w:rFonts w:ascii="Calibri" w:hAnsi="Calibri" w:cs="Calibri"/>
              </w:rPr>
            </w:pPr>
            <w:r>
              <w:t>Updated guidelines continue to support this measure.</w:t>
            </w:r>
          </w:p>
        </w:tc>
      </w:tr>
    </w:tbl>
    <w:p w14:paraId="0B088121" w14:textId="77777777" w:rsidR="00BA32C5" w:rsidRDefault="00BA32C5" w:rsidP="002E2177">
      <w:pPr>
        <w:ind w:left="0" w:firstLine="0"/>
      </w:pPr>
    </w:p>
    <w:p w14:paraId="43594443" w14:textId="4D85BA7C" w:rsidR="0005334F" w:rsidRPr="003B1CC5" w:rsidRDefault="0005334F" w:rsidP="0005334F">
      <w:pPr>
        <w:ind w:left="0" w:firstLine="0"/>
        <w:rPr>
          <w:b/>
          <w:color w:val="0070C0"/>
        </w:rPr>
      </w:pPr>
      <w:r w:rsidRPr="003B1CC5">
        <w:rPr>
          <w:b/>
          <w:iCs/>
          <w:caps/>
        </w:rPr>
        <w:t>________________________</w:t>
      </w:r>
    </w:p>
    <w:p w14:paraId="529C8752" w14:textId="77777777" w:rsidR="0005334F" w:rsidRPr="003B1CC5" w:rsidRDefault="0005334F" w:rsidP="0005334F">
      <w:pPr>
        <w:ind w:left="0" w:firstLine="0"/>
        <w:rPr>
          <w:b/>
        </w:rPr>
      </w:pPr>
      <w:r>
        <w:rPr>
          <w:b/>
          <w:color w:val="0000FF"/>
        </w:rPr>
        <w:t>1a.4</w:t>
      </w:r>
      <w:r w:rsidRPr="003B1CC5">
        <w:rPr>
          <w:b/>
          <w:color w:val="0000FF"/>
        </w:rPr>
        <w:t xml:space="preserve"> </w:t>
      </w:r>
      <w:r w:rsidRPr="003B1CC5">
        <w:rPr>
          <w:b/>
        </w:rPr>
        <w:t>OTHER SOURCE OF EVIDENCE</w:t>
      </w:r>
    </w:p>
    <w:p w14:paraId="5A002B7B" w14:textId="77777777" w:rsidR="0005334F" w:rsidRPr="003B1CC5" w:rsidRDefault="0005334F" w:rsidP="0005334F">
      <w:pPr>
        <w:ind w:left="0" w:firstLine="0"/>
        <w:rPr>
          <w:i/>
        </w:rPr>
      </w:pPr>
      <w:r w:rsidRPr="003B1CC5">
        <w:rPr>
          <w:i/>
        </w:rPr>
        <w:t>If source of evidence is NOT from a clinical practice guideline, USPSTF, or systematic review, please describe the evidence on which you are basing the performance measure.</w:t>
      </w:r>
    </w:p>
    <w:p w14:paraId="5390ED97" w14:textId="77777777" w:rsidR="0005334F" w:rsidRPr="003B1CC5" w:rsidRDefault="0005334F" w:rsidP="0005334F">
      <w:pPr>
        <w:ind w:left="0" w:firstLine="0"/>
      </w:pPr>
    </w:p>
    <w:p w14:paraId="79F7A6DF" w14:textId="77777777" w:rsidR="0005334F" w:rsidRPr="000E5C93" w:rsidRDefault="0005334F" w:rsidP="0005334F">
      <w:pPr>
        <w:ind w:left="0" w:firstLine="0"/>
        <w:rPr>
          <w:color w:val="0070C0"/>
        </w:rPr>
      </w:pPr>
      <w:r>
        <w:rPr>
          <w:b/>
          <w:color w:val="0000FF"/>
        </w:rPr>
        <w:t>1a.4</w:t>
      </w:r>
      <w:r w:rsidRPr="003B1CC5">
        <w:rPr>
          <w:b/>
          <w:color w:val="0000FF"/>
        </w:rPr>
        <w:t>.1</w:t>
      </w:r>
      <w:r w:rsidRPr="003B1CC5">
        <w:rPr>
          <w:color w:val="0070C0"/>
        </w:rPr>
        <w:t xml:space="preserve"> </w:t>
      </w:r>
      <w:r w:rsidRPr="000E5C93">
        <w:rPr>
          <w:b/>
        </w:rPr>
        <w:t>B</w:t>
      </w:r>
      <w:r>
        <w:rPr>
          <w:b/>
        </w:rPr>
        <w:t>riefly SYNTHESIZE</w:t>
      </w:r>
      <w:r w:rsidRPr="000E5C93">
        <w:rPr>
          <w:b/>
        </w:rPr>
        <w:t xml:space="preserve"> </w:t>
      </w:r>
      <w:r>
        <w:rPr>
          <w:b/>
        </w:rPr>
        <w:t xml:space="preserve">the evidence that supports the measure. </w:t>
      </w:r>
      <w:r>
        <w:t>A list of references without a summary is not acceptable.</w:t>
      </w:r>
    </w:p>
    <w:p w14:paraId="2CC9C43B" w14:textId="77777777" w:rsidR="0005334F" w:rsidRDefault="0005334F" w:rsidP="0005334F">
      <w:pPr>
        <w:ind w:left="0" w:firstLine="0"/>
        <w:rPr>
          <w:b/>
        </w:rPr>
      </w:pPr>
    </w:p>
    <w:p w14:paraId="5379D1CA" w14:textId="77777777" w:rsidR="0005334F" w:rsidRPr="003B1CC5" w:rsidRDefault="0005334F" w:rsidP="0005334F">
      <w:pPr>
        <w:ind w:left="0" w:firstLine="0"/>
      </w:pPr>
      <w:r w:rsidRPr="0005334F">
        <w:rPr>
          <w:b/>
          <w:color w:val="0000FF"/>
        </w:rPr>
        <w:t>1a.4.2</w:t>
      </w:r>
      <w:r w:rsidRPr="000E5C93">
        <w:rPr>
          <w:b/>
          <w:color w:val="244061" w:themeColor="accent1" w:themeShade="80"/>
        </w:rPr>
        <w:t xml:space="preserve"> </w:t>
      </w:r>
      <w:r w:rsidRPr="003B1CC5">
        <w:rPr>
          <w:b/>
        </w:rPr>
        <w:t>What process was used to identify the evidence?</w:t>
      </w:r>
    </w:p>
    <w:p w14:paraId="037221BB" w14:textId="77777777" w:rsidR="0005334F" w:rsidRPr="003B1CC5" w:rsidRDefault="0005334F" w:rsidP="0005334F">
      <w:pPr>
        <w:ind w:left="0" w:firstLine="0"/>
      </w:pPr>
    </w:p>
    <w:p w14:paraId="4C84B343" w14:textId="7DEBF96B" w:rsidR="0005334F" w:rsidRDefault="0005334F" w:rsidP="0005334F">
      <w:pPr>
        <w:ind w:left="0" w:firstLine="0"/>
        <w:rPr>
          <w:b/>
        </w:rPr>
      </w:pPr>
      <w:r>
        <w:rPr>
          <w:b/>
          <w:color w:val="0000FF"/>
        </w:rPr>
        <w:t>1a.4.3</w:t>
      </w:r>
      <w:r w:rsidRPr="003B1CC5">
        <w:rPr>
          <w:b/>
          <w:color w:val="0000FF"/>
        </w:rPr>
        <w:t>.</w:t>
      </w:r>
      <w:r w:rsidRPr="003B1CC5">
        <w:rPr>
          <w:color w:val="0070C0"/>
        </w:rPr>
        <w:t xml:space="preserve"> </w:t>
      </w:r>
      <w:r w:rsidRPr="003B1CC5">
        <w:rPr>
          <w:b/>
        </w:rPr>
        <w:t>Provide the citation</w:t>
      </w:r>
      <w:r>
        <w:rPr>
          <w:b/>
        </w:rPr>
        <w:t>(s)</w:t>
      </w:r>
      <w:r w:rsidRPr="003B1CC5">
        <w:rPr>
          <w:b/>
        </w:rPr>
        <w:t xml:space="preserve"> </w:t>
      </w:r>
      <w:r>
        <w:rPr>
          <w:b/>
        </w:rPr>
        <w:t>for the</w:t>
      </w:r>
      <w:r w:rsidRPr="003B1CC5">
        <w:rPr>
          <w:b/>
        </w:rPr>
        <w:t xml:space="preserve"> evidence.</w:t>
      </w:r>
    </w:p>
    <w:p w14:paraId="60CC777A" w14:textId="77777777" w:rsidR="00051270" w:rsidRDefault="00051270" w:rsidP="0005334F">
      <w:pPr>
        <w:ind w:left="0" w:firstLine="0"/>
        <w:rPr>
          <w:b/>
        </w:rPr>
      </w:pPr>
    </w:p>
    <w:p w14:paraId="5211EDF3" w14:textId="3EDD5A6D" w:rsidR="001B3A42" w:rsidRPr="001B3A42" w:rsidRDefault="001B3A42" w:rsidP="0005334F">
      <w:pPr>
        <w:ind w:left="0" w:firstLine="0"/>
        <w:rPr>
          <w:b/>
          <w:noProof/>
          <w:color w:val="FF0000"/>
        </w:rPr>
      </w:pPr>
      <w:r>
        <w:rPr>
          <w:b/>
          <w:noProof/>
          <w:color w:val="FF0000"/>
        </w:rPr>
        <w:t>Component # 2 ACE-I/ARB Therapy</w:t>
      </w:r>
    </w:p>
    <w:p w14:paraId="2AACC31D" w14:textId="40C5E688" w:rsidR="008B7BA7" w:rsidRDefault="008B7BA7" w:rsidP="0005334F">
      <w:pPr>
        <w:ind w:left="0" w:firstLine="0"/>
        <w:rPr>
          <w:b/>
        </w:rPr>
      </w:pPr>
      <w:r>
        <w:rPr>
          <w:noProof/>
        </w:rPr>
        <mc:AlternateContent>
          <mc:Choice Requires="wps">
            <w:drawing>
              <wp:anchor distT="0" distB="0" distL="114300" distR="114300" simplePos="0" relativeHeight="251661312" behindDoc="0" locked="0" layoutInCell="1" allowOverlap="1" wp14:anchorId="0329D5B0" wp14:editId="048813B0">
                <wp:simplePos x="0" y="0"/>
                <wp:positionH relativeFrom="column">
                  <wp:posOffset>0</wp:posOffset>
                </wp:positionH>
                <wp:positionV relativeFrom="paragraph">
                  <wp:posOffset>48895</wp:posOffset>
                </wp:positionV>
                <wp:extent cx="6383438" cy="5787"/>
                <wp:effectExtent l="0" t="0" r="17780" b="45085"/>
                <wp:wrapNone/>
                <wp:docPr id="6" name="Straight Connector 6"/>
                <wp:cNvGraphicFramePr/>
                <a:graphic xmlns:a="http://schemas.openxmlformats.org/drawingml/2006/main">
                  <a:graphicData uri="http://schemas.microsoft.com/office/word/2010/wordprocessingShape">
                    <wps:wsp>
                      <wps:cNvCnPr/>
                      <wps:spPr>
                        <a:xfrm flipV="1">
                          <a:off x="0" y="0"/>
                          <a:ext cx="6383438" cy="5787"/>
                        </a:xfrm>
                        <a:prstGeom prst="line">
                          <a:avLst/>
                        </a:prstGeom>
                        <a:ln>
                          <a:solidFill>
                            <a:srgbClr val="0033C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679E5B" id="Straight Connector 6"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0,3.85pt" to="502.6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" strokecolor="#03c"/>
            </w:pict>
          </mc:Fallback>
        </mc:AlternateContent>
      </w:r>
    </w:p>
    <w:p w14:paraId="6AB3EA07" w14:textId="77777777" w:rsidR="008B7BA7" w:rsidRPr="003B1CC5" w:rsidRDefault="008B7BA7" w:rsidP="008B7BA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521551123"/>
        </w:sdtPr>
        <w:sdtEndPr>
          <w:rPr>
            <w:rStyle w:val="DefaultParagraphFont"/>
            <w:rFonts w:cstheme="minorHAnsi"/>
            <w:b/>
            <w:noProof/>
            <w:color w:val="auto"/>
          </w:rPr>
        </w:sdtEndPr>
        <w:sdtContent>
          <w:r>
            <w:rPr>
              <w:rStyle w:val="Style1"/>
            </w:rPr>
            <w:t>0965</w:t>
          </w:r>
        </w:sdtContent>
      </w:sdt>
    </w:p>
    <w:p w14:paraId="1325F280" w14:textId="7B75938C" w:rsidR="008B7BA7" w:rsidRPr="003B1CC5" w:rsidRDefault="008B7BA7" w:rsidP="008B7BA7">
      <w:pPr>
        <w:ind w:left="0" w:firstLine="0"/>
        <w:rPr>
          <w:noProof/>
        </w:rPr>
      </w:pPr>
      <w:r w:rsidRPr="003B1CC5">
        <w:rPr>
          <w:b/>
          <w:noProof/>
        </w:rPr>
        <w:t>Measure Title</w:t>
      </w:r>
      <w:r w:rsidRPr="003B1CC5">
        <w:rPr>
          <w:noProof/>
        </w:rPr>
        <w:t xml:space="preserve">:  </w:t>
      </w:r>
      <w:sdt>
        <w:sdtPr>
          <w:rPr>
            <w:rStyle w:val="Style1"/>
          </w:rPr>
          <w:id w:val="28156358"/>
        </w:sdtPr>
        <w:sdtEndPr>
          <w:rPr>
            <w:rStyle w:val="DefaultParagraphFont"/>
            <w:noProof/>
            <w:color w:val="auto"/>
          </w:rPr>
        </w:sdtEndPr>
        <w:sdtContent>
          <w:sdt>
            <w:sdtPr>
              <w:rPr>
                <w:rStyle w:val="Style1"/>
              </w:rPr>
              <w:id w:val="-2084444550"/>
            </w:sdtPr>
            <w:sdtEndPr>
              <w:rPr>
                <w:rStyle w:val="DefaultParagraphFont"/>
                <w:noProof/>
                <w:color w:val="auto"/>
              </w:rPr>
            </w:sdtEndPr>
            <w:sdtContent>
              <w:sdt>
                <w:sdtPr>
                  <w:rPr>
                    <w:rStyle w:val="Style1"/>
                  </w:rPr>
                  <w:id w:val="1139543103"/>
                </w:sdtPr>
                <w:sdtEndPr>
                  <w:rPr>
                    <w:rStyle w:val="DefaultParagraphFont"/>
                    <w:noProof/>
                    <w:color w:val="auto"/>
                  </w:rPr>
                </w:sdtEndPr>
                <w:sdtContent>
                  <w:r>
                    <w:rPr>
                      <w:rStyle w:val="Style1"/>
                    </w:rPr>
                    <w:t xml:space="preserve">Patients with </w:t>
                  </w:r>
                  <w:r w:rsidR="009A2E65">
                    <w:rPr>
                      <w:rStyle w:val="Style1"/>
                    </w:rPr>
                    <w:t xml:space="preserve">LVSD and </w:t>
                  </w:r>
                  <w:r>
                    <w:rPr>
                      <w:rStyle w:val="Style1"/>
                    </w:rPr>
                    <w:t xml:space="preserve">an ICD implant who receive ACE-I/ARB therapy at discharge </w:t>
                  </w:r>
                </w:sdtContent>
              </w:sdt>
            </w:sdtContent>
          </w:sdt>
          <w:r>
            <w:rPr>
              <w:noProof/>
            </w:rPr>
            <w:t xml:space="preserve"> </w:t>
          </w:r>
        </w:sdtContent>
      </w:sdt>
    </w:p>
    <w:p w14:paraId="31D4D7D1" w14:textId="77777777" w:rsidR="008B7BA7" w:rsidRPr="003B1CC5" w:rsidRDefault="008B7BA7" w:rsidP="008B7BA7">
      <w:pPr>
        <w:ind w:left="0" w:firstLine="0"/>
        <w:rPr>
          <w:b/>
          <w:noProof/>
        </w:rPr>
      </w:pPr>
      <w:r w:rsidRPr="003B1CC5">
        <w:rPr>
          <w:i/>
          <w:noProof/>
        </w:rPr>
        <w:t xml:space="preserve"> </w:t>
      </w:r>
      <w:r w:rsidRPr="003B1CC5">
        <w:rPr>
          <w:b/>
          <w:noProof/>
        </w:rPr>
        <w:t>IF the measure is a component in a composite performance measure, provide the title of the Composite Measure here:</w:t>
      </w:r>
      <w:r w:rsidRPr="003B1CC5">
        <w:rPr>
          <w:noProof/>
        </w:rPr>
        <w:t xml:space="preserve"> </w:t>
      </w:r>
      <w:sdt>
        <w:sdtPr>
          <w:rPr>
            <w:rStyle w:val="Style1"/>
          </w:rPr>
          <w:id w:val="231438745"/>
        </w:sdtPr>
        <w:sdtEndPr>
          <w:rPr>
            <w:rStyle w:val="DefaultParagraphFont"/>
            <w:noProof/>
            <w:color w:val="auto"/>
          </w:rPr>
        </w:sdtEndPr>
        <w:sdtContent>
          <w:sdt>
            <w:sdtPr>
              <w:rPr>
                <w:rStyle w:val="Style1"/>
              </w:rPr>
              <w:id w:val="728964650"/>
            </w:sdtPr>
            <w:sdtEndPr>
              <w:rPr>
                <w:rStyle w:val="DefaultParagraphFont"/>
                <w:noProof/>
                <w:color w:val="auto"/>
              </w:rPr>
            </w:sdtEndPr>
            <w:sdtContent>
              <w:sdt>
                <w:sdtPr>
                  <w:rPr>
                    <w:rStyle w:val="Style1"/>
                  </w:rPr>
                  <w:id w:val="1860546114"/>
                </w:sdtPr>
                <w:sdtEndPr>
                  <w:rPr>
                    <w:rStyle w:val="DefaultParagraphFont"/>
                    <w:noProof/>
                    <w:color w:val="auto"/>
                  </w:rPr>
                </w:sdtEndPr>
                <w:sdtContent>
                  <w:r>
                    <w:rPr>
                      <w:rStyle w:val="Style1"/>
                    </w:rPr>
                    <w:t xml:space="preserve">Patients with an ICD implant who receive ACE-I/ARB and beta blocker therapy at discharge </w:t>
                  </w:r>
                </w:sdtContent>
              </w:sdt>
            </w:sdtContent>
          </w:sdt>
          <w:r>
            <w:rPr>
              <w:noProof/>
            </w:rPr>
            <w:t xml:space="preserve"> </w:t>
          </w:r>
        </w:sdtContent>
      </w:sdt>
    </w:p>
    <w:p w14:paraId="4D68330F" w14:textId="77777777" w:rsidR="008B7BA7" w:rsidRPr="003B1CC5" w:rsidRDefault="008B7BA7" w:rsidP="008B7BA7">
      <w:pPr>
        <w:ind w:left="0" w:firstLine="0"/>
        <w:rPr>
          <w:rStyle w:val="Style2"/>
        </w:rPr>
      </w:pPr>
      <w:r w:rsidRPr="003B1CC5">
        <w:rPr>
          <w:b/>
          <w:noProof/>
        </w:rPr>
        <w:t>Date of Submission</w:t>
      </w:r>
      <w:r w:rsidRPr="003B1CC5">
        <w:rPr>
          <w:noProof/>
        </w:rPr>
        <w:t xml:space="preserve">:  </w:t>
      </w:r>
      <w:sdt>
        <w:sdtPr>
          <w:rPr>
            <w:rStyle w:val="Style2"/>
          </w:rPr>
          <w:id w:val="-2097008591"/>
          <w:showingPlcHdr/>
          <w:date w:fullDate="2018-10-30T00:00:00Z">
            <w:dateFormat w:val="M/d/yyyy"/>
            <w:lid w:val="en-US"/>
            <w:storeMappedDataAs w:val="dateTime"/>
            <w:calendar w:val="gregorian"/>
          </w:date>
        </w:sdtPr>
        <w:sdtEndPr>
          <w:rPr>
            <w:rStyle w:val="DefaultParagraphFont"/>
            <w:noProof/>
            <w:color w:val="auto"/>
            <w:u w:val="none"/>
          </w:rPr>
        </w:sdtEndPr>
        <w:sdtContent>
          <w:r w:rsidRPr="003B1CC5">
            <w:rPr>
              <w:rStyle w:val="PlaceholderText"/>
              <w:rFonts w:cstheme="minorHAnsi"/>
              <w:color w:val="A6A6A6" w:themeColor="background1" w:themeShade="A6"/>
            </w:rPr>
            <w:t>Click here to enter a date</w:t>
          </w:r>
        </w:sdtContent>
      </w:sdt>
    </w:p>
    <w:p w14:paraId="317BA0E4" w14:textId="77777777" w:rsidR="008B7BA7" w:rsidRDefault="008B7BA7" w:rsidP="008B7BA7">
      <w:pPr>
        <w:ind w:left="0" w:firstLine="0"/>
        <w:rPr>
          <w:b/>
          <w:bCs/>
          <w:color w:val="0000FF"/>
        </w:rPr>
      </w:pPr>
    </w:p>
    <w:p w14:paraId="6ED80784" w14:textId="77777777" w:rsidR="008B7BA7" w:rsidRPr="003B1CC5" w:rsidRDefault="008B7BA7" w:rsidP="008B7BA7">
      <w:pPr>
        <w:ind w:left="0" w:firstLine="0"/>
        <w:rPr>
          <w:bCs/>
          <w:i/>
        </w:rPr>
      </w:pPr>
      <w:r w:rsidRPr="003B1CC5">
        <w:rPr>
          <w:b/>
          <w:bCs/>
          <w:color w:val="0000FF"/>
        </w:rPr>
        <w:t>1a.1.</w:t>
      </w:r>
      <w:r w:rsidRPr="008F6F51">
        <w:rPr>
          <w:b/>
          <w:bCs/>
        </w:rPr>
        <w:t>This is a measure</w:t>
      </w:r>
      <w:r w:rsidRPr="003B1CC5">
        <w:rPr>
          <w:b/>
          <w:bCs/>
        </w:rPr>
        <w:t xml:space="preserve"> of</w:t>
      </w:r>
      <w:r w:rsidRPr="003B1CC5">
        <w:rPr>
          <w:bCs/>
        </w:rPr>
        <w:t>: (</w:t>
      </w:r>
      <w:r w:rsidRPr="003B1CC5">
        <w:rPr>
          <w:bCs/>
          <w:i/>
        </w:rPr>
        <w:t>should be consistent with type of measure entered in De.1</w:t>
      </w:r>
      <w:r w:rsidRPr="003B1CC5">
        <w:rPr>
          <w:bCs/>
        </w:rPr>
        <w:t xml:space="preserve">) </w:t>
      </w:r>
    </w:p>
    <w:p w14:paraId="70A55819" w14:textId="77777777" w:rsidR="008B7BA7" w:rsidRPr="003B1CC5" w:rsidRDefault="008B7BA7" w:rsidP="008B7BA7">
      <w:pPr>
        <w:ind w:left="432" w:hanging="432"/>
        <w:rPr>
          <w:rFonts w:cs="Calibri"/>
          <w:bCs/>
        </w:rPr>
      </w:pPr>
      <w:r w:rsidRPr="003B1CC5">
        <w:rPr>
          <w:rFonts w:cs="Calibri"/>
          <w:bCs/>
        </w:rPr>
        <w:t>Outcome</w:t>
      </w:r>
    </w:p>
    <w:p w14:paraId="1231AEBF" w14:textId="77777777" w:rsidR="008B7BA7" w:rsidRPr="003B1CC5" w:rsidRDefault="00D77B7A" w:rsidP="008B7BA7">
      <w:pPr>
        <w:ind w:left="432" w:hanging="432"/>
        <w:rPr>
          <w:rStyle w:val="Style2"/>
          <w:rFonts w:cstheme="minorHAnsi"/>
        </w:rPr>
      </w:pPr>
      <w:sdt>
        <w:sdtPr>
          <w:rPr>
            <w:bCs/>
            <w:color w:val="0000FF"/>
            <w:u w:val="single"/>
          </w:rPr>
          <w:id w:val="571469134"/>
          <w14:checkbox>
            <w14:checked w14:val="0"/>
            <w14:checkedState w14:val="2612" w14:font="MS Gothic"/>
            <w14:uncheckedState w14:val="2610" w14:font="MS Gothic"/>
          </w14:checkbox>
        </w:sdtPr>
        <w:sdtEndPr/>
        <w:sdtContent>
          <w:r w:rsidR="008B7BA7" w:rsidRPr="002E1646">
            <w:rPr>
              <w:rFonts w:ascii="MS Gothic" w:eastAsia="MS Gothic" w:hAnsi="MS Gothic" w:hint="eastAsia"/>
              <w:bCs/>
              <w:color w:val="0000FF"/>
            </w:rPr>
            <w:t>☐</w:t>
          </w:r>
        </w:sdtContent>
      </w:sdt>
      <w:r w:rsidR="008B7BA7" w:rsidRPr="003B1CC5">
        <w:rPr>
          <w:bCs/>
          <w:color w:val="0000FF"/>
        </w:rPr>
        <w:t xml:space="preserve"> </w:t>
      </w:r>
      <w:r w:rsidR="008B7BA7">
        <w:rPr>
          <w:bCs/>
          <w:color w:val="0000FF"/>
        </w:rPr>
        <w:t>O</w:t>
      </w:r>
      <w:r w:rsidR="008B7BA7" w:rsidRPr="003B1CC5">
        <w:rPr>
          <w:bCs/>
        </w:rPr>
        <w:t xml:space="preserve">utcome: </w:t>
      </w:r>
      <w:sdt>
        <w:sdtPr>
          <w:rPr>
            <w:rStyle w:val="Style2"/>
            <w:rFonts w:cstheme="minorHAnsi"/>
          </w:rPr>
          <w:id w:val="1164596871"/>
          <w:showingPlcHdr/>
        </w:sdtPr>
        <w:sdtEndPr>
          <w:rPr>
            <w:rStyle w:val="DefaultParagraphFont"/>
            <w:rFonts w:cstheme="minorBidi"/>
            <w:color w:val="auto"/>
            <w:u w:val="none"/>
          </w:rPr>
        </w:sdtEndPr>
        <w:sdtContent>
          <w:r w:rsidR="008B7BA7" w:rsidRPr="003B1CC5">
            <w:rPr>
              <w:color w:val="A6A6A6" w:themeColor="background1" w:themeShade="A6"/>
            </w:rPr>
            <w:t>Click here to n</w:t>
          </w:r>
          <w:r w:rsidR="008B7BA7" w:rsidRPr="003B1CC5">
            <w:rPr>
              <w:rStyle w:val="PlaceholderText"/>
              <w:rFonts w:cstheme="minorHAnsi"/>
              <w:color w:val="A6A6A6" w:themeColor="background1" w:themeShade="A6"/>
            </w:rPr>
            <w:t>ame the health outcome</w:t>
          </w:r>
        </w:sdtContent>
      </w:sdt>
    </w:p>
    <w:p w14:paraId="17098C03" w14:textId="77777777" w:rsidR="008B7BA7" w:rsidRPr="003B1CC5" w:rsidRDefault="00D77B7A" w:rsidP="008B7BA7">
      <w:pPr>
        <w:ind w:left="864" w:hanging="432"/>
        <w:rPr>
          <w:b/>
          <w:bCs/>
        </w:rPr>
      </w:pPr>
      <w:sdt>
        <w:sdtPr>
          <w:rPr>
            <w:bCs/>
            <w:color w:val="0000FF"/>
          </w:rPr>
          <w:id w:val="-728533966"/>
          <w14:checkbox>
            <w14:checked w14:val="0"/>
            <w14:checkedState w14:val="2612" w14:font="MS Gothic"/>
            <w14:uncheckedState w14:val="2610" w14:font="MS Gothic"/>
          </w14:checkbox>
        </w:sdtPr>
        <w:sdtEndPr/>
        <w:sdtContent>
          <w:r w:rsidR="008B7BA7">
            <w:rPr>
              <w:rFonts w:ascii="MS Gothic" w:eastAsia="MS Gothic" w:hAnsi="MS Gothic" w:hint="eastAsia"/>
              <w:bCs/>
              <w:color w:val="0000FF"/>
            </w:rPr>
            <w:t>☐</w:t>
          </w:r>
        </w:sdtContent>
      </w:sdt>
      <w:r w:rsidR="008B7BA7" w:rsidRPr="001E6153">
        <w:rPr>
          <w:bCs/>
        </w:rPr>
        <w:t>Patient-reported outcome (PRO)</w:t>
      </w:r>
      <w:r w:rsidR="008B7BA7" w:rsidRPr="003B1CC5">
        <w:rPr>
          <w:bCs/>
        </w:rPr>
        <w:t xml:space="preserve">: </w:t>
      </w:r>
      <w:sdt>
        <w:sdtPr>
          <w:rPr>
            <w:rStyle w:val="Style2"/>
            <w:rFonts w:cstheme="minorHAnsi"/>
          </w:rPr>
          <w:id w:val="-211044759"/>
          <w:showingPlcHdr/>
        </w:sdtPr>
        <w:sdtEndPr>
          <w:rPr>
            <w:rStyle w:val="DefaultParagraphFont"/>
            <w:rFonts w:cstheme="minorBidi"/>
            <w:color w:val="auto"/>
            <w:u w:val="none"/>
          </w:rPr>
        </w:sdtEndPr>
        <w:sdtContent>
          <w:r w:rsidR="008B7BA7" w:rsidRPr="003B1CC5">
            <w:rPr>
              <w:color w:val="A6A6A6" w:themeColor="background1" w:themeShade="A6"/>
            </w:rPr>
            <w:t>Click here to n</w:t>
          </w:r>
          <w:r w:rsidR="008B7BA7" w:rsidRPr="003B1CC5">
            <w:rPr>
              <w:rStyle w:val="PlaceholderText"/>
              <w:rFonts w:cstheme="minorHAnsi"/>
              <w:color w:val="A6A6A6" w:themeColor="background1" w:themeShade="A6"/>
            </w:rPr>
            <w:t xml:space="preserve">ame the </w:t>
          </w:r>
          <w:r w:rsidR="008B7BA7">
            <w:rPr>
              <w:rStyle w:val="PlaceholderText"/>
              <w:rFonts w:cstheme="minorHAnsi"/>
              <w:color w:val="A6A6A6" w:themeColor="background1" w:themeShade="A6"/>
            </w:rPr>
            <w:t>PRO</w:t>
          </w:r>
        </w:sdtContent>
      </w:sdt>
    </w:p>
    <w:p w14:paraId="644D1286" w14:textId="77777777" w:rsidR="008B7BA7" w:rsidRPr="0061327A" w:rsidRDefault="008B7BA7" w:rsidP="008B7BA7">
      <w:pPr>
        <w:ind w:left="720" w:firstLine="0"/>
        <w:rPr>
          <w:rFonts w:eastAsia="MS Gothic" w:cs="MS Gothic"/>
          <w:bCs/>
          <w:i/>
          <w:color w:val="0000FF"/>
        </w:rPr>
      </w:pPr>
      <w:r w:rsidRPr="003B1CC5">
        <w:rPr>
          <w:bCs/>
          <w:i/>
        </w:rPr>
        <w:t>PROs include HRQoL/functional status, symptom/</w:t>
      </w:r>
      <w:r>
        <w:rPr>
          <w:bCs/>
          <w:i/>
        </w:rPr>
        <w:t xml:space="preserve">symptom </w:t>
      </w:r>
      <w:r w:rsidRPr="003B1CC5">
        <w:rPr>
          <w:bCs/>
          <w:i/>
        </w:rPr>
        <w:t>burden, experience with care, health-related behaviors</w:t>
      </w:r>
      <w:r w:rsidRPr="0061327A">
        <w:rPr>
          <w:bCs/>
          <w:i/>
        </w:rPr>
        <w:t>.</w:t>
      </w:r>
      <w:r w:rsidRPr="0061327A">
        <w:rPr>
          <w:rFonts w:eastAsia="Calibri" w:cs="Calibri"/>
          <w:sz w:val="20"/>
          <w:szCs w:val="20"/>
        </w:rPr>
        <w:t xml:space="preserve"> </w:t>
      </w:r>
      <w:r w:rsidRPr="0061327A">
        <w:rPr>
          <w:rFonts w:eastAsia="Calibri" w:cs="Calibri"/>
        </w:rPr>
        <w:t>(</w:t>
      </w:r>
      <w:r w:rsidRPr="0061327A">
        <w:rPr>
          <w:rFonts w:eastAsia="Calibri" w:cs="Calibri"/>
          <w:i/>
        </w:rPr>
        <w:t>A PRO</w:t>
      </w:r>
      <w:r>
        <w:rPr>
          <w:rFonts w:eastAsia="Calibri" w:cs="Calibri"/>
          <w:i/>
        </w:rPr>
        <w:t>-based performance</w:t>
      </w:r>
      <w:r w:rsidRPr="0061327A">
        <w:rPr>
          <w:rFonts w:eastAsia="Calibri" w:cs="Calibri"/>
          <w:i/>
        </w:rPr>
        <w:t xml:space="preserve"> measure is not a survey instrument. Data may be collected using a survey instrument to construct a PRO measure.)</w:t>
      </w:r>
    </w:p>
    <w:p w14:paraId="7BCC8ACC" w14:textId="77777777" w:rsidR="008B7BA7" w:rsidRPr="003B1CC5" w:rsidRDefault="00D77B7A" w:rsidP="008B7BA7">
      <w:pPr>
        <w:ind w:left="720" w:hanging="432"/>
        <w:rPr>
          <w:bCs/>
        </w:rPr>
      </w:pPr>
      <w:sdt>
        <w:sdtPr>
          <w:rPr>
            <w:rFonts w:ascii="MS Gothic" w:eastAsia="MS Gothic" w:hAnsi="MS Gothic"/>
            <w:bCs/>
            <w:color w:val="0000FF"/>
          </w:rPr>
          <w:id w:val="1175460782"/>
          <w14:checkbox>
            <w14:checked w14:val="0"/>
            <w14:checkedState w14:val="2612" w14:font="MS Gothic"/>
            <w14:uncheckedState w14:val="2610" w14:font="MS Gothic"/>
          </w14:checkbox>
        </w:sdtPr>
        <w:sdtEndPr/>
        <w:sdtContent>
          <w:r w:rsidR="008B7BA7" w:rsidRPr="00D73685">
            <w:rPr>
              <w:rFonts w:ascii="MS Gothic" w:eastAsia="MS Gothic" w:hAnsi="MS Gothic" w:hint="eastAsia"/>
              <w:bCs/>
              <w:color w:val="0000FF"/>
            </w:rPr>
            <w:t>☐</w:t>
          </w:r>
        </w:sdtContent>
      </w:sdt>
      <w:r w:rsidR="008B7BA7" w:rsidRPr="003B1CC5">
        <w:rPr>
          <w:bCs/>
        </w:rPr>
        <w:t xml:space="preserve"> Intermediate clinical outcome (</w:t>
      </w:r>
      <w:r w:rsidR="008B7BA7" w:rsidRPr="003B1CC5">
        <w:rPr>
          <w:bCs/>
          <w:i/>
        </w:rPr>
        <w:t>e.g., lab value</w:t>
      </w:r>
      <w:r w:rsidR="008B7BA7" w:rsidRPr="003B1CC5">
        <w:rPr>
          <w:bCs/>
        </w:rPr>
        <w:t xml:space="preserve">):  </w:t>
      </w:r>
    </w:p>
    <w:p w14:paraId="70F5B86E" w14:textId="01073434" w:rsidR="008B7BA7" w:rsidRDefault="00D77B7A" w:rsidP="008B7BA7">
      <w:pPr>
        <w:ind w:left="432" w:hanging="432"/>
        <w:rPr>
          <w:bCs/>
        </w:rPr>
      </w:pPr>
      <w:sdt>
        <w:sdtPr>
          <w:rPr>
            <w:bCs/>
            <w:color w:val="0000FF"/>
          </w:rPr>
          <w:id w:val="658202123"/>
          <w14:checkbox>
            <w14:checked w14:val="1"/>
            <w14:checkedState w14:val="2612" w14:font="MS Gothic"/>
            <w14:uncheckedState w14:val="2610" w14:font="MS Gothic"/>
          </w14:checkbox>
        </w:sdtPr>
        <w:sdtEndPr/>
        <w:sdtContent>
          <w:r w:rsidR="008B7BA7">
            <w:rPr>
              <w:rFonts w:ascii="MS Gothic" w:eastAsia="MS Gothic" w:hAnsi="MS Gothic" w:hint="eastAsia"/>
              <w:bCs/>
              <w:color w:val="0000FF"/>
            </w:rPr>
            <w:t>☒</w:t>
          </w:r>
        </w:sdtContent>
      </w:sdt>
      <w:r w:rsidR="008B7BA7" w:rsidRPr="003B1CC5">
        <w:rPr>
          <w:bCs/>
        </w:rPr>
        <w:t xml:space="preserve"> Process:</w:t>
      </w:r>
      <w:r w:rsidR="008B7BA7">
        <w:rPr>
          <w:bCs/>
        </w:rPr>
        <w:t xml:space="preserve">  </w:t>
      </w:r>
      <w:sdt>
        <w:sdtPr>
          <w:rPr>
            <w:rStyle w:val="Style2"/>
            <w:rFonts w:cstheme="minorHAnsi"/>
          </w:rPr>
          <w:id w:val="332644945"/>
        </w:sdtPr>
        <w:sdtEndPr>
          <w:rPr>
            <w:rStyle w:val="DefaultParagraphFont"/>
            <w:rFonts w:cstheme="minorBidi"/>
            <w:bCs/>
            <w:color w:val="auto"/>
            <w:u w:val="none"/>
          </w:rPr>
        </w:sdtEndPr>
        <w:sdtContent>
          <w:sdt>
            <w:sdtPr>
              <w:rPr>
                <w:rStyle w:val="Style2"/>
                <w:rFonts w:cstheme="minorHAnsi"/>
              </w:rPr>
              <w:id w:val="321244333"/>
            </w:sdtPr>
            <w:sdtEndPr>
              <w:rPr>
                <w:rStyle w:val="DefaultParagraphFont"/>
                <w:rFonts w:cstheme="minorBidi"/>
                <w:bCs/>
                <w:color w:val="auto"/>
                <w:u w:val="none"/>
              </w:rPr>
            </w:sdtEndPr>
            <w:sdtContent>
              <w:r w:rsidR="008B7BA7">
                <w:rPr>
                  <w:rStyle w:val="Style2"/>
                  <w:rFonts w:cstheme="minorHAnsi"/>
                </w:rPr>
                <w:t>ACE/ARB therapy for patients with LVSD receiving an ICD</w:t>
              </w:r>
            </w:sdtContent>
          </w:sdt>
          <w:r w:rsidR="008B7BA7">
            <w:rPr>
              <w:bCs/>
            </w:rPr>
            <w:t xml:space="preserve"> </w:t>
          </w:r>
        </w:sdtContent>
      </w:sdt>
    </w:p>
    <w:p w14:paraId="1DB14BC6" w14:textId="77777777" w:rsidR="008B7BA7" w:rsidRPr="004E7215" w:rsidRDefault="008B7BA7" w:rsidP="008B7BA7">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1523612"/>
          <w14:checkbox>
            <w14:checked w14:val="0"/>
            <w14:checkedState w14:val="2612" w14:font="MS Gothic"/>
            <w14:uncheckedState w14:val="2610" w14:font="MS Gothic"/>
          </w14:checkbox>
        </w:sdtPr>
        <w:sdtEndPr/>
        <w:sdtContent>
          <w:r w:rsidRPr="00D73685">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Pr="00D73685">
        <w:rPr>
          <w:bCs/>
        </w:rPr>
        <w:t xml:space="preserve"> </w:t>
      </w:r>
      <w:r w:rsidRPr="00D73685">
        <w:rPr>
          <w:rStyle w:val="Style2"/>
          <w:rFonts w:cstheme="minorHAnsi"/>
        </w:rPr>
        <w:t xml:space="preserve"> </w:t>
      </w:r>
      <w:sdt>
        <w:sdtPr>
          <w:rPr>
            <w:rStyle w:val="Style2"/>
            <w:rFonts w:cstheme="minorHAnsi"/>
          </w:rPr>
          <w:id w:val="1748461121"/>
          <w:showingPlcHdr/>
        </w:sdtPr>
        <w:sdtEndPr>
          <w:rPr>
            <w:rStyle w:val="DefaultParagraphFont"/>
            <w:rFonts w:cstheme="minorBidi"/>
            <w:bCs/>
            <w:color w:val="auto"/>
            <w:u w:val="none"/>
          </w:rPr>
        </w:sdtEndPr>
        <w:sdtContent>
          <w:r w:rsidRPr="003B1CC5">
            <w:rPr>
              <w:rStyle w:val="PlaceholderText"/>
              <w:rFonts w:cstheme="minorHAnsi"/>
              <w:color w:val="A6A6A6" w:themeColor="background1" w:themeShade="A6"/>
            </w:rPr>
            <w:t>Click here to name what is being measured</w:t>
          </w:r>
        </w:sdtContent>
      </w:sdt>
      <w:r>
        <w:rPr>
          <w:rStyle w:val="Style2"/>
          <w:rFonts w:cstheme="minorHAnsi"/>
        </w:rPr>
        <w:t xml:space="preserve"> </w:t>
      </w:r>
      <w:sdt>
        <w:sdtPr>
          <w:rPr>
            <w:rStyle w:val="Style2"/>
            <w:rFonts w:cstheme="minorHAnsi"/>
          </w:rPr>
          <w:id w:val="419839488"/>
          <w:showingPlcHdr/>
        </w:sdtPr>
        <w:sdtEndPr>
          <w:rPr>
            <w:rStyle w:val="DefaultParagraphFont"/>
            <w:rFonts w:cstheme="minorBidi"/>
            <w:bCs/>
            <w:color w:val="auto"/>
            <w:u w:val="none"/>
          </w:rPr>
        </w:sdtEndPr>
        <w:sdtContent>
          <w:r>
            <w:rPr>
              <w:rStyle w:val="Style2"/>
              <w:rFonts w:cstheme="minorHAnsi"/>
            </w:rPr>
            <w:t xml:space="preserve">     </w:t>
          </w:r>
        </w:sdtContent>
      </w:sdt>
    </w:p>
    <w:p w14:paraId="35B4AF7D" w14:textId="77777777" w:rsidR="008B7BA7" w:rsidRPr="003B1CC5" w:rsidRDefault="00D77B7A" w:rsidP="008B7BA7">
      <w:pPr>
        <w:ind w:left="432" w:hanging="432"/>
        <w:rPr>
          <w:bCs/>
        </w:rPr>
      </w:pPr>
      <w:sdt>
        <w:sdtPr>
          <w:rPr>
            <w:bCs/>
            <w:color w:val="0000FF"/>
          </w:rPr>
          <w:id w:val="-566800929"/>
          <w14:checkbox>
            <w14:checked w14:val="0"/>
            <w14:checkedState w14:val="2612" w14:font="MS Gothic"/>
            <w14:uncheckedState w14:val="2610" w14:font="MS Gothic"/>
          </w14:checkbox>
        </w:sdtPr>
        <w:sdtEndPr/>
        <w:sdtContent>
          <w:r w:rsidR="008B7BA7">
            <w:rPr>
              <w:rFonts w:ascii="MS Gothic" w:eastAsia="MS Gothic" w:hAnsi="MS Gothic" w:hint="eastAsia"/>
              <w:bCs/>
              <w:color w:val="0000FF"/>
            </w:rPr>
            <w:t>☐</w:t>
          </w:r>
        </w:sdtContent>
      </w:sdt>
      <w:r w:rsidR="008B7BA7" w:rsidRPr="003B1CC5">
        <w:rPr>
          <w:bCs/>
        </w:rPr>
        <w:t xml:space="preserve"> Structure:  </w:t>
      </w:r>
      <w:sdt>
        <w:sdtPr>
          <w:rPr>
            <w:rStyle w:val="Style2"/>
            <w:rFonts w:cstheme="minorHAnsi"/>
          </w:rPr>
          <w:id w:val="-1369216245"/>
          <w:showingPlcHdr/>
        </w:sdtPr>
        <w:sdtEndPr>
          <w:rPr>
            <w:rStyle w:val="DefaultParagraphFont"/>
            <w:rFonts w:cstheme="minorBidi"/>
            <w:bCs/>
            <w:color w:val="auto"/>
            <w:u w:val="none"/>
          </w:rPr>
        </w:sdtEndPr>
        <w:sdtContent>
          <w:r w:rsidR="008B7BA7" w:rsidRPr="003B1CC5">
            <w:rPr>
              <w:rStyle w:val="PlaceholderText"/>
              <w:rFonts w:cstheme="minorHAnsi"/>
              <w:color w:val="A6A6A6" w:themeColor="background1" w:themeShade="A6"/>
            </w:rPr>
            <w:t>Click here to name the structure</w:t>
          </w:r>
        </w:sdtContent>
      </w:sdt>
    </w:p>
    <w:p w14:paraId="6FBD2FF7" w14:textId="77777777" w:rsidR="008B7BA7" w:rsidRPr="003B1CC5" w:rsidRDefault="00D77B7A" w:rsidP="008B7BA7">
      <w:pPr>
        <w:ind w:left="432" w:hanging="432"/>
        <w:rPr>
          <w:bCs/>
        </w:rPr>
      </w:pPr>
      <w:sdt>
        <w:sdtPr>
          <w:rPr>
            <w:bCs/>
            <w:color w:val="0000FF"/>
          </w:rPr>
          <w:id w:val="-855809639"/>
          <w14:checkbox>
            <w14:checked w14:val="0"/>
            <w14:checkedState w14:val="2612" w14:font="MS Gothic"/>
            <w14:uncheckedState w14:val="2610" w14:font="MS Gothic"/>
          </w14:checkbox>
        </w:sdtPr>
        <w:sdtEndPr/>
        <w:sdtContent>
          <w:r w:rsidR="008B7BA7" w:rsidRPr="003B1CC5">
            <w:rPr>
              <w:rFonts w:ascii="MS Gothic" w:eastAsia="MS Gothic" w:hAnsi="MS Gothic" w:cs="MS Gothic" w:hint="eastAsia"/>
              <w:bCs/>
              <w:color w:val="0000FF"/>
            </w:rPr>
            <w:t>☐</w:t>
          </w:r>
        </w:sdtContent>
      </w:sdt>
      <w:r w:rsidR="008B7BA7" w:rsidRPr="003B1CC5">
        <w:rPr>
          <w:bCs/>
        </w:rPr>
        <w:t xml:space="preserve"> </w:t>
      </w:r>
      <w:r w:rsidR="008B7BA7">
        <w:rPr>
          <w:bCs/>
        </w:rPr>
        <w:t>Composite</w:t>
      </w:r>
      <w:r w:rsidR="008B7BA7" w:rsidRPr="003B1CC5">
        <w:rPr>
          <w:bCs/>
        </w:rPr>
        <w:t xml:space="preserve">:  </w:t>
      </w:r>
      <w:sdt>
        <w:sdtPr>
          <w:rPr>
            <w:rStyle w:val="Style2"/>
            <w:rFonts w:cstheme="minorHAnsi"/>
          </w:rPr>
          <w:id w:val="-2044670710"/>
          <w:showingPlcHdr/>
        </w:sdtPr>
        <w:sdtEndPr>
          <w:rPr>
            <w:rStyle w:val="DefaultParagraphFont"/>
            <w:rFonts w:cstheme="minorBidi"/>
            <w:bCs/>
            <w:color w:val="auto"/>
            <w:u w:val="none"/>
          </w:rPr>
        </w:sdtEndPr>
        <w:sdtContent>
          <w:r w:rsidR="008B7BA7" w:rsidRPr="003B1CC5">
            <w:rPr>
              <w:rStyle w:val="PlaceholderText"/>
              <w:rFonts w:cstheme="minorHAnsi"/>
              <w:color w:val="A6A6A6" w:themeColor="background1" w:themeShade="A6"/>
            </w:rPr>
            <w:t>Click here to name what is being measured</w:t>
          </w:r>
        </w:sdtContent>
      </w:sdt>
    </w:p>
    <w:p w14:paraId="47E6039A" w14:textId="77777777" w:rsidR="008B7BA7" w:rsidRPr="003B1CC5" w:rsidRDefault="008B7BA7" w:rsidP="008B7BA7">
      <w:pPr>
        <w:ind w:left="0" w:firstLine="0"/>
        <w:rPr>
          <w:bCs/>
        </w:rPr>
      </w:pPr>
    </w:p>
    <w:p w14:paraId="5E2501EF" w14:textId="77777777" w:rsidR="008B7BA7" w:rsidRPr="00676BD4" w:rsidRDefault="008B7BA7" w:rsidP="008B7BA7">
      <w:pPr>
        <w:ind w:left="432" w:hanging="432"/>
        <w:rPr>
          <w:iCs/>
        </w:rPr>
      </w:pPr>
      <w:r>
        <w:rPr>
          <w:b/>
          <w:bCs/>
          <w:color w:val="0000FF"/>
        </w:rPr>
        <w:t>1a.2</w:t>
      </w:r>
      <w:r w:rsidRPr="003B1CC5">
        <w:rPr>
          <w:bCs/>
        </w:rPr>
        <w:t xml:space="preserve"> </w:t>
      </w:r>
      <w:r w:rsidRPr="00676BD4">
        <w:rPr>
          <w:b/>
          <w:bCs/>
        </w:rPr>
        <w:t>LOGIC MODEL</w:t>
      </w:r>
      <w:r>
        <w:rPr>
          <w:bCs/>
        </w:rPr>
        <w:t xml:space="preserve"> </w:t>
      </w:r>
      <w:r w:rsidRPr="00676BD4">
        <w:rPr>
          <w:iCs/>
        </w:rPr>
        <w:t>Diagram or briefly describe the steps between the healthcare structures</w:t>
      </w:r>
      <w:r>
        <w:rPr>
          <w:iCs/>
        </w:rPr>
        <w:t xml:space="preserve"> and</w:t>
      </w:r>
      <w:r w:rsidRPr="00676BD4">
        <w:rPr>
          <w:iCs/>
        </w:rPr>
        <w:t xml:space="preserve"> processes</w:t>
      </w:r>
      <w:r>
        <w:rPr>
          <w:iCs/>
        </w:rPr>
        <w:t xml:space="preserve"> (e.g.,</w:t>
      </w:r>
      <w:r w:rsidRPr="00676BD4">
        <w:rPr>
          <w:iCs/>
        </w:rPr>
        <w:t xml:space="preserve"> interventions, or services</w:t>
      </w:r>
      <w:r>
        <w:rPr>
          <w:iCs/>
        </w:rPr>
        <w:t>)</w:t>
      </w:r>
      <w:r w:rsidRPr="00676BD4">
        <w:rPr>
          <w:iCs/>
        </w:rPr>
        <w:t xml:space="preserve"> and the patient</w:t>
      </w:r>
      <w:r>
        <w:rPr>
          <w:iCs/>
        </w:rPr>
        <w:t>’s</w:t>
      </w:r>
      <w:r w:rsidRPr="00676BD4">
        <w:rPr>
          <w:iCs/>
        </w:rPr>
        <w:t xml:space="preserve"> health outcome</w:t>
      </w:r>
      <w:r>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structure, process o</w:t>
      </w:r>
      <w:r w:rsidRPr="00676BD4">
        <w:rPr>
          <w:iCs/>
        </w:rPr>
        <w:t>r outcome being measured.</w:t>
      </w:r>
    </w:p>
    <w:p w14:paraId="4CC8299B" w14:textId="77777777" w:rsidR="008B7BA7" w:rsidRDefault="008B7BA7" w:rsidP="008B7BA7">
      <w:pPr>
        <w:ind w:left="432" w:hanging="432"/>
        <w:rPr>
          <w:color w:val="0000FF"/>
        </w:rPr>
      </w:pPr>
    </w:p>
    <w:p w14:paraId="5EF1B89B" w14:textId="4000121C" w:rsidR="008B7BA7" w:rsidRDefault="008B7BA7" w:rsidP="008B7BA7">
      <w:pPr>
        <w:ind w:left="432" w:hanging="432"/>
        <w:rPr>
          <w:color w:val="0000FF"/>
        </w:rPr>
      </w:pPr>
      <w:r>
        <w:rPr>
          <w:noProof/>
        </w:rPr>
        <w:drawing>
          <wp:inline distT="0" distB="0" distL="0" distR="0" wp14:anchorId="5DC3A5AB" wp14:editId="7891C87A">
            <wp:extent cx="5486400" cy="1633541"/>
            <wp:effectExtent l="50800" t="0" r="254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35F0FBD9" w14:textId="4387B584" w:rsidR="008B7BA7" w:rsidRPr="00B6636C" w:rsidRDefault="00B6636C" w:rsidP="00B6636C">
      <w:pPr>
        <w:ind w:left="0" w:firstLine="0"/>
        <w:rPr>
          <w:rFonts w:cs="Calibri"/>
          <w:szCs w:val="18"/>
        </w:rPr>
      </w:pPr>
      <w:r>
        <w:rPr>
          <w:rFonts w:cs="Calibri"/>
          <w:szCs w:val="18"/>
        </w:rPr>
        <w:t>Angiotensin-converting enzyme (</w:t>
      </w:r>
      <w:r w:rsidRPr="005E6377">
        <w:rPr>
          <w:rFonts w:cs="Calibri"/>
          <w:szCs w:val="18"/>
        </w:rPr>
        <w:t>ACE</w:t>
      </w:r>
      <w:r>
        <w:rPr>
          <w:rFonts w:cs="Calibri"/>
          <w:szCs w:val="18"/>
        </w:rPr>
        <w:t>)</w:t>
      </w:r>
      <w:r w:rsidRPr="005E6377">
        <w:rPr>
          <w:rFonts w:cs="Calibri"/>
          <w:szCs w:val="18"/>
        </w:rPr>
        <w:t xml:space="preserve"> inhibitors </w:t>
      </w:r>
      <w:r>
        <w:rPr>
          <w:rFonts w:cs="Calibri"/>
          <w:szCs w:val="18"/>
        </w:rPr>
        <w:t xml:space="preserve">and angiotensin-receptor antagonists/blockers (ARBs) reduce </w:t>
      </w:r>
      <w:r w:rsidRPr="005E6377">
        <w:rPr>
          <w:rFonts w:cs="Calibri"/>
          <w:szCs w:val="18"/>
        </w:rPr>
        <w:t>morbidity, mortality, and hospitalizations for patients with heart failure and left ventricular systolic dysfunction.</w:t>
      </w:r>
    </w:p>
    <w:p w14:paraId="78FA73D1" w14:textId="77777777" w:rsidR="008B7BA7" w:rsidRDefault="008B7BA7" w:rsidP="008B7BA7">
      <w:pPr>
        <w:ind w:left="432" w:hanging="432"/>
        <w:rPr>
          <w:b/>
          <w:color w:val="0000FF"/>
        </w:rPr>
      </w:pPr>
    </w:p>
    <w:p w14:paraId="3B3A1DC6" w14:textId="77777777" w:rsidR="008B7BA7" w:rsidRPr="004922E4" w:rsidRDefault="008B7BA7" w:rsidP="008B7BA7">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3F9510B8" w14:textId="77777777" w:rsidR="008B7BA7" w:rsidRDefault="008B7BA7" w:rsidP="008B7BA7">
      <w:pPr>
        <w:ind w:left="0" w:firstLine="0"/>
        <w:rPr>
          <w:b/>
          <w:color w:val="0000FF"/>
        </w:rPr>
      </w:pPr>
    </w:p>
    <w:p w14:paraId="54AF29E0" w14:textId="77777777" w:rsidR="008B7BA7" w:rsidRDefault="008B7BA7" w:rsidP="008B7BA7">
      <w:pPr>
        <w:ind w:left="432" w:hanging="432"/>
        <w:rPr>
          <w:b/>
          <w:color w:val="0000FF"/>
        </w:rPr>
      </w:pPr>
    </w:p>
    <w:p w14:paraId="5EE657B5" w14:textId="77777777" w:rsidR="008B7BA7" w:rsidRDefault="008B7BA7" w:rsidP="008B7BA7">
      <w:pPr>
        <w:ind w:left="432" w:hanging="432"/>
        <w:rPr>
          <w:b/>
          <w:color w:val="0000FF"/>
        </w:rPr>
      </w:pPr>
      <w:r>
        <w:rPr>
          <w:b/>
          <w:color w:val="0000FF"/>
        </w:rPr>
        <w:t>**RESPOND TO ONLY ONE SECTION BELOW -EITHER 1a.2, 1a.3 or 1a.4) **</w:t>
      </w:r>
    </w:p>
    <w:p w14:paraId="45BF92B8" w14:textId="77777777" w:rsidR="008B7BA7" w:rsidRDefault="008B7BA7" w:rsidP="008B7BA7">
      <w:pPr>
        <w:ind w:left="432" w:hanging="432"/>
        <w:rPr>
          <w:b/>
          <w:color w:val="0000FF"/>
        </w:rPr>
      </w:pPr>
    </w:p>
    <w:p w14:paraId="616C801F" w14:textId="77777777" w:rsidR="008B7BA7" w:rsidRPr="00C41794" w:rsidRDefault="008B7BA7" w:rsidP="008B7BA7">
      <w:pPr>
        <w:ind w:left="432" w:hanging="432"/>
        <w:rPr>
          <w:b/>
        </w:rPr>
      </w:pPr>
      <w:r w:rsidRPr="003B1CC5">
        <w:rPr>
          <w:b/>
          <w:color w:val="0000FF"/>
        </w:rPr>
        <w:t>1a.2</w:t>
      </w:r>
      <w:r w:rsidRPr="003B1CC5">
        <w:rPr>
          <w:iCs/>
        </w:rPr>
        <w:t xml:space="preserve"> </w:t>
      </w:r>
      <w:r w:rsidRPr="00676BD4">
        <w:rPr>
          <w:b/>
        </w:rPr>
        <w:t>FOR OUTCOME MEASURES including PATIENT REPORTED OUTCOMES</w:t>
      </w:r>
      <w:r>
        <w:rPr>
          <w:b/>
        </w:rPr>
        <w:t xml:space="preserve"> -</w:t>
      </w:r>
      <w:r w:rsidRPr="003B1CC5">
        <w:rPr>
          <w:b/>
          <w:iCs/>
        </w:rPr>
        <w:t xml:space="preserve"> </w:t>
      </w:r>
      <w:r>
        <w:rPr>
          <w:b/>
          <w:iCs/>
        </w:rPr>
        <w:t xml:space="preserve">Provide empirical data demonstrating </w:t>
      </w:r>
      <w:r w:rsidRPr="003B1CC5">
        <w:rPr>
          <w:b/>
          <w:iCs/>
        </w:rPr>
        <w:t xml:space="preserve">the </w:t>
      </w:r>
      <w:r>
        <w:rPr>
          <w:b/>
          <w:iCs/>
        </w:rPr>
        <w:t xml:space="preserve">relationship between the </w:t>
      </w:r>
      <w:r w:rsidRPr="003B1CC5">
        <w:rPr>
          <w:b/>
          <w:iCs/>
        </w:rPr>
        <w:t xml:space="preserve">outcome (or PRO) </w:t>
      </w:r>
      <w:r>
        <w:rPr>
          <w:b/>
          <w:iCs/>
        </w:rPr>
        <w:t>to</w:t>
      </w:r>
      <w:r w:rsidRPr="003B1CC5">
        <w:rPr>
          <w:b/>
          <w:iCs/>
        </w:rPr>
        <w:t xml:space="preserve"> at least one </w:t>
      </w:r>
      <w:r>
        <w:rPr>
          <w:b/>
          <w:iCs/>
        </w:rPr>
        <w:t xml:space="preserve">healthcare structure, process, </w:t>
      </w:r>
      <w:r w:rsidRPr="003B1CC5">
        <w:rPr>
          <w:b/>
          <w:iCs/>
        </w:rPr>
        <w:t>intervention, or service</w:t>
      </w:r>
      <w:r>
        <w:rPr>
          <w:b/>
          <w:iCs/>
        </w:rPr>
        <w:t xml:space="preserve">. </w:t>
      </w:r>
    </w:p>
    <w:p w14:paraId="1A7C18F4" w14:textId="77777777" w:rsidR="008B7BA7" w:rsidRPr="003B1CC5" w:rsidRDefault="008B7BA7" w:rsidP="008B7BA7">
      <w:pPr>
        <w:ind w:left="0" w:firstLine="0"/>
        <w:rPr>
          <w:iCs/>
        </w:rPr>
      </w:pPr>
    </w:p>
    <w:p w14:paraId="25D60D80" w14:textId="77777777" w:rsidR="008B7BA7" w:rsidRDefault="008B7BA7" w:rsidP="008B7BA7">
      <w:pPr>
        <w:ind w:left="0" w:firstLine="0"/>
        <w:rPr>
          <w:i/>
          <w:iCs/>
          <w:highlight w:val="green"/>
          <w:u w:val="single"/>
        </w:rPr>
      </w:pPr>
    </w:p>
    <w:p w14:paraId="1FD0BE92" w14:textId="77777777" w:rsidR="008B7BA7" w:rsidRPr="003B1CC5" w:rsidRDefault="008B7BA7" w:rsidP="008B7BA7">
      <w:pPr>
        <w:ind w:left="0" w:firstLine="0"/>
        <w:rPr>
          <w:b/>
          <w:iCs/>
        </w:rPr>
      </w:pPr>
      <w:r w:rsidRPr="003B1CC5">
        <w:rPr>
          <w:b/>
          <w:iCs/>
          <w:color w:val="0000FF"/>
        </w:rPr>
        <w:t>1a.3.</w:t>
      </w:r>
      <w:r w:rsidRPr="003B1CC5">
        <w:rPr>
          <w:i/>
          <w:iCs/>
          <w:color w:val="0000FF"/>
        </w:rPr>
        <w:t xml:space="preserve"> </w:t>
      </w:r>
      <w:r>
        <w:rPr>
          <w:b/>
          <w:iCs/>
          <w:color w:val="0000FF"/>
        </w:rPr>
        <w:t>SYSTEMATIC REVIEW(SR) OF THE EVIDENCE (</w:t>
      </w:r>
      <w:r w:rsidRPr="00F90F82">
        <w:rPr>
          <w:b/>
          <w:iCs/>
        </w:rPr>
        <w:t>for</w:t>
      </w:r>
      <w:r w:rsidRPr="00F90F82">
        <w:rPr>
          <w:b/>
          <w:iCs/>
          <w:caps/>
        </w:rPr>
        <w:t xml:space="preserve"> </w:t>
      </w:r>
      <w:r>
        <w:rPr>
          <w:b/>
          <w:iCs/>
          <w:caps/>
        </w:rPr>
        <w:t xml:space="preserve"> </w:t>
      </w:r>
      <w:r w:rsidRPr="003B1CC5">
        <w:rPr>
          <w:b/>
          <w:iCs/>
          <w:caps/>
        </w:rPr>
        <w:t>intermediate outcome, PROCESS, or STRUCTURE PERFORMANCE measure</w:t>
      </w:r>
      <w:r>
        <w:rPr>
          <w:b/>
          <w:iCs/>
          <w:caps/>
        </w:rPr>
        <w:t>s, including those that are instrument-based)</w:t>
      </w:r>
      <w:r w:rsidRPr="003B1CC5">
        <w:rPr>
          <w:b/>
          <w:iCs/>
        </w:rPr>
        <w:t xml:space="preserve"> </w:t>
      </w:r>
      <w:r>
        <w:rPr>
          <w:b/>
          <w:iCs/>
        </w:rPr>
        <w:t xml:space="preserve">If the evidence is not based on a systematic review go to section 1a.4) If you wish to include more than one systematic review, add additional tables. </w:t>
      </w:r>
    </w:p>
    <w:p w14:paraId="262B9D10" w14:textId="77777777" w:rsidR="008B7BA7" w:rsidRDefault="008B7BA7" w:rsidP="008B7BA7">
      <w:pPr>
        <w:ind w:left="0" w:firstLine="0"/>
        <w:rPr>
          <w:i/>
          <w:iCs/>
        </w:rPr>
      </w:pPr>
    </w:p>
    <w:p w14:paraId="7235473A" w14:textId="77777777" w:rsidR="008B7BA7" w:rsidRPr="00A9011D" w:rsidRDefault="008B7BA7" w:rsidP="008B7BA7">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00FA62CD" w14:textId="77777777" w:rsidR="008B7BA7" w:rsidRPr="00A9011D" w:rsidRDefault="00D77B7A" w:rsidP="008B7BA7">
      <w:pPr>
        <w:ind w:left="0" w:firstLine="0"/>
        <w:rPr>
          <w:rFonts w:ascii="Calibri" w:eastAsia="Calibri" w:hAnsi="Calibri" w:cs="Times New Roman"/>
        </w:rPr>
      </w:pPr>
      <w:sdt>
        <w:sdtPr>
          <w:rPr>
            <w:bCs/>
            <w:color w:val="0000FF"/>
          </w:rPr>
          <w:id w:val="1583252490"/>
          <w14:checkbox>
            <w14:checked w14:val="1"/>
            <w14:checkedState w14:val="2612" w14:font="MS Gothic"/>
            <w14:uncheckedState w14:val="2610" w14:font="MS Gothic"/>
          </w14:checkbox>
        </w:sdtPr>
        <w:sdtEndPr/>
        <w:sdtContent>
          <w:r w:rsidR="008B7BA7">
            <w:rPr>
              <w:rFonts w:ascii="MS Gothic" w:eastAsia="MS Gothic" w:hAnsi="MS Gothic" w:hint="eastAsia"/>
              <w:bCs/>
              <w:color w:val="0000FF"/>
            </w:rPr>
            <w:t>☒</w:t>
          </w:r>
        </w:sdtContent>
      </w:sdt>
      <w:r w:rsidR="008B7BA7" w:rsidRPr="003B1CC5">
        <w:t xml:space="preserve"> </w:t>
      </w:r>
      <w:r w:rsidR="008B7BA7" w:rsidRPr="00A9011D">
        <w:rPr>
          <w:rFonts w:ascii="Calibri" w:eastAsia="Calibri" w:hAnsi="Calibri" w:cs="Times New Roman"/>
        </w:rPr>
        <w:t xml:space="preserve">Clinical Practice Guideline recommendation </w:t>
      </w:r>
      <w:r w:rsidR="008B7BA7">
        <w:rPr>
          <w:rFonts w:ascii="Calibri" w:eastAsia="Calibri" w:hAnsi="Calibri" w:cs="Times New Roman"/>
        </w:rPr>
        <w:t>(with evidence review)</w:t>
      </w:r>
    </w:p>
    <w:p w14:paraId="20AD0726" w14:textId="77777777" w:rsidR="008B7BA7" w:rsidRPr="00A9011D" w:rsidRDefault="008B7BA7" w:rsidP="008B7BA7">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28F80AE2" w14:textId="77777777" w:rsidR="008B7BA7" w:rsidRPr="00A9011D" w:rsidRDefault="008B7BA7" w:rsidP="008B7BA7">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4EC6496B" w14:textId="77777777" w:rsidR="008B7BA7" w:rsidRDefault="008B7BA7" w:rsidP="008B7BA7">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w:t>
      </w:r>
    </w:p>
    <w:p w14:paraId="27FB70BE" w14:textId="77777777" w:rsidR="008B7BA7" w:rsidRDefault="008B7BA7" w:rsidP="008B7BA7">
      <w:pPr>
        <w:ind w:left="0" w:firstLine="0"/>
        <w:rPr>
          <w:rFonts w:ascii="Calibri" w:eastAsia="Calibri" w:hAnsi="Calibri" w:cs="Times New Roman"/>
        </w:rPr>
      </w:pPr>
    </w:p>
    <w:tbl>
      <w:tblPr>
        <w:tblStyle w:val="TableGrid"/>
        <w:tblW w:w="0" w:type="auto"/>
        <w:tblLook w:val="04A0" w:firstRow="1" w:lastRow="0" w:firstColumn="1" w:lastColumn="0" w:noHBand="0" w:noVBand="1"/>
      </w:tblPr>
      <w:tblGrid>
        <w:gridCol w:w="1495"/>
        <w:gridCol w:w="7855"/>
      </w:tblGrid>
      <w:tr w:rsidR="006F334B" w:rsidRPr="00371E29" w14:paraId="21C2C177" w14:textId="77777777" w:rsidTr="00D12028">
        <w:tc>
          <w:tcPr>
            <w:tcW w:w="3927" w:type="dxa"/>
          </w:tcPr>
          <w:p w14:paraId="020E774A" w14:textId="77777777" w:rsidR="006F334B" w:rsidRPr="00371E29" w:rsidRDefault="006F334B" w:rsidP="00D12028">
            <w:pPr>
              <w:ind w:left="0" w:firstLine="0"/>
              <w:rPr>
                <w:rFonts w:ascii="Calibri" w:hAnsi="Calibri" w:cs="Calibri"/>
                <w:b/>
              </w:rPr>
            </w:pPr>
            <w:r w:rsidRPr="00371E29">
              <w:rPr>
                <w:rFonts w:ascii="Calibri" w:hAnsi="Calibri" w:cs="Calibri"/>
                <w:b/>
              </w:rPr>
              <w:t>Source of Systematic Review:</w:t>
            </w:r>
          </w:p>
          <w:p w14:paraId="000309C9" w14:textId="77777777" w:rsidR="006F334B" w:rsidRPr="00371E29" w:rsidRDefault="006F334B" w:rsidP="00D12028">
            <w:pPr>
              <w:pStyle w:val="ListParagraph"/>
              <w:numPr>
                <w:ilvl w:val="0"/>
                <w:numId w:val="9"/>
              </w:numPr>
              <w:rPr>
                <w:rFonts w:ascii="Calibri" w:hAnsi="Calibri" w:cs="Calibri"/>
                <w:b/>
              </w:rPr>
            </w:pPr>
            <w:r w:rsidRPr="00371E29">
              <w:rPr>
                <w:rFonts w:ascii="Calibri" w:hAnsi="Calibri" w:cs="Calibri"/>
                <w:b/>
              </w:rPr>
              <w:t>Title</w:t>
            </w:r>
          </w:p>
          <w:p w14:paraId="0F9B0478" w14:textId="77777777" w:rsidR="006F334B" w:rsidRPr="00371E29" w:rsidRDefault="006F334B" w:rsidP="00D12028">
            <w:pPr>
              <w:pStyle w:val="ListParagraph"/>
              <w:numPr>
                <w:ilvl w:val="0"/>
                <w:numId w:val="9"/>
              </w:numPr>
              <w:rPr>
                <w:rFonts w:ascii="Calibri" w:hAnsi="Calibri" w:cs="Calibri"/>
                <w:b/>
              </w:rPr>
            </w:pPr>
            <w:r w:rsidRPr="00371E29">
              <w:rPr>
                <w:rFonts w:ascii="Calibri" w:hAnsi="Calibri" w:cs="Calibri"/>
                <w:b/>
              </w:rPr>
              <w:t>Author</w:t>
            </w:r>
          </w:p>
          <w:p w14:paraId="49072CA8" w14:textId="77777777" w:rsidR="006F334B" w:rsidRPr="00371E29" w:rsidRDefault="006F334B" w:rsidP="00D12028">
            <w:pPr>
              <w:pStyle w:val="ListParagraph"/>
              <w:numPr>
                <w:ilvl w:val="0"/>
                <w:numId w:val="9"/>
              </w:numPr>
              <w:rPr>
                <w:rFonts w:ascii="Calibri" w:hAnsi="Calibri" w:cs="Calibri"/>
                <w:b/>
              </w:rPr>
            </w:pPr>
            <w:r w:rsidRPr="00371E29">
              <w:rPr>
                <w:rFonts w:ascii="Calibri" w:hAnsi="Calibri" w:cs="Calibri"/>
                <w:b/>
              </w:rPr>
              <w:t>Date</w:t>
            </w:r>
          </w:p>
          <w:p w14:paraId="3348F383" w14:textId="77777777" w:rsidR="006F334B" w:rsidRPr="00371E29" w:rsidRDefault="006F334B" w:rsidP="00D12028">
            <w:pPr>
              <w:pStyle w:val="ListParagraph"/>
              <w:numPr>
                <w:ilvl w:val="0"/>
                <w:numId w:val="9"/>
              </w:numPr>
              <w:rPr>
                <w:rFonts w:ascii="Calibri" w:hAnsi="Calibri" w:cs="Calibri"/>
                <w:b/>
              </w:rPr>
            </w:pPr>
            <w:r w:rsidRPr="00371E29">
              <w:rPr>
                <w:rFonts w:ascii="Calibri" w:hAnsi="Calibri" w:cs="Calibri"/>
                <w:b/>
              </w:rPr>
              <w:t>Citation, including page number</w:t>
            </w:r>
          </w:p>
          <w:p w14:paraId="10B2B133" w14:textId="77777777" w:rsidR="006F334B" w:rsidRPr="00371E29" w:rsidRDefault="006F334B" w:rsidP="00D12028">
            <w:pPr>
              <w:pStyle w:val="ListParagraph"/>
              <w:numPr>
                <w:ilvl w:val="0"/>
                <w:numId w:val="9"/>
              </w:numPr>
              <w:rPr>
                <w:rFonts w:ascii="Calibri" w:hAnsi="Calibri" w:cs="Calibri"/>
                <w:b/>
              </w:rPr>
            </w:pPr>
            <w:r w:rsidRPr="00371E29">
              <w:rPr>
                <w:rFonts w:ascii="Calibri" w:hAnsi="Calibri" w:cs="Calibri"/>
                <w:b/>
              </w:rPr>
              <w:t>URL</w:t>
            </w:r>
          </w:p>
        </w:tc>
        <w:tc>
          <w:tcPr>
            <w:tcW w:w="5649" w:type="dxa"/>
          </w:tcPr>
          <w:p w14:paraId="3244A561" w14:textId="77777777" w:rsidR="006F334B" w:rsidRPr="001C707E" w:rsidRDefault="006F334B" w:rsidP="00D12028">
            <w:pPr>
              <w:widowControl w:val="0"/>
              <w:autoSpaceDE w:val="0"/>
              <w:autoSpaceDN w:val="0"/>
              <w:adjustRightInd w:val="0"/>
              <w:spacing w:after="240"/>
              <w:ind w:left="0" w:firstLine="0"/>
              <w:rPr>
                <w:rFonts w:cs="Times"/>
              </w:rPr>
            </w:pPr>
            <w:r w:rsidRPr="001C707E">
              <w:rPr>
                <w:rFonts w:cs="Times"/>
              </w:rPr>
              <w:t xml:space="preserve">Yancy CW, Jessup M, Bozkurt B, Butler J, Casey DE Jr, Drazner MH, Fonarow GC, Geraci SA, Horwich T, Januzzi JL, Johnson MR, Kasper EK, Levy WC, Masoudi FA, McBride PE, McMurray JJV, Mitchell JE, Peterson PN, Riegel B, Sam F, Stevenson LW, Tang WHW, Tsai EJ, Wilkoff BL. 2013 ACCF/AHA guideline for the management of heart failure: a report of the American College of Cardiology Foundation/American Heart Association Task Force on Practice Guidelines. J Am Coll Cardiol 2013;62:e147–239. </w:t>
            </w:r>
          </w:p>
          <w:p w14:paraId="0E894864" w14:textId="77777777" w:rsidR="006F334B" w:rsidRPr="001C707E" w:rsidRDefault="00D77B7A" w:rsidP="00D12028">
            <w:pPr>
              <w:widowControl w:val="0"/>
              <w:autoSpaceDE w:val="0"/>
              <w:autoSpaceDN w:val="0"/>
              <w:adjustRightInd w:val="0"/>
              <w:spacing w:after="240"/>
              <w:ind w:left="0" w:firstLine="0"/>
              <w:rPr>
                <w:rStyle w:val="Hyperlink"/>
                <w:rFonts w:cs="Times"/>
              </w:rPr>
            </w:pPr>
            <w:hyperlink r:id="rId40" w:history="1">
              <w:r w:rsidR="006F334B" w:rsidRPr="001C707E">
                <w:rPr>
                  <w:rStyle w:val="Hyperlink"/>
                  <w:rFonts w:cs="Times"/>
                </w:rPr>
                <w:t>http://content.onlinejacc.org/article.aspx?articleid=1695825</w:t>
              </w:r>
            </w:hyperlink>
          </w:p>
          <w:p w14:paraId="43AAE91D" w14:textId="77777777" w:rsidR="006F334B" w:rsidRPr="006314FD" w:rsidRDefault="006F334B" w:rsidP="00D12028">
            <w:pPr>
              <w:widowControl w:val="0"/>
              <w:autoSpaceDE w:val="0"/>
              <w:autoSpaceDN w:val="0"/>
              <w:adjustRightInd w:val="0"/>
              <w:spacing w:after="240"/>
              <w:ind w:left="0" w:firstLine="0"/>
              <w:rPr>
                <w:rFonts w:cs="Times"/>
                <w:sz w:val="24"/>
                <w:szCs w:val="24"/>
              </w:rPr>
            </w:pPr>
            <w:r w:rsidRPr="00A12553">
              <w:rPr>
                <w:rFonts w:cs="Times"/>
              </w:rPr>
              <w:t xml:space="preserve">Smith SC Jr., Benjamin EJ, Bonow RO, Braun LT, Creager MA, Franklin BA, Gibbons RJ, Grundy SM, Hiratzka LF, Jones DW, Lloyd-Jones DM, Minissian M, Mosca L, Peterson ED, Sacco RL, Spertus J, Stein JH, Taubert KA. AHA/ACCF secondary prevention and risk reduction therapy for patients with coronary and other atherosclerotic vascular disease: 2011 update: a guideline from the American Heart Association and American College of Cardiology Foundation. Circulation. 2011: published online before print November 3, 2011, 10.1161/CIR.0b013e318235eb4d. </w:t>
            </w:r>
            <w:hyperlink r:id="rId41" w:history="1">
              <w:r w:rsidRPr="00A12553">
                <w:rPr>
                  <w:rStyle w:val="Hyperlink"/>
                  <w:rFonts w:cs="Times"/>
                </w:rPr>
                <w:t>http://content.onlinejacc.org/article.aspx?articleid=1147807</w:t>
              </w:r>
            </w:hyperlink>
          </w:p>
          <w:p w14:paraId="296E5CC6" w14:textId="6E2CC2E2" w:rsidR="00413EF9" w:rsidRDefault="00413EF9" w:rsidP="007953E4">
            <w:pPr>
              <w:ind w:left="0" w:hanging="16"/>
              <w:rPr>
                <w:rFonts w:eastAsia="Times New Roman"/>
              </w:rPr>
            </w:pPr>
            <w:r w:rsidRPr="00413EF9">
              <w:rPr>
                <w:rFonts w:cs="Times Roman"/>
                <w:color w:val="FF0000"/>
              </w:rPr>
              <w:t xml:space="preserve">Yancy CW, Jessup M, Bozkurt B, Butler J, Casey DE Jr, Colvin MM, Drazner MH, Filippatos GS, Fonarow GC, Givertz MM, Hollenberg SM, Lindenfeld J, Masoudi FA, McBride PE, Peterson PN, Stevenson LW, Westlake C. 2017 ACC/AHA/HFSA focused update of the 2013 ACCF/AHA guideline for the management of heart failure: a report of the American College of Cardiology/American Heart Association Task Force on Clinical Practice Guidelines and the Heart Failure Society of America. J Am Coll Cardiol. 2017;70:776–803. </w:t>
            </w:r>
            <w:hyperlink r:id="rId42" w:history="1">
              <w:r w:rsidR="007953E4">
                <w:rPr>
                  <w:rStyle w:val="Hyperlink"/>
                  <w:rFonts w:ascii="Calibri" w:eastAsia="Times New Roman" w:hAnsi="Calibri"/>
                  <w:color w:val="954F72"/>
                </w:rPr>
                <w:t>http://www.onlinejacc.org/content/accj/72/14/e91.full.pdf?_ga=2.238225088.1385433901.1570125164-1634948755.1534437338</w:t>
              </w:r>
            </w:hyperlink>
          </w:p>
          <w:p w14:paraId="463D39BC" w14:textId="77777777" w:rsidR="007953E4" w:rsidRPr="007953E4" w:rsidRDefault="007953E4" w:rsidP="007953E4">
            <w:pPr>
              <w:ind w:left="0" w:hanging="16"/>
              <w:rPr>
                <w:rFonts w:eastAsia="Times New Roman"/>
              </w:rPr>
            </w:pPr>
          </w:p>
          <w:p w14:paraId="7A3DF61C" w14:textId="77777777" w:rsidR="006F334B" w:rsidRDefault="006F334B" w:rsidP="007953E4">
            <w:pPr>
              <w:ind w:left="0" w:hanging="14"/>
              <w:rPr>
                <w:rFonts w:eastAsia="Times New Roman"/>
              </w:rPr>
            </w:pPr>
            <w:r w:rsidRPr="00505210">
              <w:rPr>
                <w:rFonts w:cs="Times Roman"/>
                <w:color w:val="FF0000"/>
                <w:szCs w:val="16"/>
              </w:rPr>
              <w:t xml:space="preserve">Al-Khatib SM, Stevenson WG, Ackerman MJ, Bryant WJ, Callans DJ, Curtis AB, Deal BJ, Dickfeld T, Field ME, Fonarow GC, Gillis AM, Granger CB, Hammill SC, Hlatky MA, Joglar JA, Kay GN, Matlock DD, Myerburg RJ, Page RL. 2017 AHA/ACC/HRS guideline for management of patients with ventricular arrhythmias and the prevention of sudden cardiac death: a report of the American College of Cardiology Foundation/American Heart Association Task Force on Clinical Practice Guidelines and the Heart Rhythm Society. J Am Coll Cardiol 2018;72:e91–220. </w:t>
            </w:r>
            <w:hyperlink r:id="rId43" w:history="1">
              <w:r w:rsidR="007953E4">
                <w:rPr>
                  <w:rStyle w:val="Hyperlink"/>
                  <w:rFonts w:ascii="Calibri" w:eastAsia="Times New Roman" w:hAnsi="Calibri"/>
                  <w:color w:val="954F72"/>
                </w:rPr>
                <w:t>http://www.onlinejacc.org/content/accj/72/14/e91.full.pdf?_ga=2.238225088.1385433901.1570125164-1634948755.1534437338</w:t>
              </w:r>
            </w:hyperlink>
          </w:p>
          <w:p w14:paraId="2286A05C" w14:textId="2E2FC8FA" w:rsidR="007953E4" w:rsidRPr="007953E4" w:rsidRDefault="007953E4" w:rsidP="007953E4">
            <w:pPr>
              <w:rPr>
                <w:rFonts w:eastAsia="Times New Roman"/>
              </w:rPr>
            </w:pPr>
          </w:p>
        </w:tc>
      </w:tr>
      <w:tr w:rsidR="006F334B" w:rsidRPr="00371E29" w14:paraId="458315DB" w14:textId="77777777" w:rsidTr="00D12028">
        <w:tc>
          <w:tcPr>
            <w:tcW w:w="3927" w:type="dxa"/>
          </w:tcPr>
          <w:p w14:paraId="4784B61E" w14:textId="77777777" w:rsidR="006F334B" w:rsidRPr="00371E29" w:rsidRDefault="006F334B" w:rsidP="00D12028">
            <w:pPr>
              <w:ind w:left="0" w:firstLine="0"/>
              <w:rPr>
                <w:rFonts w:ascii="Calibri" w:hAnsi="Calibri" w:cs="Calibri"/>
              </w:rPr>
            </w:pPr>
            <w:r w:rsidRPr="00371E29">
              <w:rPr>
                <w:rFonts w:ascii="Calibri" w:hAnsi="Calibri" w:cs="Calibri"/>
              </w:rPr>
              <w:t>Quote the guideline or recommendation verbatim about the process, structure or intermediate outcome being measured. If not a guideline, summarize the conclusions from the SR.</w:t>
            </w:r>
          </w:p>
        </w:tc>
        <w:tc>
          <w:tcPr>
            <w:tcW w:w="5649" w:type="dxa"/>
          </w:tcPr>
          <w:p w14:paraId="494B661A" w14:textId="11B8FFB7" w:rsidR="006F334B" w:rsidRPr="00E2579B" w:rsidRDefault="006F334B" w:rsidP="00D12028">
            <w:pPr>
              <w:ind w:left="0" w:firstLine="0"/>
              <w:rPr>
                <w:rFonts w:cs="Times"/>
              </w:rPr>
            </w:pPr>
            <w:r w:rsidRPr="00E2579B">
              <w:rPr>
                <w:rFonts w:cs="Times"/>
              </w:rPr>
              <w:t>2013 ACCF/AHA Guideline for the Management of Heart Failure (</w:t>
            </w:r>
            <w:r w:rsidR="003F1152" w:rsidRPr="002D2E04">
              <w:rPr>
                <w:rFonts w:cs="Times"/>
              </w:rPr>
              <w:t>e169</w:t>
            </w:r>
            <w:r w:rsidR="003F1152">
              <w:rPr>
                <w:rFonts w:cs="Times"/>
              </w:rPr>
              <w:t>-170, 174-175, 195</w:t>
            </w:r>
            <w:r w:rsidRPr="00E2579B">
              <w:rPr>
                <w:rFonts w:cs="Times"/>
              </w:rPr>
              <w:t>)</w:t>
            </w:r>
          </w:p>
          <w:p w14:paraId="6C98DF0A" w14:textId="77777777" w:rsidR="006F334B" w:rsidRDefault="006F334B" w:rsidP="00D12028">
            <w:pPr>
              <w:ind w:left="0" w:firstLine="0"/>
            </w:pPr>
            <w:r>
              <w:t>Stages of Heart Failure:</w:t>
            </w:r>
          </w:p>
          <w:p w14:paraId="3FB17C8B" w14:textId="77777777" w:rsidR="006F334B" w:rsidRDefault="006F334B" w:rsidP="00D12028">
            <w:pPr>
              <w:ind w:left="0" w:firstLine="0"/>
            </w:pPr>
            <w:r>
              <w:t>Stage A: At high risk for HF, but without structural heart disease or symptoms of Failure</w:t>
            </w:r>
          </w:p>
          <w:p w14:paraId="1703A85B" w14:textId="77777777" w:rsidR="006F334B" w:rsidRDefault="006F334B" w:rsidP="00D12028">
            <w:pPr>
              <w:ind w:left="0" w:firstLine="0"/>
            </w:pPr>
            <w:r>
              <w:t>Stage B: Structural heart disease, but without signs or symptoms of HF</w:t>
            </w:r>
          </w:p>
          <w:p w14:paraId="025E65F5" w14:textId="77777777" w:rsidR="006F334B" w:rsidRDefault="006F334B" w:rsidP="00D12028">
            <w:pPr>
              <w:ind w:left="0" w:firstLine="0"/>
            </w:pPr>
            <w:r>
              <w:t>Stage C: Structural heart disease with prior or current symptoms of HF</w:t>
            </w:r>
          </w:p>
          <w:p w14:paraId="7A7A12A3" w14:textId="77777777" w:rsidR="006F334B" w:rsidRDefault="006F334B" w:rsidP="00D12028">
            <w:pPr>
              <w:ind w:left="0" w:firstLine="0"/>
            </w:pPr>
            <w:r>
              <w:t>Stage D: Refractory HF requiring specialized interventions</w:t>
            </w:r>
          </w:p>
          <w:p w14:paraId="3829DE9E" w14:textId="77777777" w:rsidR="006F334B" w:rsidRPr="00E2579B" w:rsidRDefault="006F334B" w:rsidP="00D12028">
            <w:pPr>
              <w:ind w:left="0" w:firstLine="0"/>
            </w:pPr>
          </w:p>
          <w:p w14:paraId="71BD1DEE" w14:textId="77777777" w:rsidR="003F1152" w:rsidRPr="0029357A" w:rsidRDefault="003F1152" w:rsidP="003F1152">
            <w:pPr>
              <w:widowControl w:val="0"/>
              <w:autoSpaceDE w:val="0"/>
              <w:autoSpaceDN w:val="0"/>
              <w:adjustRightInd w:val="0"/>
              <w:spacing w:after="240"/>
              <w:ind w:left="0" w:firstLine="0"/>
              <w:rPr>
                <w:rFonts w:cs="Times"/>
              </w:rPr>
            </w:pPr>
            <w:r w:rsidRPr="0029357A">
              <w:rPr>
                <w:rFonts w:cs="Times"/>
              </w:rPr>
              <w:t>Stage B recommendations (e169-170):</w:t>
            </w:r>
          </w:p>
          <w:p w14:paraId="7F321DEE" w14:textId="77777777" w:rsidR="003F1152" w:rsidRPr="0029357A" w:rsidRDefault="003F1152" w:rsidP="004F6615">
            <w:pPr>
              <w:pStyle w:val="ListParagraph"/>
              <w:widowControl w:val="0"/>
              <w:numPr>
                <w:ilvl w:val="0"/>
                <w:numId w:val="34"/>
              </w:numPr>
              <w:autoSpaceDE w:val="0"/>
              <w:autoSpaceDN w:val="0"/>
              <w:adjustRightInd w:val="0"/>
              <w:spacing w:after="240"/>
            </w:pPr>
            <w:r w:rsidRPr="0029357A">
              <w:rPr>
                <w:rFonts w:cs="Times"/>
              </w:rPr>
              <w:t xml:space="preserve">In all patients with a recent or remote history of MI or ACS and reduced EF, ACE inhibitors should be used to prevent symptomatic HF and reduce mortality. In patients intolerant of ACE inhibitors, ARBs are appropriate unless contraindicated. </w:t>
            </w:r>
            <w:r w:rsidRPr="0029357A">
              <w:rPr>
                <w:b/>
              </w:rPr>
              <w:t>Class I; Level of Evidence: A</w:t>
            </w:r>
          </w:p>
          <w:p w14:paraId="40B33802" w14:textId="77777777" w:rsidR="003F1152" w:rsidRPr="0029357A" w:rsidRDefault="003F1152" w:rsidP="004F6615">
            <w:pPr>
              <w:pStyle w:val="ListParagraph"/>
              <w:widowControl w:val="0"/>
              <w:numPr>
                <w:ilvl w:val="0"/>
                <w:numId w:val="34"/>
              </w:numPr>
              <w:autoSpaceDE w:val="0"/>
              <w:autoSpaceDN w:val="0"/>
              <w:adjustRightInd w:val="0"/>
              <w:spacing w:after="240"/>
              <w:rPr>
                <w:rFonts w:cs="Times"/>
              </w:rPr>
            </w:pPr>
            <w:r w:rsidRPr="0029357A">
              <w:rPr>
                <w:rFonts w:cs="Times"/>
              </w:rPr>
              <w:t>ACE inhibitors should be used in all patients with a reduced EF to prevent symptomatic HF, even if the</w:t>
            </w:r>
            <w:r>
              <w:rPr>
                <w:rFonts w:cs="Times"/>
              </w:rPr>
              <w:t xml:space="preserve">y do not have a history of MI. </w:t>
            </w:r>
            <w:r w:rsidRPr="0029357A">
              <w:t xml:space="preserve"> </w:t>
            </w:r>
            <w:r w:rsidRPr="0029357A">
              <w:rPr>
                <w:b/>
              </w:rPr>
              <w:t>Class I; Level of Evidence: A</w:t>
            </w:r>
          </w:p>
          <w:p w14:paraId="5F69FDD7" w14:textId="77777777" w:rsidR="006F334B" w:rsidRPr="00E2579B" w:rsidRDefault="006F334B" w:rsidP="00D12028">
            <w:pPr>
              <w:widowControl w:val="0"/>
              <w:autoSpaceDE w:val="0"/>
              <w:autoSpaceDN w:val="0"/>
              <w:adjustRightInd w:val="0"/>
              <w:spacing w:after="240"/>
              <w:ind w:left="0" w:firstLine="0"/>
              <w:rPr>
                <w:rFonts w:cs="Times"/>
              </w:rPr>
            </w:pPr>
            <w:r w:rsidRPr="00E2579B">
              <w:rPr>
                <w:rFonts w:cs="Times"/>
              </w:rPr>
              <w:t>AHA/ACCF secondary prevention and risk reduction therapy for patients with coronary and other atherosclerotic vascular disease: 2011 update (p. 2435)</w:t>
            </w:r>
          </w:p>
          <w:p w14:paraId="52B72ACB" w14:textId="77777777" w:rsidR="004F6615" w:rsidRPr="0029357A" w:rsidRDefault="004F6615" w:rsidP="004F6615">
            <w:pPr>
              <w:pStyle w:val="ListParagraph"/>
              <w:widowControl w:val="0"/>
              <w:numPr>
                <w:ilvl w:val="0"/>
                <w:numId w:val="33"/>
              </w:numPr>
              <w:autoSpaceDE w:val="0"/>
              <w:autoSpaceDN w:val="0"/>
              <w:adjustRightInd w:val="0"/>
              <w:spacing w:after="240"/>
              <w:rPr>
                <w:rFonts w:cs="Times"/>
              </w:rPr>
            </w:pPr>
            <w:r w:rsidRPr="0029357A">
              <w:rPr>
                <w:rFonts w:cs="Helvetica Neue"/>
              </w:rPr>
              <w:t xml:space="preserve">ACE inhibitors should be started and continued indefinitely in all patients with left ventricular ejection fraction </w:t>
            </w:r>
            <w:r>
              <w:rPr>
                <w:rFonts w:cs="Helvetica Neue"/>
              </w:rPr>
              <w:t>&lt;</w:t>
            </w:r>
            <w:r w:rsidRPr="0029357A">
              <w:rPr>
                <w:rFonts w:cs="Helvetica Neue"/>
              </w:rPr>
              <w:t xml:space="preserve">40% and in those with hypertension, diabetes, or chronic kidney disease, unless contraindicated. </w:t>
            </w:r>
            <w:r w:rsidRPr="0029357A">
              <w:rPr>
                <w:b/>
              </w:rPr>
              <w:t xml:space="preserve">Class I; </w:t>
            </w:r>
            <w:r w:rsidRPr="0029357A">
              <w:rPr>
                <w:rFonts w:cs="Times"/>
                <w:b/>
              </w:rPr>
              <w:t>Level of Evidence: A</w:t>
            </w:r>
          </w:p>
          <w:p w14:paraId="57F17EBE" w14:textId="77777777" w:rsidR="004F6615" w:rsidRPr="0029357A" w:rsidRDefault="004F6615" w:rsidP="004F6615">
            <w:pPr>
              <w:pStyle w:val="ListParagraph"/>
              <w:widowControl w:val="0"/>
              <w:numPr>
                <w:ilvl w:val="0"/>
                <w:numId w:val="33"/>
              </w:numPr>
              <w:autoSpaceDE w:val="0"/>
              <w:autoSpaceDN w:val="0"/>
              <w:adjustRightInd w:val="0"/>
              <w:spacing w:after="240"/>
              <w:rPr>
                <w:rFonts w:cs="Times"/>
              </w:rPr>
            </w:pPr>
            <w:r w:rsidRPr="0029357A">
              <w:rPr>
                <w:rFonts w:cs="Helvetica Neue"/>
              </w:rPr>
              <w:t xml:space="preserve">The use of ARBs is recommended in patients who have heart failure or who have had a myocardial infarction with left ventricular ejection fraction </w:t>
            </w:r>
            <w:r w:rsidRPr="0029357A">
              <w:rPr>
                <w:rFonts w:cs="Times"/>
              </w:rPr>
              <w:t>􏰆</w:t>
            </w:r>
            <w:r w:rsidRPr="0029357A">
              <w:rPr>
                <w:rFonts w:cs="Helvetica Neue"/>
              </w:rPr>
              <w:t>40% and w</w:t>
            </w:r>
            <w:r>
              <w:rPr>
                <w:rFonts w:cs="Helvetica Neue"/>
              </w:rPr>
              <w:t>ho are ACE-inhibitor intolerant</w:t>
            </w:r>
            <w:r w:rsidRPr="0029357A">
              <w:rPr>
                <w:rFonts w:cs="Helvetica Neue"/>
              </w:rPr>
              <w:t xml:space="preserve">. </w:t>
            </w:r>
            <w:r w:rsidRPr="0029357A">
              <w:rPr>
                <w:b/>
              </w:rPr>
              <w:t xml:space="preserve">Class I; </w:t>
            </w:r>
            <w:r w:rsidRPr="0029357A">
              <w:rPr>
                <w:rFonts w:cs="Times"/>
                <w:b/>
              </w:rPr>
              <w:t>Level of Evidence: A</w:t>
            </w:r>
          </w:p>
          <w:p w14:paraId="151323E6" w14:textId="1A54EC13" w:rsidR="00B91CBE" w:rsidRDefault="00B91CBE" w:rsidP="00D12028">
            <w:pPr>
              <w:widowControl w:val="0"/>
              <w:tabs>
                <w:tab w:val="left" w:pos="220"/>
                <w:tab w:val="left" w:pos="720"/>
              </w:tabs>
              <w:autoSpaceDE w:val="0"/>
              <w:autoSpaceDN w:val="0"/>
              <w:adjustRightInd w:val="0"/>
              <w:spacing w:after="186"/>
              <w:rPr>
                <w:rFonts w:cs="Times Roman"/>
                <w:color w:val="FF0000"/>
              </w:rPr>
            </w:pPr>
            <w:r w:rsidRPr="00413EF9">
              <w:rPr>
                <w:rFonts w:cs="Times Roman"/>
                <w:color w:val="FF0000"/>
              </w:rPr>
              <w:t>2017 ACC/AHA/HFSA focused update of the 2013 ACCF/AHA guideline for the management of heart failure</w:t>
            </w:r>
            <w:r>
              <w:rPr>
                <w:rFonts w:cs="Times Roman"/>
                <w:color w:val="FF0000"/>
              </w:rPr>
              <w:t xml:space="preserve"> (p. e784):</w:t>
            </w:r>
          </w:p>
          <w:p w14:paraId="46F14D40" w14:textId="22738895" w:rsidR="00B91CBE" w:rsidRPr="008364D1" w:rsidRDefault="00B91CBE" w:rsidP="00B91CBE">
            <w:pPr>
              <w:pStyle w:val="ListParagraph"/>
              <w:widowControl w:val="0"/>
              <w:numPr>
                <w:ilvl w:val="0"/>
                <w:numId w:val="36"/>
              </w:numPr>
              <w:autoSpaceDE w:val="0"/>
              <w:autoSpaceDN w:val="0"/>
              <w:adjustRightInd w:val="0"/>
              <w:spacing w:after="240" w:line="200" w:lineRule="atLeast"/>
              <w:rPr>
                <w:rFonts w:cs="Times Roman"/>
                <w:color w:val="FF0000"/>
              </w:rPr>
            </w:pPr>
            <w:r w:rsidRPr="000302B4">
              <w:rPr>
                <w:rFonts w:cs="Times Roman"/>
                <w:color w:val="FF0000"/>
              </w:rPr>
              <w:t>The clinical strategy of inhibition of the renin- angiotensin system with ACE inhibitors (128–133)</w:t>
            </w:r>
            <w:r w:rsidR="000302B4" w:rsidRPr="000302B4">
              <w:rPr>
                <w:rFonts w:cs="Times Roman"/>
                <w:color w:val="FF0000"/>
              </w:rPr>
              <w:t>, OR ARBs</w:t>
            </w:r>
            <w:r w:rsidRPr="000302B4">
              <w:rPr>
                <w:rFonts w:cs="Times Roman"/>
                <w:color w:val="FF0000"/>
              </w:rPr>
              <w:t xml:space="preserve"> (134–137), OR ARNI (138) in conjunction with evidence-based beta blockers (9,139,140), and aldosterone antagonists in selected patients (141,142), is recommended for patients with chronic HFrEF to reduce morbidity and mortality. </w:t>
            </w:r>
            <w:r w:rsidR="000302B4" w:rsidRPr="000302B4">
              <w:rPr>
                <w:b/>
                <w:color w:val="FF0000"/>
              </w:rPr>
              <w:t xml:space="preserve">Class I; ACE inhibitor: </w:t>
            </w:r>
            <w:r w:rsidR="000302B4" w:rsidRPr="000302B4">
              <w:rPr>
                <w:rFonts w:cs="Times"/>
                <w:b/>
                <w:color w:val="FF0000"/>
              </w:rPr>
              <w:t>Level of Evidence: A, ARBs: Level of Evidence: A or ARNI: Level of Evidence: B-R</w:t>
            </w:r>
          </w:p>
          <w:p w14:paraId="0DEDBECA" w14:textId="3AEF9EB9" w:rsidR="008364D1" w:rsidRPr="00B174FB" w:rsidRDefault="008364D1" w:rsidP="008364D1">
            <w:pPr>
              <w:pStyle w:val="ListParagraph"/>
              <w:widowControl w:val="0"/>
              <w:numPr>
                <w:ilvl w:val="0"/>
                <w:numId w:val="36"/>
              </w:numPr>
              <w:autoSpaceDE w:val="0"/>
              <w:autoSpaceDN w:val="0"/>
              <w:adjustRightInd w:val="0"/>
              <w:spacing w:after="240" w:line="200" w:lineRule="atLeast"/>
              <w:rPr>
                <w:rFonts w:cs="Times Roman"/>
                <w:color w:val="FF0000"/>
              </w:rPr>
            </w:pPr>
            <w:r w:rsidRPr="00B174FB">
              <w:rPr>
                <w:rFonts w:cs="Times Roman"/>
                <w:color w:val="FF0000"/>
              </w:rPr>
              <w:t xml:space="preserve">The use of ACE inhibitors is beneficial for patients with prior or current symptoms of chronic HFrEF to reduce  morbidity and mortality. </w:t>
            </w:r>
            <w:r w:rsidRPr="00B174FB">
              <w:rPr>
                <w:b/>
                <w:color w:val="FF0000"/>
              </w:rPr>
              <w:t xml:space="preserve">Class I; </w:t>
            </w:r>
            <w:r w:rsidRPr="00B174FB">
              <w:rPr>
                <w:rFonts w:cs="Times"/>
                <w:b/>
                <w:color w:val="FF0000"/>
              </w:rPr>
              <w:t>Level of Evidence: A</w:t>
            </w:r>
            <w:r w:rsidRPr="00B174FB">
              <w:rPr>
                <w:rFonts w:cs="Times"/>
                <w:color w:val="FF0000"/>
              </w:rPr>
              <w:t xml:space="preserve"> </w:t>
            </w:r>
          </w:p>
          <w:p w14:paraId="7E13B05A" w14:textId="425A7307" w:rsidR="008364D1" w:rsidRDefault="00B174FB" w:rsidP="0043073A">
            <w:pPr>
              <w:pStyle w:val="ListParagraph"/>
              <w:widowControl w:val="0"/>
              <w:numPr>
                <w:ilvl w:val="0"/>
                <w:numId w:val="34"/>
              </w:numPr>
              <w:autoSpaceDE w:val="0"/>
              <w:autoSpaceDN w:val="0"/>
              <w:adjustRightInd w:val="0"/>
              <w:spacing w:after="240"/>
              <w:rPr>
                <w:rFonts w:cs="Times"/>
                <w:color w:val="FF0000"/>
              </w:rPr>
            </w:pPr>
            <w:r w:rsidRPr="00B174FB">
              <w:rPr>
                <w:rFonts w:cs="Times"/>
                <w:color w:val="FF0000"/>
              </w:rPr>
              <w:t xml:space="preserve">The use of </w:t>
            </w:r>
            <w:r w:rsidR="008364D1" w:rsidRPr="00B174FB">
              <w:rPr>
                <w:rFonts w:cs="Times"/>
                <w:color w:val="FF0000"/>
              </w:rPr>
              <w:t xml:space="preserve">ARBs </w:t>
            </w:r>
            <w:r w:rsidRPr="00B174FB">
              <w:rPr>
                <w:rFonts w:cs="Times"/>
                <w:color w:val="FF0000"/>
              </w:rPr>
              <w:t>to reduce morbidity and mortality is</w:t>
            </w:r>
            <w:r w:rsidR="008364D1" w:rsidRPr="00B174FB">
              <w:rPr>
                <w:rFonts w:cs="Times"/>
                <w:color w:val="FF0000"/>
              </w:rPr>
              <w:t xml:space="preserve"> recommended in patients </w:t>
            </w:r>
            <w:r w:rsidRPr="00B174FB">
              <w:rPr>
                <w:rFonts w:cs="Times"/>
                <w:color w:val="FF0000"/>
              </w:rPr>
              <w:t xml:space="preserve">with prior or current symptoms of chronic </w:t>
            </w:r>
            <w:r w:rsidR="008364D1" w:rsidRPr="00B174FB">
              <w:rPr>
                <w:rFonts w:cs="Times"/>
                <w:color w:val="FF0000"/>
              </w:rPr>
              <w:t>HFrEF who are intolerant</w:t>
            </w:r>
            <w:r w:rsidRPr="00B174FB">
              <w:rPr>
                <w:rFonts w:cs="Times"/>
                <w:color w:val="FF0000"/>
              </w:rPr>
              <w:t xml:space="preserve"> to ACE inhibitors because of cough or angioedema</w:t>
            </w:r>
            <w:r w:rsidR="008364D1" w:rsidRPr="00B174FB">
              <w:rPr>
                <w:rFonts w:cs="Times"/>
                <w:color w:val="FF0000"/>
              </w:rPr>
              <w:t xml:space="preserve">. </w:t>
            </w:r>
            <w:r w:rsidR="008364D1" w:rsidRPr="00B174FB">
              <w:rPr>
                <w:b/>
                <w:color w:val="FF0000"/>
              </w:rPr>
              <w:t xml:space="preserve">Class I; </w:t>
            </w:r>
            <w:r w:rsidR="008364D1" w:rsidRPr="00B174FB">
              <w:rPr>
                <w:rFonts w:cs="Times"/>
                <w:b/>
                <w:color w:val="FF0000"/>
              </w:rPr>
              <w:t>Level of Evidence: A</w:t>
            </w:r>
            <w:r w:rsidR="008364D1" w:rsidRPr="00B174FB">
              <w:rPr>
                <w:rFonts w:cs="Times"/>
                <w:color w:val="FF0000"/>
              </w:rPr>
              <w:t xml:space="preserve"> </w:t>
            </w:r>
          </w:p>
          <w:p w14:paraId="01E41531" w14:textId="6AF0BB1B" w:rsidR="0057003E" w:rsidRPr="0043073A" w:rsidRDefault="0057003E" w:rsidP="0043073A">
            <w:pPr>
              <w:pStyle w:val="ListParagraph"/>
              <w:widowControl w:val="0"/>
              <w:numPr>
                <w:ilvl w:val="0"/>
                <w:numId w:val="34"/>
              </w:numPr>
              <w:autoSpaceDE w:val="0"/>
              <w:autoSpaceDN w:val="0"/>
              <w:adjustRightInd w:val="0"/>
              <w:spacing w:after="240"/>
              <w:rPr>
                <w:rFonts w:cs="Times"/>
                <w:color w:val="FF0000"/>
              </w:rPr>
            </w:pPr>
            <w:r w:rsidRPr="000728E8">
              <w:rPr>
                <w:rFonts w:eastAsia="Times New Roman"/>
                <w:color w:val="FF0000"/>
                <w:szCs w:val="19"/>
              </w:rPr>
              <w:t>In patients with chronic symptomatic HFrEF NYHA class II or III who tolerate an ACE inhibitor or ARB, replacement by an ARNI is recommended to further reduce morbidity and mortality (138).</w:t>
            </w:r>
            <w:r w:rsidR="000728E8">
              <w:rPr>
                <w:rFonts w:ascii="Helvetica" w:eastAsia="Times New Roman" w:hAnsi="Helvetica"/>
                <w:sz w:val="19"/>
                <w:szCs w:val="19"/>
              </w:rPr>
              <w:t xml:space="preserve"> </w:t>
            </w:r>
            <w:r w:rsidR="000728E8" w:rsidRPr="00B174FB">
              <w:rPr>
                <w:b/>
                <w:color w:val="FF0000"/>
              </w:rPr>
              <w:t xml:space="preserve">Class I; </w:t>
            </w:r>
            <w:r w:rsidR="000728E8" w:rsidRPr="00B174FB">
              <w:rPr>
                <w:rFonts w:cs="Times"/>
                <w:b/>
                <w:color w:val="FF0000"/>
              </w:rPr>
              <w:t xml:space="preserve">Level of Evidence: </w:t>
            </w:r>
            <w:r w:rsidR="000728E8">
              <w:rPr>
                <w:rFonts w:cs="Times"/>
                <w:b/>
                <w:color w:val="FF0000"/>
              </w:rPr>
              <w:t>B-R</w:t>
            </w:r>
          </w:p>
          <w:p w14:paraId="1BEB1B7D" w14:textId="77777777" w:rsidR="006F334B" w:rsidRPr="003C6AAA" w:rsidRDefault="006F334B" w:rsidP="00D12028">
            <w:pPr>
              <w:widowControl w:val="0"/>
              <w:tabs>
                <w:tab w:val="left" w:pos="220"/>
                <w:tab w:val="left" w:pos="720"/>
              </w:tabs>
              <w:autoSpaceDE w:val="0"/>
              <w:autoSpaceDN w:val="0"/>
              <w:adjustRightInd w:val="0"/>
              <w:spacing w:after="186"/>
              <w:rPr>
                <w:rFonts w:cs="Times"/>
                <w:color w:val="FF0000"/>
              </w:rPr>
            </w:pPr>
            <w:r w:rsidRPr="003C6AAA">
              <w:rPr>
                <w:rFonts w:cs="Times Roman"/>
                <w:color w:val="FF0000"/>
              </w:rPr>
              <w:t>2017 AHA/ACC/HRS guideline for management of patients with ventricular arrhythmias and the prevention of sudden cardiac death (p. e116):</w:t>
            </w:r>
          </w:p>
          <w:p w14:paraId="258A4B9A" w14:textId="77777777" w:rsidR="006F334B" w:rsidRPr="003C6AAA" w:rsidRDefault="006F334B" w:rsidP="00D12028">
            <w:pPr>
              <w:widowControl w:val="0"/>
              <w:numPr>
                <w:ilvl w:val="0"/>
                <w:numId w:val="25"/>
              </w:numPr>
              <w:tabs>
                <w:tab w:val="left" w:pos="220"/>
                <w:tab w:val="left" w:pos="720"/>
              </w:tabs>
              <w:autoSpaceDE w:val="0"/>
              <w:autoSpaceDN w:val="0"/>
              <w:adjustRightInd w:val="0"/>
              <w:spacing w:after="213"/>
              <w:rPr>
                <w:rFonts w:cs="Times"/>
              </w:rPr>
            </w:pPr>
            <w:r>
              <w:rPr>
                <w:rFonts w:cs="Times Roman"/>
                <w:color w:val="FF0000"/>
              </w:rPr>
              <w:t xml:space="preserve">In patients with HFrEF (LVEF </w:t>
            </w:r>
            <w:r w:rsidRPr="008D1376">
              <w:rPr>
                <w:rFonts w:cs="Times Roman"/>
                <w:color w:val="FF0000"/>
                <w:u w:val="single"/>
              </w:rPr>
              <w:t>&lt;</w:t>
            </w:r>
            <w:r w:rsidRPr="003C6AAA">
              <w:rPr>
                <w:rFonts w:cs="Times Roman"/>
                <w:color w:val="FF0000"/>
              </w:rPr>
              <w:t xml:space="preserve">40%), treatment with a beta blocker, a mineralocorticoid receptor antagonist and either an angiotensin-converting enzyme inhibitor, an angiotensin-receptor blocker, or an angiotensin receptor-neprilysin inhibitor is recommended to reduce SCD and all-cause mortality. </w:t>
            </w:r>
            <w:r w:rsidRPr="003C6AAA">
              <w:rPr>
                <w:rFonts w:cs="Helvetica Neue"/>
                <w:b/>
                <w:bCs/>
                <w:iCs/>
                <w:color w:val="FF0000"/>
              </w:rPr>
              <w:t>Class I: Level of Evidence: A</w:t>
            </w:r>
          </w:p>
        </w:tc>
      </w:tr>
      <w:tr w:rsidR="006F334B" w:rsidRPr="00371E29" w14:paraId="112D457C" w14:textId="77777777" w:rsidTr="00D12028">
        <w:tc>
          <w:tcPr>
            <w:tcW w:w="3927" w:type="dxa"/>
          </w:tcPr>
          <w:p w14:paraId="50EA5444" w14:textId="322D5A81" w:rsidR="006F334B" w:rsidRPr="00371E29" w:rsidRDefault="006F334B" w:rsidP="00D12028">
            <w:pPr>
              <w:ind w:left="0" w:firstLine="0"/>
              <w:rPr>
                <w:rFonts w:ascii="Calibri" w:hAnsi="Calibri" w:cs="Calibri"/>
              </w:rPr>
            </w:pPr>
            <w:r w:rsidRPr="00371E29">
              <w:rPr>
                <w:rFonts w:ascii="Calibri" w:hAnsi="Calibri" w:cs="Calibri"/>
              </w:rPr>
              <w:t xml:space="preserve">Grade assigned to the </w:t>
            </w:r>
            <w:r w:rsidRPr="00371E29">
              <w:rPr>
                <w:rFonts w:ascii="Calibri" w:hAnsi="Calibri" w:cs="Calibri"/>
                <w:b/>
              </w:rPr>
              <w:t>evidence</w:t>
            </w:r>
            <w:r w:rsidRPr="00371E29">
              <w:rPr>
                <w:rFonts w:ascii="Calibri" w:hAnsi="Calibri" w:cs="Calibri"/>
              </w:rPr>
              <w:t xml:space="preserve"> associated with the recommendation with the definition of the grade</w:t>
            </w:r>
          </w:p>
        </w:tc>
        <w:tc>
          <w:tcPr>
            <w:tcW w:w="5649" w:type="dxa"/>
          </w:tcPr>
          <w:p w14:paraId="6696B57F" w14:textId="77777777" w:rsidR="005805A7" w:rsidRDefault="005805A7" w:rsidP="005805A7">
            <w:pPr>
              <w:ind w:left="0" w:firstLine="0"/>
            </w:pPr>
            <w:r>
              <w:t>The weight of the evidence in support of most of the recommendations included are rated as Level A, Level B and Level C, as noted following each statement. Level A evidence refers to “Data derived from multiple randomized clinical trials or meta-analyses.” The weight of the evidence in support of additional recommendations is rated as Level B and C. Level B evidence refers to “Data derived from a single randomized trial, or nonrandomized studies” while Level C evidence refers to “Only consensus opinion of experts, case studies, or standard-of-care.”</w:t>
            </w:r>
          </w:p>
          <w:p w14:paraId="3EBDB017" w14:textId="77777777" w:rsidR="005805A7" w:rsidRDefault="005805A7" w:rsidP="005805A7">
            <w:pPr>
              <w:ind w:left="0" w:firstLine="0"/>
            </w:pPr>
          </w:p>
          <w:p w14:paraId="0E192BDD" w14:textId="77777777" w:rsidR="005805A7" w:rsidRDefault="005805A7" w:rsidP="005805A7">
            <w:pPr>
              <w:ind w:left="0" w:firstLine="0"/>
            </w:pPr>
            <w:r>
              <w:t>For guidelines released from 2015 forward:</w:t>
            </w:r>
          </w:p>
          <w:p w14:paraId="48AF8926" w14:textId="76B47807" w:rsidR="006F334B" w:rsidRPr="00371E29" w:rsidRDefault="005805A7" w:rsidP="005805A7">
            <w:pPr>
              <w:ind w:left="0" w:firstLine="0"/>
              <w:rPr>
                <w:rFonts w:ascii="Calibri" w:hAnsi="Calibri" w:cs="Calibri"/>
              </w:rPr>
            </w:pPr>
            <w:r>
              <w:t xml:space="preserve">The weight of the evidence in support of most of the recommendations included are rated as Level A, Level B-R, Level B-NR, Level C-LD and Level C-EO, as noted following each statement. Level A evidence refers to high quality evidence from more than one randomized control trial (RCT), meta analyses of high-quality RCTs, and/or one or more RCTs corroborated by high-quality registry studies. Level B-R evidence refers to moderate-quality evidence from one or more RCTs and/or meta-analyses of moderate-quality RCTs and Level B-NR evidence includes moderate quality evidence from one or more well-designed, well-executed nonrandomized studies, observational studies, or registry studies and/or meta-analyses of such studies. Level C-LD refers to randomized or nonrandomized observational or registry studies with limitation of design or execution, meta-analyses of such studies, and/or physiological or mechanistic studies in human subjects. Level C-EO refers to consensus of expert opinion based on clinical experience.  </w:t>
            </w:r>
          </w:p>
        </w:tc>
      </w:tr>
      <w:tr w:rsidR="006F334B" w:rsidRPr="00371E29" w14:paraId="5BA5089C" w14:textId="77777777" w:rsidTr="00D12028">
        <w:tc>
          <w:tcPr>
            <w:tcW w:w="3927" w:type="dxa"/>
          </w:tcPr>
          <w:p w14:paraId="10CF4EE3" w14:textId="77777777" w:rsidR="006F334B" w:rsidRPr="00371E29" w:rsidRDefault="006F334B" w:rsidP="00D12028">
            <w:pPr>
              <w:ind w:left="0" w:firstLine="0"/>
              <w:rPr>
                <w:rFonts w:ascii="Calibri" w:hAnsi="Calibri" w:cs="Calibri"/>
              </w:rPr>
            </w:pPr>
            <w:r w:rsidRPr="00371E29">
              <w:rPr>
                <w:rFonts w:ascii="Calibri" w:hAnsi="Calibri" w:cs="Calibri"/>
              </w:rPr>
              <w:t>Provide all other grades and definitions from the evidence grading system</w:t>
            </w:r>
          </w:p>
        </w:tc>
        <w:tc>
          <w:tcPr>
            <w:tcW w:w="5649" w:type="dxa"/>
          </w:tcPr>
          <w:p w14:paraId="7C120DB6" w14:textId="77777777" w:rsidR="006F334B" w:rsidRPr="00C0208A" w:rsidRDefault="006F334B" w:rsidP="00D12028">
            <w:pPr>
              <w:ind w:left="0" w:firstLine="0"/>
            </w:pPr>
            <w:r>
              <w:t>See question above and next two questions below for more information.</w:t>
            </w:r>
          </w:p>
        </w:tc>
      </w:tr>
      <w:tr w:rsidR="006F334B" w:rsidRPr="00371E29" w14:paraId="57B18B3C" w14:textId="77777777" w:rsidTr="00D12028">
        <w:tc>
          <w:tcPr>
            <w:tcW w:w="3927" w:type="dxa"/>
          </w:tcPr>
          <w:p w14:paraId="65482E7F" w14:textId="77777777" w:rsidR="006F334B" w:rsidRPr="00371E29" w:rsidRDefault="006F334B" w:rsidP="00D12028">
            <w:pPr>
              <w:ind w:left="0" w:firstLine="0"/>
              <w:rPr>
                <w:rFonts w:ascii="Calibri" w:hAnsi="Calibri" w:cs="Calibri"/>
              </w:rPr>
            </w:pPr>
            <w:r w:rsidRPr="00371E29">
              <w:rPr>
                <w:rFonts w:ascii="Calibri" w:hAnsi="Calibri" w:cs="Calibri"/>
              </w:rPr>
              <w:t xml:space="preserve">Grade assigned to the </w:t>
            </w:r>
            <w:r w:rsidRPr="00371E29">
              <w:rPr>
                <w:rFonts w:ascii="Calibri" w:hAnsi="Calibri" w:cs="Calibri"/>
                <w:b/>
              </w:rPr>
              <w:t>recommendation</w:t>
            </w:r>
            <w:r w:rsidRPr="00371E29">
              <w:rPr>
                <w:rFonts w:ascii="Calibri" w:hAnsi="Calibri" w:cs="Calibri"/>
              </w:rPr>
              <w:t xml:space="preserve"> with definition of the grade</w:t>
            </w:r>
          </w:p>
        </w:tc>
        <w:tc>
          <w:tcPr>
            <w:tcW w:w="5649" w:type="dxa"/>
          </w:tcPr>
          <w:p w14:paraId="4847863F" w14:textId="77777777" w:rsidR="005A0D5E" w:rsidRDefault="005A0D5E" w:rsidP="005A0D5E">
            <w:pPr>
              <w:ind w:left="0" w:firstLine="0"/>
            </w:pPr>
            <w:r>
              <w:t>The</w:t>
            </w:r>
            <w:r w:rsidRPr="00DB17DF">
              <w:t xml:space="preserve"> recommendations included have been assigned a Class I recommendation. </w:t>
            </w:r>
          </w:p>
          <w:p w14:paraId="7AF5F8A6" w14:textId="77777777" w:rsidR="005A0D5E" w:rsidRDefault="005A0D5E" w:rsidP="005A0D5E">
            <w:pPr>
              <w:ind w:left="0" w:firstLine="0"/>
            </w:pPr>
          </w:p>
          <w:p w14:paraId="4950E95F" w14:textId="77777777" w:rsidR="005A0D5E" w:rsidRDefault="005A0D5E" w:rsidP="005A0D5E">
            <w:pPr>
              <w:ind w:left="0" w:firstLine="0"/>
            </w:pPr>
            <w:r>
              <w:t>For guidelines released prior to 2015:</w:t>
            </w:r>
          </w:p>
          <w:p w14:paraId="4015BF19" w14:textId="77777777" w:rsidR="005A0D5E" w:rsidRDefault="005A0D5E" w:rsidP="005A0D5E">
            <w:pPr>
              <w:ind w:left="0" w:firstLine="0"/>
            </w:pPr>
            <w:r w:rsidRPr="00DB17DF">
              <w:t xml:space="preserve">Class I recommendations refer to “Conditions for which there is evidence and/or general agreement that a given procedure or treatment is beneficial, useful, and effective.” </w:t>
            </w:r>
          </w:p>
          <w:p w14:paraId="1D50F6E7" w14:textId="77777777" w:rsidR="005A0D5E" w:rsidRDefault="005A0D5E" w:rsidP="005A0D5E">
            <w:pPr>
              <w:ind w:left="0" w:firstLine="0"/>
            </w:pPr>
          </w:p>
          <w:p w14:paraId="461CC712" w14:textId="77777777" w:rsidR="005A0D5E" w:rsidRDefault="005A0D5E" w:rsidP="005A0D5E">
            <w:pPr>
              <w:ind w:left="0" w:firstLine="0"/>
            </w:pPr>
            <w:r>
              <w:t>For guidelines released from 2015 forward:</w:t>
            </w:r>
          </w:p>
          <w:p w14:paraId="1D2CB892" w14:textId="590DDE7F" w:rsidR="006F334B" w:rsidRPr="00C0208A" w:rsidRDefault="005A0D5E" w:rsidP="005A0D5E">
            <w:pPr>
              <w:ind w:left="0" w:firstLine="0"/>
            </w:pPr>
            <w:r>
              <w:t xml:space="preserve">Class I recommendations </w:t>
            </w:r>
            <w:r w:rsidRPr="00D25E6C">
              <w:rPr>
                <w:rFonts w:eastAsia="Times New Roman"/>
              </w:rPr>
              <w:t>are “strong and indicate that the treatment, procedure, or intervention is useful and effective and should be performed or administered for most patients under most circumstances.”</w:t>
            </w:r>
          </w:p>
        </w:tc>
      </w:tr>
      <w:tr w:rsidR="006F334B" w:rsidRPr="00371E29" w14:paraId="75D042C9" w14:textId="77777777" w:rsidTr="00D12028">
        <w:tc>
          <w:tcPr>
            <w:tcW w:w="3927" w:type="dxa"/>
          </w:tcPr>
          <w:p w14:paraId="5137609A" w14:textId="77777777" w:rsidR="006F334B" w:rsidRPr="00371E29" w:rsidRDefault="006F334B" w:rsidP="00D12028">
            <w:pPr>
              <w:ind w:left="0" w:firstLine="0"/>
              <w:rPr>
                <w:rFonts w:ascii="Calibri" w:hAnsi="Calibri" w:cs="Calibri"/>
              </w:rPr>
            </w:pPr>
            <w:r w:rsidRPr="00371E29">
              <w:rPr>
                <w:rFonts w:ascii="Calibri" w:hAnsi="Calibri" w:cs="Calibri"/>
              </w:rPr>
              <w:t>Provide all other grades and definitions from the recommendation grading system</w:t>
            </w:r>
          </w:p>
        </w:tc>
        <w:tc>
          <w:tcPr>
            <w:tcW w:w="5649" w:type="dxa"/>
          </w:tcPr>
          <w:p w14:paraId="615FE011" w14:textId="77777777" w:rsidR="00AC64A8" w:rsidRDefault="00AC64A8" w:rsidP="00AC64A8">
            <w:pPr>
              <w:ind w:left="0" w:firstLine="0"/>
            </w:pPr>
            <w:r>
              <w:t>For guidelines released prior to 2015:</w:t>
            </w:r>
          </w:p>
          <w:p w14:paraId="3623C916" w14:textId="77777777" w:rsidR="00AC64A8" w:rsidRDefault="00AC64A8" w:rsidP="00AC64A8">
            <w:pPr>
              <w:pStyle w:val="BodyText"/>
              <w:ind w:right="165"/>
            </w:pPr>
            <w:r>
              <w:t>ACCF/AHA guideline methodology categorizes indications as class I,II,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14:paraId="15E633D3" w14:textId="77777777" w:rsidR="00AC64A8" w:rsidRDefault="00AC64A8" w:rsidP="00AC64A8">
            <w:pPr>
              <w:pStyle w:val="BodyText"/>
              <w:spacing w:before="12"/>
              <w:rPr>
                <w:sz w:val="21"/>
              </w:rPr>
            </w:pPr>
          </w:p>
          <w:p w14:paraId="3B5EEF88" w14:textId="77777777" w:rsidR="00AC64A8" w:rsidRDefault="00AC64A8" w:rsidP="00AC64A8">
            <w:pPr>
              <w:pStyle w:val="BodyText"/>
              <w:ind w:left="119"/>
            </w:pPr>
            <w:r>
              <w:rPr>
                <w:u w:val="single"/>
              </w:rPr>
              <w:t>Classification Types</w:t>
            </w:r>
          </w:p>
          <w:p w14:paraId="441811FE" w14:textId="77777777" w:rsidR="00AC64A8" w:rsidRDefault="00AC64A8" w:rsidP="00AC64A8">
            <w:pPr>
              <w:pStyle w:val="BodyText"/>
              <w:ind w:left="119" w:right="645"/>
            </w:pPr>
            <w:r>
              <w:t>Class I: Conditions for which there is evidence and/or general agreement that a given procedure or treatment is useful and effective.</w:t>
            </w:r>
          </w:p>
          <w:p w14:paraId="6A771217" w14:textId="77777777" w:rsidR="00AC64A8" w:rsidRDefault="00AC64A8" w:rsidP="00AC64A8">
            <w:pPr>
              <w:pStyle w:val="BodyText"/>
              <w:spacing w:before="10"/>
              <w:rPr>
                <w:sz w:val="21"/>
              </w:rPr>
            </w:pPr>
          </w:p>
          <w:p w14:paraId="74FDEDDE" w14:textId="77777777" w:rsidR="00AC64A8" w:rsidRDefault="00AC64A8" w:rsidP="00AC64A8">
            <w:pPr>
              <w:pStyle w:val="BodyText"/>
              <w:ind w:left="119" w:right="608"/>
            </w:pPr>
            <w:r>
              <w:t>Class II: Conditions for which there is conflicting evidence and/or a divergence of opinion about the usefulness/efficacy of a procedure or treatment.</w:t>
            </w:r>
          </w:p>
          <w:p w14:paraId="4C9B64F8" w14:textId="77777777" w:rsidR="00AC64A8" w:rsidRDefault="00AC64A8" w:rsidP="00AC64A8">
            <w:pPr>
              <w:pStyle w:val="ListParagraph"/>
              <w:widowControl w:val="0"/>
              <w:numPr>
                <w:ilvl w:val="1"/>
                <w:numId w:val="22"/>
              </w:numPr>
              <w:tabs>
                <w:tab w:val="left" w:pos="839"/>
                <w:tab w:val="left" w:pos="840"/>
              </w:tabs>
              <w:autoSpaceDE w:val="0"/>
              <w:autoSpaceDN w:val="0"/>
              <w:spacing w:after="0" w:line="240" w:lineRule="auto"/>
              <w:contextualSpacing w:val="0"/>
            </w:pPr>
            <w:r>
              <w:t>IIa: Weight of evidence/opinion is in favor of</w:t>
            </w:r>
            <w:r>
              <w:rPr>
                <w:spacing w:val="-28"/>
              </w:rPr>
              <w:t xml:space="preserve"> </w:t>
            </w:r>
            <w:r>
              <w:t>usefulness/efficacy</w:t>
            </w:r>
          </w:p>
          <w:p w14:paraId="007D59BC" w14:textId="77777777" w:rsidR="00AC64A8" w:rsidRDefault="00AC64A8" w:rsidP="00AC64A8">
            <w:pPr>
              <w:pStyle w:val="ListParagraph"/>
              <w:widowControl w:val="0"/>
              <w:numPr>
                <w:ilvl w:val="1"/>
                <w:numId w:val="22"/>
              </w:numPr>
              <w:tabs>
                <w:tab w:val="left" w:pos="839"/>
                <w:tab w:val="left" w:pos="840"/>
              </w:tabs>
              <w:autoSpaceDE w:val="0"/>
              <w:autoSpaceDN w:val="0"/>
              <w:spacing w:before="2" w:after="0" w:line="240" w:lineRule="auto"/>
              <w:contextualSpacing w:val="0"/>
            </w:pPr>
            <w:r>
              <w:t>IIb: Usefulness/efficacy is less well established by</w:t>
            </w:r>
            <w:r>
              <w:rPr>
                <w:spacing w:val="-32"/>
              </w:rPr>
              <w:t xml:space="preserve"> </w:t>
            </w:r>
            <w:r>
              <w:t>evidence/opinion.</w:t>
            </w:r>
          </w:p>
          <w:p w14:paraId="63E83A64" w14:textId="77777777" w:rsidR="00AC64A8" w:rsidRDefault="00AC64A8" w:rsidP="00AC64A8">
            <w:pPr>
              <w:pStyle w:val="BodyText"/>
              <w:spacing w:before="196"/>
              <w:ind w:left="119" w:right="114"/>
            </w:pPr>
            <w:r>
              <w:t>Class III: Conditions for which there is evidence and/or general agreement that the procedure/treatment is not useful/effective e and in some cases may be harmful.</w:t>
            </w:r>
          </w:p>
          <w:p w14:paraId="5F14F7E7" w14:textId="77777777" w:rsidR="00AC64A8" w:rsidRDefault="00AC64A8" w:rsidP="00AC64A8">
            <w:pPr>
              <w:pStyle w:val="ListParagraph"/>
              <w:widowControl w:val="0"/>
              <w:numPr>
                <w:ilvl w:val="1"/>
                <w:numId w:val="22"/>
              </w:numPr>
              <w:tabs>
                <w:tab w:val="left" w:pos="839"/>
                <w:tab w:val="left" w:pos="840"/>
              </w:tabs>
              <w:autoSpaceDE w:val="0"/>
              <w:autoSpaceDN w:val="0"/>
              <w:spacing w:after="0" w:line="240" w:lineRule="auto"/>
              <w:contextualSpacing w:val="0"/>
            </w:pPr>
            <w:r>
              <w:t>No Benefit- Procedure/Test not helpful or</w:t>
            </w:r>
            <w:r>
              <w:rPr>
                <w:spacing w:val="-35"/>
              </w:rPr>
              <w:t xml:space="preserve"> </w:t>
            </w:r>
            <w:r>
              <w:t>Treatment w/o established proven benefit</w:t>
            </w:r>
          </w:p>
          <w:p w14:paraId="42773B99" w14:textId="77777777" w:rsidR="00AC64A8" w:rsidRDefault="00AC64A8" w:rsidP="00AC64A8">
            <w:pPr>
              <w:pStyle w:val="ListParagraph"/>
              <w:widowControl w:val="0"/>
              <w:numPr>
                <w:ilvl w:val="1"/>
                <w:numId w:val="22"/>
              </w:numPr>
              <w:tabs>
                <w:tab w:val="left" w:pos="839"/>
                <w:tab w:val="left" w:pos="840"/>
              </w:tabs>
              <w:autoSpaceDE w:val="0"/>
              <w:autoSpaceDN w:val="0"/>
              <w:spacing w:before="9" w:after="0" w:line="266" w:lineRule="exact"/>
              <w:ind w:right="802"/>
              <w:contextualSpacing w:val="0"/>
            </w:pPr>
            <w:r>
              <w:t>Harm- Procedure/Test leads to excess cost w/o benefit or is harmful, and or Treatment is harmful</w:t>
            </w:r>
          </w:p>
          <w:p w14:paraId="73363EE3" w14:textId="77777777" w:rsidR="00AC64A8" w:rsidRDefault="00AC64A8" w:rsidP="00AC64A8">
            <w:pPr>
              <w:pStyle w:val="BodyText"/>
              <w:spacing w:before="6"/>
            </w:pPr>
          </w:p>
          <w:p w14:paraId="0317704C" w14:textId="77777777" w:rsidR="00AC64A8" w:rsidRDefault="00AC64A8" w:rsidP="00AC64A8">
            <w:pPr>
              <w:pStyle w:val="BodyText"/>
              <w:spacing w:line="242" w:lineRule="auto"/>
              <w:ind w:left="120" w:right="165"/>
            </w:pPr>
            <w:r>
              <w:t>Additional detail regarding the classification of recommendation and level of evidence is provided in the following table.</w:t>
            </w:r>
          </w:p>
          <w:p w14:paraId="353BC164" w14:textId="77777777" w:rsidR="00AC64A8" w:rsidRDefault="00AC64A8" w:rsidP="00AC64A8">
            <w:pPr>
              <w:ind w:left="0" w:firstLine="0"/>
            </w:pPr>
          </w:p>
          <w:p w14:paraId="5076F27F" w14:textId="77777777" w:rsidR="00AC64A8" w:rsidRDefault="00AC64A8" w:rsidP="00AC64A8">
            <w:pPr>
              <w:ind w:left="0" w:firstLine="0"/>
            </w:pPr>
            <w:r>
              <w:t>Table 1:</w:t>
            </w:r>
          </w:p>
          <w:p w14:paraId="7E41C275" w14:textId="77777777" w:rsidR="00AC64A8" w:rsidRDefault="00AC64A8" w:rsidP="00AC64A8">
            <w:pPr>
              <w:ind w:left="0" w:firstLine="0"/>
            </w:pPr>
            <w:r>
              <w:rPr>
                <w:noProof/>
                <w:sz w:val="20"/>
              </w:rPr>
              <w:drawing>
                <wp:inline distT="0" distB="0" distL="0" distR="0" wp14:anchorId="0625F1AB" wp14:editId="78B4F1D4">
                  <wp:extent cx="4675635" cy="3077047"/>
                  <wp:effectExtent l="0" t="0" r="0" b="0"/>
                  <wp:docPr id="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5" cstate="print"/>
                          <a:stretch>
                            <a:fillRect/>
                          </a:stretch>
                        </pic:blipFill>
                        <pic:spPr>
                          <a:xfrm>
                            <a:off x="0" y="0"/>
                            <a:ext cx="4677075" cy="3077995"/>
                          </a:xfrm>
                          <a:prstGeom prst="rect">
                            <a:avLst/>
                          </a:prstGeom>
                        </pic:spPr>
                      </pic:pic>
                    </a:graphicData>
                  </a:graphic>
                </wp:inline>
              </w:drawing>
            </w:r>
          </w:p>
          <w:p w14:paraId="3BCDF7EB" w14:textId="77777777" w:rsidR="00AC64A8" w:rsidRDefault="00AC64A8" w:rsidP="00AC64A8">
            <w:pPr>
              <w:rPr>
                <w:rFonts w:ascii="Calibri" w:hAnsi="Calibri" w:cs="Calibri"/>
              </w:rPr>
            </w:pPr>
          </w:p>
          <w:p w14:paraId="67ACBE1F" w14:textId="77777777" w:rsidR="00AC64A8" w:rsidRDefault="00AC64A8" w:rsidP="00AC64A8">
            <w:pPr>
              <w:ind w:left="0" w:firstLine="0"/>
            </w:pPr>
            <w:r>
              <w:t>For guidelines released from 2015 forward:</w:t>
            </w:r>
          </w:p>
          <w:p w14:paraId="69069D9A" w14:textId="77777777" w:rsidR="00AC64A8" w:rsidRPr="00A8657F" w:rsidRDefault="00AC64A8" w:rsidP="00AC64A8">
            <w:pPr>
              <w:ind w:left="0" w:firstLine="0"/>
            </w:pPr>
          </w:p>
          <w:p w14:paraId="3DD8FDD4" w14:textId="77777777" w:rsidR="00AC64A8" w:rsidRPr="00A8657F" w:rsidRDefault="00AC64A8" w:rsidP="00AC64A8">
            <w:pPr>
              <w:ind w:left="0" w:firstLine="0"/>
              <w:rPr>
                <w:rFonts w:eastAsia="Times New Roman"/>
              </w:rPr>
            </w:pPr>
            <w:r w:rsidRPr="00A8657F">
              <w:rPr>
                <w:rFonts w:eastAsia="Times New Roman"/>
              </w:rPr>
              <w:t xml:space="preserve">In 2015, the ACC and AHA updated Classes of Recommendation (COR) and Levels of Evidence (LOE) in an effort to align patient care with scientific evidence. </w:t>
            </w:r>
          </w:p>
          <w:p w14:paraId="488E8289" w14:textId="77777777" w:rsidR="00AC64A8" w:rsidRPr="00A8657F" w:rsidRDefault="00AC64A8" w:rsidP="00AC64A8">
            <w:pPr>
              <w:ind w:left="0" w:firstLine="0"/>
              <w:rPr>
                <w:rFonts w:eastAsia="Times New Roman"/>
              </w:rPr>
            </w:pPr>
          </w:p>
          <w:p w14:paraId="1E32976A" w14:textId="77777777" w:rsidR="00AC64A8" w:rsidRPr="00A8657F" w:rsidRDefault="00AC64A8" w:rsidP="00AC64A8">
            <w:pPr>
              <w:ind w:left="0" w:firstLine="0"/>
              <w:rPr>
                <w:rFonts w:eastAsia="Times New Roman"/>
              </w:rPr>
            </w:pPr>
            <w:r w:rsidRPr="00A8657F">
              <w:rPr>
                <w:rFonts w:eastAsia="Times New Roman"/>
              </w:rPr>
              <w:t>The COR reflects the magnitude of benefit over risk and corresponds to the strength of the recommendation. Class I recommendations are strong and indicate that the treatment, procedure, or intervention is useful and effective and should be performed or administered for most patients under most circumstances. Class II recommendations are weaker, denoting a lower degree of benefit in proportion to risk. Benefit is generally greater</w:t>
            </w:r>
            <w:r>
              <w:rPr>
                <w:rFonts w:eastAsia="Times New Roman"/>
              </w:rPr>
              <w:t xml:space="preserve"> </w:t>
            </w:r>
            <w:r w:rsidRPr="00A8657F">
              <w:rPr>
                <w:rFonts w:eastAsia="Times New Roman"/>
              </w:rPr>
              <w:t>for Class IIa (moderate) recommendations and smaller for</w:t>
            </w:r>
            <w:r>
              <w:rPr>
                <w:rFonts w:eastAsia="Times New Roman"/>
              </w:rPr>
              <w:t xml:space="preserve"> </w:t>
            </w:r>
            <w:r w:rsidRPr="00A8657F">
              <w:rPr>
                <w:rFonts w:eastAsia="Times New Roman"/>
              </w:rPr>
              <w:t>Class IIb (weak) recommendations, for which benefit</w:t>
            </w:r>
            <w:r>
              <w:rPr>
                <w:rFonts w:eastAsia="Times New Roman"/>
              </w:rPr>
              <w:t xml:space="preserve"> </w:t>
            </w:r>
            <w:r w:rsidRPr="00A8657F">
              <w:rPr>
                <w:rFonts w:eastAsia="Times New Roman"/>
              </w:rPr>
              <w:t>only</w:t>
            </w:r>
            <w:r>
              <w:rPr>
                <w:rFonts w:eastAsia="Times New Roman"/>
              </w:rPr>
              <w:t xml:space="preserve"> </w:t>
            </w:r>
            <w:r w:rsidRPr="00A8657F">
              <w:rPr>
                <w:rFonts w:eastAsia="Times New Roman"/>
              </w:rPr>
              <w:t>marginally exceeds risk. A COR of IIb suggests that</w:t>
            </w:r>
            <w:r>
              <w:rPr>
                <w:rFonts w:eastAsia="Times New Roman"/>
              </w:rPr>
              <w:t xml:space="preserve"> </w:t>
            </w:r>
            <w:r w:rsidRPr="00A8657F">
              <w:rPr>
                <w:rFonts w:eastAsia="Times New Roman"/>
              </w:rPr>
              <w:t>implementation should be selective and based on careful</w:t>
            </w:r>
            <w:r>
              <w:rPr>
                <w:rFonts w:eastAsia="Times New Roman"/>
              </w:rPr>
              <w:t xml:space="preserve"> </w:t>
            </w:r>
            <w:r w:rsidRPr="00A8657F">
              <w:rPr>
                <w:rFonts w:eastAsia="Times New Roman"/>
              </w:rPr>
              <w:t>consideration of individual patient factors and, for invasive procedures, available expertise. Class III is assigned</w:t>
            </w:r>
            <w:r>
              <w:rPr>
                <w:rFonts w:eastAsia="Times New Roman"/>
              </w:rPr>
              <w:t xml:space="preserve"> </w:t>
            </w:r>
            <w:r w:rsidRPr="00A8657F">
              <w:rPr>
                <w:rFonts w:eastAsia="Times New Roman"/>
              </w:rPr>
              <w:t>when actions are specifically not recommended, either</w:t>
            </w:r>
            <w:r>
              <w:rPr>
                <w:rFonts w:eastAsia="Times New Roman"/>
              </w:rPr>
              <w:t xml:space="preserve"> </w:t>
            </w:r>
            <w:r w:rsidRPr="00A8657F">
              <w:rPr>
                <w:rFonts w:eastAsia="Times New Roman"/>
              </w:rPr>
              <w:t>because studies have found no evidence of benefit</w:t>
            </w:r>
            <w:r>
              <w:rPr>
                <w:rFonts w:eastAsia="Times New Roman"/>
              </w:rPr>
              <w:t xml:space="preserve"> </w:t>
            </w:r>
            <w:r w:rsidRPr="00A8657F">
              <w:rPr>
                <w:rFonts w:eastAsia="Times New Roman"/>
              </w:rPr>
              <w:t>or</w:t>
            </w:r>
            <w:r>
              <w:rPr>
                <w:rFonts w:eastAsia="Times New Roman"/>
              </w:rPr>
              <w:t xml:space="preserve"> </w:t>
            </w:r>
            <w:r w:rsidRPr="00A8657F">
              <w:rPr>
                <w:rFonts w:eastAsia="Times New Roman"/>
              </w:rPr>
              <w:t>because the intervention causes harm.</w:t>
            </w:r>
          </w:p>
          <w:p w14:paraId="15E78897" w14:textId="77777777" w:rsidR="00AC64A8" w:rsidRDefault="00AC64A8" w:rsidP="00AC64A8">
            <w:pPr>
              <w:pStyle w:val="BodyText"/>
              <w:spacing w:line="242" w:lineRule="auto"/>
              <w:ind w:right="165"/>
            </w:pPr>
          </w:p>
          <w:p w14:paraId="6E6FBC7B" w14:textId="77777777" w:rsidR="00AC64A8" w:rsidRDefault="00AC64A8" w:rsidP="00AC64A8">
            <w:pPr>
              <w:pStyle w:val="BodyText"/>
              <w:spacing w:line="242" w:lineRule="auto"/>
              <w:ind w:right="165"/>
            </w:pPr>
            <w:r>
              <w:t>Additional detail regarding the COR and LOE is provided in the following table.</w:t>
            </w:r>
          </w:p>
          <w:p w14:paraId="4F9E9A4B" w14:textId="77777777" w:rsidR="00AC64A8" w:rsidRPr="00EF3663" w:rsidRDefault="00AC64A8" w:rsidP="00AC64A8">
            <w:pPr>
              <w:pStyle w:val="BodyText"/>
              <w:spacing w:line="242" w:lineRule="auto"/>
              <w:ind w:right="165"/>
            </w:pPr>
          </w:p>
          <w:p w14:paraId="12920066" w14:textId="77777777" w:rsidR="00AC64A8" w:rsidRDefault="00AC64A8" w:rsidP="00AC64A8">
            <w:pPr>
              <w:rPr>
                <w:rFonts w:ascii="Calibri" w:hAnsi="Calibri" w:cs="Calibri"/>
              </w:rPr>
            </w:pPr>
            <w:r>
              <w:rPr>
                <w:rFonts w:ascii="Calibri" w:hAnsi="Calibri" w:cs="Calibri"/>
              </w:rPr>
              <w:t>Table 2:</w:t>
            </w:r>
          </w:p>
          <w:p w14:paraId="168B372C" w14:textId="1E7EB97B" w:rsidR="005A0D5E" w:rsidRPr="00E41116" w:rsidRDefault="00AC64A8" w:rsidP="00D12028">
            <w:pPr>
              <w:rPr>
                <w:rFonts w:ascii="Calibri" w:hAnsi="Calibri" w:cs="Calibri"/>
              </w:rPr>
            </w:pPr>
            <w:r>
              <w:rPr>
                <w:noProof/>
              </w:rPr>
              <w:drawing>
                <wp:inline distT="0" distB="0" distL="0" distR="0" wp14:anchorId="7E9E5B21" wp14:editId="20C15CD8">
                  <wp:extent cx="4814820" cy="4974167"/>
                  <wp:effectExtent l="0" t="0" r="1143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r="2775"/>
                          <a:stretch/>
                        </pic:blipFill>
                        <pic:spPr bwMode="auto">
                          <a:xfrm>
                            <a:off x="0" y="0"/>
                            <a:ext cx="4815299" cy="497466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6F334B" w:rsidRPr="00371E29" w14:paraId="469F9550" w14:textId="77777777" w:rsidTr="00D12028">
        <w:tc>
          <w:tcPr>
            <w:tcW w:w="3927" w:type="dxa"/>
          </w:tcPr>
          <w:p w14:paraId="519F14E0" w14:textId="77777777" w:rsidR="006F334B" w:rsidRPr="00371E29" w:rsidRDefault="006F334B" w:rsidP="00D12028">
            <w:pPr>
              <w:ind w:left="0" w:firstLine="0"/>
              <w:rPr>
                <w:rFonts w:ascii="Calibri" w:hAnsi="Calibri" w:cs="Calibri"/>
              </w:rPr>
            </w:pPr>
            <w:r w:rsidRPr="00371E29">
              <w:rPr>
                <w:rFonts w:ascii="Calibri" w:hAnsi="Calibri" w:cs="Calibri"/>
              </w:rPr>
              <w:t>Body of evidence:</w:t>
            </w:r>
          </w:p>
          <w:p w14:paraId="5EF0B8F4" w14:textId="77777777" w:rsidR="006F334B" w:rsidRPr="00371E29" w:rsidRDefault="006F334B" w:rsidP="00D12028">
            <w:pPr>
              <w:pStyle w:val="ListParagraph"/>
              <w:numPr>
                <w:ilvl w:val="0"/>
                <w:numId w:val="10"/>
              </w:numPr>
              <w:rPr>
                <w:rFonts w:ascii="Calibri" w:hAnsi="Calibri" w:cs="Calibri"/>
              </w:rPr>
            </w:pPr>
            <w:r w:rsidRPr="00371E29">
              <w:rPr>
                <w:rFonts w:ascii="Calibri" w:hAnsi="Calibri" w:cs="Calibri"/>
              </w:rPr>
              <w:t>Quantity – how many studies?</w:t>
            </w:r>
          </w:p>
          <w:p w14:paraId="53F451D7" w14:textId="77777777" w:rsidR="006F334B" w:rsidRPr="00371E29" w:rsidRDefault="006F334B" w:rsidP="00D12028">
            <w:pPr>
              <w:pStyle w:val="ListParagraph"/>
              <w:numPr>
                <w:ilvl w:val="0"/>
                <w:numId w:val="10"/>
              </w:numPr>
              <w:spacing w:after="0" w:line="240" w:lineRule="auto"/>
              <w:rPr>
                <w:rFonts w:ascii="Calibri" w:hAnsi="Calibri" w:cs="Calibri"/>
              </w:rPr>
            </w:pPr>
            <w:r w:rsidRPr="00371E29">
              <w:rPr>
                <w:rFonts w:ascii="Calibri" w:hAnsi="Calibri" w:cs="Calibri"/>
              </w:rPr>
              <w:t>Quality – what type of studies?</w:t>
            </w:r>
          </w:p>
        </w:tc>
        <w:tc>
          <w:tcPr>
            <w:tcW w:w="5649" w:type="dxa"/>
          </w:tcPr>
          <w:p w14:paraId="5EF47FD8" w14:textId="4DD66A25" w:rsidR="006F334B" w:rsidRDefault="006F334B" w:rsidP="00D12028">
            <w:pPr>
              <w:ind w:left="0" w:firstLine="0"/>
            </w:pPr>
            <w:r>
              <w:t>All of the rec</w:t>
            </w:r>
            <w:r w:rsidR="00F76784">
              <w:t>ommendations for this process are</w:t>
            </w:r>
            <w:r>
              <w:t xml:space="preserve"> rated as Level of Evidence A or B, meaning that the data was derived from one or more RCTs or meta-analyses.  Additional information on the overall quality of evidence across the RCTs is not provided; although, </w:t>
            </w:r>
            <w:r w:rsidR="00634EC1">
              <w:t>three</w:t>
            </w:r>
            <w:r>
              <w:t xml:space="preserve"> of the cited guidelines discuss the evidence supporting the use of </w:t>
            </w:r>
            <w:r w:rsidR="00634EC1">
              <w:t>ACE inhibitors or ARBs</w:t>
            </w:r>
            <w:r>
              <w:t xml:space="preserve"> in this population, which is provided below. </w:t>
            </w:r>
          </w:p>
          <w:p w14:paraId="64D95A08" w14:textId="77777777" w:rsidR="006F334B" w:rsidRDefault="006F334B" w:rsidP="00D12028">
            <w:pPr>
              <w:pStyle w:val="BodyText"/>
              <w:ind w:right="212"/>
            </w:pPr>
          </w:p>
          <w:p w14:paraId="015FD993" w14:textId="19A1CD56" w:rsidR="006F334B" w:rsidRDefault="006F334B" w:rsidP="00D12028">
            <w:pPr>
              <w:ind w:left="0" w:firstLine="0"/>
              <w:rPr>
                <w:rFonts w:cs="Times"/>
              </w:rPr>
            </w:pPr>
            <w:r w:rsidRPr="00E2579B">
              <w:rPr>
                <w:rFonts w:cs="Times"/>
              </w:rPr>
              <w:t xml:space="preserve">2013 ACCF/AHA Guideline for the Management of Heart Failure (p. </w:t>
            </w:r>
            <w:r w:rsidR="0043073A">
              <w:rPr>
                <w:rFonts w:cs="Times"/>
              </w:rPr>
              <w:t>e</w:t>
            </w:r>
            <w:r w:rsidRPr="00E2579B">
              <w:rPr>
                <w:rFonts w:cs="Times"/>
              </w:rPr>
              <w:t>170)</w:t>
            </w:r>
          </w:p>
          <w:p w14:paraId="552A88C2" w14:textId="28FE7FFD" w:rsidR="006F334B" w:rsidRPr="00B46330" w:rsidRDefault="006F334B" w:rsidP="00D12028">
            <w:pPr>
              <w:ind w:left="278" w:firstLine="0"/>
            </w:pPr>
            <w:r w:rsidRPr="007F20FA">
              <w:t xml:space="preserve">The body of evidence supporting the recommendations on </w:t>
            </w:r>
            <w:r w:rsidR="00AF0CFE">
              <w:t>ACE/ARB therapy in this guideline includes 15</w:t>
            </w:r>
            <w:r>
              <w:t xml:space="preserve"> </w:t>
            </w:r>
            <w:r w:rsidRPr="007F20FA">
              <w:t>randomized controlled trials</w:t>
            </w:r>
            <w:r>
              <w:t>.</w:t>
            </w:r>
          </w:p>
          <w:p w14:paraId="5BCD68B2" w14:textId="77777777" w:rsidR="006F334B" w:rsidRDefault="006F334B" w:rsidP="00D12028">
            <w:pPr>
              <w:widowControl w:val="0"/>
              <w:autoSpaceDE w:val="0"/>
              <w:autoSpaceDN w:val="0"/>
              <w:adjustRightInd w:val="0"/>
              <w:ind w:left="274" w:firstLine="0"/>
              <w:rPr>
                <w:rFonts w:cs="Times"/>
                <w:szCs w:val="24"/>
              </w:rPr>
            </w:pPr>
          </w:p>
          <w:p w14:paraId="0F9D5DAF" w14:textId="6F4F29CA" w:rsidR="00AF0CFE" w:rsidRPr="0055542D" w:rsidRDefault="00AF0CFE" w:rsidP="0043073A">
            <w:pPr>
              <w:widowControl w:val="0"/>
              <w:autoSpaceDE w:val="0"/>
              <w:autoSpaceDN w:val="0"/>
              <w:adjustRightInd w:val="0"/>
              <w:spacing w:after="240"/>
              <w:ind w:left="278" w:firstLine="0"/>
              <w:rPr>
                <w:rFonts w:cs="Times"/>
                <w:szCs w:val="24"/>
              </w:rPr>
            </w:pPr>
            <w:r w:rsidRPr="00F81332">
              <w:rPr>
                <w:rFonts w:cs="Times"/>
                <w:szCs w:val="24"/>
              </w:rPr>
              <w:t>CAD is a major risk factor for the development of HF and a key target for prevention of HF. The 5-year risk of developing HF after acute MI is 7% and 12% for men and women, respectively; for men and women between the ages of 40 and 69 and those &gt;70 years of age, the risk is 22% and 25%, respectively</w:t>
            </w:r>
            <w:r>
              <w:rPr>
                <w:rFonts w:cs="Times"/>
                <w:szCs w:val="24"/>
              </w:rPr>
              <w:t xml:space="preserve"> (51)</w:t>
            </w:r>
            <w:r w:rsidRPr="00F81332">
              <w:rPr>
                <w:rFonts w:cs="Times"/>
                <w:szCs w:val="24"/>
              </w:rPr>
              <w:t>. Current evidence supports the use of ACE inhibitors and (to a lower level of evidence) beta-blocker therapy to impede maladaptive LV remodeling in patients with stage B HF and low LVEF to improve mortality and morbidity</w:t>
            </w:r>
            <w:r>
              <w:rPr>
                <w:rFonts w:cs="Times"/>
                <w:szCs w:val="24"/>
              </w:rPr>
              <w:t xml:space="preserve"> (344)</w:t>
            </w:r>
            <w:r w:rsidRPr="00F81332">
              <w:rPr>
                <w:rFonts w:cs="Times"/>
                <w:szCs w:val="24"/>
              </w:rPr>
              <w:t>. At 3-year follow-up, those patients treated with ACE inhibitors demonstrated combined endpoints of reduced hospitalization or death, a benefit that extended up to a 12-year follow-up</w:t>
            </w:r>
            <w:r>
              <w:rPr>
                <w:rFonts w:cs="Times"/>
                <w:szCs w:val="24"/>
              </w:rPr>
              <w:t xml:space="preserve"> (65)</w:t>
            </w:r>
            <w:r w:rsidRPr="00F81332">
              <w:rPr>
                <w:rFonts w:cs="Times"/>
                <w:szCs w:val="24"/>
              </w:rPr>
              <w:t xml:space="preserve">. ARBs are reasonable alternatives to ACE inhibitors. </w:t>
            </w:r>
          </w:p>
          <w:p w14:paraId="6125C096" w14:textId="77777777" w:rsidR="00634EC1" w:rsidRDefault="00634EC1" w:rsidP="00404D61">
            <w:pPr>
              <w:widowControl w:val="0"/>
              <w:tabs>
                <w:tab w:val="left" w:pos="220"/>
                <w:tab w:val="left" w:pos="720"/>
              </w:tabs>
              <w:autoSpaceDE w:val="0"/>
              <w:autoSpaceDN w:val="0"/>
              <w:adjustRightInd w:val="0"/>
              <w:spacing w:after="186"/>
              <w:ind w:left="0" w:firstLine="0"/>
              <w:rPr>
                <w:rFonts w:cs="Times Roman"/>
                <w:color w:val="FF0000"/>
              </w:rPr>
            </w:pPr>
            <w:r w:rsidRPr="00413EF9">
              <w:rPr>
                <w:rFonts w:cs="Times Roman"/>
                <w:color w:val="FF0000"/>
              </w:rPr>
              <w:t>2017 ACC/AHA/HFSA focused update of the 2013 ACCF/AHA guideline for the management of heart failure</w:t>
            </w:r>
            <w:r>
              <w:rPr>
                <w:rFonts w:cs="Times Roman"/>
                <w:color w:val="FF0000"/>
              </w:rPr>
              <w:t xml:space="preserve"> (p. e784):</w:t>
            </w:r>
          </w:p>
          <w:p w14:paraId="768E82BE" w14:textId="77777777" w:rsidR="00404D61" w:rsidRPr="00404D61" w:rsidRDefault="00404D61" w:rsidP="00404D61">
            <w:pPr>
              <w:widowControl w:val="0"/>
              <w:autoSpaceDE w:val="0"/>
              <w:autoSpaceDN w:val="0"/>
              <w:adjustRightInd w:val="0"/>
              <w:spacing w:after="240" w:line="200" w:lineRule="atLeast"/>
              <w:ind w:left="278" w:firstLine="0"/>
              <w:rPr>
                <w:rFonts w:cs="Times Roman"/>
                <w:color w:val="FF0000"/>
                <w:sz w:val="32"/>
                <w:szCs w:val="24"/>
              </w:rPr>
            </w:pPr>
            <w:r w:rsidRPr="00404D61">
              <w:rPr>
                <w:rFonts w:cs="Times Roman"/>
                <w:color w:val="FF0000"/>
                <w:szCs w:val="18"/>
              </w:rPr>
              <w:t xml:space="preserve">Angiotensin-converting enzyme (ACE) inhibitors reduce morbidity and mortality in heart failure with reduced ejection fraction (HFrEF). Randomized controlled trials (RCTs) clearly establish the benefits of ACE inhibition in patients with mild, moderate, or severe symptoms of HF and in patients with or without coronary artery disease (128–133). ACE inhibitors can produce angioedema and should be given with caution to patients with low systemic blood pressures, renal insufficiency, or elevated serum potassium. ACE inhibitors also inhibit kininase and increase levels of bradykinin, which can induce cough but also may contribute to their beneficial effect through vasodilation. </w:t>
            </w:r>
          </w:p>
          <w:p w14:paraId="5632DEC0" w14:textId="121DAB56" w:rsidR="00404D61" w:rsidRDefault="00404D61" w:rsidP="00404D61">
            <w:pPr>
              <w:widowControl w:val="0"/>
              <w:autoSpaceDE w:val="0"/>
              <w:autoSpaceDN w:val="0"/>
              <w:adjustRightInd w:val="0"/>
              <w:spacing w:after="240" w:line="200" w:lineRule="atLeast"/>
              <w:ind w:left="278" w:firstLine="0"/>
              <w:rPr>
                <w:rFonts w:cs="Times Roman"/>
                <w:color w:val="FF0000"/>
                <w:szCs w:val="18"/>
              </w:rPr>
            </w:pPr>
            <w:r w:rsidRPr="00404D61">
              <w:rPr>
                <w:rFonts w:cs="Times Roman"/>
                <w:color w:val="FF0000"/>
                <w:szCs w:val="18"/>
              </w:rPr>
              <w:t xml:space="preserve">Angiotensin receptor blockers (ARBs) were developed with the rationale that angiotensin II production continues in the presence of ACE inhibition, driven through alternative enzyme pathways. ARBs do not inhibit kininase and are associated with a much lower incidence of cough and angioedema than ACE inhibitors; but like ACE inhibitors, ARBs should be given with caution to patients with low systemic blood pressure, renal insufficiency, or elevated serum potassium. Long-term therapy with ARBs produces hemodynamic, neurohormonal, and clinical effects consistent with those expected after interference with the renin-angiotensin system and have been shown in RCTs (134–137) to reduce morbidity and mortality, especially in ACE inhibitor–intolerant patients. </w:t>
            </w:r>
          </w:p>
          <w:p w14:paraId="1D0E45A1" w14:textId="31A6EFAD" w:rsidR="00336ED0" w:rsidRPr="00336ED0" w:rsidRDefault="00336ED0" w:rsidP="00404D61">
            <w:pPr>
              <w:widowControl w:val="0"/>
              <w:autoSpaceDE w:val="0"/>
              <w:autoSpaceDN w:val="0"/>
              <w:adjustRightInd w:val="0"/>
              <w:spacing w:after="240" w:line="200" w:lineRule="atLeast"/>
              <w:ind w:left="278" w:firstLine="0"/>
              <w:rPr>
                <w:rFonts w:cs="Times Roman"/>
                <w:color w:val="FF0000"/>
                <w:sz w:val="40"/>
                <w:szCs w:val="24"/>
              </w:rPr>
            </w:pPr>
            <w:r w:rsidRPr="00336ED0">
              <w:rPr>
                <w:rFonts w:eastAsia="Times New Roman"/>
                <w:color w:val="FF0000"/>
                <w:szCs w:val="19"/>
              </w:rPr>
              <w:t>Benefits of ACE inhibitors with regard to decreasing HF progression, hospitalizations, and mortality rate have been shown consistently for patients across the clinical spectrum, from asymptomatic to severely symptomatic HF. Similar benefits have been shown for ARBs in populations with mild-to-moderate HF who are unable to tolerate ACE inhibitors. In patients with mild-to-moderate HF (characterized by either 1) mildly elevated natriuretic peptide levels, BNP [B-type natriuretic peptide]</w:t>
            </w:r>
            <w:r w:rsidRPr="00336ED0">
              <w:rPr>
                <w:rFonts w:eastAsia="Times New Roman"/>
                <w:color w:val="FF0000"/>
                <w:szCs w:val="19"/>
                <w:u w:val="single"/>
              </w:rPr>
              <w:t>&gt;</w:t>
            </w:r>
            <w:r w:rsidRPr="00336ED0">
              <w:rPr>
                <w:rFonts w:eastAsia="Times New Roman"/>
                <w:color w:val="FF0000"/>
                <w:szCs w:val="19"/>
              </w:rPr>
              <w:t>150 pg/mL or NT-proBNP [N-terminal pro-B-type natriuretic peptide]</w:t>
            </w:r>
            <w:r w:rsidRPr="00336ED0">
              <w:rPr>
                <w:rFonts w:eastAsia="Times New Roman"/>
                <w:color w:val="FF0000"/>
                <w:szCs w:val="19"/>
                <w:u w:val="single"/>
              </w:rPr>
              <w:t xml:space="preserve"> &gt;</w:t>
            </w:r>
            <w:r w:rsidRPr="00336ED0">
              <w:rPr>
                <w:rFonts w:eastAsia="Times New Roman"/>
                <w:color w:val="FF0000"/>
                <w:szCs w:val="19"/>
              </w:rPr>
              <w:t>600 pg/mL; or 2) BNP</w:t>
            </w:r>
            <w:r w:rsidRPr="00336ED0">
              <w:rPr>
                <w:rFonts w:eastAsia="Times New Roman"/>
                <w:color w:val="FF0000"/>
                <w:szCs w:val="19"/>
                <w:u w:val="single"/>
              </w:rPr>
              <w:t>&gt;</w:t>
            </w:r>
            <w:r w:rsidRPr="00336ED0">
              <w:rPr>
                <w:rFonts w:eastAsia="Times New Roman"/>
                <w:color w:val="FF0000"/>
                <w:szCs w:val="19"/>
              </w:rPr>
              <w:t>100 pg/mL or NT-proBNP</w:t>
            </w:r>
            <w:r w:rsidRPr="00336ED0">
              <w:rPr>
                <w:rFonts w:eastAsia="Times New Roman"/>
                <w:color w:val="FF0000"/>
                <w:szCs w:val="19"/>
                <w:u w:val="single"/>
              </w:rPr>
              <w:t>&gt;</w:t>
            </w:r>
            <w:r w:rsidRPr="00336ED0">
              <w:rPr>
                <w:rFonts w:eastAsia="Times New Roman"/>
                <w:color w:val="FF0000"/>
                <w:szCs w:val="19"/>
              </w:rPr>
              <w:t>400 pg/mL with a prior hospitalization in the preceding 12 months) who were able to tolerate both a target dose of enalapril (10 mg twice daily) and then subsequently an ARNI (valsartan/sacubitril; 200 mg twice daily, with the ARB component equivalent to valsartan160 mg), hospitalizations and mortality were significantly decreased with the valsartan/sacubitril compound compared with enalapril. The target dose of the ACE inhibitor was consistent with that known to improve outcomes in previous landmark clinical trials(129). This ARNI has been approved for patients with symptomatic HFrEF and is intended to be substituted for ACE inhibitors or ARBs. HF effects and potential off-target effects maybe complex with inhibition of the neprilysin enzyme, which has multiple biological targets. Use of an ARNI is associated with hypotension and a low-frequency incidence of angioedema.</w:t>
            </w:r>
          </w:p>
          <w:p w14:paraId="6339DB55" w14:textId="77777777" w:rsidR="006F334B" w:rsidRPr="0079268B" w:rsidRDefault="006F334B" w:rsidP="00404D61">
            <w:pPr>
              <w:widowControl w:val="0"/>
              <w:tabs>
                <w:tab w:val="left" w:pos="8"/>
                <w:tab w:val="left" w:pos="720"/>
              </w:tabs>
              <w:autoSpaceDE w:val="0"/>
              <w:autoSpaceDN w:val="0"/>
              <w:adjustRightInd w:val="0"/>
              <w:spacing w:after="186"/>
              <w:ind w:left="8" w:firstLine="0"/>
              <w:rPr>
                <w:rFonts w:cs="Times"/>
                <w:color w:val="FF0000"/>
              </w:rPr>
            </w:pPr>
            <w:r w:rsidRPr="003C6AAA">
              <w:rPr>
                <w:rFonts w:cs="Times Roman"/>
                <w:color w:val="FF0000"/>
              </w:rPr>
              <w:t>2017 AHA/ACC/HRS guideline for management of patients with ventricular arrhythmias and the prevention of sudden cardiac death (p. e116):</w:t>
            </w:r>
          </w:p>
          <w:p w14:paraId="3DA03860" w14:textId="00DEA4AE" w:rsidR="006F334B" w:rsidRPr="00FC2C2B" w:rsidRDefault="00132E5F" w:rsidP="00FC2C2B">
            <w:pPr>
              <w:widowControl w:val="0"/>
              <w:autoSpaceDE w:val="0"/>
              <w:autoSpaceDN w:val="0"/>
              <w:adjustRightInd w:val="0"/>
              <w:spacing w:after="240" w:line="260" w:lineRule="atLeast"/>
              <w:ind w:left="254" w:firstLine="0"/>
              <w:rPr>
                <w:rFonts w:cs="Times Roman"/>
                <w:color w:val="FF0000"/>
                <w:sz w:val="28"/>
                <w:szCs w:val="24"/>
              </w:rPr>
            </w:pPr>
            <w:r w:rsidRPr="00F67C53">
              <w:rPr>
                <w:rFonts w:cs="Times Roman"/>
                <w:color w:val="FF0000"/>
                <w:szCs w:val="21"/>
              </w:rPr>
              <w:t xml:space="preserve">Angiotensin-converting enzyme inhibition also reduces mortality and SCD (S5.2-3). Angiotensin-receptor blockers added to angiotensin-converting enzyme inhibitor showed additional benefit to angiotensin-converting enzyme inhibitors in some (S5.2-10) but not other RCTs (S5.2-8,S5.2-11). </w:t>
            </w:r>
            <w:r w:rsidR="00FC2C2B" w:rsidRPr="00FC2C2B">
              <w:rPr>
                <w:rFonts w:cs="Times Roman"/>
                <w:color w:val="FF0000"/>
                <w:szCs w:val="21"/>
              </w:rPr>
              <w:t xml:space="preserve">Therapy with the mineralocorticoid- receptor antagonists, spironolactone and eplerenone, have also demonstrated reductions in both all-cause mortality and SCD (S5.2-6,S5.2-12,S5.2-13). Recent studies of the angiotensin receptor-neprilysin inhibitor (sacubitril/valsartan) versus angiotensin-converting enzyme inhibitor demonstrated a reduction in SCD and cardiac mortality (S5.2-14). </w:t>
            </w:r>
          </w:p>
        </w:tc>
      </w:tr>
      <w:tr w:rsidR="006F334B" w:rsidRPr="00371E29" w14:paraId="4CDBF3EC" w14:textId="77777777" w:rsidTr="00D12028">
        <w:tc>
          <w:tcPr>
            <w:tcW w:w="3927" w:type="dxa"/>
          </w:tcPr>
          <w:p w14:paraId="7330011D" w14:textId="77777777" w:rsidR="006F334B" w:rsidRPr="00371E29" w:rsidRDefault="006F334B" w:rsidP="00D12028">
            <w:pPr>
              <w:ind w:left="0" w:firstLine="0"/>
              <w:rPr>
                <w:rFonts w:ascii="Calibri" w:hAnsi="Calibri" w:cs="Calibri"/>
              </w:rPr>
            </w:pPr>
            <w:r w:rsidRPr="00371E29">
              <w:rPr>
                <w:rFonts w:ascii="Calibri" w:hAnsi="Calibri" w:cs="Calibri"/>
              </w:rPr>
              <w:t xml:space="preserve">Estimates of benefit and consistency across studies </w:t>
            </w:r>
          </w:p>
        </w:tc>
        <w:tc>
          <w:tcPr>
            <w:tcW w:w="5649" w:type="dxa"/>
          </w:tcPr>
          <w:p w14:paraId="13A7BAB0" w14:textId="75F36ECC" w:rsidR="006F334B" w:rsidRDefault="006F334B" w:rsidP="00D12028">
            <w:pPr>
              <w:pStyle w:val="BodyText"/>
              <w:ind w:left="119"/>
            </w:pPr>
            <w:r>
              <w:t xml:space="preserve">Estimates of the benefit of </w:t>
            </w:r>
            <w:r w:rsidR="00E04EB7">
              <w:t>ACE/ARB</w:t>
            </w:r>
            <w:r>
              <w:t xml:space="preserve"> therapy across the body of evidence are not reported.</w:t>
            </w:r>
          </w:p>
          <w:p w14:paraId="24B19CE0" w14:textId="77777777" w:rsidR="006F334B" w:rsidRPr="00371E29" w:rsidRDefault="006F334B" w:rsidP="00D12028">
            <w:pPr>
              <w:spacing w:before="120"/>
              <w:ind w:left="0" w:firstLine="0"/>
              <w:rPr>
                <w:rFonts w:ascii="Calibri" w:hAnsi="Calibri" w:cs="Calibri"/>
              </w:rPr>
            </w:pPr>
          </w:p>
        </w:tc>
      </w:tr>
      <w:tr w:rsidR="006F334B" w:rsidRPr="00371E29" w14:paraId="6D8A182B" w14:textId="77777777" w:rsidTr="00D12028">
        <w:tc>
          <w:tcPr>
            <w:tcW w:w="3927" w:type="dxa"/>
          </w:tcPr>
          <w:p w14:paraId="2D298791" w14:textId="77777777" w:rsidR="006F334B" w:rsidRPr="00371E29" w:rsidRDefault="006F334B" w:rsidP="00D12028">
            <w:pPr>
              <w:ind w:left="0" w:firstLine="0"/>
              <w:rPr>
                <w:rFonts w:ascii="Calibri" w:hAnsi="Calibri" w:cs="Calibri"/>
              </w:rPr>
            </w:pPr>
            <w:r w:rsidRPr="00371E29">
              <w:rPr>
                <w:rFonts w:ascii="Calibri" w:hAnsi="Calibri" w:cs="Calibri"/>
              </w:rPr>
              <w:t>What harms were identified?</w:t>
            </w:r>
          </w:p>
        </w:tc>
        <w:tc>
          <w:tcPr>
            <w:tcW w:w="5649" w:type="dxa"/>
          </w:tcPr>
          <w:p w14:paraId="2D428F8E" w14:textId="77777777" w:rsidR="006F334B" w:rsidRPr="00371E29" w:rsidRDefault="006F334B" w:rsidP="00D12028">
            <w:pPr>
              <w:ind w:left="0" w:firstLine="0"/>
              <w:rPr>
                <w:rFonts w:ascii="Calibri" w:hAnsi="Calibri" w:cs="Calibri"/>
              </w:rPr>
            </w:pPr>
            <w:r>
              <w:rPr>
                <w:rFonts w:ascii="Calibri" w:hAnsi="Calibri" w:cs="Calibri"/>
              </w:rPr>
              <w:t>NA</w:t>
            </w:r>
          </w:p>
        </w:tc>
      </w:tr>
      <w:tr w:rsidR="006F334B" w:rsidRPr="00371E29" w14:paraId="709373DD" w14:textId="77777777" w:rsidTr="00D12028">
        <w:tc>
          <w:tcPr>
            <w:tcW w:w="3927" w:type="dxa"/>
          </w:tcPr>
          <w:p w14:paraId="65CE24CD" w14:textId="77777777" w:rsidR="006F334B" w:rsidRPr="00371E29" w:rsidRDefault="006F334B" w:rsidP="00D12028">
            <w:pPr>
              <w:ind w:left="0" w:firstLine="0"/>
              <w:rPr>
                <w:rFonts w:ascii="Calibri" w:hAnsi="Calibri" w:cs="Calibri"/>
              </w:rPr>
            </w:pPr>
            <w:r w:rsidRPr="00371E29">
              <w:rPr>
                <w:rFonts w:ascii="Calibri" w:hAnsi="Calibri" w:cs="Calibri"/>
              </w:rPr>
              <w:t>Identify any new studies conducted since the SR. Do the new studies change the conclusions from the SR?</w:t>
            </w:r>
          </w:p>
        </w:tc>
        <w:tc>
          <w:tcPr>
            <w:tcW w:w="5649" w:type="dxa"/>
          </w:tcPr>
          <w:p w14:paraId="3066BDFE" w14:textId="77777777" w:rsidR="006F334B" w:rsidRPr="00371E29" w:rsidRDefault="006F334B" w:rsidP="00D12028">
            <w:pPr>
              <w:ind w:left="0" w:firstLine="0"/>
              <w:rPr>
                <w:rFonts w:ascii="Calibri" w:hAnsi="Calibri" w:cs="Calibri"/>
              </w:rPr>
            </w:pPr>
            <w:r>
              <w:t>Updated guidelines continue to support this measure.</w:t>
            </w:r>
          </w:p>
        </w:tc>
      </w:tr>
    </w:tbl>
    <w:p w14:paraId="7FB191FC" w14:textId="77777777" w:rsidR="008B7BA7" w:rsidRDefault="008B7BA7" w:rsidP="008B7BA7">
      <w:pPr>
        <w:ind w:left="0" w:firstLine="0"/>
      </w:pPr>
    </w:p>
    <w:p w14:paraId="5A3A7CBD" w14:textId="77777777" w:rsidR="008B7BA7" w:rsidRPr="003B1CC5" w:rsidRDefault="008B7BA7" w:rsidP="008B7BA7">
      <w:pPr>
        <w:ind w:left="0" w:firstLine="0"/>
        <w:rPr>
          <w:b/>
          <w:color w:val="0070C0"/>
        </w:rPr>
      </w:pPr>
      <w:r w:rsidRPr="003B1CC5">
        <w:rPr>
          <w:b/>
          <w:iCs/>
          <w:caps/>
        </w:rPr>
        <w:t>________________________</w:t>
      </w:r>
    </w:p>
    <w:p w14:paraId="10D032CF" w14:textId="77777777" w:rsidR="008B7BA7" w:rsidRPr="003B1CC5" w:rsidRDefault="008B7BA7" w:rsidP="008B7BA7">
      <w:pPr>
        <w:ind w:left="0" w:firstLine="0"/>
        <w:rPr>
          <w:b/>
        </w:rPr>
      </w:pPr>
      <w:r>
        <w:rPr>
          <w:b/>
          <w:color w:val="0000FF"/>
        </w:rPr>
        <w:t>1a.4</w:t>
      </w:r>
      <w:r w:rsidRPr="003B1CC5">
        <w:rPr>
          <w:b/>
          <w:color w:val="0000FF"/>
        </w:rPr>
        <w:t xml:space="preserve"> </w:t>
      </w:r>
      <w:r w:rsidRPr="003B1CC5">
        <w:rPr>
          <w:b/>
        </w:rPr>
        <w:t>OTHER SOURCE OF EVIDENCE</w:t>
      </w:r>
    </w:p>
    <w:p w14:paraId="1E39E201" w14:textId="77777777" w:rsidR="008B7BA7" w:rsidRPr="003B1CC5" w:rsidRDefault="008B7BA7" w:rsidP="008B7BA7">
      <w:pPr>
        <w:ind w:left="0" w:firstLine="0"/>
        <w:rPr>
          <w:i/>
        </w:rPr>
      </w:pPr>
      <w:r w:rsidRPr="003B1CC5">
        <w:rPr>
          <w:i/>
        </w:rPr>
        <w:t>If source of evidence is NOT from a clinical practice guideline, USPSTF, or systematic review, please describe the evidence on which you are basing the performance measure.</w:t>
      </w:r>
    </w:p>
    <w:p w14:paraId="2D9FF9AF" w14:textId="77777777" w:rsidR="008B7BA7" w:rsidRPr="003B1CC5" w:rsidRDefault="008B7BA7" w:rsidP="008B7BA7">
      <w:pPr>
        <w:ind w:left="0" w:firstLine="0"/>
      </w:pPr>
    </w:p>
    <w:p w14:paraId="6D3A86B0" w14:textId="77777777" w:rsidR="008B7BA7" w:rsidRPr="000E5C93" w:rsidRDefault="008B7BA7" w:rsidP="008B7BA7">
      <w:pPr>
        <w:ind w:left="0" w:firstLine="0"/>
        <w:rPr>
          <w:color w:val="0070C0"/>
        </w:rPr>
      </w:pPr>
      <w:r>
        <w:rPr>
          <w:b/>
          <w:color w:val="0000FF"/>
        </w:rPr>
        <w:t>1a.4</w:t>
      </w:r>
      <w:r w:rsidRPr="003B1CC5">
        <w:rPr>
          <w:b/>
          <w:color w:val="0000FF"/>
        </w:rPr>
        <w:t>.1</w:t>
      </w:r>
      <w:r w:rsidRPr="003B1CC5">
        <w:rPr>
          <w:color w:val="0070C0"/>
        </w:rPr>
        <w:t xml:space="preserve"> </w:t>
      </w:r>
      <w:r w:rsidRPr="000E5C93">
        <w:rPr>
          <w:b/>
        </w:rPr>
        <w:t>B</w:t>
      </w:r>
      <w:r>
        <w:rPr>
          <w:b/>
        </w:rPr>
        <w:t>riefly SYNTHESIZE</w:t>
      </w:r>
      <w:r w:rsidRPr="000E5C93">
        <w:rPr>
          <w:b/>
        </w:rPr>
        <w:t xml:space="preserve"> </w:t>
      </w:r>
      <w:r>
        <w:rPr>
          <w:b/>
        </w:rPr>
        <w:t xml:space="preserve">the evidence that supports the measure. </w:t>
      </w:r>
      <w:r>
        <w:t>A list of references without a summary is not acceptable.</w:t>
      </w:r>
    </w:p>
    <w:p w14:paraId="794DFF27" w14:textId="77777777" w:rsidR="008B7BA7" w:rsidRDefault="008B7BA7" w:rsidP="008B7BA7">
      <w:pPr>
        <w:ind w:left="0" w:firstLine="0"/>
        <w:rPr>
          <w:b/>
        </w:rPr>
      </w:pPr>
    </w:p>
    <w:p w14:paraId="404266B1" w14:textId="77777777" w:rsidR="008B7BA7" w:rsidRPr="003B1CC5" w:rsidRDefault="008B7BA7" w:rsidP="008B7BA7">
      <w:pPr>
        <w:ind w:left="0" w:firstLine="0"/>
      </w:pPr>
      <w:r w:rsidRPr="0005334F">
        <w:rPr>
          <w:b/>
          <w:color w:val="0000FF"/>
        </w:rPr>
        <w:t>1a.4.2</w:t>
      </w:r>
      <w:r w:rsidRPr="000E5C93">
        <w:rPr>
          <w:b/>
          <w:color w:val="244061" w:themeColor="accent1" w:themeShade="80"/>
        </w:rPr>
        <w:t xml:space="preserve"> </w:t>
      </w:r>
      <w:r w:rsidRPr="003B1CC5">
        <w:rPr>
          <w:b/>
        </w:rPr>
        <w:t>What process was used to identify the evidence?</w:t>
      </w:r>
    </w:p>
    <w:p w14:paraId="4E6A60F4" w14:textId="77777777" w:rsidR="008B7BA7" w:rsidRPr="003B1CC5" w:rsidRDefault="008B7BA7" w:rsidP="008B7BA7">
      <w:pPr>
        <w:ind w:left="0" w:firstLine="0"/>
      </w:pPr>
    </w:p>
    <w:p w14:paraId="62164382" w14:textId="77777777" w:rsidR="008B7BA7" w:rsidRDefault="008B7BA7" w:rsidP="008B7BA7">
      <w:pPr>
        <w:ind w:left="0" w:firstLine="0"/>
        <w:rPr>
          <w:b/>
        </w:rPr>
      </w:pPr>
      <w:r>
        <w:rPr>
          <w:b/>
          <w:color w:val="0000FF"/>
        </w:rPr>
        <w:t>1a.4.3</w:t>
      </w:r>
      <w:r w:rsidRPr="003B1CC5">
        <w:rPr>
          <w:b/>
          <w:color w:val="0000FF"/>
        </w:rPr>
        <w:t>.</w:t>
      </w:r>
      <w:r w:rsidRPr="003B1CC5">
        <w:rPr>
          <w:color w:val="0070C0"/>
        </w:rPr>
        <w:t xml:space="preserve"> </w:t>
      </w:r>
      <w:r w:rsidRPr="003B1CC5">
        <w:rPr>
          <w:b/>
        </w:rPr>
        <w:t>Provide the citation</w:t>
      </w:r>
      <w:r>
        <w:rPr>
          <w:b/>
        </w:rPr>
        <w:t>(s)</w:t>
      </w:r>
      <w:r w:rsidRPr="003B1CC5">
        <w:rPr>
          <w:b/>
        </w:rPr>
        <w:t xml:space="preserve"> </w:t>
      </w:r>
      <w:r>
        <w:rPr>
          <w:b/>
        </w:rPr>
        <w:t>for the</w:t>
      </w:r>
      <w:r w:rsidRPr="003B1CC5">
        <w:rPr>
          <w:b/>
        </w:rPr>
        <w:t xml:space="preserve"> evidence.</w:t>
      </w:r>
    </w:p>
    <w:p w14:paraId="0B28CE63" w14:textId="77777777" w:rsidR="008B7BA7" w:rsidRDefault="008B7BA7" w:rsidP="008B7BA7">
      <w:pPr>
        <w:ind w:left="0" w:firstLine="0"/>
        <w:rPr>
          <w:b/>
        </w:rPr>
      </w:pPr>
    </w:p>
    <w:p w14:paraId="37825E9E" w14:textId="77777777" w:rsidR="008B7BA7" w:rsidRDefault="008B7BA7" w:rsidP="008B7BA7">
      <w:pPr>
        <w:ind w:left="0" w:firstLine="0"/>
      </w:pPr>
    </w:p>
    <w:p w14:paraId="19DDF140" w14:textId="761547E1" w:rsidR="0005334F" w:rsidRDefault="0005334F" w:rsidP="00E41116">
      <w:pPr>
        <w:ind w:left="0" w:firstLine="0"/>
      </w:pPr>
    </w:p>
    <w:sectPr w:rsidR="0005334F">
      <w:headerReference w:type="default" r:id="rId44"/>
      <w:foot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9F6865" w14:textId="77777777" w:rsidR="0057003E" w:rsidRDefault="0057003E" w:rsidP="007E37A5">
      <w:r>
        <w:separator/>
      </w:r>
    </w:p>
  </w:endnote>
  <w:endnote w:type="continuationSeparator" w:id="0">
    <w:p w14:paraId="5816DF60" w14:textId="77777777" w:rsidR="0057003E" w:rsidRDefault="0057003E"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auto"/>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Times">
    <w:altName w:val="Times Roman"/>
    <w:panose1 w:val="020206030504050203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Helvetica Neue">
    <w:charset w:val="00"/>
    <w:family w:val="auto"/>
    <w:pitch w:val="variable"/>
    <w:sig w:usb0="E50002FF" w:usb1="500079DB" w:usb2="00000010" w:usb3="00000000" w:csb0="00000001" w:csb1="00000000"/>
  </w:font>
  <w:font w:name="Apple Symbols">
    <w:charset w:val="00"/>
    <w:family w:val="auto"/>
    <w:pitch w:val="variable"/>
    <w:sig w:usb0="800000A3" w:usb1="08007BEB" w:usb2="01840034" w:usb3="00000000" w:csb0="000001FB" w:csb1="00000000"/>
  </w:font>
  <w:font w:name="Times Roman">
    <w:charset w:val="00"/>
    <w:family w:val="auto"/>
    <w:pitch w:val="variable"/>
    <w:sig w:usb0="E00002FF" w:usb1="5000205A" w:usb2="00000000" w:usb3="00000000" w:csb0="0000019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3" w14:textId="278EF352" w:rsidR="0057003E" w:rsidRDefault="0057003E">
    <w:pPr>
      <w:pStyle w:val="Footer"/>
    </w:pPr>
    <w:r w:rsidRPr="00395263">
      <w:t xml:space="preserve">Version </w:t>
    </w:r>
    <w:r>
      <w:t xml:space="preserve">7.1 </w:t>
    </w:r>
    <w:r w:rsidRPr="00395263">
      <w:t xml:space="preserve"> </w:t>
    </w:r>
    <w:r>
      <w:t>9/6/17</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613211">
      <w:rPr>
        <w:noProof/>
      </w:rPr>
      <w:t>13</w:t>
    </w:r>
    <w:r w:rsidRPr="00395263">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A24C34" w14:textId="77777777" w:rsidR="0057003E" w:rsidRDefault="0057003E" w:rsidP="007E37A5">
      <w:r>
        <w:separator/>
      </w:r>
    </w:p>
  </w:footnote>
  <w:footnote w:type="continuationSeparator" w:id="0">
    <w:p w14:paraId="7F41B84E" w14:textId="77777777" w:rsidR="0057003E" w:rsidRDefault="0057003E" w:rsidP="007E3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2" w14:textId="77777777" w:rsidR="0057003E" w:rsidRDefault="0057003E" w:rsidP="007E37A5">
    <w:pPr>
      <w:pStyle w:val="Header"/>
      <w:ind w:left="0"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A0FBE"/>
    <w:multiLevelType w:val="hybridMultilevel"/>
    <w:tmpl w:val="1AD82A1A"/>
    <w:lvl w:ilvl="0" w:tplc="00000001">
      <w:start w:val="1"/>
      <w:numFmt w:val="decimal"/>
      <w:lvlText w:val="%1."/>
      <w:lvlJc w:val="left"/>
      <w:pPr>
        <w:ind w:left="72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4759AD"/>
    <w:multiLevelType w:val="hybridMultilevel"/>
    <w:tmpl w:val="0CBE3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44977"/>
    <w:multiLevelType w:val="hybridMultilevel"/>
    <w:tmpl w:val="E962F1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FB5051"/>
    <w:multiLevelType w:val="hybridMultilevel"/>
    <w:tmpl w:val="8572E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843946"/>
    <w:multiLevelType w:val="hybridMultilevel"/>
    <w:tmpl w:val="D1EE4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F543C2"/>
    <w:multiLevelType w:val="hybridMultilevel"/>
    <w:tmpl w:val="45CAE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5D3700"/>
    <w:multiLevelType w:val="hybridMultilevel"/>
    <w:tmpl w:val="316690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AD07E9"/>
    <w:multiLevelType w:val="hybridMultilevel"/>
    <w:tmpl w:val="1AD82A1A"/>
    <w:lvl w:ilvl="0" w:tplc="00000001">
      <w:start w:val="1"/>
      <w:numFmt w:val="decimal"/>
      <w:lvlText w:val="%1."/>
      <w:lvlJc w:val="left"/>
      <w:pPr>
        <w:ind w:left="72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E55D25"/>
    <w:multiLevelType w:val="hybridMultilevel"/>
    <w:tmpl w:val="9884AE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F81407"/>
    <w:multiLevelType w:val="hybridMultilevel"/>
    <w:tmpl w:val="1F14B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766F08"/>
    <w:multiLevelType w:val="hybridMultilevel"/>
    <w:tmpl w:val="BA9C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F13D3A"/>
    <w:multiLevelType w:val="hybridMultilevel"/>
    <w:tmpl w:val="2938C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946186D"/>
    <w:multiLevelType w:val="hybridMultilevel"/>
    <w:tmpl w:val="91E22A3E"/>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9723299"/>
    <w:multiLevelType w:val="hybridMultilevel"/>
    <w:tmpl w:val="9D1EEE94"/>
    <w:lvl w:ilvl="0" w:tplc="607605E2">
      <w:start w:val="3"/>
      <w:numFmt w:val="decimal"/>
      <w:lvlText w:val="%1."/>
      <w:lvlJc w:val="left"/>
      <w:pPr>
        <w:ind w:left="220" w:hanging="200"/>
      </w:pPr>
      <w:rPr>
        <w:rFonts w:ascii="Calibri" w:eastAsia="Calibri" w:hAnsi="Calibri" w:cs="Calibri" w:hint="default"/>
        <w:b/>
        <w:bCs/>
        <w:w w:val="99"/>
        <w:sz w:val="20"/>
        <w:szCs w:val="20"/>
      </w:rPr>
    </w:lvl>
    <w:lvl w:ilvl="1" w:tplc="24F0851A">
      <w:numFmt w:val="bullet"/>
      <w:lvlText w:val=""/>
      <w:lvlJc w:val="left"/>
      <w:pPr>
        <w:ind w:left="840" w:hanging="360"/>
      </w:pPr>
      <w:rPr>
        <w:rFonts w:ascii="Symbol" w:eastAsia="Symbol" w:hAnsi="Symbol" w:cs="Symbol" w:hint="default"/>
        <w:w w:val="100"/>
        <w:sz w:val="22"/>
        <w:szCs w:val="22"/>
      </w:rPr>
    </w:lvl>
    <w:lvl w:ilvl="2" w:tplc="BC86E494">
      <w:numFmt w:val="bullet"/>
      <w:lvlText w:val="•"/>
      <w:lvlJc w:val="left"/>
      <w:pPr>
        <w:ind w:left="1813" w:hanging="360"/>
      </w:pPr>
      <w:rPr>
        <w:rFonts w:hint="default"/>
      </w:rPr>
    </w:lvl>
    <w:lvl w:ilvl="3" w:tplc="C5AE5402">
      <w:numFmt w:val="bullet"/>
      <w:lvlText w:val="•"/>
      <w:lvlJc w:val="left"/>
      <w:pPr>
        <w:ind w:left="2786" w:hanging="360"/>
      </w:pPr>
      <w:rPr>
        <w:rFonts w:hint="default"/>
      </w:rPr>
    </w:lvl>
    <w:lvl w:ilvl="4" w:tplc="2256932C">
      <w:numFmt w:val="bullet"/>
      <w:lvlText w:val="•"/>
      <w:lvlJc w:val="left"/>
      <w:pPr>
        <w:ind w:left="3760" w:hanging="360"/>
      </w:pPr>
      <w:rPr>
        <w:rFonts w:hint="default"/>
      </w:rPr>
    </w:lvl>
    <w:lvl w:ilvl="5" w:tplc="AB66FDC4">
      <w:numFmt w:val="bullet"/>
      <w:lvlText w:val="•"/>
      <w:lvlJc w:val="left"/>
      <w:pPr>
        <w:ind w:left="4733" w:hanging="360"/>
      </w:pPr>
      <w:rPr>
        <w:rFonts w:hint="default"/>
      </w:rPr>
    </w:lvl>
    <w:lvl w:ilvl="6" w:tplc="FA1CC7F8">
      <w:numFmt w:val="bullet"/>
      <w:lvlText w:val="•"/>
      <w:lvlJc w:val="left"/>
      <w:pPr>
        <w:ind w:left="5706" w:hanging="360"/>
      </w:pPr>
      <w:rPr>
        <w:rFonts w:hint="default"/>
      </w:rPr>
    </w:lvl>
    <w:lvl w:ilvl="7" w:tplc="F4445E9A">
      <w:numFmt w:val="bullet"/>
      <w:lvlText w:val="•"/>
      <w:lvlJc w:val="left"/>
      <w:pPr>
        <w:ind w:left="6680" w:hanging="360"/>
      </w:pPr>
      <w:rPr>
        <w:rFonts w:hint="default"/>
      </w:rPr>
    </w:lvl>
    <w:lvl w:ilvl="8" w:tplc="95E883CA">
      <w:numFmt w:val="bullet"/>
      <w:lvlText w:val="•"/>
      <w:lvlJc w:val="left"/>
      <w:pPr>
        <w:ind w:left="7653" w:hanging="360"/>
      </w:pPr>
      <w:rPr>
        <w:rFonts w:hint="default"/>
      </w:rPr>
    </w:lvl>
  </w:abstractNum>
  <w:abstractNum w:abstractNumId="16" w15:restartNumberingAfterBreak="0">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67837"/>
    <w:multiLevelType w:val="hybridMultilevel"/>
    <w:tmpl w:val="E42AB9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6400634"/>
    <w:multiLevelType w:val="hybridMultilevel"/>
    <w:tmpl w:val="60866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8F555BB"/>
    <w:multiLevelType w:val="hybridMultilevel"/>
    <w:tmpl w:val="AC62A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2AD371E"/>
    <w:multiLevelType w:val="hybridMultilevel"/>
    <w:tmpl w:val="88ACA9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E22008"/>
    <w:multiLevelType w:val="hybridMultilevel"/>
    <w:tmpl w:val="29FE3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F860D78"/>
    <w:multiLevelType w:val="multilevel"/>
    <w:tmpl w:val="BF163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68D38C9"/>
    <w:multiLevelType w:val="hybridMultilevel"/>
    <w:tmpl w:val="0A56D76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E109D0"/>
    <w:multiLevelType w:val="hybridMultilevel"/>
    <w:tmpl w:val="230CF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68655D"/>
    <w:multiLevelType w:val="hybridMultilevel"/>
    <w:tmpl w:val="DF008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977606"/>
    <w:multiLevelType w:val="hybridMultilevel"/>
    <w:tmpl w:val="79308320"/>
    <w:lvl w:ilvl="0" w:tplc="D0E22E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E359E0"/>
    <w:multiLevelType w:val="hybridMultilevel"/>
    <w:tmpl w:val="420C3CF2"/>
    <w:lvl w:ilvl="0" w:tplc="A13CEECA">
      <w:start w:val="1"/>
      <w:numFmt w:val="bullet"/>
      <w:lvlText w:val=""/>
      <w:lvlJc w:val="left"/>
      <w:pPr>
        <w:ind w:left="360" w:hanging="360"/>
      </w:pPr>
      <w:rPr>
        <w:rFonts w:ascii="Wingdings" w:hAnsi="Wingdings" w:hint="default"/>
        <w:color w:val="006666"/>
      </w:rPr>
    </w:lvl>
    <w:lvl w:ilvl="1" w:tplc="04090005">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6B3F8C"/>
    <w:multiLevelType w:val="hybridMultilevel"/>
    <w:tmpl w:val="79308320"/>
    <w:lvl w:ilvl="0" w:tplc="D0E22E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26"/>
  </w:num>
  <w:num w:numId="3">
    <w:abstractNumId w:val="13"/>
  </w:num>
  <w:num w:numId="4">
    <w:abstractNumId w:val="16"/>
  </w:num>
  <w:num w:numId="5">
    <w:abstractNumId w:val="19"/>
  </w:num>
  <w:num w:numId="6">
    <w:abstractNumId w:val="18"/>
  </w:num>
  <w:num w:numId="7">
    <w:abstractNumId w:val="33"/>
  </w:num>
  <w:num w:numId="8">
    <w:abstractNumId w:val="32"/>
  </w:num>
  <w:num w:numId="9">
    <w:abstractNumId w:val="34"/>
  </w:num>
  <w:num w:numId="10">
    <w:abstractNumId w:val="9"/>
  </w:num>
  <w:num w:numId="11">
    <w:abstractNumId w:val="24"/>
  </w:num>
  <w:num w:numId="12">
    <w:abstractNumId w:val="6"/>
  </w:num>
  <w:num w:numId="13">
    <w:abstractNumId w:val="17"/>
  </w:num>
  <w:num w:numId="14">
    <w:abstractNumId w:val="25"/>
  </w:num>
  <w:num w:numId="15">
    <w:abstractNumId w:val="8"/>
  </w:num>
  <w:num w:numId="16">
    <w:abstractNumId w:val="27"/>
  </w:num>
  <w:num w:numId="17">
    <w:abstractNumId w:val="22"/>
  </w:num>
  <w:num w:numId="18">
    <w:abstractNumId w:val="14"/>
  </w:num>
  <w:num w:numId="19">
    <w:abstractNumId w:val="31"/>
  </w:num>
  <w:num w:numId="20">
    <w:abstractNumId w:val="23"/>
  </w:num>
  <w:num w:numId="21">
    <w:abstractNumId w:val="0"/>
  </w:num>
  <w:num w:numId="22">
    <w:abstractNumId w:val="15"/>
  </w:num>
  <w:num w:numId="23">
    <w:abstractNumId w:val="7"/>
  </w:num>
  <w:num w:numId="24">
    <w:abstractNumId w:val="12"/>
  </w:num>
  <w:num w:numId="25">
    <w:abstractNumId w:val="10"/>
  </w:num>
  <w:num w:numId="26">
    <w:abstractNumId w:val="2"/>
  </w:num>
  <w:num w:numId="27">
    <w:abstractNumId w:val="11"/>
  </w:num>
  <w:num w:numId="28">
    <w:abstractNumId w:val="28"/>
  </w:num>
  <w:num w:numId="29">
    <w:abstractNumId w:val="4"/>
  </w:num>
  <w:num w:numId="30">
    <w:abstractNumId w:val="20"/>
  </w:num>
  <w:num w:numId="31">
    <w:abstractNumId w:val="35"/>
  </w:num>
  <w:num w:numId="32">
    <w:abstractNumId w:val="30"/>
  </w:num>
  <w:num w:numId="33">
    <w:abstractNumId w:val="1"/>
  </w:num>
  <w:num w:numId="34">
    <w:abstractNumId w:val="29"/>
  </w:num>
  <w:num w:numId="35">
    <w:abstractNumId w:val="5"/>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AF8"/>
    <w:rsid w:val="00014F79"/>
    <w:rsid w:val="00015986"/>
    <w:rsid w:val="000160E6"/>
    <w:rsid w:val="000225D8"/>
    <w:rsid w:val="00024526"/>
    <w:rsid w:val="000302B4"/>
    <w:rsid w:val="00030F43"/>
    <w:rsid w:val="000336DE"/>
    <w:rsid w:val="00040DCF"/>
    <w:rsid w:val="00051270"/>
    <w:rsid w:val="00052C0B"/>
    <w:rsid w:val="0005334F"/>
    <w:rsid w:val="00061CF3"/>
    <w:rsid w:val="00063601"/>
    <w:rsid w:val="00070F8A"/>
    <w:rsid w:val="000728E8"/>
    <w:rsid w:val="00073079"/>
    <w:rsid w:val="0007593F"/>
    <w:rsid w:val="00095EC9"/>
    <w:rsid w:val="00096A37"/>
    <w:rsid w:val="000A0810"/>
    <w:rsid w:val="000B627F"/>
    <w:rsid w:val="000C7401"/>
    <w:rsid w:val="000D649E"/>
    <w:rsid w:val="000D6D06"/>
    <w:rsid w:val="000E5C93"/>
    <w:rsid w:val="000F4A7F"/>
    <w:rsid w:val="00104835"/>
    <w:rsid w:val="00114848"/>
    <w:rsid w:val="00120934"/>
    <w:rsid w:val="00132070"/>
    <w:rsid w:val="00132E5F"/>
    <w:rsid w:val="00141875"/>
    <w:rsid w:val="00142574"/>
    <w:rsid w:val="0014347E"/>
    <w:rsid w:val="00146141"/>
    <w:rsid w:val="0015345D"/>
    <w:rsid w:val="00154438"/>
    <w:rsid w:val="001551F6"/>
    <w:rsid w:val="0015535B"/>
    <w:rsid w:val="00162036"/>
    <w:rsid w:val="001632DD"/>
    <w:rsid w:val="0016441B"/>
    <w:rsid w:val="00165B05"/>
    <w:rsid w:val="00176E60"/>
    <w:rsid w:val="00194913"/>
    <w:rsid w:val="00194D9A"/>
    <w:rsid w:val="001A196B"/>
    <w:rsid w:val="001A2EE3"/>
    <w:rsid w:val="001A6D05"/>
    <w:rsid w:val="001B38BF"/>
    <w:rsid w:val="001B3A42"/>
    <w:rsid w:val="001B772D"/>
    <w:rsid w:val="001C030C"/>
    <w:rsid w:val="001C3CCD"/>
    <w:rsid w:val="001C6635"/>
    <w:rsid w:val="001D249A"/>
    <w:rsid w:val="001D3225"/>
    <w:rsid w:val="001D5B5D"/>
    <w:rsid w:val="001D5E15"/>
    <w:rsid w:val="001D7550"/>
    <w:rsid w:val="001E6153"/>
    <w:rsid w:val="001F25C9"/>
    <w:rsid w:val="00201FF9"/>
    <w:rsid w:val="00205857"/>
    <w:rsid w:val="00235ADC"/>
    <w:rsid w:val="00236F87"/>
    <w:rsid w:val="00257274"/>
    <w:rsid w:val="00257E2A"/>
    <w:rsid w:val="0026275F"/>
    <w:rsid w:val="00265702"/>
    <w:rsid w:val="002662B2"/>
    <w:rsid w:val="002717C7"/>
    <w:rsid w:val="002836A5"/>
    <w:rsid w:val="002875E9"/>
    <w:rsid w:val="00287EB3"/>
    <w:rsid w:val="002A47BA"/>
    <w:rsid w:val="002A6777"/>
    <w:rsid w:val="002B06BD"/>
    <w:rsid w:val="002C0E48"/>
    <w:rsid w:val="002C6F04"/>
    <w:rsid w:val="002C7B48"/>
    <w:rsid w:val="002E1646"/>
    <w:rsid w:val="002E2177"/>
    <w:rsid w:val="002E2E41"/>
    <w:rsid w:val="002E78CD"/>
    <w:rsid w:val="002F20A7"/>
    <w:rsid w:val="002F2F5B"/>
    <w:rsid w:val="003008F4"/>
    <w:rsid w:val="003026D3"/>
    <w:rsid w:val="00302B1D"/>
    <w:rsid w:val="00306D9F"/>
    <w:rsid w:val="00307FA5"/>
    <w:rsid w:val="00324D64"/>
    <w:rsid w:val="00336963"/>
    <w:rsid w:val="00336ED0"/>
    <w:rsid w:val="00352B52"/>
    <w:rsid w:val="0035760D"/>
    <w:rsid w:val="00363ECC"/>
    <w:rsid w:val="00371E29"/>
    <w:rsid w:val="0039020B"/>
    <w:rsid w:val="00395263"/>
    <w:rsid w:val="003956E0"/>
    <w:rsid w:val="0039609A"/>
    <w:rsid w:val="00397500"/>
    <w:rsid w:val="003B0DF2"/>
    <w:rsid w:val="003B1CC5"/>
    <w:rsid w:val="003B65CE"/>
    <w:rsid w:val="003C6AAA"/>
    <w:rsid w:val="003D6721"/>
    <w:rsid w:val="003E039E"/>
    <w:rsid w:val="003E2F11"/>
    <w:rsid w:val="003F1152"/>
    <w:rsid w:val="0040230E"/>
    <w:rsid w:val="00404D61"/>
    <w:rsid w:val="00413EF9"/>
    <w:rsid w:val="0041662F"/>
    <w:rsid w:val="00422917"/>
    <w:rsid w:val="004239AD"/>
    <w:rsid w:val="004271D6"/>
    <w:rsid w:val="0043073A"/>
    <w:rsid w:val="00440687"/>
    <w:rsid w:val="0044131D"/>
    <w:rsid w:val="00441ADA"/>
    <w:rsid w:val="00457E46"/>
    <w:rsid w:val="00474D51"/>
    <w:rsid w:val="00474E88"/>
    <w:rsid w:val="004767C5"/>
    <w:rsid w:val="004922E4"/>
    <w:rsid w:val="004957C1"/>
    <w:rsid w:val="00496AF8"/>
    <w:rsid w:val="004A24BF"/>
    <w:rsid w:val="004A575D"/>
    <w:rsid w:val="004B65C6"/>
    <w:rsid w:val="004C4C26"/>
    <w:rsid w:val="004C6296"/>
    <w:rsid w:val="004D1DC7"/>
    <w:rsid w:val="004E7215"/>
    <w:rsid w:val="004F6615"/>
    <w:rsid w:val="004F7425"/>
    <w:rsid w:val="004F7D7E"/>
    <w:rsid w:val="005009F1"/>
    <w:rsid w:val="00500B0C"/>
    <w:rsid w:val="00504F99"/>
    <w:rsid w:val="00505210"/>
    <w:rsid w:val="00537150"/>
    <w:rsid w:val="00540984"/>
    <w:rsid w:val="00540E89"/>
    <w:rsid w:val="00543851"/>
    <w:rsid w:val="00551E7D"/>
    <w:rsid w:val="00554E3C"/>
    <w:rsid w:val="0055542D"/>
    <w:rsid w:val="0055559D"/>
    <w:rsid w:val="005569AE"/>
    <w:rsid w:val="0057003E"/>
    <w:rsid w:val="005805A7"/>
    <w:rsid w:val="005857F8"/>
    <w:rsid w:val="005867B1"/>
    <w:rsid w:val="005A0D5E"/>
    <w:rsid w:val="005B0D18"/>
    <w:rsid w:val="005B12C3"/>
    <w:rsid w:val="005B409D"/>
    <w:rsid w:val="005D0FDB"/>
    <w:rsid w:val="005D25E9"/>
    <w:rsid w:val="005D3779"/>
    <w:rsid w:val="005D6D59"/>
    <w:rsid w:val="005F0D38"/>
    <w:rsid w:val="00613211"/>
    <w:rsid w:val="0061327A"/>
    <w:rsid w:val="00617390"/>
    <w:rsid w:val="0062302B"/>
    <w:rsid w:val="00623420"/>
    <w:rsid w:val="006314FD"/>
    <w:rsid w:val="00634768"/>
    <w:rsid w:val="00634EC1"/>
    <w:rsid w:val="0063596F"/>
    <w:rsid w:val="00654C96"/>
    <w:rsid w:val="006709EB"/>
    <w:rsid w:val="00672824"/>
    <w:rsid w:val="00676BD4"/>
    <w:rsid w:val="0068184A"/>
    <w:rsid w:val="006823A8"/>
    <w:rsid w:val="006A0249"/>
    <w:rsid w:val="006B47C5"/>
    <w:rsid w:val="006B5C51"/>
    <w:rsid w:val="006C7F30"/>
    <w:rsid w:val="006D43FF"/>
    <w:rsid w:val="006E4549"/>
    <w:rsid w:val="006E6FDD"/>
    <w:rsid w:val="006F1D83"/>
    <w:rsid w:val="006F334B"/>
    <w:rsid w:val="006F4B7F"/>
    <w:rsid w:val="006F4D98"/>
    <w:rsid w:val="006F760B"/>
    <w:rsid w:val="00701CC3"/>
    <w:rsid w:val="00714A5A"/>
    <w:rsid w:val="00724801"/>
    <w:rsid w:val="00734949"/>
    <w:rsid w:val="00736AEC"/>
    <w:rsid w:val="00736E0F"/>
    <w:rsid w:val="00740113"/>
    <w:rsid w:val="007434FA"/>
    <w:rsid w:val="00750257"/>
    <w:rsid w:val="007573F0"/>
    <w:rsid w:val="00765156"/>
    <w:rsid w:val="00767669"/>
    <w:rsid w:val="00773485"/>
    <w:rsid w:val="00776E8F"/>
    <w:rsid w:val="00776F6D"/>
    <w:rsid w:val="0079268B"/>
    <w:rsid w:val="007953E4"/>
    <w:rsid w:val="007975D3"/>
    <w:rsid w:val="007A0E58"/>
    <w:rsid w:val="007C0297"/>
    <w:rsid w:val="007C1887"/>
    <w:rsid w:val="007D4775"/>
    <w:rsid w:val="007D5DC6"/>
    <w:rsid w:val="007E12D5"/>
    <w:rsid w:val="007E37A5"/>
    <w:rsid w:val="007F49D8"/>
    <w:rsid w:val="0080385B"/>
    <w:rsid w:val="00805940"/>
    <w:rsid w:val="0081599C"/>
    <w:rsid w:val="00822CC8"/>
    <w:rsid w:val="00825BF2"/>
    <w:rsid w:val="008364D1"/>
    <w:rsid w:val="00837121"/>
    <w:rsid w:val="008450F3"/>
    <w:rsid w:val="008471E5"/>
    <w:rsid w:val="00850C35"/>
    <w:rsid w:val="00851466"/>
    <w:rsid w:val="00857B53"/>
    <w:rsid w:val="00863E43"/>
    <w:rsid w:val="008647C3"/>
    <w:rsid w:val="008659ED"/>
    <w:rsid w:val="008708DC"/>
    <w:rsid w:val="00870987"/>
    <w:rsid w:val="0087564A"/>
    <w:rsid w:val="00881160"/>
    <w:rsid w:val="0088371C"/>
    <w:rsid w:val="008A45F3"/>
    <w:rsid w:val="008B1E3C"/>
    <w:rsid w:val="008B51D9"/>
    <w:rsid w:val="008B652E"/>
    <w:rsid w:val="008B7BA7"/>
    <w:rsid w:val="008D05B7"/>
    <w:rsid w:val="008D1376"/>
    <w:rsid w:val="008F1DC6"/>
    <w:rsid w:val="008F6F51"/>
    <w:rsid w:val="00905C5B"/>
    <w:rsid w:val="00923295"/>
    <w:rsid w:val="0092398C"/>
    <w:rsid w:val="00925F11"/>
    <w:rsid w:val="00935265"/>
    <w:rsid w:val="0094689F"/>
    <w:rsid w:val="009477D6"/>
    <w:rsid w:val="00952580"/>
    <w:rsid w:val="00953ED3"/>
    <w:rsid w:val="009617DC"/>
    <w:rsid w:val="00965FF6"/>
    <w:rsid w:val="009738DE"/>
    <w:rsid w:val="00974CC6"/>
    <w:rsid w:val="00983A2B"/>
    <w:rsid w:val="009846D6"/>
    <w:rsid w:val="0098657F"/>
    <w:rsid w:val="009A0828"/>
    <w:rsid w:val="009A2E65"/>
    <w:rsid w:val="009A3236"/>
    <w:rsid w:val="009B5A93"/>
    <w:rsid w:val="009B5BEA"/>
    <w:rsid w:val="009C291F"/>
    <w:rsid w:val="009E37BD"/>
    <w:rsid w:val="009E6B86"/>
    <w:rsid w:val="00A03301"/>
    <w:rsid w:val="00A12762"/>
    <w:rsid w:val="00A13867"/>
    <w:rsid w:val="00A26FED"/>
    <w:rsid w:val="00A33C9F"/>
    <w:rsid w:val="00A421D4"/>
    <w:rsid w:val="00A44FF0"/>
    <w:rsid w:val="00A50E55"/>
    <w:rsid w:val="00A67EB1"/>
    <w:rsid w:val="00A744C3"/>
    <w:rsid w:val="00A8657F"/>
    <w:rsid w:val="00A9011D"/>
    <w:rsid w:val="00A90D77"/>
    <w:rsid w:val="00A91A47"/>
    <w:rsid w:val="00A95D2B"/>
    <w:rsid w:val="00AA0E66"/>
    <w:rsid w:val="00AA5587"/>
    <w:rsid w:val="00AA62BC"/>
    <w:rsid w:val="00AA7AEB"/>
    <w:rsid w:val="00AB4ECE"/>
    <w:rsid w:val="00AC1E53"/>
    <w:rsid w:val="00AC64A8"/>
    <w:rsid w:val="00AD79C8"/>
    <w:rsid w:val="00AE6CE0"/>
    <w:rsid w:val="00AF0CFE"/>
    <w:rsid w:val="00B058A6"/>
    <w:rsid w:val="00B11081"/>
    <w:rsid w:val="00B117D0"/>
    <w:rsid w:val="00B13998"/>
    <w:rsid w:val="00B174FB"/>
    <w:rsid w:val="00B32030"/>
    <w:rsid w:val="00B35C5F"/>
    <w:rsid w:val="00B439DD"/>
    <w:rsid w:val="00B46330"/>
    <w:rsid w:val="00B52E0F"/>
    <w:rsid w:val="00B632E1"/>
    <w:rsid w:val="00B6636C"/>
    <w:rsid w:val="00B74629"/>
    <w:rsid w:val="00B90A90"/>
    <w:rsid w:val="00B91CBE"/>
    <w:rsid w:val="00B91F58"/>
    <w:rsid w:val="00BA32C5"/>
    <w:rsid w:val="00BA579E"/>
    <w:rsid w:val="00BD6555"/>
    <w:rsid w:val="00BE038B"/>
    <w:rsid w:val="00BE2295"/>
    <w:rsid w:val="00BE6373"/>
    <w:rsid w:val="00BF533A"/>
    <w:rsid w:val="00C0208A"/>
    <w:rsid w:val="00C131B1"/>
    <w:rsid w:val="00C349F6"/>
    <w:rsid w:val="00C36F5F"/>
    <w:rsid w:val="00C41794"/>
    <w:rsid w:val="00C46677"/>
    <w:rsid w:val="00C5180E"/>
    <w:rsid w:val="00C54E40"/>
    <w:rsid w:val="00C55F56"/>
    <w:rsid w:val="00C57BA4"/>
    <w:rsid w:val="00C57F88"/>
    <w:rsid w:val="00C613EB"/>
    <w:rsid w:val="00C67A12"/>
    <w:rsid w:val="00C71C1A"/>
    <w:rsid w:val="00C746F2"/>
    <w:rsid w:val="00C84623"/>
    <w:rsid w:val="00CB06C9"/>
    <w:rsid w:val="00CB1E41"/>
    <w:rsid w:val="00CB271C"/>
    <w:rsid w:val="00CB513A"/>
    <w:rsid w:val="00CC00E7"/>
    <w:rsid w:val="00CC0F87"/>
    <w:rsid w:val="00CC1453"/>
    <w:rsid w:val="00CE4F96"/>
    <w:rsid w:val="00CF0AB1"/>
    <w:rsid w:val="00CF4B9B"/>
    <w:rsid w:val="00CF55E6"/>
    <w:rsid w:val="00CF772F"/>
    <w:rsid w:val="00D048DB"/>
    <w:rsid w:val="00D12028"/>
    <w:rsid w:val="00D14F0B"/>
    <w:rsid w:val="00D178CA"/>
    <w:rsid w:val="00D25E6C"/>
    <w:rsid w:val="00D3311C"/>
    <w:rsid w:val="00D376B6"/>
    <w:rsid w:val="00D507EE"/>
    <w:rsid w:val="00D53405"/>
    <w:rsid w:val="00D5457B"/>
    <w:rsid w:val="00D72995"/>
    <w:rsid w:val="00D73685"/>
    <w:rsid w:val="00D77B7A"/>
    <w:rsid w:val="00D919D2"/>
    <w:rsid w:val="00DA7786"/>
    <w:rsid w:val="00DA7FA2"/>
    <w:rsid w:val="00DC2D8D"/>
    <w:rsid w:val="00DC68AC"/>
    <w:rsid w:val="00DC7F67"/>
    <w:rsid w:val="00DE1F5D"/>
    <w:rsid w:val="00DE50D8"/>
    <w:rsid w:val="00DF278A"/>
    <w:rsid w:val="00E04EB7"/>
    <w:rsid w:val="00E1664B"/>
    <w:rsid w:val="00E30D12"/>
    <w:rsid w:val="00E3394E"/>
    <w:rsid w:val="00E35241"/>
    <w:rsid w:val="00E41116"/>
    <w:rsid w:val="00E41417"/>
    <w:rsid w:val="00E42FAA"/>
    <w:rsid w:val="00E457B5"/>
    <w:rsid w:val="00E536D3"/>
    <w:rsid w:val="00E57BE2"/>
    <w:rsid w:val="00E62A95"/>
    <w:rsid w:val="00E746A2"/>
    <w:rsid w:val="00E8786E"/>
    <w:rsid w:val="00E90D06"/>
    <w:rsid w:val="00E97E59"/>
    <w:rsid w:val="00EA5D85"/>
    <w:rsid w:val="00EA79C9"/>
    <w:rsid w:val="00EB66AC"/>
    <w:rsid w:val="00EB696C"/>
    <w:rsid w:val="00EC1225"/>
    <w:rsid w:val="00EC2247"/>
    <w:rsid w:val="00EE1F87"/>
    <w:rsid w:val="00EE2A6D"/>
    <w:rsid w:val="00EE3931"/>
    <w:rsid w:val="00EE5AF6"/>
    <w:rsid w:val="00EF2CEF"/>
    <w:rsid w:val="00EF3663"/>
    <w:rsid w:val="00F1092D"/>
    <w:rsid w:val="00F13FD9"/>
    <w:rsid w:val="00F42C20"/>
    <w:rsid w:val="00F431D8"/>
    <w:rsid w:val="00F616EC"/>
    <w:rsid w:val="00F63474"/>
    <w:rsid w:val="00F63E8D"/>
    <w:rsid w:val="00F67706"/>
    <w:rsid w:val="00F67C53"/>
    <w:rsid w:val="00F76784"/>
    <w:rsid w:val="00F779A7"/>
    <w:rsid w:val="00F779EC"/>
    <w:rsid w:val="00F81FE3"/>
    <w:rsid w:val="00F90F82"/>
    <w:rsid w:val="00F92D75"/>
    <w:rsid w:val="00F97327"/>
    <w:rsid w:val="00FA296F"/>
    <w:rsid w:val="00FA7323"/>
    <w:rsid w:val="00FB1299"/>
    <w:rsid w:val="00FC2C2B"/>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5B8DA2C"/>
  <w15:docId w15:val="{18864102-34CB-4B4E-BE33-F4F9FD604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E41"/>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uiPriority w:val="99"/>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ListParagraphChar">
    <w:name w:val="List Paragraph Char"/>
    <w:basedOn w:val="DefaultParagraphFont"/>
    <w:link w:val="ListParagraph"/>
    <w:uiPriority w:val="34"/>
    <w:locked/>
    <w:rsid w:val="00B35C5F"/>
    <w:rPr>
      <w:rFonts w:eastAsiaTheme="minorEastAsia"/>
    </w:rPr>
  </w:style>
  <w:style w:type="character" w:styleId="FootnoteReference">
    <w:name w:val="footnote reference"/>
    <w:basedOn w:val="DefaultParagraphFont"/>
    <w:uiPriority w:val="99"/>
    <w:semiHidden/>
    <w:unhideWhenUsed/>
    <w:rsid w:val="004239AD"/>
    <w:rPr>
      <w:vertAlign w:val="superscript"/>
    </w:rPr>
  </w:style>
  <w:style w:type="paragraph" w:styleId="BodyText">
    <w:name w:val="Body Text"/>
    <w:basedOn w:val="Normal"/>
    <w:link w:val="BodyTextChar"/>
    <w:uiPriority w:val="1"/>
    <w:qFormat/>
    <w:rsid w:val="00C0208A"/>
    <w:pPr>
      <w:widowControl w:val="0"/>
      <w:autoSpaceDE w:val="0"/>
      <w:autoSpaceDN w:val="0"/>
      <w:ind w:left="0" w:firstLine="0"/>
    </w:pPr>
    <w:rPr>
      <w:rFonts w:ascii="Calibri" w:eastAsia="Calibri" w:hAnsi="Calibri" w:cs="Calibri"/>
    </w:rPr>
  </w:style>
  <w:style w:type="character" w:customStyle="1" w:styleId="BodyTextChar">
    <w:name w:val="Body Text Char"/>
    <w:basedOn w:val="DefaultParagraphFont"/>
    <w:link w:val="BodyText"/>
    <w:uiPriority w:val="1"/>
    <w:rsid w:val="00C0208A"/>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14255">
      <w:bodyDiv w:val="1"/>
      <w:marLeft w:val="0"/>
      <w:marRight w:val="0"/>
      <w:marTop w:val="0"/>
      <w:marBottom w:val="0"/>
      <w:divBdr>
        <w:top w:val="none" w:sz="0" w:space="0" w:color="auto"/>
        <w:left w:val="none" w:sz="0" w:space="0" w:color="auto"/>
        <w:bottom w:val="none" w:sz="0" w:space="0" w:color="auto"/>
        <w:right w:val="none" w:sz="0" w:space="0" w:color="auto"/>
      </w:divBdr>
    </w:div>
    <w:div w:id="285428139">
      <w:bodyDiv w:val="1"/>
      <w:marLeft w:val="0"/>
      <w:marRight w:val="0"/>
      <w:marTop w:val="0"/>
      <w:marBottom w:val="0"/>
      <w:divBdr>
        <w:top w:val="none" w:sz="0" w:space="0" w:color="auto"/>
        <w:left w:val="none" w:sz="0" w:space="0" w:color="auto"/>
        <w:bottom w:val="none" w:sz="0" w:space="0" w:color="auto"/>
        <w:right w:val="none" w:sz="0" w:space="0" w:color="auto"/>
      </w:divBdr>
      <w:divsChild>
        <w:div w:id="1268536490">
          <w:marLeft w:val="547"/>
          <w:marRight w:val="0"/>
          <w:marTop w:val="0"/>
          <w:marBottom w:val="0"/>
          <w:divBdr>
            <w:top w:val="none" w:sz="0" w:space="0" w:color="auto"/>
            <w:left w:val="none" w:sz="0" w:space="0" w:color="auto"/>
            <w:bottom w:val="none" w:sz="0" w:space="0" w:color="auto"/>
            <w:right w:val="none" w:sz="0" w:space="0" w:color="auto"/>
          </w:divBdr>
        </w:div>
      </w:divsChild>
    </w:div>
    <w:div w:id="315571260">
      <w:bodyDiv w:val="1"/>
      <w:marLeft w:val="0"/>
      <w:marRight w:val="0"/>
      <w:marTop w:val="0"/>
      <w:marBottom w:val="0"/>
      <w:divBdr>
        <w:top w:val="none" w:sz="0" w:space="0" w:color="auto"/>
        <w:left w:val="none" w:sz="0" w:space="0" w:color="auto"/>
        <w:bottom w:val="none" w:sz="0" w:space="0" w:color="auto"/>
        <w:right w:val="none" w:sz="0" w:space="0" w:color="auto"/>
      </w:divBdr>
    </w:div>
    <w:div w:id="1103495845">
      <w:bodyDiv w:val="1"/>
      <w:marLeft w:val="0"/>
      <w:marRight w:val="0"/>
      <w:marTop w:val="0"/>
      <w:marBottom w:val="0"/>
      <w:divBdr>
        <w:top w:val="none" w:sz="0" w:space="0" w:color="auto"/>
        <w:left w:val="none" w:sz="0" w:space="0" w:color="auto"/>
        <w:bottom w:val="none" w:sz="0" w:space="0" w:color="auto"/>
        <w:right w:val="none" w:sz="0" w:space="0" w:color="auto"/>
      </w:divBdr>
      <w:divsChild>
        <w:div w:id="204224517">
          <w:marLeft w:val="547"/>
          <w:marRight w:val="0"/>
          <w:marTop w:val="0"/>
          <w:marBottom w:val="0"/>
          <w:divBdr>
            <w:top w:val="none" w:sz="0" w:space="0" w:color="auto"/>
            <w:left w:val="none" w:sz="0" w:space="0" w:color="auto"/>
            <w:bottom w:val="none" w:sz="0" w:space="0" w:color="auto"/>
            <w:right w:val="none" w:sz="0" w:space="0" w:color="auto"/>
          </w:divBdr>
        </w:div>
      </w:divsChild>
    </w:div>
    <w:div w:id="1872523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radeworkinggroup.org" TargetMode="External"/><Relationship Id="rId18" Type="http://schemas.openxmlformats.org/officeDocument/2006/relationships/diagramQuickStyle" Target="diagrams/quickStyle1.xml"/><Relationship Id="rId26" Type="http://schemas.openxmlformats.org/officeDocument/2006/relationships/diagramData" Target="diagrams/data2.xml"/><Relationship Id="rId39" Type="http://schemas.microsoft.com/office/2007/relationships/diagramDrawing" Target="diagrams/drawing3.xml"/><Relationship Id="rId3" Type="http://schemas.openxmlformats.org/officeDocument/2006/relationships/customXml" Target="../customXml/item3.xml"/><Relationship Id="rId21" Type="http://schemas.openxmlformats.org/officeDocument/2006/relationships/hyperlink" Target="http://content.onlinejacc.org/article.aspx?articleid=1910086" TargetMode="External"/><Relationship Id="rId34" Type="http://schemas.openxmlformats.org/officeDocument/2006/relationships/image" Target="media/image2.emf"/><Relationship Id="rId42" Type="http://schemas.openxmlformats.org/officeDocument/2006/relationships/hyperlink" Target="http://www.onlinejacc.org/content/accj/72/14/e91.full.pdf?_ga=2.238225088.1385433901.1570125164-1634948755.1534437338" TargetMode="External"/><Relationship Id="rId47"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diagramLayout" Target="diagrams/layout1.xml"/><Relationship Id="rId25" Type="http://schemas.openxmlformats.org/officeDocument/2006/relationships/image" Target="media/image1.jpeg"/><Relationship Id="rId33" Type="http://schemas.openxmlformats.org/officeDocument/2006/relationships/hyperlink" Target="http://www.onlinejacc.org/content/accj/72/14/e91.full.pdf?_ga=2.238225088.1385433901.1570125164-1634948755.1534437338" TargetMode="External"/><Relationship Id="rId38" Type="http://schemas.openxmlformats.org/officeDocument/2006/relationships/diagramColors" Target="diagrams/colors3.xm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diagramColors" Target="diagrams/colors2.xml"/><Relationship Id="rId41" Type="http://schemas.openxmlformats.org/officeDocument/2006/relationships/hyperlink" Target="http://content.onlinejacc.org/article.aspx?articleid=1147807"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content.onlinejacc.org/article.aspx?articleid=1391404" TargetMode="External"/><Relationship Id="rId32" Type="http://schemas.openxmlformats.org/officeDocument/2006/relationships/hyperlink" Target="http://content.onlinejacc.org/article.aspx?articleid=1147807" TargetMode="External"/><Relationship Id="rId37" Type="http://schemas.openxmlformats.org/officeDocument/2006/relationships/diagramQuickStyle" Target="diagrams/quickStyle3.xml"/><Relationship Id="rId40" Type="http://schemas.openxmlformats.org/officeDocument/2006/relationships/hyperlink" Target="http://content.onlinejacc.org/article.aspx?articleid=1695825" TargetMode="External"/><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aqaalliance.org/files/PrinciplesofEfficiencyMeasurementApril2006.doc" TargetMode="External"/><Relationship Id="rId23" Type="http://schemas.openxmlformats.org/officeDocument/2006/relationships/hyperlink" Target="http://content.onlinejacc.org/article.aspx?articleid=1147807" TargetMode="External"/><Relationship Id="rId28" Type="http://schemas.openxmlformats.org/officeDocument/2006/relationships/diagramQuickStyle" Target="diagrams/quickStyle2.xml"/><Relationship Id="rId36" Type="http://schemas.openxmlformats.org/officeDocument/2006/relationships/diagramLayout" Target="diagrams/layout3.xml"/><Relationship Id="rId10" Type="http://schemas.openxmlformats.org/officeDocument/2006/relationships/footnotes" Target="footnotes.xml"/><Relationship Id="rId19" Type="http://schemas.openxmlformats.org/officeDocument/2006/relationships/diagramColors" Target="diagrams/colors1.xml"/><Relationship Id="rId31" Type="http://schemas.openxmlformats.org/officeDocument/2006/relationships/hyperlink" Target="http://content.onlinejacc.org/article.aspx?articleid=1695825" TargetMode="External"/><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content.onlinejacc.org/article.aspx?articleid=1486115" TargetMode="External"/><Relationship Id="rId27" Type="http://schemas.openxmlformats.org/officeDocument/2006/relationships/diagramLayout" Target="diagrams/layout2.xml"/><Relationship Id="rId30" Type="http://schemas.microsoft.com/office/2007/relationships/diagramDrawing" Target="diagrams/drawing2.xml"/><Relationship Id="rId35" Type="http://schemas.openxmlformats.org/officeDocument/2006/relationships/diagramData" Target="diagrams/data3.xml"/><Relationship Id="rId43" Type="http://schemas.openxmlformats.org/officeDocument/2006/relationships/hyperlink" Target="http://www.onlinejacc.org/content/accj/72/14/e91.full.pdf?_ga=2.238225088.1385433901.1570125164-1634948755.1534437338" TargetMode="External"/><Relationship Id="rId48"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1C0E981-1A56-E94B-A021-53B3C21E392C}" type="doc">
      <dgm:prSet loTypeId="urn:microsoft.com/office/officeart/2005/8/layout/process3" loCatId="" qsTypeId="urn:microsoft.com/office/officeart/2005/8/quickstyle/simple4" qsCatId="simple" csTypeId="urn:microsoft.com/office/officeart/2005/8/colors/accent1_2" csCatId="accent1" phldr="1"/>
      <dgm:spPr/>
    </dgm:pt>
    <dgm:pt modelId="{959C096D-A3E7-BE47-BE19-6EDF0CD5FA68}">
      <dgm:prSet phldrT="[Text]"/>
      <dgm:spPr/>
      <dgm:t>
        <a:bodyPr/>
        <a:lstStyle/>
        <a:p>
          <a:r>
            <a:rPr lang="en-US"/>
            <a:t>Secondary Prevention</a:t>
          </a:r>
        </a:p>
      </dgm:t>
    </dgm:pt>
    <dgm:pt modelId="{1A5B916D-ACE7-2D4F-B110-80349F1DF556}" type="parTrans" cxnId="{4690792D-F20D-8844-ABC1-295A963963E9}">
      <dgm:prSet/>
      <dgm:spPr/>
      <dgm:t>
        <a:bodyPr/>
        <a:lstStyle/>
        <a:p>
          <a:endParaRPr lang="en-US"/>
        </a:p>
      </dgm:t>
    </dgm:pt>
    <dgm:pt modelId="{E43E5358-3F10-644A-B908-C4A83A995F03}" type="sibTrans" cxnId="{4690792D-F20D-8844-ABC1-295A963963E9}">
      <dgm:prSet/>
      <dgm:spPr/>
      <dgm:t>
        <a:bodyPr/>
        <a:lstStyle/>
        <a:p>
          <a:endParaRPr lang="en-US"/>
        </a:p>
      </dgm:t>
    </dgm:pt>
    <dgm:pt modelId="{75CA63E8-270B-6145-BB99-81789C44CBA3}">
      <dgm:prSet phldrT="[Text]"/>
      <dgm:spPr/>
      <dgm:t>
        <a:bodyPr/>
        <a:lstStyle/>
        <a:p>
          <a:r>
            <a:rPr lang="en-US"/>
            <a:t>Process</a:t>
          </a:r>
        </a:p>
      </dgm:t>
    </dgm:pt>
    <dgm:pt modelId="{DB5DDD08-37A5-4940-A4CD-AC7E449F3FA5}" type="parTrans" cxnId="{3AAABB13-27FF-6948-826F-1309E97C8819}">
      <dgm:prSet/>
      <dgm:spPr/>
      <dgm:t>
        <a:bodyPr/>
        <a:lstStyle/>
        <a:p>
          <a:endParaRPr lang="en-US"/>
        </a:p>
      </dgm:t>
    </dgm:pt>
    <dgm:pt modelId="{25BAAC97-F2D4-6C41-8E8F-B5670A44678C}" type="sibTrans" cxnId="{3AAABB13-27FF-6948-826F-1309E97C8819}">
      <dgm:prSet/>
      <dgm:spPr/>
      <dgm:t>
        <a:bodyPr/>
        <a:lstStyle/>
        <a:p>
          <a:endParaRPr lang="en-US"/>
        </a:p>
      </dgm:t>
    </dgm:pt>
    <dgm:pt modelId="{207B300F-65F7-4345-BECB-0E4DAF03F37F}">
      <dgm:prSet phldrT="[Text]"/>
      <dgm:spPr/>
      <dgm:t>
        <a:bodyPr/>
        <a:lstStyle/>
        <a:p>
          <a:r>
            <a:rPr lang="en-US"/>
            <a:t>Intermediate Outcome</a:t>
          </a:r>
        </a:p>
      </dgm:t>
    </dgm:pt>
    <dgm:pt modelId="{A4A38F19-26AF-4441-BC7D-168A2ED56A88}" type="parTrans" cxnId="{22876EB9-D3E0-D043-B674-6F2DD72B360A}">
      <dgm:prSet/>
      <dgm:spPr/>
      <dgm:t>
        <a:bodyPr/>
        <a:lstStyle/>
        <a:p>
          <a:endParaRPr lang="en-US"/>
        </a:p>
      </dgm:t>
    </dgm:pt>
    <dgm:pt modelId="{DFA664B6-5071-6240-AE4C-922FCBADA98C}" type="sibTrans" cxnId="{22876EB9-D3E0-D043-B674-6F2DD72B360A}">
      <dgm:prSet/>
      <dgm:spPr/>
      <dgm:t>
        <a:bodyPr/>
        <a:lstStyle/>
        <a:p>
          <a:endParaRPr lang="en-US"/>
        </a:p>
      </dgm:t>
    </dgm:pt>
    <dgm:pt modelId="{53A46C97-E615-B240-BFC5-4AD4018015B8}">
      <dgm:prSet/>
      <dgm:spPr/>
      <dgm:t>
        <a:bodyPr/>
        <a:lstStyle/>
        <a:p>
          <a:r>
            <a:rPr lang="en-US"/>
            <a:t>Patients with a prior MI receiving an ICD</a:t>
          </a:r>
        </a:p>
      </dgm:t>
    </dgm:pt>
    <dgm:pt modelId="{6C182795-20B1-234A-8AE6-358F5A1CFD8D}" type="parTrans" cxnId="{A2D40CF4-6D39-594D-8087-19230AFFC989}">
      <dgm:prSet/>
      <dgm:spPr/>
      <dgm:t>
        <a:bodyPr/>
        <a:lstStyle/>
        <a:p>
          <a:endParaRPr lang="en-US"/>
        </a:p>
      </dgm:t>
    </dgm:pt>
    <dgm:pt modelId="{CA4ACFB7-0E2B-4449-BA8A-11255180D154}" type="sibTrans" cxnId="{A2D40CF4-6D39-594D-8087-19230AFFC989}">
      <dgm:prSet/>
      <dgm:spPr/>
      <dgm:t>
        <a:bodyPr/>
        <a:lstStyle/>
        <a:p>
          <a:endParaRPr lang="en-US"/>
        </a:p>
      </dgm:t>
    </dgm:pt>
    <dgm:pt modelId="{B295D438-D735-3746-A498-B5489780CBD6}">
      <dgm:prSet/>
      <dgm:spPr/>
      <dgm:t>
        <a:bodyPr/>
        <a:lstStyle/>
        <a:p>
          <a:r>
            <a:rPr lang="en-US"/>
            <a:t>Use of beta-blocker therapy </a:t>
          </a:r>
        </a:p>
      </dgm:t>
    </dgm:pt>
    <dgm:pt modelId="{E235E9C8-8EB6-714B-A1FD-86B20CD5A01E}" type="parTrans" cxnId="{46651E31-DEE1-3748-8FF3-388FC0861101}">
      <dgm:prSet/>
      <dgm:spPr/>
      <dgm:t>
        <a:bodyPr/>
        <a:lstStyle/>
        <a:p>
          <a:endParaRPr lang="en-US"/>
        </a:p>
      </dgm:t>
    </dgm:pt>
    <dgm:pt modelId="{1B77EC5B-9455-7D4F-83F0-A22E9CA71C80}" type="sibTrans" cxnId="{46651E31-DEE1-3748-8FF3-388FC0861101}">
      <dgm:prSet/>
      <dgm:spPr/>
      <dgm:t>
        <a:bodyPr/>
        <a:lstStyle/>
        <a:p>
          <a:endParaRPr lang="en-US"/>
        </a:p>
      </dgm:t>
    </dgm:pt>
    <dgm:pt modelId="{A2370893-A0F3-2640-9D44-2825EBF101AB}">
      <dgm:prSet/>
      <dgm:spPr/>
      <dgm:t>
        <a:bodyPr/>
        <a:lstStyle/>
        <a:p>
          <a:r>
            <a:rPr lang="en-US"/>
            <a:t>Reduction of symptomatic HF</a:t>
          </a:r>
        </a:p>
      </dgm:t>
    </dgm:pt>
    <dgm:pt modelId="{29FACD75-8218-CD44-BE84-72E2095F740F}" type="parTrans" cxnId="{A34F0DFB-B3C9-EE4A-9ADB-F101CA994B2A}">
      <dgm:prSet/>
      <dgm:spPr/>
      <dgm:t>
        <a:bodyPr/>
        <a:lstStyle/>
        <a:p>
          <a:endParaRPr lang="en-US"/>
        </a:p>
      </dgm:t>
    </dgm:pt>
    <dgm:pt modelId="{3B6E6D02-064B-364C-864B-B6C981906ADD}" type="sibTrans" cxnId="{A34F0DFB-B3C9-EE4A-9ADB-F101CA994B2A}">
      <dgm:prSet/>
      <dgm:spPr/>
      <dgm:t>
        <a:bodyPr/>
        <a:lstStyle/>
        <a:p>
          <a:endParaRPr lang="en-US"/>
        </a:p>
      </dgm:t>
    </dgm:pt>
    <dgm:pt modelId="{A36AE77D-DA31-C24D-B78D-6BE98A356865}">
      <dgm:prSet/>
      <dgm:spPr/>
      <dgm:t>
        <a:bodyPr/>
        <a:lstStyle/>
        <a:p>
          <a:r>
            <a:rPr lang="en-US"/>
            <a:t>Outcome</a:t>
          </a:r>
        </a:p>
      </dgm:t>
    </dgm:pt>
    <dgm:pt modelId="{0259D6F5-B42F-014C-95B4-F3A11ADB9CF1}" type="parTrans" cxnId="{A4BEAC50-D371-A842-9724-1FDCEDB1C464}">
      <dgm:prSet/>
      <dgm:spPr/>
      <dgm:t>
        <a:bodyPr/>
        <a:lstStyle/>
        <a:p>
          <a:endParaRPr lang="en-US"/>
        </a:p>
      </dgm:t>
    </dgm:pt>
    <dgm:pt modelId="{2E094279-93BE-2A41-9DF0-BCA01CC2A2B7}" type="sibTrans" cxnId="{A4BEAC50-D371-A842-9724-1FDCEDB1C464}">
      <dgm:prSet/>
      <dgm:spPr/>
      <dgm:t>
        <a:bodyPr/>
        <a:lstStyle/>
        <a:p>
          <a:endParaRPr lang="en-US"/>
        </a:p>
      </dgm:t>
    </dgm:pt>
    <dgm:pt modelId="{25DEBFDE-0522-BC4D-998A-136EECAACF1F}">
      <dgm:prSet/>
      <dgm:spPr/>
      <dgm:t>
        <a:bodyPr/>
        <a:lstStyle/>
        <a:p>
          <a:r>
            <a:rPr lang="en-US"/>
            <a:t>Reduction in mortality </a:t>
          </a:r>
        </a:p>
      </dgm:t>
    </dgm:pt>
    <dgm:pt modelId="{50E2FC9E-6A78-094D-8708-0A9DBA4F498C}" type="parTrans" cxnId="{4F943AD7-7E2F-144F-9D5F-9F7D7B06BA09}">
      <dgm:prSet/>
      <dgm:spPr/>
      <dgm:t>
        <a:bodyPr/>
        <a:lstStyle/>
        <a:p>
          <a:endParaRPr lang="en-US"/>
        </a:p>
      </dgm:t>
    </dgm:pt>
    <dgm:pt modelId="{29ABB6EF-831D-EE4D-8694-E51E7EA99F6D}" type="sibTrans" cxnId="{4F943AD7-7E2F-144F-9D5F-9F7D7B06BA09}">
      <dgm:prSet/>
      <dgm:spPr/>
      <dgm:t>
        <a:bodyPr/>
        <a:lstStyle/>
        <a:p>
          <a:endParaRPr lang="en-US"/>
        </a:p>
      </dgm:t>
    </dgm:pt>
    <dgm:pt modelId="{4BE85E6E-59B4-5D49-BBAA-B1D93A4FAA56}" type="pres">
      <dgm:prSet presAssocID="{A1C0E981-1A56-E94B-A021-53B3C21E392C}" presName="linearFlow" presStyleCnt="0">
        <dgm:presLayoutVars>
          <dgm:dir/>
          <dgm:animLvl val="lvl"/>
          <dgm:resizeHandles val="exact"/>
        </dgm:presLayoutVars>
      </dgm:prSet>
      <dgm:spPr/>
    </dgm:pt>
    <dgm:pt modelId="{B2FE6E30-1F03-9C46-9F9B-7983F326D122}" type="pres">
      <dgm:prSet presAssocID="{959C096D-A3E7-BE47-BE19-6EDF0CD5FA68}" presName="composite" presStyleCnt="0"/>
      <dgm:spPr/>
    </dgm:pt>
    <dgm:pt modelId="{74CAD05E-2A35-3844-8C3C-BA25E39CF2F1}" type="pres">
      <dgm:prSet presAssocID="{959C096D-A3E7-BE47-BE19-6EDF0CD5FA68}" presName="parTx" presStyleLbl="node1" presStyleIdx="0" presStyleCnt="4">
        <dgm:presLayoutVars>
          <dgm:chMax val="0"/>
          <dgm:chPref val="0"/>
          <dgm:bulletEnabled val="1"/>
        </dgm:presLayoutVars>
      </dgm:prSet>
      <dgm:spPr/>
    </dgm:pt>
    <dgm:pt modelId="{A5DCB2EC-3468-254E-AF96-B2413DD17C7F}" type="pres">
      <dgm:prSet presAssocID="{959C096D-A3E7-BE47-BE19-6EDF0CD5FA68}" presName="parSh" presStyleLbl="node1" presStyleIdx="0" presStyleCnt="4" custLinFactNeighborX="-9109"/>
      <dgm:spPr/>
    </dgm:pt>
    <dgm:pt modelId="{9A60C7A2-BD9B-B949-92C1-2844E64033B4}" type="pres">
      <dgm:prSet presAssocID="{959C096D-A3E7-BE47-BE19-6EDF0CD5FA68}" presName="desTx" presStyleLbl="fgAcc1" presStyleIdx="0" presStyleCnt="4">
        <dgm:presLayoutVars>
          <dgm:bulletEnabled val="1"/>
        </dgm:presLayoutVars>
      </dgm:prSet>
      <dgm:spPr/>
    </dgm:pt>
    <dgm:pt modelId="{0956118A-47D9-8541-9237-CB33D8B80E7F}" type="pres">
      <dgm:prSet presAssocID="{E43E5358-3F10-644A-B908-C4A83A995F03}" presName="sibTrans" presStyleLbl="sibTrans2D1" presStyleIdx="0" presStyleCnt="3"/>
      <dgm:spPr/>
    </dgm:pt>
    <dgm:pt modelId="{A0A77159-31A5-804C-91B3-4175C5F807B0}" type="pres">
      <dgm:prSet presAssocID="{E43E5358-3F10-644A-B908-C4A83A995F03}" presName="connTx" presStyleLbl="sibTrans2D1" presStyleIdx="0" presStyleCnt="3"/>
      <dgm:spPr/>
    </dgm:pt>
    <dgm:pt modelId="{000A83A3-2A80-8849-BA8B-3FB82185A1B6}" type="pres">
      <dgm:prSet presAssocID="{75CA63E8-270B-6145-BB99-81789C44CBA3}" presName="composite" presStyleCnt="0"/>
      <dgm:spPr/>
    </dgm:pt>
    <dgm:pt modelId="{CD7B7CBE-B8E4-6541-9E08-8E7DF0D718CB}" type="pres">
      <dgm:prSet presAssocID="{75CA63E8-270B-6145-BB99-81789C44CBA3}" presName="parTx" presStyleLbl="node1" presStyleIdx="0" presStyleCnt="4">
        <dgm:presLayoutVars>
          <dgm:chMax val="0"/>
          <dgm:chPref val="0"/>
          <dgm:bulletEnabled val="1"/>
        </dgm:presLayoutVars>
      </dgm:prSet>
      <dgm:spPr/>
    </dgm:pt>
    <dgm:pt modelId="{805A9C4A-4C81-EF44-80B9-6C835C4A3FE5}" type="pres">
      <dgm:prSet presAssocID="{75CA63E8-270B-6145-BB99-81789C44CBA3}" presName="parSh" presStyleLbl="node1" presStyleIdx="1" presStyleCnt="4"/>
      <dgm:spPr/>
    </dgm:pt>
    <dgm:pt modelId="{694295A1-6CA5-B54B-8102-98ED1FBB9FC0}" type="pres">
      <dgm:prSet presAssocID="{75CA63E8-270B-6145-BB99-81789C44CBA3}" presName="desTx" presStyleLbl="fgAcc1" presStyleIdx="1" presStyleCnt="4">
        <dgm:presLayoutVars>
          <dgm:bulletEnabled val="1"/>
        </dgm:presLayoutVars>
      </dgm:prSet>
      <dgm:spPr/>
    </dgm:pt>
    <dgm:pt modelId="{AD98A71F-8E81-194A-94A5-CB2EB8390C52}" type="pres">
      <dgm:prSet presAssocID="{25BAAC97-F2D4-6C41-8E8F-B5670A44678C}" presName="sibTrans" presStyleLbl="sibTrans2D1" presStyleIdx="1" presStyleCnt="3"/>
      <dgm:spPr/>
    </dgm:pt>
    <dgm:pt modelId="{EC59FD0B-6992-354F-B582-3ECC78FDC8D9}" type="pres">
      <dgm:prSet presAssocID="{25BAAC97-F2D4-6C41-8E8F-B5670A44678C}" presName="connTx" presStyleLbl="sibTrans2D1" presStyleIdx="1" presStyleCnt="3"/>
      <dgm:spPr/>
    </dgm:pt>
    <dgm:pt modelId="{CD3FDCFE-4873-0B42-863D-DF8A078CEE67}" type="pres">
      <dgm:prSet presAssocID="{207B300F-65F7-4345-BECB-0E4DAF03F37F}" presName="composite" presStyleCnt="0"/>
      <dgm:spPr/>
    </dgm:pt>
    <dgm:pt modelId="{5B401A80-186F-1848-AE0C-EE86C9871EAF}" type="pres">
      <dgm:prSet presAssocID="{207B300F-65F7-4345-BECB-0E4DAF03F37F}" presName="parTx" presStyleLbl="node1" presStyleIdx="1" presStyleCnt="4">
        <dgm:presLayoutVars>
          <dgm:chMax val="0"/>
          <dgm:chPref val="0"/>
          <dgm:bulletEnabled val="1"/>
        </dgm:presLayoutVars>
      </dgm:prSet>
      <dgm:spPr/>
    </dgm:pt>
    <dgm:pt modelId="{CB3DA272-9C86-8946-AE75-E934BD77B40B}" type="pres">
      <dgm:prSet presAssocID="{207B300F-65F7-4345-BECB-0E4DAF03F37F}" presName="parSh" presStyleLbl="node1" presStyleIdx="2" presStyleCnt="4"/>
      <dgm:spPr/>
    </dgm:pt>
    <dgm:pt modelId="{24E8CE73-9EC6-3B4B-BD18-4603A3685EB3}" type="pres">
      <dgm:prSet presAssocID="{207B300F-65F7-4345-BECB-0E4DAF03F37F}" presName="desTx" presStyleLbl="fgAcc1" presStyleIdx="2" presStyleCnt="4">
        <dgm:presLayoutVars>
          <dgm:bulletEnabled val="1"/>
        </dgm:presLayoutVars>
      </dgm:prSet>
      <dgm:spPr/>
    </dgm:pt>
    <dgm:pt modelId="{B753E2D2-0EAF-514F-9ED6-B5F533751D2F}" type="pres">
      <dgm:prSet presAssocID="{DFA664B6-5071-6240-AE4C-922FCBADA98C}" presName="sibTrans" presStyleLbl="sibTrans2D1" presStyleIdx="2" presStyleCnt="3"/>
      <dgm:spPr/>
    </dgm:pt>
    <dgm:pt modelId="{B19898CA-50FD-B94B-A9B7-8A61029FBC33}" type="pres">
      <dgm:prSet presAssocID="{DFA664B6-5071-6240-AE4C-922FCBADA98C}" presName="connTx" presStyleLbl="sibTrans2D1" presStyleIdx="2" presStyleCnt="3"/>
      <dgm:spPr/>
    </dgm:pt>
    <dgm:pt modelId="{B1DED8D8-7C52-0F4E-B6AC-60C6D1DE4D3B}" type="pres">
      <dgm:prSet presAssocID="{A36AE77D-DA31-C24D-B78D-6BE98A356865}" presName="composite" presStyleCnt="0"/>
      <dgm:spPr/>
    </dgm:pt>
    <dgm:pt modelId="{0966D0EA-9C2F-B847-B97E-FF6E2F7E12E4}" type="pres">
      <dgm:prSet presAssocID="{A36AE77D-DA31-C24D-B78D-6BE98A356865}" presName="parTx" presStyleLbl="node1" presStyleIdx="2" presStyleCnt="4">
        <dgm:presLayoutVars>
          <dgm:chMax val="0"/>
          <dgm:chPref val="0"/>
          <dgm:bulletEnabled val="1"/>
        </dgm:presLayoutVars>
      </dgm:prSet>
      <dgm:spPr/>
    </dgm:pt>
    <dgm:pt modelId="{E0C83E93-B3D2-3146-BAEA-F4763A971075}" type="pres">
      <dgm:prSet presAssocID="{A36AE77D-DA31-C24D-B78D-6BE98A356865}" presName="parSh" presStyleLbl="node1" presStyleIdx="3" presStyleCnt="4"/>
      <dgm:spPr/>
    </dgm:pt>
    <dgm:pt modelId="{DDB40BDE-EDAC-E042-BAE0-0F4F135852FD}" type="pres">
      <dgm:prSet presAssocID="{A36AE77D-DA31-C24D-B78D-6BE98A356865}" presName="desTx" presStyleLbl="fgAcc1" presStyleIdx="3" presStyleCnt="4">
        <dgm:presLayoutVars>
          <dgm:bulletEnabled val="1"/>
        </dgm:presLayoutVars>
      </dgm:prSet>
      <dgm:spPr/>
    </dgm:pt>
  </dgm:ptLst>
  <dgm:cxnLst>
    <dgm:cxn modelId="{98088B08-AC05-9746-8C57-D26A8234EC31}" type="presOf" srcId="{A2370893-A0F3-2640-9D44-2825EBF101AB}" destId="{24E8CE73-9EC6-3B4B-BD18-4603A3685EB3}" srcOrd="0" destOrd="0" presId="urn:microsoft.com/office/officeart/2005/8/layout/process3"/>
    <dgm:cxn modelId="{47E4A90E-3382-D547-8FD7-BB1B08208CB1}" type="presOf" srcId="{25BAAC97-F2D4-6C41-8E8F-B5670A44678C}" destId="{AD98A71F-8E81-194A-94A5-CB2EB8390C52}" srcOrd="0" destOrd="0" presId="urn:microsoft.com/office/officeart/2005/8/layout/process3"/>
    <dgm:cxn modelId="{3AAABB13-27FF-6948-826F-1309E97C8819}" srcId="{A1C0E981-1A56-E94B-A021-53B3C21E392C}" destId="{75CA63E8-270B-6145-BB99-81789C44CBA3}" srcOrd="1" destOrd="0" parTransId="{DB5DDD08-37A5-4940-A4CD-AC7E449F3FA5}" sibTransId="{25BAAC97-F2D4-6C41-8E8F-B5670A44678C}"/>
    <dgm:cxn modelId="{1604121D-E2F1-564D-BAB7-B0E1270483B0}" type="presOf" srcId="{A1C0E981-1A56-E94B-A021-53B3C21E392C}" destId="{4BE85E6E-59B4-5D49-BBAA-B1D93A4FAA56}" srcOrd="0" destOrd="0" presId="urn:microsoft.com/office/officeart/2005/8/layout/process3"/>
    <dgm:cxn modelId="{4690792D-F20D-8844-ABC1-295A963963E9}" srcId="{A1C0E981-1A56-E94B-A021-53B3C21E392C}" destId="{959C096D-A3E7-BE47-BE19-6EDF0CD5FA68}" srcOrd="0" destOrd="0" parTransId="{1A5B916D-ACE7-2D4F-B110-80349F1DF556}" sibTransId="{E43E5358-3F10-644A-B908-C4A83A995F03}"/>
    <dgm:cxn modelId="{46651E31-DEE1-3748-8FF3-388FC0861101}" srcId="{75CA63E8-270B-6145-BB99-81789C44CBA3}" destId="{B295D438-D735-3746-A498-B5489780CBD6}" srcOrd="0" destOrd="0" parTransId="{E235E9C8-8EB6-714B-A1FD-86B20CD5A01E}" sibTransId="{1B77EC5B-9455-7D4F-83F0-A22E9CA71C80}"/>
    <dgm:cxn modelId="{3D599D5B-F12D-404A-9BFF-472E62DBFC12}" type="presOf" srcId="{25BAAC97-F2D4-6C41-8E8F-B5670A44678C}" destId="{EC59FD0B-6992-354F-B582-3ECC78FDC8D9}" srcOrd="1" destOrd="0" presId="urn:microsoft.com/office/officeart/2005/8/layout/process3"/>
    <dgm:cxn modelId="{C6C37C69-7968-0E45-9CD1-13D28EBFD7A7}" type="presOf" srcId="{207B300F-65F7-4345-BECB-0E4DAF03F37F}" destId="{5B401A80-186F-1848-AE0C-EE86C9871EAF}" srcOrd="0" destOrd="0" presId="urn:microsoft.com/office/officeart/2005/8/layout/process3"/>
    <dgm:cxn modelId="{69CBFE49-7638-2545-92C0-57169832D89C}" type="presOf" srcId="{75CA63E8-270B-6145-BB99-81789C44CBA3}" destId="{CD7B7CBE-B8E4-6541-9E08-8E7DF0D718CB}" srcOrd="0" destOrd="0" presId="urn:microsoft.com/office/officeart/2005/8/layout/process3"/>
    <dgm:cxn modelId="{B98F614A-81F8-8E43-88CA-86E5B6E35E4F}" type="presOf" srcId="{A36AE77D-DA31-C24D-B78D-6BE98A356865}" destId="{E0C83E93-B3D2-3146-BAEA-F4763A971075}" srcOrd="1" destOrd="0" presId="urn:microsoft.com/office/officeart/2005/8/layout/process3"/>
    <dgm:cxn modelId="{A4BEAC50-D371-A842-9724-1FDCEDB1C464}" srcId="{A1C0E981-1A56-E94B-A021-53B3C21E392C}" destId="{A36AE77D-DA31-C24D-B78D-6BE98A356865}" srcOrd="3" destOrd="0" parTransId="{0259D6F5-B42F-014C-95B4-F3A11ADB9CF1}" sibTransId="{2E094279-93BE-2A41-9DF0-BCA01CC2A2B7}"/>
    <dgm:cxn modelId="{1D339258-FAC7-2044-B2FC-D679AB084707}" type="presOf" srcId="{B295D438-D735-3746-A498-B5489780CBD6}" destId="{694295A1-6CA5-B54B-8102-98ED1FBB9FC0}" srcOrd="0" destOrd="0" presId="urn:microsoft.com/office/officeart/2005/8/layout/process3"/>
    <dgm:cxn modelId="{AB1C9B88-2932-DB4D-8DED-3AD99F39A221}" type="presOf" srcId="{959C096D-A3E7-BE47-BE19-6EDF0CD5FA68}" destId="{A5DCB2EC-3468-254E-AF96-B2413DD17C7F}" srcOrd="1" destOrd="0" presId="urn:microsoft.com/office/officeart/2005/8/layout/process3"/>
    <dgm:cxn modelId="{F501AF93-0D4F-DD4F-BD11-2F465EF623C5}" type="presOf" srcId="{25DEBFDE-0522-BC4D-998A-136EECAACF1F}" destId="{DDB40BDE-EDAC-E042-BAE0-0F4F135852FD}" srcOrd="0" destOrd="0" presId="urn:microsoft.com/office/officeart/2005/8/layout/process3"/>
    <dgm:cxn modelId="{2FF40E95-2332-FE43-BB15-C3B20D721B7C}" type="presOf" srcId="{75CA63E8-270B-6145-BB99-81789C44CBA3}" destId="{805A9C4A-4C81-EF44-80B9-6C835C4A3FE5}" srcOrd="1" destOrd="0" presId="urn:microsoft.com/office/officeart/2005/8/layout/process3"/>
    <dgm:cxn modelId="{4ECA84B0-1773-3349-9933-B4B71D09F4CE}" type="presOf" srcId="{DFA664B6-5071-6240-AE4C-922FCBADA98C}" destId="{B753E2D2-0EAF-514F-9ED6-B5F533751D2F}" srcOrd="0" destOrd="0" presId="urn:microsoft.com/office/officeart/2005/8/layout/process3"/>
    <dgm:cxn modelId="{0B5904B1-24D5-084D-99E0-0BAC33E78F04}" type="presOf" srcId="{E43E5358-3F10-644A-B908-C4A83A995F03}" destId="{0956118A-47D9-8541-9237-CB33D8B80E7F}" srcOrd="0" destOrd="0" presId="urn:microsoft.com/office/officeart/2005/8/layout/process3"/>
    <dgm:cxn modelId="{B8E744B1-BDD4-224A-BECE-ACFA844FCFB8}" type="presOf" srcId="{207B300F-65F7-4345-BECB-0E4DAF03F37F}" destId="{CB3DA272-9C86-8946-AE75-E934BD77B40B}" srcOrd="1" destOrd="0" presId="urn:microsoft.com/office/officeart/2005/8/layout/process3"/>
    <dgm:cxn modelId="{22876EB9-D3E0-D043-B674-6F2DD72B360A}" srcId="{A1C0E981-1A56-E94B-A021-53B3C21E392C}" destId="{207B300F-65F7-4345-BECB-0E4DAF03F37F}" srcOrd="2" destOrd="0" parTransId="{A4A38F19-26AF-4441-BC7D-168A2ED56A88}" sibTransId="{DFA664B6-5071-6240-AE4C-922FCBADA98C}"/>
    <dgm:cxn modelId="{00426CC0-6AF1-4D46-BCDF-D1A867845EE3}" type="presOf" srcId="{53A46C97-E615-B240-BFC5-4AD4018015B8}" destId="{9A60C7A2-BD9B-B949-92C1-2844E64033B4}" srcOrd="0" destOrd="0" presId="urn:microsoft.com/office/officeart/2005/8/layout/process3"/>
    <dgm:cxn modelId="{604ECCC4-5629-7A40-8BB1-CFCAB9E1DE27}" type="presOf" srcId="{E43E5358-3F10-644A-B908-C4A83A995F03}" destId="{A0A77159-31A5-804C-91B3-4175C5F807B0}" srcOrd="1" destOrd="0" presId="urn:microsoft.com/office/officeart/2005/8/layout/process3"/>
    <dgm:cxn modelId="{4F943AD7-7E2F-144F-9D5F-9F7D7B06BA09}" srcId="{A36AE77D-DA31-C24D-B78D-6BE98A356865}" destId="{25DEBFDE-0522-BC4D-998A-136EECAACF1F}" srcOrd="0" destOrd="0" parTransId="{50E2FC9E-6A78-094D-8708-0A9DBA4F498C}" sibTransId="{29ABB6EF-831D-EE4D-8694-E51E7EA99F6D}"/>
    <dgm:cxn modelId="{FEA7C2F2-B3EC-7241-A84B-0CA7C4510EAA}" type="presOf" srcId="{A36AE77D-DA31-C24D-B78D-6BE98A356865}" destId="{0966D0EA-9C2F-B847-B97E-FF6E2F7E12E4}" srcOrd="0" destOrd="0" presId="urn:microsoft.com/office/officeart/2005/8/layout/process3"/>
    <dgm:cxn modelId="{A2D40CF4-6D39-594D-8087-19230AFFC989}" srcId="{959C096D-A3E7-BE47-BE19-6EDF0CD5FA68}" destId="{53A46C97-E615-B240-BFC5-4AD4018015B8}" srcOrd="0" destOrd="0" parTransId="{6C182795-20B1-234A-8AE6-358F5A1CFD8D}" sibTransId="{CA4ACFB7-0E2B-4449-BA8A-11255180D154}"/>
    <dgm:cxn modelId="{A1FD5AFA-5F97-364C-B293-27BFB1F8BE5A}" type="presOf" srcId="{DFA664B6-5071-6240-AE4C-922FCBADA98C}" destId="{B19898CA-50FD-B94B-A9B7-8A61029FBC33}" srcOrd="1" destOrd="0" presId="urn:microsoft.com/office/officeart/2005/8/layout/process3"/>
    <dgm:cxn modelId="{A34F0DFB-B3C9-EE4A-9ADB-F101CA994B2A}" srcId="{207B300F-65F7-4345-BECB-0E4DAF03F37F}" destId="{A2370893-A0F3-2640-9D44-2825EBF101AB}" srcOrd="0" destOrd="0" parTransId="{29FACD75-8218-CD44-BE84-72E2095F740F}" sibTransId="{3B6E6D02-064B-364C-864B-B6C981906ADD}"/>
    <dgm:cxn modelId="{083590FF-1135-F243-8FC8-295997207FB4}" type="presOf" srcId="{959C096D-A3E7-BE47-BE19-6EDF0CD5FA68}" destId="{74CAD05E-2A35-3844-8C3C-BA25E39CF2F1}" srcOrd="0" destOrd="0" presId="urn:microsoft.com/office/officeart/2005/8/layout/process3"/>
    <dgm:cxn modelId="{6DD8F386-0512-A44A-A849-C0D102DEC60C}" type="presParOf" srcId="{4BE85E6E-59B4-5D49-BBAA-B1D93A4FAA56}" destId="{B2FE6E30-1F03-9C46-9F9B-7983F326D122}" srcOrd="0" destOrd="0" presId="urn:microsoft.com/office/officeart/2005/8/layout/process3"/>
    <dgm:cxn modelId="{18D54D37-9E4E-984B-A72B-A09812B195BF}" type="presParOf" srcId="{B2FE6E30-1F03-9C46-9F9B-7983F326D122}" destId="{74CAD05E-2A35-3844-8C3C-BA25E39CF2F1}" srcOrd="0" destOrd="0" presId="urn:microsoft.com/office/officeart/2005/8/layout/process3"/>
    <dgm:cxn modelId="{F7D6EF09-D978-AF44-823E-639EE565EFCB}" type="presParOf" srcId="{B2FE6E30-1F03-9C46-9F9B-7983F326D122}" destId="{A5DCB2EC-3468-254E-AF96-B2413DD17C7F}" srcOrd="1" destOrd="0" presId="urn:microsoft.com/office/officeart/2005/8/layout/process3"/>
    <dgm:cxn modelId="{F297250B-64D2-7F41-BB85-7DDE7D47D68C}" type="presParOf" srcId="{B2FE6E30-1F03-9C46-9F9B-7983F326D122}" destId="{9A60C7A2-BD9B-B949-92C1-2844E64033B4}" srcOrd="2" destOrd="0" presId="urn:microsoft.com/office/officeart/2005/8/layout/process3"/>
    <dgm:cxn modelId="{0FE00D6D-2819-234F-9FAA-CE21D56071D7}" type="presParOf" srcId="{4BE85E6E-59B4-5D49-BBAA-B1D93A4FAA56}" destId="{0956118A-47D9-8541-9237-CB33D8B80E7F}" srcOrd="1" destOrd="0" presId="urn:microsoft.com/office/officeart/2005/8/layout/process3"/>
    <dgm:cxn modelId="{AD4F3E85-C4A6-6147-B90E-1CEDC8EA2669}" type="presParOf" srcId="{0956118A-47D9-8541-9237-CB33D8B80E7F}" destId="{A0A77159-31A5-804C-91B3-4175C5F807B0}" srcOrd="0" destOrd="0" presId="urn:microsoft.com/office/officeart/2005/8/layout/process3"/>
    <dgm:cxn modelId="{12D4D5F7-F0F1-0043-B1E3-39AB7CA15BAF}" type="presParOf" srcId="{4BE85E6E-59B4-5D49-BBAA-B1D93A4FAA56}" destId="{000A83A3-2A80-8849-BA8B-3FB82185A1B6}" srcOrd="2" destOrd="0" presId="urn:microsoft.com/office/officeart/2005/8/layout/process3"/>
    <dgm:cxn modelId="{2D1171A9-A684-5E4B-B690-D74BF94AB849}" type="presParOf" srcId="{000A83A3-2A80-8849-BA8B-3FB82185A1B6}" destId="{CD7B7CBE-B8E4-6541-9E08-8E7DF0D718CB}" srcOrd="0" destOrd="0" presId="urn:microsoft.com/office/officeart/2005/8/layout/process3"/>
    <dgm:cxn modelId="{E6CF7E19-EC4C-3A46-818D-1D1E66CC5236}" type="presParOf" srcId="{000A83A3-2A80-8849-BA8B-3FB82185A1B6}" destId="{805A9C4A-4C81-EF44-80B9-6C835C4A3FE5}" srcOrd="1" destOrd="0" presId="urn:microsoft.com/office/officeart/2005/8/layout/process3"/>
    <dgm:cxn modelId="{584AFC6D-C466-824F-93E3-430082C329F2}" type="presParOf" srcId="{000A83A3-2A80-8849-BA8B-3FB82185A1B6}" destId="{694295A1-6CA5-B54B-8102-98ED1FBB9FC0}" srcOrd="2" destOrd="0" presId="urn:microsoft.com/office/officeart/2005/8/layout/process3"/>
    <dgm:cxn modelId="{0BEE6BDA-EE47-014D-8DA5-4CF4A7B88B89}" type="presParOf" srcId="{4BE85E6E-59B4-5D49-BBAA-B1D93A4FAA56}" destId="{AD98A71F-8E81-194A-94A5-CB2EB8390C52}" srcOrd="3" destOrd="0" presId="urn:microsoft.com/office/officeart/2005/8/layout/process3"/>
    <dgm:cxn modelId="{0BD945CE-7841-5E49-9923-78F53952E8C8}" type="presParOf" srcId="{AD98A71F-8E81-194A-94A5-CB2EB8390C52}" destId="{EC59FD0B-6992-354F-B582-3ECC78FDC8D9}" srcOrd="0" destOrd="0" presId="urn:microsoft.com/office/officeart/2005/8/layout/process3"/>
    <dgm:cxn modelId="{A1B21F50-E4E2-614D-9FCE-AAB46FDAF4EE}" type="presParOf" srcId="{4BE85E6E-59B4-5D49-BBAA-B1D93A4FAA56}" destId="{CD3FDCFE-4873-0B42-863D-DF8A078CEE67}" srcOrd="4" destOrd="0" presId="urn:microsoft.com/office/officeart/2005/8/layout/process3"/>
    <dgm:cxn modelId="{8B1E36F1-8554-8A48-93B6-A9EA84E0DDD4}" type="presParOf" srcId="{CD3FDCFE-4873-0B42-863D-DF8A078CEE67}" destId="{5B401A80-186F-1848-AE0C-EE86C9871EAF}" srcOrd="0" destOrd="0" presId="urn:microsoft.com/office/officeart/2005/8/layout/process3"/>
    <dgm:cxn modelId="{32E73323-1F49-4C47-A92C-D8816231388A}" type="presParOf" srcId="{CD3FDCFE-4873-0B42-863D-DF8A078CEE67}" destId="{CB3DA272-9C86-8946-AE75-E934BD77B40B}" srcOrd="1" destOrd="0" presId="urn:microsoft.com/office/officeart/2005/8/layout/process3"/>
    <dgm:cxn modelId="{2A3E4287-5853-2640-AA9B-CE1D68078F27}" type="presParOf" srcId="{CD3FDCFE-4873-0B42-863D-DF8A078CEE67}" destId="{24E8CE73-9EC6-3B4B-BD18-4603A3685EB3}" srcOrd="2" destOrd="0" presId="urn:microsoft.com/office/officeart/2005/8/layout/process3"/>
    <dgm:cxn modelId="{13EBB179-DBC3-C14E-BC3E-004647B4F692}" type="presParOf" srcId="{4BE85E6E-59B4-5D49-BBAA-B1D93A4FAA56}" destId="{B753E2D2-0EAF-514F-9ED6-B5F533751D2F}" srcOrd="5" destOrd="0" presId="urn:microsoft.com/office/officeart/2005/8/layout/process3"/>
    <dgm:cxn modelId="{A1BACDA2-1012-1346-A264-98566D5B72BF}" type="presParOf" srcId="{B753E2D2-0EAF-514F-9ED6-B5F533751D2F}" destId="{B19898CA-50FD-B94B-A9B7-8A61029FBC33}" srcOrd="0" destOrd="0" presId="urn:microsoft.com/office/officeart/2005/8/layout/process3"/>
    <dgm:cxn modelId="{5DD66777-8002-7F42-A353-19AFE7CE0BAE}" type="presParOf" srcId="{4BE85E6E-59B4-5D49-BBAA-B1D93A4FAA56}" destId="{B1DED8D8-7C52-0F4E-B6AC-60C6D1DE4D3B}" srcOrd="6" destOrd="0" presId="urn:microsoft.com/office/officeart/2005/8/layout/process3"/>
    <dgm:cxn modelId="{3FD982AD-222D-B542-8BB2-54AE8757A25F}" type="presParOf" srcId="{B1DED8D8-7C52-0F4E-B6AC-60C6D1DE4D3B}" destId="{0966D0EA-9C2F-B847-B97E-FF6E2F7E12E4}" srcOrd="0" destOrd="0" presId="urn:microsoft.com/office/officeart/2005/8/layout/process3"/>
    <dgm:cxn modelId="{91AB8360-68EE-3145-9C6E-CBAC30E7FF39}" type="presParOf" srcId="{B1DED8D8-7C52-0F4E-B6AC-60C6D1DE4D3B}" destId="{E0C83E93-B3D2-3146-BAEA-F4763A971075}" srcOrd="1" destOrd="0" presId="urn:microsoft.com/office/officeart/2005/8/layout/process3"/>
    <dgm:cxn modelId="{43B944D8-FCB5-8D4D-9414-4DB66497A99F}" type="presParOf" srcId="{B1DED8D8-7C52-0F4E-B6AC-60C6D1DE4D3B}" destId="{DDB40BDE-EDAC-E042-BAE0-0F4F135852FD}" srcOrd="2" destOrd="0" presId="urn:microsoft.com/office/officeart/2005/8/layout/process3"/>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1C0E981-1A56-E94B-A021-53B3C21E392C}" type="doc">
      <dgm:prSet loTypeId="urn:microsoft.com/office/officeart/2005/8/layout/process3" loCatId="" qsTypeId="urn:microsoft.com/office/officeart/2005/8/quickstyle/simple4" qsCatId="simple" csTypeId="urn:microsoft.com/office/officeart/2005/8/colors/accent1_2" csCatId="accent1" phldr="1"/>
      <dgm:spPr/>
    </dgm:pt>
    <dgm:pt modelId="{959C096D-A3E7-BE47-BE19-6EDF0CD5FA68}">
      <dgm:prSet phldrT="[Text]"/>
      <dgm:spPr/>
      <dgm:t>
        <a:bodyPr/>
        <a:lstStyle/>
        <a:p>
          <a:r>
            <a:rPr lang="en-US"/>
            <a:t>Secondary/Primary Prevention</a:t>
          </a:r>
        </a:p>
      </dgm:t>
    </dgm:pt>
    <dgm:pt modelId="{1A5B916D-ACE7-2D4F-B110-80349F1DF556}" type="parTrans" cxnId="{4690792D-F20D-8844-ABC1-295A963963E9}">
      <dgm:prSet/>
      <dgm:spPr/>
      <dgm:t>
        <a:bodyPr/>
        <a:lstStyle/>
        <a:p>
          <a:endParaRPr lang="en-US"/>
        </a:p>
      </dgm:t>
    </dgm:pt>
    <dgm:pt modelId="{E43E5358-3F10-644A-B908-C4A83A995F03}" type="sibTrans" cxnId="{4690792D-F20D-8844-ABC1-295A963963E9}">
      <dgm:prSet/>
      <dgm:spPr/>
      <dgm:t>
        <a:bodyPr/>
        <a:lstStyle/>
        <a:p>
          <a:endParaRPr lang="en-US"/>
        </a:p>
      </dgm:t>
    </dgm:pt>
    <dgm:pt modelId="{75CA63E8-270B-6145-BB99-81789C44CBA3}">
      <dgm:prSet phldrT="[Text]"/>
      <dgm:spPr/>
      <dgm:t>
        <a:bodyPr/>
        <a:lstStyle/>
        <a:p>
          <a:r>
            <a:rPr lang="en-US"/>
            <a:t>Process</a:t>
          </a:r>
        </a:p>
      </dgm:t>
    </dgm:pt>
    <dgm:pt modelId="{DB5DDD08-37A5-4940-A4CD-AC7E449F3FA5}" type="parTrans" cxnId="{3AAABB13-27FF-6948-826F-1309E97C8819}">
      <dgm:prSet/>
      <dgm:spPr/>
      <dgm:t>
        <a:bodyPr/>
        <a:lstStyle/>
        <a:p>
          <a:endParaRPr lang="en-US"/>
        </a:p>
      </dgm:t>
    </dgm:pt>
    <dgm:pt modelId="{25BAAC97-F2D4-6C41-8E8F-B5670A44678C}" type="sibTrans" cxnId="{3AAABB13-27FF-6948-826F-1309E97C8819}">
      <dgm:prSet/>
      <dgm:spPr/>
      <dgm:t>
        <a:bodyPr/>
        <a:lstStyle/>
        <a:p>
          <a:endParaRPr lang="en-US"/>
        </a:p>
      </dgm:t>
    </dgm:pt>
    <dgm:pt modelId="{207B300F-65F7-4345-BECB-0E4DAF03F37F}">
      <dgm:prSet phldrT="[Text]"/>
      <dgm:spPr/>
      <dgm:t>
        <a:bodyPr/>
        <a:lstStyle/>
        <a:p>
          <a:r>
            <a:rPr lang="en-US"/>
            <a:t>Intermediate Outcome</a:t>
          </a:r>
        </a:p>
      </dgm:t>
    </dgm:pt>
    <dgm:pt modelId="{A4A38F19-26AF-4441-BC7D-168A2ED56A88}" type="parTrans" cxnId="{22876EB9-D3E0-D043-B674-6F2DD72B360A}">
      <dgm:prSet/>
      <dgm:spPr/>
      <dgm:t>
        <a:bodyPr/>
        <a:lstStyle/>
        <a:p>
          <a:endParaRPr lang="en-US"/>
        </a:p>
      </dgm:t>
    </dgm:pt>
    <dgm:pt modelId="{DFA664B6-5071-6240-AE4C-922FCBADA98C}" type="sibTrans" cxnId="{22876EB9-D3E0-D043-B674-6F2DD72B360A}">
      <dgm:prSet/>
      <dgm:spPr/>
      <dgm:t>
        <a:bodyPr/>
        <a:lstStyle/>
        <a:p>
          <a:endParaRPr lang="en-US"/>
        </a:p>
      </dgm:t>
    </dgm:pt>
    <dgm:pt modelId="{53A46C97-E615-B240-BFC5-4AD4018015B8}">
      <dgm:prSet/>
      <dgm:spPr/>
      <dgm:t>
        <a:bodyPr/>
        <a:lstStyle/>
        <a:p>
          <a:r>
            <a:rPr lang="en-US"/>
            <a:t>Patients with LVSD receiving an ICD</a:t>
          </a:r>
        </a:p>
      </dgm:t>
    </dgm:pt>
    <dgm:pt modelId="{6C182795-20B1-234A-8AE6-358F5A1CFD8D}" type="parTrans" cxnId="{A2D40CF4-6D39-594D-8087-19230AFFC989}">
      <dgm:prSet/>
      <dgm:spPr/>
      <dgm:t>
        <a:bodyPr/>
        <a:lstStyle/>
        <a:p>
          <a:endParaRPr lang="en-US"/>
        </a:p>
      </dgm:t>
    </dgm:pt>
    <dgm:pt modelId="{CA4ACFB7-0E2B-4449-BA8A-11255180D154}" type="sibTrans" cxnId="{A2D40CF4-6D39-594D-8087-19230AFFC989}">
      <dgm:prSet/>
      <dgm:spPr/>
      <dgm:t>
        <a:bodyPr/>
        <a:lstStyle/>
        <a:p>
          <a:endParaRPr lang="en-US"/>
        </a:p>
      </dgm:t>
    </dgm:pt>
    <dgm:pt modelId="{B295D438-D735-3746-A498-B5489780CBD6}">
      <dgm:prSet/>
      <dgm:spPr/>
      <dgm:t>
        <a:bodyPr/>
        <a:lstStyle/>
        <a:p>
          <a:r>
            <a:rPr lang="en-US"/>
            <a:t>Use of beta-blocker therapy </a:t>
          </a:r>
        </a:p>
      </dgm:t>
    </dgm:pt>
    <dgm:pt modelId="{E235E9C8-8EB6-714B-A1FD-86B20CD5A01E}" type="parTrans" cxnId="{46651E31-DEE1-3748-8FF3-388FC0861101}">
      <dgm:prSet/>
      <dgm:spPr/>
      <dgm:t>
        <a:bodyPr/>
        <a:lstStyle/>
        <a:p>
          <a:endParaRPr lang="en-US"/>
        </a:p>
      </dgm:t>
    </dgm:pt>
    <dgm:pt modelId="{1B77EC5B-9455-7D4F-83F0-A22E9CA71C80}" type="sibTrans" cxnId="{46651E31-DEE1-3748-8FF3-388FC0861101}">
      <dgm:prSet/>
      <dgm:spPr/>
      <dgm:t>
        <a:bodyPr/>
        <a:lstStyle/>
        <a:p>
          <a:endParaRPr lang="en-US"/>
        </a:p>
      </dgm:t>
    </dgm:pt>
    <dgm:pt modelId="{A2370893-A0F3-2640-9D44-2825EBF101AB}">
      <dgm:prSet/>
      <dgm:spPr/>
      <dgm:t>
        <a:bodyPr/>
        <a:lstStyle/>
        <a:p>
          <a:r>
            <a:rPr lang="en-US"/>
            <a:t>Reduction of sympomatic HF</a:t>
          </a:r>
        </a:p>
      </dgm:t>
    </dgm:pt>
    <dgm:pt modelId="{29FACD75-8218-CD44-BE84-72E2095F740F}" type="parTrans" cxnId="{A34F0DFB-B3C9-EE4A-9ADB-F101CA994B2A}">
      <dgm:prSet/>
      <dgm:spPr/>
      <dgm:t>
        <a:bodyPr/>
        <a:lstStyle/>
        <a:p>
          <a:endParaRPr lang="en-US"/>
        </a:p>
      </dgm:t>
    </dgm:pt>
    <dgm:pt modelId="{3B6E6D02-064B-364C-864B-B6C981906ADD}" type="sibTrans" cxnId="{A34F0DFB-B3C9-EE4A-9ADB-F101CA994B2A}">
      <dgm:prSet/>
      <dgm:spPr/>
      <dgm:t>
        <a:bodyPr/>
        <a:lstStyle/>
        <a:p>
          <a:endParaRPr lang="en-US"/>
        </a:p>
      </dgm:t>
    </dgm:pt>
    <dgm:pt modelId="{A36AE77D-DA31-C24D-B78D-6BE98A356865}">
      <dgm:prSet/>
      <dgm:spPr/>
      <dgm:t>
        <a:bodyPr/>
        <a:lstStyle/>
        <a:p>
          <a:r>
            <a:rPr lang="en-US"/>
            <a:t>Outcome</a:t>
          </a:r>
        </a:p>
      </dgm:t>
    </dgm:pt>
    <dgm:pt modelId="{0259D6F5-B42F-014C-95B4-F3A11ADB9CF1}" type="parTrans" cxnId="{A4BEAC50-D371-A842-9724-1FDCEDB1C464}">
      <dgm:prSet/>
      <dgm:spPr/>
      <dgm:t>
        <a:bodyPr/>
        <a:lstStyle/>
        <a:p>
          <a:endParaRPr lang="en-US"/>
        </a:p>
      </dgm:t>
    </dgm:pt>
    <dgm:pt modelId="{2E094279-93BE-2A41-9DF0-BCA01CC2A2B7}" type="sibTrans" cxnId="{A4BEAC50-D371-A842-9724-1FDCEDB1C464}">
      <dgm:prSet/>
      <dgm:spPr/>
      <dgm:t>
        <a:bodyPr/>
        <a:lstStyle/>
        <a:p>
          <a:endParaRPr lang="en-US"/>
        </a:p>
      </dgm:t>
    </dgm:pt>
    <dgm:pt modelId="{25DEBFDE-0522-BC4D-998A-136EECAACF1F}">
      <dgm:prSet/>
      <dgm:spPr/>
      <dgm:t>
        <a:bodyPr/>
        <a:lstStyle/>
        <a:p>
          <a:r>
            <a:rPr lang="en-US"/>
            <a:t>Reduction in mortality </a:t>
          </a:r>
        </a:p>
      </dgm:t>
    </dgm:pt>
    <dgm:pt modelId="{50E2FC9E-6A78-094D-8708-0A9DBA4F498C}" type="parTrans" cxnId="{4F943AD7-7E2F-144F-9D5F-9F7D7B06BA09}">
      <dgm:prSet/>
      <dgm:spPr/>
      <dgm:t>
        <a:bodyPr/>
        <a:lstStyle/>
        <a:p>
          <a:endParaRPr lang="en-US"/>
        </a:p>
      </dgm:t>
    </dgm:pt>
    <dgm:pt modelId="{29ABB6EF-831D-EE4D-8694-E51E7EA99F6D}" type="sibTrans" cxnId="{4F943AD7-7E2F-144F-9D5F-9F7D7B06BA09}">
      <dgm:prSet/>
      <dgm:spPr/>
      <dgm:t>
        <a:bodyPr/>
        <a:lstStyle/>
        <a:p>
          <a:endParaRPr lang="en-US"/>
        </a:p>
      </dgm:t>
    </dgm:pt>
    <dgm:pt modelId="{4BE85E6E-59B4-5D49-BBAA-B1D93A4FAA56}" type="pres">
      <dgm:prSet presAssocID="{A1C0E981-1A56-E94B-A021-53B3C21E392C}" presName="linearFlow" presStyleCnt="0">
        <dgm:presLayoutVars>
          <dgm:dir/>
          <dgm:animLvl val="lvl"/>
          <dgm:resizeHandles val="exact"/>
        </dgm:presLayoutVars>
      </dgm:prSet>
      <dgm:spPr/>
    </dgm:pt>
    <dgm:pt modelId="{B2FE6E30-1F03-9C46-9F9B-7983F326D122}" type="pres">
      <dgm:prSet presAssocID="{959C096D-A3E7-BE47-BE19-6EDF0CD5FA68}" presName="composite" presStyleCnt="0"/>
      <dgm:spPr/>
    </dgm:pt>
    <dgm:pt modelId="{74CAD05E-2A35-3844-8C3C-BA25E39CF2F1}" type="pres">
      <dgm:prSet presAssocID="{959C096D-A3E7-BE47-BE19-6EDF0CD5FA68}" presName="parTx" presStyleLbl="node1" presStyleIdx="0" presStyleCnt="4">
        <dgm:presLayoutVars>
          <dgm:chMax val="0"/>
          <dgm:chPref val="0"/>
          <dgm:bulletEnabled val="1"/>
        </dgm:presLayoutVars>
      </dgm:prSet>
      <dgm:spPr/>
    </dgm:pt>
    <dgm:pt modelId="{A5DCB2EC-3468-254E-AF96-B2413DD17C7F}" type="pres">
      <dgm:prSet presAssocID="{959C096D-A3E7-BE47-BE19-6EDF0CD5FA68}" presName="parSh" presStyleLbl="node1" presStyleIdx="0" presStyleCnt="4" custLinFactNeighborX="-9109"/>
      <dgm:spPr/>
    </dgm:pt>
    <dgm:pt modelId="{9A60C7A2-BD9B-B949-92C1-2844E64033B4}" type="pres">
      <dgm:prSet presAssocID="{959C096D-A3E7-BE47-BE19-6EDF0CD5FA68}" presName="desTx" presStyleLbl="fgAcc1" presStyleIdx="0" presStyleCnt="4">
        <dgm:presLayoutVars>
          <dgm:bulletEnabled val="1"/>
        </dgm:presLayoutVars>
      </dgm:prSet>
      <dgm:spPr/>
    </dgm:pt>
    <dgm:pt modelId="{0956118A-47D9-8541-9237-CB33D8B80E7F}" type="pres">
      <dgm:prSet presAssocID="{E43E5358-3F10-644A-B908-C4A83A995F03}" presName="sibTrans" presStyleLbl="sibTrans2D1" presStyleIdx="0" presStyleCnt="3"/>
      <dgm:spPr/>
    </dgm:pt>
    <dgm:pt modelId="{A0A77159-31A5-804C-91B3-4175C5F807B0}" type="pres">
      <dgm:prSet presAssocID="{E43E5358-3F10-644A-B908-C4A83A995F03}" presName="connTx" presStyleLbl="sibTrans2D1" presStyleIdx="0" presStyleCnt="3"/>
      <dgm:spPr/>
    </dgm:pt>
    <dgm:pt modelId="{000A83A3-2A80-8849-BA8B-3FB82185A1B6}" type="pres">
      <dgm:prSet presAssocID="{75CA63E8-270B-6145-BB99-81789C44CBA3}" presName="composite" presStyleCnt="0"/>
      <dgm:spPr/>
    </dgm:pt>
    <dgm:pt modelId="{CD7B7CBE-B8E4-6541-9E08-8E7DF0D718CB}" type="pres">
      <dgm:prSet presAssocID="{75CA63E8-270B-6145-BB99-81789C44CBA3}" presName="parTx" presStyleLbl="node1" presStyleIdx="0" presStyleCnt="4">
        <dgm:presLayoutVars>
          <dgm:chMax val="0"/>
          <dgm:chPref val="0"/>
          <dgm:bulletEnabled val="1"/>
        </dgm:presLayoutVars>
      </dgm:prSet>
      <dgm:spPr/>
    </dgm:pt>
    <dgm:pt modelId="{805A9C4A-4C81-EF44-80B9-6C835C4A3FE5}" type="pres">
      <dgm:prSet presAssocID="{75CA63E8-270B-6145-BB99-81789C44CBA3}" presName="parSh" presStyleLbl="node1" presStyleIdx="1" presStyleCnt="4"/>
      <dgm:spPr/>
    </dgm:pt>
    <dgm:pt modelId="{694295A1-6CA5-B54B-8102-98ED1FBB9FC0}" type="pres">
      <dgm:prSet presAssocID="{75CA63E8-270B-6145-BB99-81789C44CBA3}" presName="desTx" presStyleLbl="fgAcc1" presStyleIdx="1" presStyleCnt="4">
        <dgm:presLayoutVars>
          <dgm:bulletEnabled val="1"/>
        </dgm:presLayoutVars>
      </dgm:prSet>
      <dgm:spPr/>
    </dgm:pt>
    <dgm:pt modelId="{AD98A71F-8E81-194A-94A5-CB2EB8390C52}" type="pres">
      <dgm:prSet presAssocID="{25BAAC97-F2D4-6C41-8E8F-B5670A44678C}" presName="sibTrans" presStyleLbl="sibTrans2D1" presStyleIdx="1" presStyleCnt="3"/>
      <dgm:spPr/>
    </dgm:pt>
    <dgm:pt modelId="{EC59FD0B-6992-354F-B582-3ECC78FDC8D9}" type="pres">
      <dgm:prSet presAssocID="{25BAAC97-F2D4-6C41-8E8F-B5670A44678C}" presName="connTx" presStyleLbl="sibTrans2D1" presStyleIdx="1" presStyleCnt="3"/>
      <dgm:spPr/>
    </dgm:pt>
    <dgm:pt modelId="{CD3FDCFE-4873-0B42-863D-DF8A078CEE67}" type="pres">
      <dgm:prSet presAssocID="{207B300F-65F7-4345-BECB-0E4DAF03F37F}" presName="composite" presStyleCnt="0"/>
      <dgm:spPr/>
    </dgm:pt>
    <dgm:pt modelId="{5B401A80-186F-1848-AE0C-EE86C9871EAF}" type="pres">
      <dgm:prSet presAssocID="{207B300F-65F7-4345-BECB-0E4DAF03F37F}" presName="parTx" presStyleLbl="node1" presStyleIdx="1" presStyleCnt="4">
        <dgm:presLayoutVars>
          <dgm:chMax val="0"/>
          <dgm:chPref val="0"/>
          <dgm:bulletEnabled val="1"/>
        </dgm:presLayoutVars>
      </dgm:prSet>
      <dgm:spPr/>
    </dgm:pt>
    <dgm:pt modelId="{CB3DA272-9C86-8946-AE75-E934BD77B40B}" type="pres">
      <dgm:prSet presAssocID="{207B300F-65F7-4345-BECB-0E4DAF03F37F}" presName="parSh" presStyleLbl="node1" presStyleIdx="2" presStyleCnt="4"/>
      <dgm:spPr/>
    </dgm:pt>
    <dgm:pt modelId="{24E8CE73-9EC6-3B4B-BD18-4603A3685EB3}" type="pres">
      <dgm:prSet presAssocID="{207B300F-65F7-4345-BECB-0E4DAF03F37F}" presName="desTx" presStyleLbl="fgAcc1" presStyleIdx="2" presStyleCnt="4">
        <dgm:presLayoutVars>
          <dgm:bulletEnabled val="1"/>
        </dgm:presLayoutVars>
      </dgm:prSet>
      <dgm:spPr/>
    </dgm:pt>
    <dgm:pt modelId="{B753E2D2-0EAF-514F-9ED6-B5F533751D2F}" type="pres">
      <dgm:prSet presAssocID="{DFA664B6-5071-6240-AE4C-922FCBADA98C}" presName="sibTrans" presStyleLbl="sibTrans2D1" presStyleIdx="2" presStyleCnt="3"/>
      <dgm:spPr/>
    </dgm:pt>
    <dgm:pt modelId="{B19898CA-50FD-B94B-A9B7-8A61029FBC33}" type="pres">
      <dgm:prSet presAssocID="{DFA664B6-5071-6240-AE4C-922FCBADA98C}" presName="connTx" presStyleLbl="sibTrans2D1" presStyleIdx="2" presStyleCnt="3"/>
      <dgm:spPr/>
    </dgm:pt>
    <dgm:pt modelId="{B1DED8D8-7C52-0F4E-B6AC-60C6D1DE4D3B}" type="pres">
      <dgm:prSet presAssocID="{A36AE77D-DA31-C24D-B78D-6BE98A356865}" presName="composite" presStyleCnt="0"/>
      <dgm:spPr/>
    </dgm:pt>
    <dgm:pt modelId="{0966D0EA-9C2F-B847-B97E-FF6E2F7E12E4}" type="pres">
      <dgm:prSet presAssocID="{A36AE77D-DA31-C24D-B78D-6BE98A356865}" presName="parTx" presStyleLbl="node1" presStyleIdx="2" presStyleCnt="4">
        <dgm:presLayoutVars>
          <dgm:chMax val="0"/>
          <dgm:chPref val="0"/>
          <dgm:bulletEnabled val="1"/>
        </dgm:presLayoutVars>
      </dgm:prSet>
      <dgm:spPr/>
    </dgm:pt>
    <dgm:pt modelId="{E0C83E93-B3D2-3146-BAEA-F4763A971075}" type="pres">
      <dgm:prSet presAssocID="{A36AE77D-DA31-C24D-B78D-6BE98A356865}" presName="parSh" presStyleLbl="node1" presStyleIdx="3" presStyleCnt="4"/>
      <dgm:spPr/>
    </dgm:pt>
    <dgm:pt modelId="{DDB40BDE-EDAC-E042-BAE0-0F4F135852FD}" type="pres">
      <dgm:prSet presAssocID="{A36AE77D-DA31-C24D-B78D-6BE98A356865}" presName="desTx" presStyleLbl="fgAcc1" presStyleIdx="3" presStyleCnt="4">
        <dgm:presLayoutVars>
          <dgm:bulletEnabled val="1"/>
        </dgm:presLayoutVars>
      </dgm:prSet>
      <dgm:spPr/>
    </dgm:pt>
  </dgm:ptLst>
  <dgm:cxnLst>
    <dgm:cxn modelId="{FB623505-2B74-FC45-A08F-8F981966D9BA}" type="presOf" srcId="{959C096D-A3E7-BE47-BE19-6EDF0CD5FA68}" destId="{74CAD05E-2A35-3844-8C3C-BA25E39CF2F1}" srcOrd="0" destOrd="0" presId="urn:microsoft.com/office/officeart/2005/8/layout/process3"/>
    <dgm:cxn modelId="{3AAABB13-27FF-6948-826F-1309E97C8819}" srcId="{A1C0E981-1A56-E94B-A021-53B3C21E392C}" destId="{75CA63E8-270B-6145-BB99-81789C44CBA3}" srcOrd="1" destOrd="0" parTransId="{DB5DDD08-37A5-4940-A4CD-AC7E449F3FA5}" sibTransId="{25BAAC97-F2D4-6C41-8E8F-B5670A44678C}"/>
    <dgm:cxn modelId="{FF2C0A1C-AAD3-FE4C-9121-99A48E87B740}" type="presOf" srcId="{207B300F-65F7-4345-BECB-0E4DAF03F37F}" destId="{CB3DA272-9C86-8946-AE75-E934BD77B40B}" srcOrd="1" destOrd="0" presId="urn:microsoft.com/office/officeart/2005/8/layout/process3"/>
    <dgm:cxn modelId="{4690792D-F20D-8844-ABC1-295A963963E9}" srcId="{A1C0E981-1A56-E94B-A021-53B3C21E392C}" destId="{959C096D-A3E7-BE47-BE19-6EDF0CD5FA68}" srcOrd="0" destOrd="0" parTransId="{1A5B916D-ACE7-2D4F-B110-80349F1DF556}" sibTransId="{E43E5358-3F10-644A-B908-C4A83A995F03}"/>
    <dgm:cxn modelId="{46651E31-DEE1-3748-8FF3-388FC0861101}" srcId="{75CA63E8-270B-6145-BB99-81789C44CBA3}" destId="{B295D438-D735-3746-A498-B5489780CBD6}" srcOrd="0" destOrd="0" parTransId="{E235E9C8-8EB6-714B-A1FD-86B20CD5A01E}" sibTransId="{1B77EC5B-9455-7D4F-83F0-A22E9CA71C80}"/>
    <dgm:cxn modelId="{2656FB5D-C416-3A4E-8892-0C0C789FEE27}" type="presOf" srcId="{959C096D-A3E7-BE47-BE19-6EDF0CD5FA68}" destId="{A5DCB2EC-3468-254E-AF96-B2413DD17C7F}" srcOrd="1" destOrd="0" presId="urn:microsoft.com/office/officeart/2005/8/layout/process3"/>
    <dgm:cxn modelId="{BE7DF267-38A0-1C4B-8E32-9FEFFF8CB2A7}" type="presOf" srcId="{25BAAC97-F2D4-6C41-8E8F-B5670A44678C}" destId="{EC59FD0B-6992-354F-B582-3ECC78FDC8D9}" srcOrd="1" destOrd="0" presId="urn:microsoft.com/office/officeart/2005/8/layout/process3"/>
    <dgm:cxn modelId="{431E4769-5716-E844-87B4-CDF3DAC66B93}" type="presOf" srcId="{DFA664B6-5071-6240-AE4C-922FCBADA98C}" destId="{B19898CA-50FD-B94B-A9B7-8A61029FBC33}" srcOrd="1" destOrd="0" presId="urn:microsoft.com/office/officeart/2005/8/layout/process3"/>
    <dgm:cxn modelId="{E92BA46E-965A-2442-8B97-13DDC88E9E68}" type="presOf" srcId="{B295D438-D735-3746-A498-B5489780CBD6}" destId="{694295A1-6CA5-B54B-8102-98ED1FBB9FC0}" srcOrd="0" destOrd="0" presId="urn:microsoft.com/office/officeart/2005/8/layout/process3"/>
    <dgm:cxn modelId="{A4BEAC50-D371-A842-9724-1FDCEDB1C464}" srcId="{A1C0E981-1A56-E94B-A021-53B3C21E392C}" destId="{A36AE77D-DA31-C24D-B78D-6BE98A356865}" srcOrd="3" destOrd="0" parTransId="{0259D6F5-B42F-014C-95B4-F3A11ADB9CF1}" sibTransId="{2E094279-93BE-2A41-9DF0-BCA01CC2A2B7}"/>
    <dgm:cxn modelId="{9990F170-96E3-A54C-A751-B53348BF6FFC}" type="presOf" srcId="{53A46C97-E615-B240-BFC5-4AD4018015B8}" destId="{9A60C7A2-BD9B-B949-92C1-2844E64033B4}" srcOrd="0" destOrd="0" presId="urn:microsoft.com/office/officeart/2005/8/layout/process3"/>
    <dgm:cxn modelId="{F54A737F-BFFA-FC43-BDE5-2CAEDD199135}" type="presOf" srcId="{E43E5358-3F10-644A-B908-C4A83A995F03}" destId="{A0A77159-31A5-804C-91B3-4175C5F807B0}" srcOrd="1" destOrd="0" presId="urn:microsoft.com/office/officeart/2005/8/layout/process3"/>
    <dgm:cxn modelId="{0829EBA6-3A8C-8544-8C02-D05A9CB33DEA}" type="presOf" srcId="{25BAAC97-F2D4-6C41-8E8F-B5670A44678C}" destId="{AD98A71F-8E81-194A-94A5-CB2EB8390C52}" srcOrd="0" destOrd="0" presId="urn:microsoft.com/office/officeart/2005/8/layout/process3"/>
    <dgm:cxn modelId="{22876EB9-D3E0-D043-B674-6F2DD72B360A}" srcId="{A1C0E981-1A56-E94B-A021-53B3C21E392C}" destId="{207B300F-65F7-4345-BECB-0E4DAF03F37F}" srcOrd="2" destOrd="0" parTransId="{A4A38F19-26AF-4441-BC7D-168A2ED56A88}" sibTransId="{DFA664B6-5071-6240-AE4C-922FCBADA98C}"/>
    <dgm:cxn modelId="{7C3F22C3-FC06-684B-983A-DE54DB6D6B61}" type="presOf" srcId="{A36AE77D-DA31-C24D-B78D-6BE98A356865}" destId="{0966D0EA-9C2F-B847-B97E-FF6E2F7E12E4}" srcOrd="0" destOrd="0" presId="urn:microsoft.com/office/officeart/2005/8/layout/process3"/>
    <dgm:cxn modelId="{24C434C4-9C6B-364A-9883-AB39BC520B26}" type="presOf" srcId="{DFA664B6-5071-6240-AE4C-922FCBADA98C}" destId="{B753E2D2-0EAF-514F-9ED6-B5F533751D2F}" srcOrd="0" destOrd="0" presId="urn:microsoft.com/office/officeart/2005/8/layout/process3"/>
    <dgm:cxn modelId="{71FFE9D2-A2BA-4043-99CC-E46D88458617}" type="presOf" srcId="{A36AE77D-DA31-C24D-B78D-6BE98A356865}" destId="{E0C83E93-B3D2-3146-BAEA-F4763A971075}" srcOrd="1" destOrd="0" presId="urn:microsoft.com/office/officeart/2005/8/layout/process3"/>
    <dgm:cxn modelId="{4F943AD7-7E2F-144F-9D5F-9F7D7B06BA09}" srcId="{A36AE77D-DA31-C24D-B78D-6BE98A356865}" destId="{25DEBFDE-0522-BC4D-998A-136EECAACF1F}" srcOrd="0" destOrd="0" parTransId="{50E2FC9E-6A78-094D-8708-0A9DBA4F498C}" sibTransId="{29ABB6EF-831D-EE4D-8694-E51E7EA99F6D}"/>
    <dgm:cxn modelId="{E7A074DA-DD2C-AF4E-A84F-B560E3558840}" type="presOf" srcId="{E43E5358-3F10-644A-B908-C4A83A995F03}" destId="{0956118A-47D9-8541-9237-CB33D8B80E7F}" srcOrd="0" destOrd="0" presId="urn:microsoft.com/office/officeart/2005/8/layout/process3"/>
    <dgm:cxn modelId="{943F93DC-C93C-7840-9E03-C3FE7907B8F3}" type="presOf" srcId="{A1C0E981-1A56-E94B-A021-53B3C21E392C}" destId="{4BE85E6E-59B4-5D49-BBAA-B1D93A4FAA56}" srcOrd="0" destOrd="0" presId="urn:microsoft.com/office/officeart/2005/8/layout/process3"/>
    <dgm:cxn modelId="{D06120E0-E9BC-AD43-A210-5F62DE899B6A}" type="presOf" srcId="{207B300F-65F7-4345-BECB-0E4DAF03F37F}" destId="{5B401A80-186F-1848-AE0C-EE86C9871EAF}" srcOrd="0" destOrd="0" presId="urn:microsoft.com/office/officeart/2005/8/layout/process3"/>
    <dgm:cxn modelId="{93A137EA-AF19-194D-B823-2450F028C50E}" type="presOf" srcId="{25DEBFDE-0522-BC4D-998A-136EECAACF1F}" destId="{DDB40BDE-EDAC-E042-BAE0-0F4F135852FD}" srcOrd="0" destOrd="0" presId="urn:microsoft.com/office/officeart/2005/8/layout/process3"/>
    <dgm:cxn modelId="{A04199EA-19D9-DD4B-9AF6-967B0C80EC95}" type="presOf" srcId="{75CA63E8-270B-6145-BB99-81789C44CBA3}" destId="{805A9C4A-4C81-EF44-80B9-6C835C4A3FE5}" srcOrd="1" destOrd="0" presId="urn:microsoft.com/office/officeart/2005/8/layout/process3"/>
    <dgm:cxn modelId="{39F4DFEA-D5F4-7547-8C19-1A7914B3ED86}" type="presOf" srcId="{75CA63E8-270B-6145-BB99-81789C44CBA3}" destId="{CD7B7CBE-B8E4-6541-9E08-8E7DF0D718CB}" srcOrd="0" destOrd="0" presId="urn:microsoft.com/office/officeart/2005/8/layout/process3"/>
    <dgm:cxn modelId="{A2D40CF4-6D39-594D-8087-19230AFFC989}" srcId="{959C096D-A3E7-BE47-BE19-6EDF0CD5FA68}" destId="{53A46C97-E615-B240-BFC5-4AD4018015B8}" srcOrd="0" destOrd="0" parTransId="{6C182795-20B1-234A-8AE6-358F5A1CFD8D}" sibTransId="{CA4ACFB7-0E2B-4449-BA8A-11255180D154}"/>
    <dgm:cxn modelId="{0646E4F4-DDF7-9740-B53E-23EB184DAE9B}" type="presOf" srcId="{A2370893-A0F3-2640-9D44-2825EBF101AB}" destId="{24E8CE73-9EC6-3B4B-BD18-4603A3685EB3}" srcOrd="0" destOrd="0" presId="urn:microsoft.com/office/officeart/2005/8/layout/process3"/>
    <dgm:cxn modelId="{A34F0DFB-B3C9-EE4A-9ADB-F101CA994B2A}" srcId="{207B300F-65F7-4345-BECB-0E4DAF03F37F}" destId="{A2370893-A0F3-2640-9D44-2825EBF101AB}" srcOrd="0" destOrd="0" parTransId="{29FACD75-8218-CD44-BE84-72E2095F740F}" sibTransId="{3B6E6D02-064B-364C-864B-B6C981906ADD}"/>
    <dgm:cxn modelId="{5E200B81-0049-5849-A9CD-2231D892D816}" type="presParOf" srcId="{4BE85E6E-59B4-5D49-BBAA-B1D93A4FAA56}" destId="{B2FE6E30-1F03-9C46-9F9B-7983F326D122}" srcOrd="0" destOrd="0" presId="urn:microsoft.com/office/officeart/2005/8/layout/process3"/>
    <dgm:cxn modelId="{56C98A74-3ADD-D644-B35E-458BBC3C9061}" type="presParOf" srcId="{B2FE6E30-1F03-9C46-9F9B-7983F326D122}" destId="{74CAD05E-2A35-3844-8C3C-BA25E39CF2F1}" srcOrd="0" destOrd="0" presId="urn:microsoft.com/office/officeart/2005/8/layout/process3"/>
    <dgm:cxn modelId="{4B169C05-7473-9644-A4D4-4DB93BA722BC}" type="presParOf" srcId="{B2FE6E30-1F03-9C46-9F9B-7983F326D122}" destId="{A5DCB2EC-3468-254E-AF96-B2413DD17C7F}" srcOrd="1" destOrd="0" presId="urn:microsoft.com/office/officeart/2005/8/layout/process3"/>
    <dgm:cxn modelId="{63C26200-F1B8-6045-B486-736D4A159B37}" type="presParOf" srcId="{B2FE6E30-1F03-9C46-9F9B-7983F326D122}" destId="{9A60C7A2-BD9B-B949-92C1-2844E64033B4}" srcOrd="2" destOrd="0" presId="urn:microsoft.com/office/officeart/2005/8/layout/process3"/>
    <dgm:cxn modelId="{ECA2783B-9251-4045-A00D-001EF6B700AB}" type="presParOf" srcId="{4BE85E6E-59B4-5D49-BBAA-B1D93A4FAA56}" destId="{0956118A-47D9-8541-9237-CB33D8B80E7F}" srcOrd="1" destOrd="0" presId="urn:microsoft.com/office/officeart/2005/8/layout/process3"/>
    <dgm:cxn modelId="{167EE581-A65A-394A-AF1B-EA5E4D55669C}" type="presParOf" srcId="{0956118A-47D9-8541-9237-CB33D8B80E7F}" destId="{A0A77159-31A5-804C-91B3-4175C5F807B0}" srcOrd="0" destOrd="0" presId="urn:microsoft.com/office/officeart/2005/8/layout/process3"/>
    <dgm:cxn modelId="{47CA8F12-C3E5-5549-B56F-193BE6B44F4A}" type="presParOf" srcId="{4BE85E6E-59B4-5D49-BBAA-B1D93A4FAA56}" destId="{000A83A3-2A80-8849-BA8B-3FB82185A1B6}" srcOrd="2" destOrd="0" presId="urn:microsoft.com/office/officeart/2005/8/layout/process3"/>
    <dgm:cxn modelId="{370D3A75-995E-D741-BB61-2AFE7BD42E87}" type="presParOf" srcId="{000A83A3-2A80-8849-BA8B-3FB82185A1B6}" destId="{CD7B7CBE-B8E4-6541-9E08-8E7DF0D718CB}" srcOrd="0" destOrd="0" presId="urn:microsoft.com/office/officeart/2005/8/layout/process3"/>
    <dgm:cxn modelId="{3BAB445A-8C87-604D-A0A7-BACC9BB4B6B6}" type="presParOf" srcId="{000A83A3-2A80-8849-BA8B-3FB82185A1B6}" destId="{805A9C4A-4C81-EF44-80B9-6C835C4A3FE5}" srcOrd="1" destOrd="0" presId="urn:microsoft.com/office/officeart/2005/8/layout/process3"/>
    <dgm:cxn modelId="{9B554B5E-0B37-B740-96D6-7FBE0BAACAC8}" type="presParOf" srcId="{000A83A3-2A80-8849-BA8B-3FB82185A1B6}" destId="{694295A1-6CA5-B54B-8102-98ED1FBB9FC0}" srcOrd="2" destOrd="0" presId="urn:microsoft.com/office/officeart/2005/8/layout/process3"/>
    <dgm:cxn modelId="{B73C7C18-BF5F-D14B-9439-D643BB2CC367}" type="presParOf" srcId="{4BE85E6E-59B4-5D49-BBAA-B1D93A4FAA56}" destId="{AD98A71F-8E81-194A-94A5-CB2EB8390C52}" srcOrd="3" destOrd="0" presId="urn:microsoft.com/office/officeart/2005/8/layout/process3"/>
    <dgm:cxn modelId="{AD4AC8B8-4B21-1144-93AF-E392BDCB5AF8}" type="presParOf" srcId="{AD98A71F-8E81-194A-94A5-CB2EB8390C52}" destId="{EC59FD0B-6992-354F-B582-3ECC78FDC8D9}" srcOrd="0" destOrd="0" presId="urn:microsoft.com/office/officeart/2005/8/layout/process3"/>
    <dgm:cxn modelId="{DE7B5D11-B543-7445-B390-CC41FB0BDE02}" type="presParOf" srcId="{4BE85E6E-59B4-5D49-BBAA-B1D93A4FAA56}" destId="{CD3FDCFE-4873-0B42-863D-DF8A078CEE67}" srcOrd="4" destOrd="0" presId="urn:microsoft.com/office/officeart/2005/8/layout/process3"/>
    <dgm:cxn modelId="{F7B37DB8-E06F-AE41-8703-4408F7B88BF8}" type="presParOf" srcId="{CD3FDCFE-4873-0B42-863D-DF8A078CEE67}" destId="{5B401A80-186F-1848-AE0C-EE86C9871EAF}" srcOrd="0" destOrd="0" presId="urn:microsoft.com/office/officeart/2005/8/layout/process3"/>
    <dgm:cxn modelId="{8C1A2882-E99F-3649-826A-767B674C77D7}" type="presParOf" srcId="{CD3FDCFE-4873-0B42-863D-DF8A078CEE67}" destId="{CB3DA272-9C86-8946-AE75-E934BD77B40B}" srcOrd="1" destOrd="0" presId="urn:microsoft.com/office/officeart/2005/8/layout/process3"/>
    <dgm:cxn modelId="{019D0408-A46D-8B4D-A396-BB2BA51B25E9}" type="presParOf" srcId="{CD3FDCFE-4873-0B42-863D-DF8A078CEE67}" destId="{24E8CE73-9EC6-3B4B-BD18-4603A3685EB3}" srcOrd="2" destOrd="0" presId="urn:microsoft.com/office/officeart/2005/8/layout/process3"/>
    <dgm:cxn modelId="{58757375-4A9E-BD49-BA6A-475BF42241F7}" type="presParOf" srcId="{4BE85E6E-59B4-5D49-BBAA-B1D93A4FAA56}" destId="{B753E2D2-0EAF-514F-9ED6-B5F533751D2F}" srcOrd="5" destOrd="0" presId="urn:microsoft.com/office/officeart/2005/8/layout/process3"/>
    <dgm:cxn modelId="{70A94A4F-A39C-0142-BA7A-8BDFFF69ED95}" type="presParOf" srcId="{B753E2D2-0EAF-514F-9ED6-B5F533751D2F}" destId="{B19898CA-50FD-B94B-A9B7-8A61029FBC33}" srcOrd="0" destOrd="0" presId="urn:microsoft.com/office/officeart/2005/8/layout/process3"/>
    <dgm:cxn modelId="{30140E5E-7062-3843-83F0-064EF973347D}" type="presParOf" srcId="{4BE85E6E-59B4-5D49-BBAA-B1D93A4FAA56}" destId="{B1DED8D8-7C52-0F4E-B6AC-60C6D1DE4D3B}" srcOrd="6" destOrd="0" presId="urn:microsoft.com/office/officeart/2005/8/layout/process3"/>
    <dgm:cxn modelId="{0839C53E-4087-FB44-A518-0693A3856719}" type="presParOf" srcId="{B1DED8D8-7C52-0F4E-B6AC-60C6D1DE4D3B}" destId="{0966D0EA-9C2F-B847-B97E-FF6E2F7E12E4}" srcOrd="0" destOrd="0" presId="urn:microsoft.com/office/officeart/2005/8/layout/process3"/>
    <dgm:cxn modelId="{4A8D6BD1-387C-3C47-9E94-54D6D6711BF4}" type="presParOf" srcId="{B1DED8D8-7C52-0F4E-B6AC-60C6D1DE4D3B}" destId="{E0C83E93-B3D2-3146-BAEA-F4763A971075}" srcOrd="1" destOrd="0" presId="urn:microsoft.com/office/officeart/2005/8/layout/process3"/>
    <dgm:cxn modelId="{C1D06417-4040-4042-9E86-815959FE5BF2}" type="presParOf" srcId="{B1DED8D8-7C52-0F4E-B6AC-60C6D1DE4D3B}" destId="{DDB40BDE-EDAC-E042-BAE0-0F4F135852FD}" srcOrd="2" destOrd="0" presId="urn:microsoft.com/office/officeart/2005/8/layout/process3"/>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1C0E981-1A56-E94B-A021-53B3C21E392C}" type="doc">
      <dgm:prSet loTypeId="urn:microsoft.com/office/officeart/2005/8/layout/process3" loCatId="" qsTypeId="urn:microsoft.com/office/officeart/2005/8/quickstyle/simple4" qsCatId="simple" csTypeId="urn:microsoft.com/office/officeart/2005/8/colors/accent1_2" csCatId="accent1" phldr="1"/>
      <dgm:spPr/>
    </dgm:pt>
    <dgm:pt modelId="{959C096D-A3E7-BE47-BE19-6EDF0CD5FA68}">
      <dgm:prSet phldrT="[Text]"/>
      <dgm:spPr/>
      <dgm:t>
        <a:bodyPr/>
        <a:lstStyle/>
        <a:p>
          <a:r>
            <a:rPr lang="en-US"/>
            <a:t>Secondary Prevention</a:t>
          </a:r>
        </a:p>
      </dgm:t>
    </dgm:pt>
    <dgm:pt modelId="{1A5B916D-ACE7-2D4F-B110-80349F1DF556}" type="parTrans" cxnId="{4690792D-F20D-8844-ABC1-295A963963E9}">
      <dgm:prSet/>
      <dgm:spPr/>
      <dgm:t>
        <a:bodyPr/>
        <a:lstStyle/>
        <a:p>
          <a:endParaRPr lang="en-US"/>
        </a:p>
      </dgm:t>
    </dgm:pt>
    <dgm:pt modelId="{E43E5358-3F10-644A-B908-C4A83A995F03}" type="sibTrans" cxnId="{4690792D-F20D-8844-ABC1-295A963963E9}">
      <dgm:prSet/>
      <dgm:spPr/>
      <dgm:t>
        <a:bodyPr/>
        <a:lstStyle/>
        <a:p>
          <a:endParaRPr lang="en-US"/>
        </a:p>
      </dgm:t>
    </dgm:pt>
    <dgm:pt modelId="{75CA63E8-270B-6145-BB99-81789C44CBA3}">
      <dgm:prSet phldrT="[Text]"/>
      <dgm:spPr/>
      <dgm:t>
        <a:bodyPr/>
        <a:lstStyle/>
        <a:p>
          <a:r>
            <a:rPr lang="en-US"/>
            <a:t>Process</a:t>
          </a:r>
        </a:p>
      </dgm:t>
    </dgm:pt>
    <dgm:pt modelId="{DB5DDD08-37A5-4940-A4CD-AC7E449F3FA5}" type="parTrans" cxnId="{3AAABB13-27FF-6948-826F-1309E97C8819}">
      <dgm:prSet/>
      <dgm:spPr/>
      <dgm:t>
        <a:bodyPr/>
        <a:lstStyle/>
        <a:p>
          <a:endParaRPr lang="en-US"/>
        </a:p>
      </dgm:t>
    </dgm:pt>
    <dgm:pt modelId="{25BAAC97-F2D4-6C41-8E8F-B5670A44678C}" type="sibTrans" cxnId="{3AAABB13-27FF-6948-826F-1309E97C8819}">
      <dgm:prSet/>
      <dgm:spPr/>
      <dgm:t>
        <a:bodyPr/>
        <a:lstStyle/>
        <a:p>
          <a:endParaRPr lang="en-US"/>
        </a:p>
      </dgm:t>
    </dgm:pt>
    <dgm:pt modelId="{207B300F-65F7-4345-BECB-0E4DAF03F37F}">
      <dgm:prSet phldrT="[Text]"/>
      <dgm:spPr/>
      <dgm:t>
        <a:bodyPr/>
        <a:lstStyle/>
        <a:p>
          <a:r>
            <a:rPr lang="en-US"/>
            <a:t>Intermediate Outcome</a:t>
          </a:r>
        </a:p>
      </dgm:t>
    </dgm:pt>
    <dgm:pt modelId="{A4A38F19-26AF-4441-BC7D-168A2ED56A88}" type="parTrans" cxnId="{22876EB9-D3E0-D043-B674-6F2DD72B360A}">
      <dgm:prSet/>
      <dgm:spPr/>
      <dgm:t>
        <a:bodyPr/>
        <a:lstStyle/>
        <a:p>
          <a:endParaRPr lang="en-US"/>
        </a:p>
      </dgm:t>
    </dgm:pt>
    <dgm:pt modelId="{DFA664B6-5071-6240-AE4C-922FCBADA98C}" type="sibTrans" cxnId="{22876EB9-D3E0-D043-B674-6F2DD72B360A}">
      <dgm:prSet/>
      <dgm:spPr/>
      <dgm:t>
        <a:bodyPr/>
        <a:lstStyle/>
        <a:p>
          <a:endParaRPr lang="en-US"/>
        </a:p>
      </dgm:t>
    </dgm:pt>
    <dgm:pt modelId="{53A46C97-E615-B240-BFC5-4AD4018015B8}">
      <dgm:prSet/>
      <dgm:spPr/>
      <dgm:t>
        <a:bodyPr/>
        <a:lstStyle/>
        <a:p>
          <a:r>
            <a:rPr lang="en-US"/>
            <a:t>Patients with LVSD receiving an ICD</a:t>
          </a:r>
        </a:p>
      </dgm:t>
    </dgm:pt>
    <dgm:pt modelId="{6C182795-20B1-234A-8AE6-358F5A1CFD8D}" type="parTrans" cxnId="{A2D40CF4-6D39-594D-8087-19230AFFC989}">
      <dgm:prSet/>
      <dgm:spPr/>
      <dgm:t>
        <a:bodyPr/>
        <a:lstStyle/>
        <a:p>
          <a:endParaRPr lang="en-US"/>
        </a:p>
      </dgm:t>
    </dgm:pt>
    <dgm:pt modelId="{CA4ACFB7-0E2B-4449-BA8A-11255180D154}" type="sibTrans" cxnId="{A2D40CF4-6D39-594D-8087-19230AFFC989}">
      <dgm:prSet/>
      <dgm:spPr/>
      <dgm:t>
        <a:bodyPr/>
        <a:lstStyle/>
        <a:p>
          <a:endParaRPr lang="en-US"/>
        </a:p>
      </dgm:t>
    </dgm:pt>
    <dgm:pt modelId="{B295D438-D735-3746-A498-B5489780CBD6}">
      <dgm:prSet/>
      <dgm:spPr/>
      <dgm:t>
        <a:bodyPr/>
        <a:lstStyle/>
        <a:p>
          <a:r>
            <a:rPr lang="en-US"/>
            <a:t>Use of ACE inhibitor or ARB therapy </a:t>
          </a:r>
        </a:p>
      </dgm:t>
    </dgm:pt>
    <dgm:pt modelId="{E235E9C8-8EB6-714B-A1FD-86B20CD5A01E}" type="parTrans" cxnId="{46651E31-DEE1-3748-8FF3-388FC0861101}">
      <dgm:prSet/>
      <dgm:spPr/>
      <dgm:t>
        <a:bodyPr/>
        <a:lstStyle/>
        <a:p>
          <a:endParaRPr lang="en-US"/>
        </a:p>
      </dgm:t>
    </dgm:pt>
    <dgm:pt modelId="{1B77EC5B-9455-7D4F-83F0-A22E9CA71C80}" type="sibTrans" cxnId="{46651E31-DEE1-3748-8FF3-388FC0861101}">
      <dgm:prSet/>
      <dgm:spPr/>
      <dgm:t>
        <a:bodyPr/>
        <a:lstStyle/>
        <a:p>
          <a:endParaRPr lang="en-US"/>
        </a:p>
      </dgm:t>
    </dgm:pt>
    <dgm:pt modelId="{A2370893-A0F3-2640-9D44-2825EBF101AB}">
      <dgm:prSet/>
      <dgm:spPr/>
      <dgm:t>
        <a:bodyPr/>
        <a:lstStyle/>
        <a:p>
          <a:r>
            <a:rPr lang="en-US"/>
            <a:t>Prevention of symptomatic HF</a:t>
          </a:r>
        </a:p>
      </dgm:t>
    </dgm:pt>
    <dgm:pt modelId="{29FACD75-8218-CD44-BE84-72E2095F740F}" type="parTrans" cxnId="{A34F0DFB-B3C9-EE4A-9ADB-F101CA994B2A}">
      <dgm:prSet/>
      <dgm:spPr/>
      <dgm:t>
        <a:bodyPr/>
        <a:lstStyle/>
        <a:p>
          <a:endParaRPr lang="en-US"/>
        </a:p>
      </dgm:t>
    </dgm:pt>
    <dgm:pt modelId="{3B6E6D02-064B-364C-864B-B6C981906ADD}" type="sibTrans" cxnId="{A34F0DFB-B3C9-EE4A-9ADB-F101CA994B2A}">
      <dgm:prSet/>
      <dgm:spPr/>
      <dgm:t>
        <a:bodyPr/>
        <a:lstStyle/>
        <a:p>
          <a:endParaRPr lang="en-US"/>
        </a:p>
      </dgm:t>
    </dgm:pt>
    <dgm:pt modelId="{A36AE77D-DA31-C24D-B78D-6BE98A356865}">
      <dgm:prSet/>
      <dgm:spPr/>
      <dgm:t>
        <a:bodyPr/>
        <a:lstStyle/>
        <a:p>
          <a:r>
            <a:rPr lang="en-US"/>
            <a:t>Outcome</a:t>
          </a:r>
        </a:p>
      </dgm:t>
    </dgm:pt>
    <dgm:pt modelId="{0259D6F5-B42F-014C-95B4-F3A11ADB9CF1}" type="parTrans" cxnId="{A4BEAC50-D371-A842-9724-1FDCEDB1C464}">
      <dgm:prSet/>
      <dgm:spPr/>
      <dgm:t>
        <a:bodyPr/>
        <a:lstStyle/>
        <a:p>
          <a:endParaRPr lang="en-US"/>
        </a:p>
      </dgm:t>
    </dgm:pt>
    <dgm:pt modelId="{2E094279-93BE-2A41-9DF0-BCA01CC2A2B7}" type="sibTrans" cxnId="{A4BEAC50-D371-A842-9724-1FDCEDB1C464}">
      <dgm:prSet/>
      <dgm:spPr/>
      <dgm:t>
        <a:bodyPr/>
        <a:lstStyle/>
        <a:p>
          <a:endParaRPr lang="en-US"/>
        </a:p>
      </dgm:t>
    </dgm:pt>
    <dgm:pt modelId="{25DEBFDE-0522-BC4D-998A-136EECAACF1F}">
      <dgm:prSet/>
      <dgm:spPr/>
      <dgm:t>
        <a:bodyPr/>
        <a:lstStyle/>
        <a:p>
          <a:r>
            <a:rPr lang="en-US"/>
            <a:t>Reduction in mortality </a:t>
          </a:r>
        </a:p>
      </dgm:t>
    </dgm:pt>
    <dgm:pt modelId="{50E2FC9E-6A78-094D-8708-0A9DBA4F498C}" type="parTrans" cxnId="{4F943AD7-7E2F-144F-9D5F-9F7D7B06BA09}">
      <dgm:prSet/>
      <dgm:spPr/>
      <dgm:t>
        <a:bodyPr/>
        <a:lstStyle/>
        <a:p>
          <a:endParaRPr lang="en-US"/>
        </a:p>
      </dgm:t>
    </dgm:pt>
    <dgm:pt modelId="{29ABB6EF-831D-EE4D-8694-E51E7EA99F6D}" type="sibTrans" cxnId="{4F943AD7-7E2F-144F-9D5F-9F7D7B06BA09}">
      <dgm:prSet/>
      <dgm:spPr/>
      <dgm:t>
        <a:bodyPr/>
        <a:lstStyle/>
        <a:p>
          <a:endParaRPr lang="en-US"/>
        </a:p>
      </dgm:t>
    </dgm:pt>
    <dgm:pt modelId="{4BE85E6E-59B4-5D49-BBAA-B1D93A4FAA56}" type="pres">
      <dgm:prSet presAssocID="{A1C0E981-1A56-E94B-A021-53B3C21E392C}" presName="linearFlow" presStyleCnt="0">
        <dgm:presLayoutVars>
          <dgm:dir/>
          <dgm:animLvl val="lvl"/>
          <dgm:resizeHandles val="exact"/>
        </dgm:presLayoutVars>
      </dgm:prSet>
      <dgm:spPr/>
    </dgm:pt>
    <dgm:pt modelId="{B2FE6E30-1F03-9C46-9F9B-7983F326D122}" type="pres">
      <dgm:prSet presAssocID="{959C096D-A3E7-BE47-BE19-6EDF0CD5FA68}" presName="composite" presStyleCnt="0"/>
      <dgm:spPr/>
    </dgm:pt>
    <dgm:pt modelId="{74CAD05E-2A35-3844-8C3C-BA25E39CF2F1}" type="pres">
      <dgm:prSet presAssocID="{959C096D-A3E7-BE47-BE19-6EDF0CD5FA68}" presName="parTx" presStyleLbl="node1" presStyleIdx="0" presStyleCnt="4">
        <dgm:presLayoutVars>
          <dgm:chMax val="0"/>
          <dgm:chPref val="0"/>
          <dgm:bulletEnabled val="1"/>
        </dgm:presLayoutVars>
      </dgm:prSet>
      <dgm:spPr/>
    </dgm:pt>
    <dgm:pt modelId="{A5DCB2EC-3468-254E-AF96-B2413DD17C7F}" type="pres">
      <dgm:prSet presAssocID="{959C096D-A3E7-BE47-BE19-6EDF0CD5FA68}" presName="parSh" presStyleLbl="node1" presStyleIdx="0" presStyleCnt="4" custLinFactNeighborX="-9109"/>
      <dgm:spPr/>
    </dgm:pt>
    <dgm:pt modelId="{9A60C7A2-BD9B-B949-92C1-2844E64033B4}" type="pres">
      <dgm:prSet presAssocID="{959C096D-A3E7-BE47-BE19-6EDF0CD5FA68}" presName="desTx" presStyleLbl="fgAcc1" presStyleIdx="0" presStyleCnt="4">
        <dgm:presLayoutVars>
          <dgm:bulletEnabled val="1"/>
        </dgm:presLayoutVars>
      </dgm:prSet>
      <dgm:spPr/>
    </dgm:pt>
    <dgm:pt modelId="{0956118A-47D9-8541-9237-CB33D8B80E7F}" type="pres">
      <dgm:prSet presAssocID="{E43E5358-3F10-644A-B908-C4A83A995F03}" presName="sibTrans" presStyleLbl="sibTrans2D1" presStyleIdx="0" presStyleCnt="3"/>
      <dgm:spPr/>
    </dgm:pt>
    <dgm:pt modelId="{A0A77159-31A5-804C-91B3-4175C5F807B0}" type="pres">
      <dgm:prSet presAssocID="{E43E5358-3F10-644A-B908-C4A83A995F03}" presName="connTx" presStyleLbl="sibTrans2D1" presStyleIdx="0" presStyleCnt="3"/>
      <dgm:spPr/>
    </dgm:pt>
    <dgm:pt modelId="{000A83A3-2A80-8849-BA8B-3FB82185A1B6}" type="pres">
      <dgm:prSet presAssocID="{75CA63E8-270B-6145-BB99-81789C44CBA3}" presName="composite" presStyleCnt="0"/>
      <dgm:spPr/>
    </dgm:pt>
    <dgm:pt modelId="{CD7B7CBE-B8E4-6541-9E08-8E7DF0D718CB}" type="pres">
      <dgm:prSet presAssocID="{75CA63E8-270B-6145-BB99-81789C44CBA3}" presName="parTx" presStyleLbl="node1" presStyleIdx="0" presStyleCnt="4">
        <dgm:presLayoutVars>
          <dgm:chMax val="0"/>
          <dgm:chPref val="0"/>
          <dgm:bulletEnabled val="1"/>
        </dgm:presLayoutVars>
      </dgm:prSet>
      <dgm:spPr/>
    </dgm:pt>
    <dgm:pt modelId="{805A9C4A-4C81-EF44-80B9-6C835C4A3FE5}" type="pres">
      <dgm:prSet presAssocID="{75CA63E8-270B-6145-BB99-81789C44CBA3}" presName="parSh" presStyleLbl="node1" presStyleIdx="1" presStyleCnt="4"/>
      <dgm:spPr/>
    </dgm:pt>
    <dgm:pt modelId="{694295A1-6CA5-B54B-8102-98ED1FBB9FC0}" type="pres">
      <dgm:prSet presAssocID="{75CA63E8-270B-6145-BB99-81789C44CBA3}" presName="desTx" presStyleLbl="fgAcc1" presStyleIdx="1" presStyleCnt="4">
        <dgm:presLayoutVars>
          <dgm:bulletEnabled val="1"/>
        </dgm:presLayoutVars>
      </dgm:prSet>
      <dgm:spPr/>
    </dgm:pt>
    <dgm:pt modelId="{AD98A71F-8E81-194A-94A5-CB2EB8390C52}" type="pres">
      <dgm:prSet presAssocID="{25BAAC97-F2D4-6C41-8E8F-B5670A44678C}" presName="sibTrans" presStyleLbl="sibTrans2D1" presStyleIdx="1" presStyleCnt="3"/>
      <dgm:spPr/>
    </dgm:pt>
    <dgm:pt modelId="{EC59FD0B-6992-354F-B582-3ECC78FDC8D9}" type="pres">
      <dgm:prSet presAssocID="{25BAAC97-F2D4-6C41-8E8F-B5670A44678C}" presName="connTx" presStyleLbl="sibTrans2D1" presStyleIdx="1" presStyleCnt="3"/>
      <dgm:spPr/>
    </dgm:pt>
    <dgm:pt modelId="{CD3FDCFE-4873-0B42-863D-DF8A078CEE67}" type="pres">
      <dgm:prSet presAssocID="{207B300F-65F7-4345-BECB-0E4DAF03F37F}" presName="composite" presStyleCnt="0"/>
      <dgm:spPr/>
    </dgm:pt>
    <dgm:pt modelId="{5B401A80-186F-1848-AE0C-EE86C9871EAF}" type="pres">
      <dgm:prSet presAssocID="{207B300F-65F7-4345-BECB-0E4DAF03F37F}" presName="parTx" presStyleLbl="node1" presStyleIdx="1" presStyleCnt="4">
        <dgm:presLayoutVars>
          <dgm:chMax val="0"/>
          <dgm:chPref val="0"/>
          <dgm:bulletEnabled val="1"/>
        </dgm:presLayoutVars>
      </dgm:prSet>
      <dgm:spPr/>
    </dgm:pt>
    <dgm:pt modelId="{CB3DA272-9C86-8946-AE75-E934BD77B40B}" type="pres">
      <dgm:prSet presAssocID="{207B300F-65F7-4345-BECB-0E4DAF03F37F}" presName="parSh" presStyleLbl="node1" presStyleIdx="2" presStyleCnt="4"/>
      <dgm:spPr/>
    </dgm:pt>
    <dgm:pt modelId="{24E8CE73-9EC6-3B4B-BD18-4603A3685EB3}" type="pres">
      <dgm:prSet presAssocID="{207B300F-65F7-4345-BECB-0E4DAF03F37F}" presName="desTx" presStyleLbl="fgAcc1" presStyleIdx="2" presStyleCnt="4">
        <dgm:presLayoutVars>
          <dgm:bulletEnabled val="1"/>
        </dgm:presLayoutVars>
      </dgm:prSet>
      <dgm:spPr/>
    </dgm:pt>
    <dgm:pt modelId="{B753E2D2-0EAF-514F-9ED6-B5F533751D2F}" type="pres">
      <dgm:prSet presAssocID="{DFA664B6-5071-6240-AE4C-922FCBADA98C}" presName="sibTrans" presStyleLbl="sibTrans2D1" presStyleIdx="2" presStyleCnt="3"/>
      <dgm:spPr/>
    </dgm:pt>
    <dgm:pt modelId="{B19898CA-50FD-B94B-A9B7-8A61029FBC33}" type="pres">
      <dgm:prSet presAssocID="{DFA664B6-5071-6240-AE4C-922FCBADA98C}" presName="connTx" presStyleLbl="sibTrans2D1" presStyleIdx="2" presStyleCnt="3"/>
      <dgm:spPr/>
    </dgm:pt>
    <dgm:pt modelId="{B1DED8D8-7C52-0F4E-B6AC-60C6D1DE4D3B}" type="pres">
      <dgm:prSet presAssocID="{A36AE77D-DA31-C24D-B78D-6BE98A356865}" presName="composite" presStyleCnt="0"/>
      <dgm:spPr/>
    </dgm:pt>
    <dgm:pt modelId="{0966D0EA-9C2F-B847-B97E-FF6E2F7E12E4}" type="pres">
      <dgm:prSet presAssocID="{A36AE77D-DA31-C24D-B78D-6BE98A356865}" presName="parTx" presStyleLbl="node1" presStyleIdx="2" presStyleCnt="4">
        <dgm:presLayoutVars>
          <dgm:chMax val="0"/>
          <dgm:chPref val="0"/>
          <dgm:bulletEnabled val="1"/>
        </dgm:presLayoutVars>
      </dgm:prSet>
      <dgm:spPr/>
    </dgm:pt>
    <dgm:pt modelId="{E0C83E93-B3D2-3146-BAEA-F4763A971075}" type="pres">
      <dgm:prSet presAssocID="{A36AE77D-DA31-C24D-B78D-6BE98A356865}" presName="parSh" presStyleLbl="node1" presStyleIdx="3" presStyleCnt="4"/>
      <dgm:spPr/>
    </dgm:pt>
    <dgm:pt modelId="{DDB40BDE-EDAC-E042-BAE0-0F4F135852FD}" type="pres">
      <dgm:prSet presAssocID="{A36AE77D-DA31-C24D-B78D-6BE98A356865}" presName="desTx" presStyleLbl="fgAcc1" presStyleIdx="3" presStyleCnt="4">
        <dgm:presLayoutVars>
          <dgm:bulletEnabled val="1"/>
        </dgm:presLayoutVars>
      </dgm:prSet>
      <dgm:spPr/>
    </dgm:pt>
  </dgm:ptLst>
  <dgm:cxnLst>
    <dgm:cxn modelId="{0ACF0A02-5292-8F45-97F6-5F13CD171D32}" type="presOf" srcId="{DFA664B6-5071-6240-AE4C-922FCBADA98C}" destId="{B19898CA-50FD-B94B-A9B7-8A61029FBC33}" srcOrd="1" destOrd="0" presId="urn:microsoft.com/office/officeart/2005/8/layout/process3"/>
    <dgm:cxn modelId="{9D6BA004-5E67-E048-85D9-1F5EC4553454}" type="presOf" srcId="{A1C0E981-1A56-E94B-A021-53B3C21E392C}" destId="{4BE85E6E-59B4-5D49-BBAA-B1D93A4FAA56}" srcOrd="0" destOrd="0" presId="urn:microsoft.com/office/officeart/2005/8/layout/process3"/>
    <dgm:cxn modelId="{28D46A0D-15CF-C14F-95DA-AF28553D1B28}" type="presOf" srcId="{959C096D-A3E7-BE47-BE19-6EDF0CD5FA68}" destId="{74CAD05E-2A35-3844-8C3C-BA25E39CF2F1}" srcOrd="0" destOrd="0" presId="urn:microsoft.com/office/officeart/2005/8/layout/process3"/>
    <dgm:cxn modelId="{DD675613-7432-B04D-85D7-2AC671B9172E}" type="presOf" srcId="{207B300F-65F7-4345-BECB-0E4DAF03F37F}" destId="{CB3DA272-9C86-8946-AE75-E934BD77B40B}" srcOrd="1" destOrd="0" presId="urn:microsoft.com/office/officeart/2005/8/layout/process3"/>
    <dgm:cxn modelId="{3AAABB13-27FF-6948-826F-1309E97C8819}" srcId="{A1C0E981-1A56-E94B-A021-53B3C21E392C}" destId="{75CA63E8-270B-6145-BB99-81789C44CBA3}" srcOrd="1" destOrd="0" parTransId="{DB5DDD08-37A5-4940-A4CD-AC7E449F3FA5}" sibTransId="{25BAAC97-F2D4-6C41-8E8F-B5670A44678C}"/>
    <dgm:cxn modelId="{B8AAD318-BE34-3449-9367-2E63139A466C}" type="presOf" srcId="{207B300F-65F7-4345-BECB-0E4DAF03F37F}" destId="{5B401A80-186F-1848-AE0C-EE86C9871EAF}" srcOrd="0" destOrd="0" presId="urn:microsoft.com/office/officeart/2005/8/layout/process3"/>
    <dgm:cxn modelId="{0D9BD31E-F2A4-C146-A24D-CBD3291A10F7}" type="presOf" srcId="{B295D438-D735-3746-A498-B5489780CBD6}" destId="{694295A1-6CA5-B54B-8102-98ED1FBB9FC0}" srcOrd="0" destOrd="0" presId="urn:microsoft.com/office/officeart/2005/8/layout/process3"/>
    <dgm:cxn modelId="{4690792D-F20D-8844-ABC1-295A963963E9}" srcId="{A1C0E981-1A56-E94B-A021-53B3C21E392C}" destId="{959C096D-A3E7-BE47-BE19-6EDF0CD5FA68}" srcOrd="0" destOrd="0" parTransId="{1A5B916D-ACE7-2D4F-B110-80349F1DF556}" sibTransId="{E43E5358-3F10-644A-B908-C4A83A995F03}"/>
    <dgm:cxn modelId="{46651E31-DEE1-3748-8FF3-388FC0861101}" srcId="{75CA63E8-270B-6145-BB99-81789C44CBA3}" destId="{B295D438-D735-3746-A498-B5489780CBD6}" srcOrd="0" destOrd="0" parTransId="{E235E9C8-8EB6-714B-A1FD-86B20CD5A01E}" sibTransId="{1B77EC5B-9455-7D4F-83F0-A22E9CA71C80}"/>
    <dgm:cxn modelId="{0F29D561-44E7-1B42-BA96-3E9543388ABD}" type="presOf" srcId="{75CA63E8-270B-6145-BB99-81789C44CBA3}" destId="{805A9C4A-4C81-EF44-80B9-6C835C4A3FE5}" srcOrd="1" destOrd="0" presId="urn:microsoft.com/office/officeart/2005/8/layout/process3"/>
    <dgm:cxn modelId="{A4BEAC50-D371-A842-9724-1FDCEDB1C464}" srcId="{A1C0E981-1A56-E94B-A021-53B3C21E392C}" destId="{A36AE77D-DA31-C24D-B78D-6BE98A356865}" srcOrd="3" destOrd="0" parTransId="{0259D6F5-B42F-014C-95B4-F3A11ADB9CF1}" sibTransId="{2E094279-93BE-2A41-9DF0-BCA01CC2A2B7}"/>
    <dgm:cxn modelId="{45919A85-F7EE-7247-9DEC-8DC024A940E8}" type="presOf" srcId="{A2370893-A0F3-2640-9D44-2825EBF101AB}" destId="{24E8CE73-9EC6-3B4B-BD18-4603A3685EB3}" srcOrd="0" destOrd="0" presId="urn:microsoft.com/office/officeart/2005/8/layout/process3"/>
    <dgm:cxn modelId="{9F14B89D-E29D-324B-A3B3-E7333F5394C3}" type="presOf" srcId="{E43E5358-3F10-644A-B908-C4A83A995F03}" destId="{A0A77159-31A5-804C-91B3-4175C5F807B0}" srcOrd="1" destOrd="0" presId="urn:microsoft.com/office/officeart/2005/8/layout/process3"/>
    <dgm:cxn modelId="{05F9C7A0-AE7C-694A-829C-98029597E11D}" type="presOf" srcId="{75CA63E8-270B-6145-BB99-81789C44CBA3}" destId="{CD7B7CBE-B8E4-6541-9E08-8E7DF0D718CB}" srcOrd="0" destOrd="0" presId="urn:microsoft.com/office/officeart/2005/8/layout/process3"/>
    <dgm:cxn modelId="{22876EB9-D3E0-D043-B674-6F2DD72B360A}" srcId="{A1C0E981-1A56-E94B-A021-53B3C21E392C}" destId="{207B300F-65F7-4345-BECB-0E4DAF03F37F}" srcOrd="2" destOrd="0" parTransId="{A4A38F19-26AF-4441-BC7D-168A2ED56A88}" sibTransId="{DFA664B6-5071-6240-AE4C-922FCBADA98C}"/>
    <dgm:cxn modelId="{117674C5-6CA5-2E49-A141-84DF68F5F637}" type="presOf" srcId="{25BAAC97-F2D4-6C41-8E8F-B5670A44678C}" destId="{AD98A71F-8E81-194A-94A5-CB2EB8390C52}" srcOrd="0" destOrd="0" presId="urn:microsoft.com/office/officeart/2005/8/layout/process3"/>
    <dgm:cxn modelId="{240020CC-BAF8-8845-BBFB-5106DA6FE8AF}" type="presOf" srcId="{25BAAC97-F2D4-6C41-8E8F-B5670A44678C}" destId="{EC59FD0B-6992-354F-B582-3ECC78FDC8D9}" srcOrd="1" destOrd="0" presId="urn:microsoft.com/office/officeart/2005/8/layout/process3"/>
    <dgm:cxn modelId="{723718CF-54F3-5C47-AB70-5D3911C78184}" type="presOf" srcId="{25DEBFDE-0522-BC4D-998A-136EECAACF1F}" destId="{DDB40BDE-EDAC-E042-BAE0-0F4F135852FD}" srcOrd="0" destOrd="0" presId="urn:microsoft.com/office/officeart/2005/8/layout/process3"/>
    <dgm:cxn modelId="{AACCDFD3-6630-FE42-8E63-75CE81CEE861}" type="presOf" srcId="{E43E5358-3F10-644A-B908-C4A83A995F03}" destId="{0956118A-47D9-8541-9237-CB33D8B80E7F}" srcOrd="0" destOrd="0" presId="urn:microsoft.com/office/officeart/2005/8/layout/process3"/>
    <dgm:cxn modelId="{DAF801D5-46B0-274A-B6BB-50FF16ACBEBE}" type="presOf" srcId="{DFA664B6-5071-6240-AE4C-922FCBADA98C}" destId="{B753E2D2-0EAF-514F-9ED6-B5F533751D2F}" srcOrd="0" destOrd="0" presId="urn:microsoft.com/office/officeart/2005/8/layout/process3"/>
    <dgm:cxn modelId="{4F943AD7-7E2F-144F-9D5F-9F7D7B06BA09}" srcId="{A36AE77D-DA31-C24D-B78D-6BE98A356865}" destId="{25DEBFDE-0522-BC4D-998A-136EECAACF1F}" srcOrd="0" destOrd="0" parTransId="{50E2FC9E-6A78-094D-8708-0A9DBA4F498C}" sibTransId="{29ABB6EF-831D-EE4D-8694-E51E7EA99F6D}"/>
    <dgm:cxn modelId="{2565AAD7-FCB7-EE4D-8A7F-E703D8F56ADD}" type="presOf" srcId="{A36AE77D-DA31-C24D-B78D-6BE98A356865}" destId="{0966D0EA-9C2F-B847-B97E-FF6E2F7E12E4}" srcOrd="0" destOrd="0" presId="urn:microsoft.com/office/officeart/2005/8/layout/process3"/>
    <dgm:cxn modelId="{B4BA0FDB-2354-C245-8C15-B47728FB9EE2}" type="presOf" srcId="{A36AE77D-DA31-C24D-B78D-6BE98A356865}" destId="{E0C83E93-B3D2-3146-BAEA-F4763A971075}" srcOrd="1" destOrd="0" presId="urn:microsoft.com/office/officeart/2005/8/layout/process3"/>
    <dgm:cxn modelId="{BACD02DC-EB59-8D40-BA2C-860796E3FFEA}" type="presOf" srcId="{53A46C97-E615-B240-BFC5-4AD4018015B8}" destId="{9A60C7A2-BD9B-B949-92C1-2844E64033B4}" srcOrd="0" destOrd="0" presId="urn:microsoft.com/office/officeart/2005/8/layout/process3"/>
    <dgm:cxn modelId="{EC97BAF2-B2B7-6D44-81A3-1152655E6884}" type="presOf" srcId="{959C096D-A3E7-BE47-BE19-6EDF0CD5FA68}" destId="{A5DCB2EC-3468-254E-AF96-B2413DD17C7F}" srcOrd="1" destOrd="0" presId="urn:microsoft.com/office/officeart/2005/8/layout/process3"/>
    <dgm:cxn modelId="{A2D40CF4-6D39-594D-8087-19230AFFC989}" srcId="{959C096D-A3E7-BE47-BE19-6EDF0CD5FA68}" destId="{53A46C97-E615-B240-BFC5-4AD4018015B8}" srcOrd="0" destOrd="0" parTransId="{6C182795-20B1-234A-8AE6-358F5A1CFD8D}" sibTransId="{CA4ACFB7-0E2B-4449-BA8A-11255180D154}"/>
    <dgm:cxn modelId="{A34F0DFB-B3C9-EE4A-9ADB-F101CA994B2A}" srcId="{207B300F-65F7-4345-BECB-0E4DAF03F37F}" destId="{A2370893-A0F3-2640-9D44-2825EBF101AB}" srcOrd="0" destOrd="0" parTransId="{29FACD75-8218-CD44-BE84-72E2095F740F}" sibTransId="{3B6E6D02-064B-364C-864B-B6C981906ADD}"/>
    <dgm:cxn modelId="{7A53ED45-7FD5-0C4F-BC82-7F0DB728B18A}" type="presParOf" srcId="{4BE85E6E-59B4-5D49-BBAA-B1D93A4FAA56}" destId="{B2FE6E30-1F03-9C46-9F9B-7983F326D122}" srcOrd="0" destOrd="0" presId="urn:microsoft.com/office/officeart/2005/8/layout/process3"/>
    <dgm:cxn modelId="{37A19857-B10B-7741-AF92-B149610164E0}" type="presParOf" srcId="{B2FE6E30-1F03-9C46-9F9B-7983F326D122}" destId="{74CAD05E-2A35-3844-8C3C-BA25E39CF2F1}" srcOrd="0" destOrd="0" presId="urn:microsoft.com/office/officeart/2005/8/layout/process3"/>
    <dgm:cxn modelId="{46BA266C-FD2E-2B49-841D-76DF8B25414E}" type="presParOf" srcId="{B2FE6E30-1F03-9C46-9F9B-7983F326D122}" destId="{A5DCB2EC-3468-254E-AF96-B2413DD17C7F}" srcOrd="1" destOrd="0" presId="urn:microsoft.com/office/officeart/2005/8/layout/process3"/>
    <dgm:cxn modelId="{66BE965B-8AA6-D24E-B8AE-9A4D70927C7B}" type="presParOf" srcId="{B2FE6E30-1F03-9C46-9F9B-7983F326D122}" destId="{9A60C7A2-BD9B-B949-92C1-2844E64033B4}" srcOrd="2" destOrd="0" presId="urn:microsoft.com/office/officeart/2005/8/layout/process3"/>
    <dgm:cxn modelId="{D41B4248-BE2D-A64C-8C0A-E886DE9A8420}" type="presParOf" srcId="{4BE85E6E-59B4-5D49-BBAA-B1D93A4FAA56}" destId="{0956118A-47D9-8541-9237-CB33D8B80E7F}" srcOrd="1" destOrd="0" presId="urn:microsoft.com/office/officeart/2005/8/layout/process3"/>
    <dgm:cxn modelId="{249727CD-FA57-AE4E-9FED-5EC1FFF1B4E1}" type="presParOf" srcId="{0956118A-47D9-8541-9237-CB33D8B80E7F}" destId="{A0A77159-31A5-804C-91B3-4175C5F807B0}" srcOrd="0" destOrd="0" presId="urn:microsoft.com/office/officeart/2005/8/layout/process3"/>
    <dgm:cxn modelId="{7B2859E6-E50F-FB4D-90B4-E641D11B8014}" type="presParOf" srcId="{4BE85E6E-59B4-5D49-BBAA-B1D93A4FAA56}" destId="{000A83A3-2A80-8849-BA8B-3FB82185A1B6}" srcOrd="2" destOrd="0" presId="urn:microsoft.com/office/officeart/2005/8/layout/process3"/>
    <dgm:cxn modelId="{64229DB0-1273-BB4D-8B0A-C1F1DFA981AE}" type="presParOf" srcId="{000A83A3-2A80-8849-BA8B-3FB82185A1B6}" destId="{CD7B7CBE-B8E4-6541-9E08-8E7DF0D718CB}" srcOrd="0" destOrd="0" presId="urn:microsoft.com/office/officeart/2005/8/layout/process3"/>
    <dgm:cxn modelId="{958A6C15-5DBA-6B4D-B779-371C2DE284DA}" type="presParOf" srcId="{000A83A3-2A80-8849-BA8B-3FB82185A1B6}" destId="{805A9C4A-4C81-EF44-80B9-6C835C4A3FE5}" srcOrd="1" destOrd="0" presId="urn:microsoft.com/office/officeart/2005/8/layout/process3"/>
    <dgm:cxn modelId="{07F176E2-1D31-7B41-AACC-7052EB154462}" type="presParOf" srcId="{000A83A3-2A80-8849-BA8B-3FB82185A1B6}" destId="{694295A1-6CA5-B54B-8102-98ED1FBB9FC0}" srcOrd="2" destOrd="0" presId="urn:microsoft.com/office/officeart/2005/8/layout/process3"/>
    <dgm:cxn modelId="{16B3AB61-B644-9D4D-9400-14435C5F7CB4}" type="presParOf" srcId="{4BE85E6E-59B4-5D49-BBAA-B1D93A4FAA56}" destId="{AD98A71F-8E81-194A-94A5-CB2EB8390C52}" srcOrd="3" destOrd="0" presId="urn:microsoft.com/office/officeart/2005/8/layout/process3"/>
    <dgm:cxn modelId="{434C1094-A8C1-4047-9B09-674581A00F00}" type="presParOf" srcId="{AD98A71F-8E81-194A-94A5-CB2EB8390C52}" destId="{EC59FD0B-6992-354F-B582-3ECC78FDC8D9}" srcOrd="0" destOrd="0" presId="urn:microsoft.com/office/officeart/2005/8/layout/process3"/>
    <dgm:cxn modelId="{0ED675E6-4FFA-5B43-ADD0-8A861CAAF4C2}" type="presParOf" srcId="{4BE85E6E-59B4-5D49-BBAA-B1D93A4FAA56}" destId="{CD3FDCFE-4873-0B42-863D-DF8A078CEE67}" srcOrd="4" destOrd="0" presId="urn:microsoft.com/office/officeart/2005/8/layout/process3"/>
    <dgm:cxn modelId="{8E92CF6C-07F2-D34D-AC90-939F8EC28C2C}" type="presParOf" srcId="{CD3FDCFE-4873-0B42-863D-DF8A078CEE67}" destId="{5B401A80-186F-1848-AE0C-EE86C9871EAF}" srcOrd="0" destOrd="0" presId="urn:microsoft.com/office/officeart/2005/8/layout/process3"/>
    <dgm:cxn modelId="{DBCEC784-07F4-344C-A483-5245BE9958F7}" type="presParOf" srcId="{CD3FDCFE-4873-0B42-863D-DF8A078CEE67}" destId="{CB3DA272-9C86-8946-AE75-E934BD77B40B}" srcOrd="1" destOrd="0" presId="urn:microsoft.com/office/officeart/2005/8/layout/process3"/>
    <dgm:cxn modelId="{16D9B92F-3A69-4441-906F-983F4113F6B4}" type="presParOf" srcId="{CD3FDCFE-4873-0B42-863D-DF8A078CEE67}" destId="{24E8CE73-9EC6-3B4B-BD18-4603A3685EB3}" srcOrd="2" destOrd="0" presId="urn:microsoft.com/office/officeart/2005/8/layout/process3"/>
    <dgm:cxn modelId="{295E567F-73D8-2341-8ABC-EECB978800C1}" type="presParOf" srcId="{4BE85E6E-59B4-5D49-BBAA-B1D93A4FAA56}" destId="{B753E2D2-0EAF-514F-9ED6-B5F533751D2F}" srcOrd="5" destOrd="0" presId="urn:microsoft.com/office/officeart/2005/8/layout/process3"/>
    <dgm:cxn modelId="{6B12B182-54B7-4947-A132-17CAD73116FC}" type="presParOf" srcId="{B753E2D2-0EAF-514F-9ED6-B5F533751D2F}" destId="{B19898CA-50FD-B94B-A9B7-8A61029FBC33}" srcOrd="0" destOrd="0" presId="urn:microsoft.com/office/officeart/2005/8/layout/process3"/>
    <dgm:cxn modelId="{2059CC6E-D33B-D84F-B522-A1100390EA2B}" type="presParOf" srcId="{4BE85E6E-59B4-5D49-BBAA-B1D93A4FAA56}" destId="{B1DED8D8-7C52-0F4E-B6AC-60C6D1DE4D3B}" srcOrd="6" destOrd="0" presId="urn:microsoft.com/office/officeart/2005/8/layout/process3"/>
    <dgm:cxn modelId="{A3418DCC-7364-7B41-8085-32C931793716}" type="presParOf" srcId="{B1DED8D8-7C52-0F4E-B6AC-60C6D1DE4D3B}" destId="{0966D0EA-9C2F-B847-B97E-FF6E2F7E12E4}" srcOrd="0" destOrd="0" presId="urn:microsoft.com/office/officeart/2005/8/layout/process3"/>
    <dgm:cxn modelId="{D55A4A97-DE75-B64B-8AE5-63B568182CFD}" type="presParOf" srcId="{B1DED8D8-7C52-0F4E-B6AC-60C6D1DE4D3B}" destId="{E0C83E93-B3D2-3146-BAEA-F4763A971075}" srcOrd="1" destOrd="0" presId="urn:microsoft.com/office/officeart/2005/8/layout/process3"/>
    <dgm:cxn modelId="{4341DB9B-1D55-734B-B032-5016010495BB}" type="presParOf" srcId="{B1DED8D8-7C52-0F4E-B6AC-60C6D1DE4D3B}" destId="{DDB40BDE-EDAC-E042-BAE0-0F4F135852FD}" srcOrd="2" destOrd="0" presId="urn:microsoft.com/office/officeart/2005/8/layout/process3"/>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DCB2EC-3468-254E-AF96-B2413DD17C7F}">
      <dsp:nvSpPr>
        <dsp:cNvPr id="0" name=""/>
        <dsp:cNvSpPr/>
      </dsp:nvSpPr>
      <dsp:spPr>
        <a:xfrm>
          <a:off x="0" y="3107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Secondary Prevention</a:t>
          </a:r>
        </a:p>
      </dsp:txBody>
      <dsp:txXfrm>
        <a:off x="0" y="310770"/>
        <a:ext cx="910520" cy="347800"/>
      </dsp:txXfrm>
    </dsp:sp>
    <dsp:sp modelId="{9A60C7A2-BD9B-B949-92C1-2844E64033B4}">
      <dsp:nvSpPr>
        <dsp:cNvPr id="0" name=""/>
        <dsp:cNvSpPr/>
      </dsp:nvSpPr>
      <dsp:spPr>
        <a:xfrm>
          <a:off x="187216" y="658570"/>
          <a:ext cx="910520" cy="664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Patients with a prior MI receiving an ICD</a:t>
          </a:r>
        </a:p>
      </dsp:txBody>
      <dsp:txXfrm>
        <a:off x="206670" y="678024"/>
        <a:ext cx="871612" cy="625292"/>
      </dsp:txXfrm>
    </dsp:sp>
    <dsp:sp modelId="{0956118A-47D9-8541-9237-CB33D8B80E7F}">
      <dsp:nvSpPr>
        <dsp:cNvPr id="0" name=""/>
        <dsp:cNvSpPr/>
      </dsp:nvSpPr>
      <dsp:spPr>
        <a:xfrm>
          <a:off x="1048732" y="371323"/>
          <a:ext cx="293010"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p>
      </dsp:txBody>
      <dsp:txXfrm>
        <a:off x="1048732" y="416662"/>
        <a:ext cx="225002" cy="136015"/>
      </dsp:txXfrm>
    </dsp:sp>
    <dsp:sp modelId="{805A9C4A-4C81-EF44-80B9-6C835C4A3FE5}">
      <dsp:nvSpPr>
        <dsp:cNvPr id="0" name=""/>
        <dsp:cNvSpPr/>
      </dsp:nvSpPr>
      <dsp:spPr>
        <a:xfrm>
          <a:off x="1463370" y="3107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Process</a:t>
          </a:r>
        </a:p>
      </dsp:txBody>
      <dsp:txXfrm>
        <a:off x="1463370" y="310770"/>
        <a:ext cx="910520" cy="347800"/>
      </dsp:txXfrm>
    </dsp:sp>
    <dsp:sp modelId="{694295A1-6CA5-B54B-8102-98ED1FBB9FC0}">
      <dsp:nvSpPr>
        <dsp:cNvPr id="0" name=""/>
        <dsp:cNvSpPr/>
      </dsp:nvSpPr>
      <dsp:spPr>
        <a:xfrm>
          <a:off x="1649862" y="658570"/>
          <a:ext cx="910520" cy="664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Use of beta-blocker therapy </a:t>
          </a:r>
        </a:p>
      </dsp:txBody>
      <dsp:txXfrm>
        <a:off x="1669316" y="678024"/>
        <a:ext cx="871612" cy="625292"/>
      </dsp:txXfrm>
    </dsp:sp>
    <dsp:sp modelId="{AD98A71F-8E81-194A-94A5-CB2EB8390C52}">
      <dsp:nvSpPr>
        <dsp:cNvPr id="0" name=""/>
        <dsp:cNvSpPr/>
      </dsp:nvSpPr>
      <dsp:spPr>
        <a:xfrm>
          <a:off x="2511922" y="371323"/>
          <a:ext cx="292626"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p>
      </dsp:txBody>
      <dsp:txXfrm>
        <a:off x="2511922" y="416662"/>
        <a:ext cx="224618" cy="136015"/>
      </dsp:txXfrm>
    </dsp:sp>
    <dsp:sp modelId="{CB3DA272-9C86-8946-AE75-E934BD77B40B}">
      <dsp:nvSpPr>
        <dsp:cNvPr id="0" name=""/>
        <dsp:cNvSpPr/>
      </dsp:nvSpPr>
      <dsp:spPr>
        <a:xfrm>
          <a:off x="2926017" y="3107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Intermediate Outcome</a:t>
          </a:r>
        </a:p>
      </dsp:txBody>
      <dsp:txXfrm>
        <a:off x="2926017" y="310770"/>
        <a:ext cx="910520" cy="347800"/>
      </dsp:txXfrm>
    </dsp:sp>
    <dsp:sp modelId="{24E8CE73-9EC6-3B4B-BD18-4603A3685EB3}">
      <dsp:nvSpPr>
        <dsp:cNvPr id="0" name=""/>
        <dsp:cNvSpPr/>
      </dsp:nvSpPr>
      <dsp:spPr>
        <a:xfrm>
          <a:off x="3112509" y="658570"/>
          <a:ext cx="910520" cy="664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Reduction of symptomatic HF</a:t>
          </a:r>
        </a:p>
      </dsp:txBody>
      <dsp:txXfrm>
        <a:off x="3131963" y="678024"/>
        <a:ext cx="871612" cy="625292"/>
      </dsp:txXfrm>
    </dsp:sp>
    <dsp:sp modelId="{B753E2D2-0EAF-514F-9ED6-B5F533751D2F}">
      <dsp:nvSpPr>
        <dsp:cNvPr id="0" name=""/>
        <dsp:cNvSpPr/>
      </dsp:nvSpPr>
      <dsp:spPr>
        <a:xfrm>
          <a:off x="3974568" y="371323"/>
          <a:ext cx="292626"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p>
      </dsp:txBody>
      <dsp:txXfrm>
        <a:off x="3974568" y="416662"/>
        <a:ext cx="224618" cy="136015"/>
      </dsp:txXfrm>
    </dsp:sp>
    <dsp:sp modelId="{E0C83E93-B3D2-3146-BAEA-F4763A971075}">
      <dsp:nvSpPr>
        <dsp:cNvPr id="0" name=""/>
        <dsp:cNvSpPr/>
      </dsp:nvSpPr>
      <dsp:spPr>
        <a:xfrm>
          <a:off x="4388663" y="3107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Outcome</a:t>
          </a:r>
        </a:p>
      </dsp:txBody>
      <dsp:txXfrm>
        <a:off x="4388663" y="310770"/>
        <a:ext cx="910520" cy="347800"/>
      </dsp:txXfrm>
    </dsp:sp>
    <dsp:sp modelId="{DDB40BDE-EDAC-E042-BAE0-0F4F135852FD}">
      <dsp:nvSpPr>
        <dsp:cNvPr id="0" name=""/>
        <dsp:cNvSpPr/>
      </dsp:nvSpPr>
      <dsp:spPr>
        <a:xfrm>
          <a:off x="4575155" y="658570"/>
          <a:ext cx="910520" cy="664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Reduction in mortality </a:t>
          </a:r>
        </a:p>
      </dsp:txBody>
      <dsp:txXfrm>
        <a:off x="4594609" y="678024"/>
        <a:ext cx="871612" cy="62529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DCB2EC-3468-254E-AF96-B2413DD17C7F}">
      <dsp:nvSpPr>
        <dsp:cNvPr id="0" name=""/>
        <dsp:cNvSpPr/>
      </dsp:nvSpPr>
      <dsp:spPr>
        <a:xfrm>
          <a:off x="0" y="424246"/>
          <a:ext cx="910520" cy="46477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30480" numCol="1" spcCol="1270" anchor="t" anchorCtr="0">
          <a:noAutofit/>
        </a:bodyPr>
        <a:lstStyle/>
        <a:p>
          <a:pPr marL="0" lvl="0" indent="0" algn="l" defTabSz="355600">
            <a:lnSpc>
              <a:spcPct val="90000"/>
            </a:lnSpc>
            <a:spcBef>
              <a:spcPct val="0"/>
            </a:spcBef>
            <a:spcAft>
              <a:spcPct val="35000"/>
            </a:spcAft>
            <a:buNone/>
          </a:pPr>
          <a:r>
            <a:rPr lang="en-US" sz="800" kern="1200"/>
            <a:t>Secondary/Primary Prevention</a:t>
          </a:r>
        </a:p>
      </dsp:txBody>
      <dsp:txXfrm>
        <a:off x="0" y="424246"/>
        <a:ext cx="910520" cy="309848"/>
      </dsp:txXfrm>
    </dsp:sp>
    <dsp:sp modelId="{9A60C7A2-BD9B-B949-92C1-2844E64033B4}">
      <dsp:nvSpPr>
        <dsp:cNvPr id="0" name=""/>
        <dsp:cNvSpPr/>
      </dsp:nvSpPr>
      <dsp:spPr>
        <a:xfrm>
          <a:off x="187216" y="734094"/>
          <a:ext cx="910520" cy="475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n-US" sz="800" kern="1200"/>
            <a:t>Patients with LVSD receiving an ICD</a:t>
          </a:r>
        </a:p>
      </dsp:txBody>
      <dsp:txXfrm>
        <a:off x="201134" y="748012"/>
        <a:ext cx="882684" cy="447364"/>
      </dsp:txXfrm>
    </dsp:sp>
    <dsp:sp modelId="{0956118A-47D9-8541-9237-CB33D8B80E7F}">
      <dsp:nvSpPr>
        <dsp:cNvPr id="0" name=""/>
        <dsp:cNvSpPr/>
      </dsp:nvSpPr>
      <dsp:spPr>
        <a:xfrm>
          <a:off x="1048732" y="465823"/>
          <a:ext cx="293010"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1048732" y="511162"/>
        <a:ext cx="225002" cy="136015"/>
      </dsp:txXfrm>
    </dsp:sp>
    <dsp:sp modelId="{805A9C4A-4C81-EF44-80B9-6C835C4A3FE5}">
      <dsp:nvSpPr>
        <dsp:cNvPr id="0" name=""/>
        <dsp:cNvSpPr/>
      </dsp:nvSpPr>
      <dsp:spPr>
        <a:xfrm>
          <a:off x="1463370" y="424246"/>
          <a:ext cx="910520" cy="46477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30480" numCol="1" spcCol="1270" anchor="t" anchorCtr="0">
          <a:noAutofit/>
        </a:bodyPr>
        <a:lstStyle/>
        <a:p>
          <a:pPr marL="0" lvl="0" indent="0" algn="l" defTabSz="355600">
            <a:lnSpc>
              <a:spcPct val="90000"/>
            </a:lnSpc>
            <a:spcBef>
              <a:spcPct val="0"/>
            </a:spcBef>
            <a:spcAft>
              <a:spcPct val="35000"/>
            </a:spcAft>
            <a:buNone/>
          </a:pPr>
          <a:r>
            <a:rPr lang="en-US" sz="800" kern="1200"/>
            <a:t>Process</a:t>
          </a:r>
        </a:p>
      </dsp:txBody>
      <dsp:txXfrm>
        <a:off x="1463370" y="424246"/>
        <a:ext cx="910520" cy="309848"/>
      </dsp:txXfrm>
    </dsp:sp>
    <dsp:sp modelId="{694295A1-6CA5-B54B-8102-98ED1FBB9FC0}">
      <dsp:nvSpPr>
        <dsp:cNvPr id="0" name=""/>
        <dsp:cNvSpPr/>
      </dsp:nvSpPr>
      <dsp:spPr>
        <a:xfrm>
          <a:off x="1649862" y="734094"/>
          <a:ext cx="910520" cy="475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n-US" sz="800" kern="1200"/>
            <a:t>Use of beta-blocker therapy </a:t>
          </a:r>
        </a:p>
      </dsp:txBody>
      <dsp:txXfrm>
        <a:off x="1663780" y="748012"/>
        <a:ext cx="882684" cy="447364"/>
      </dsp:txXfrm>
    </dsp:sp>
    <dsp:sp modelId="{AD98A71F-8E81-194A-94A5-CB2EB8390C52}">
      <dsp:nvSpPr>
        <dsp:cNvPr id="0" name=""/>
        <dsp:cNvSpPr/>
      </dsp:nvSpPr>
      <dsp:spPr>
        <a:xfrm>
          <a:off x="2511922" y="465823"/>
          <a:ext cx="292626"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2511922" y="511162"/>
        <a:ext cx="224618" cy="136015"/>
      </dsp:txXfrm>
    </dsp:sp>
    <dsp:sp modelId="{CB3DA272-9C86-8946-AE75-E934BD77B40B}">
      <dsp:nvSpPr>
        <dsp:cNvPr id="0" name=""/>
        <dsp:cNvSpPr/>
      </dsp:nvSpPr>
      <dsp:spPr>
        <a:xfrm>
          <a:off x="2926017" y="424246"/>
          <a:ext cx="910520" cy="46477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30480" numCol="1" spcCol="1270" anchor="t" anchorCtr="0">
          <a:noAutofit/>
        </a:bodyPr>
        <a:lstStyle/>
        <a:p>
          <a:pPr marL="0" lvl="0" indent="0" algn="l" defTabSz="355600">
            <a:lnSpc>
              <a:spcPct val="90000"/>
            </a:lnSpc>
            <a:spcBef>
              <a:spcPct val="0"/>
            </a:spcBef>
            <a:spcAft>
              <a:spcPct val="35000"/>
            </a:spcAft>
            <a:buNone/>
          </a:pPr>
          <a:r>
            <a:rPr lang="en-US" sz="800" kern="1200"/>
            <a:t>Intermediate Outcome</a:t>
          </a:r>
        </a:p>
      </dsp:txBody>
      <dsp:txXfrm>
        <a:off x="2926017" y="424246"/>
        <a:ext cx="910520" cy="309848"/>
      </dsp:txXfrm>
    </dsp:sp>
    <dsp:sp modelId="{24E8CE73-9EC6-3B4B-BD18-4603A3685EB3}">
      <dsp:nvSpPr>
        <dsp:cNvPr id="0" name=""/>
        <dsp:cNvSpPr/>
      </dsp:nvSpPr>
      <dsp:spPr>
        <a:xfrm>
          <a:off x="3112509" y="734094"/>
          <a:ext cx="910520" cy="475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n-US" sz="800" kern="1200"/>
            <a:t>Reduction of sympomatic HF</a:t>
          </a:r>
        </a:p>
      </dsp:txBody>
      <dsp:txXfrm>
        <a:off x="3126427" y="748012"/>
        <a:ext cx="882684" cy="447364"/>
      </dsp:txXfrm>
    </dsp:sp>
    <dsp:sp modelId="{B753E2D2-0EAF-514F-9ED6-B5F533751D2F}">
      <dsp:nvSpPr>
        <dsp:cNvPr id="0" name=""/>
        <dsp:cNvSpPr/>
      </dsp:nvSpPr>
      <dsp:spPr>
        <a:xfrm>
          <a:off x="3974568" y="465823"/>
          <a:ext cx="292626"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3974568" y="511162"/>
        <a:ext cx="224618" cy="136015"/>
      </dsp:txXfrm>
    </dsp:sp>
    <dsp:sp modelId="{E0C83E93-B3D2-3146-BAEA-F4763A971075}">
      <dsp:nvSpPr>
        <dsp:cNvPr id="0" name=""/>
        <dsp:cNvSpPr/>
      </dsp:nvSpPr>
      <dsp:spPr>
        <a:xfrm>
          <a:off x="4388663" y="424246"/>
          <a:ext cx="910520" cy="464772"/>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30480" numCol="1" spcCol="1270" anchor="t" anchorCtr="0">
          <a:noAutofit/>
        </a:bodyPr>
        <a:lstStyle/>
        <a:p>
          <a:pPr marL="0" lvl="0" indent="0" algn="l" defTabSz="355600">
            <a:lnSpc>
              <a:spcPct val="90000"/>
            </a:lnSpc>
            <a:spcBef>
              <a:spcPct val="0"/>
            </a:spcBef>
            <a:spcAft>
              <a:spcPct val="35000"/>
            </a:spcAft>
            <a:buNone/>
          </a:pPr>
          <a:r>
            <a:rPr lang="en-US" sz="800" kern="1200"/>
            <a:t>Outcome</a:t>
          </a:r>
        </a:p>
      </dsp:txBody>
      <dsp:txXfrm>
        <a:off x="4388663" y="424246"/>
        <a:ext cx="910520" cy="309848"/>
      </dsp:txXfrm>
    </dsp:sp>
    <dsp:sp modelId="{DDB40BDE-EDAC-E042-BAE0-0F4F135852FD}">
      <dsp:nvSpPr>
        <dsp:cNvPr id="0" name=""/>
        <dsp:cNvSpPr/>
      </dsp:nvSpPr>
      <dsp:spPr>
        <a:xfrm>
          <a:off x="4575155" y="734094"/>
          <a:ext cx="910520" cy="4752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n-US" sz="800" kern="1200"/>
            <a:t>Reduction in mortality </a:t>
          </a:r>
        </a:p>
      </dsp:txBody>
      <dsp:txXfrm>
        <a:off x="4589073" y="748012"/>
        <a:ext cx="882684" cy="44736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DCB2EC-3468-254E-AF96-B2413DD17C7F}">
      <dsp:nvSpPr>
        <dsp:cNvPr id="0" name=""/>
        <dsp:cNvSpPr/>
      </dsp:nvSpPr>
      <dsp:spPr>
        <a:xfrm>
          <a:off x="0" y="3755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Secondary Prevention</a:t>
          </a:r>
        </a:p>
      </dsp:txBody>
      <dsp:txXfrm>
        <a:off x="0" y="375570"/>
        <a:ext cx="910520" cy="347800"/>
      </dsp:txXfrm>
    </dsp:sp>
    <dsp:sp modelId="{9A60C7A2-BD9B-B949-92C1-2844E64033B4}">
      <dsp:nvSpPr>
        <dsp:cNvPr id="0" name=""/>
        <dsp:cNvSpPr/>
      </dsp:nvSpPr>
      <dsp:spPr>
        <a:xfrm>
          <a:off x="187216" y="723370"/>
          <a:ext cx="910520" cy="5346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Patients with LVSD receiving an ICD</a:t>
          </a:r>
        </a:p>
      </dsp:txBody>
      <dsp:txXfrm>
        <a:off x="202874" y="739028"/>
        <a:ext cx="879204" cy="503284"/>
      </dsp:txXfrm>
    </dsp:sp>
    <dsp:sp modelId="{0956118A-47D9-8541-9237-CB33D8B80E7F}">
      <dsp:nvSpPr>
        <dsp:cNvPr id="0" name=""/>
        <dsp:cNvSpPr/>
      </dsp:nvSpPr>
      <dsp:spPr>
        <a:xfrm>
          <a:off x="1048732" y="436123"/>
          <a:ext cx="293010"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p>
      </dsp:txBody>
      <dsp:txXfrm>
        <a:off x="1048732" y="481462"/>
        <a:ext cx="225002" cy="136015"/>
      </dsp:txXfrm>
    </dsp:sp>
    <dsp:sp modelId="{805A9C4A-4C81-EF44-80B9-6C835C4A3FE5}">
      <dsp:nvSpPr>
        <dsp:cNvPr id="0" name=""/>
        <dsp:cNvSpPr/>
      </dsp:nvSpPr>
      <dsp:spPr>
        <a:xfrm>
          <a:off x="1463370" y="3755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Process</a:t>
          </a:r>
        </a:p>
      </dsp:txBody>
      <dsp:txXfrm>
        <a:off x="1463370" y="375570"/>
        <a:ext cx="910520" cy="347800"/>
      </dsp:txXfrm>
    </dsp:sp>
    <dsp:sp modelId="{694295A1-6CA5-B54B-8102-98ED1FBB9FC0}">
      <dsp:nvSpPr>
        <dsp:cNvPr id="0" name=""/>
        <dsp:cNvSpPr/>
      </dsp:nvSpPr>
      <dsp:spPr>
        <a:xfrm>
          <a:off x="1649862" y="723370"/>
          <a:ext cx="910520" cy="5346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Use of ACE inhibitor or ARB therapy </a:t>
          </a:r>
        </a:p>
      </dsp:txBody>
      <dsp:txXfrm>
        <a:off x="1665520" y="739028"/>
        <a:ext cx="879204" cy="503284"/>
      </dsp:txXfrm>
    </dsp:sp>
    <dsp:sp modelId="{AD98A71F-8E81-194A-94A5-CB2EB8390C52}">
      <dsp:nvSpPr>
        <dsp:cNvPr id="0" name=""/>
        <dsp:cNvSpPr/>
      </dsp:nvSpPr>
      <dsp:spPr>
        <a:xfrm>
          <a:off x="2511922" y="436123"/>
          <a:ext cx="292626"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p>
      </dsp:txBody>
      <dsp:txXfrm>
        <a:off x="2511922" y="481462"/>
        <a:ext cx="224618" cy="136015"/>
      </dsp:txXfrm>
    </dsp:sp>
    <dsp:sp modelId="{CB3DA272-9C86-8946-AE75-E934BD77B40B}">
      <dsp:nvSpPr>
        <dsp:cNvPr id="0" name=""/>
        <dsp:cNvSpPr/>
      </dsp:nvSpPr>
      <dsp:spPr>
        <a:xfrm>
          <a:off x="2926017" y="3755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Intermediate Outcome</a:t>
          </a:r>
        </a:p>
      </dsp:txBody>
      <dsp:txXfrm>
        <a:off x="2926017" y="375570"/>
        <a:ext cx="910520" cy="347800"/>
      </dsp:txXfrm>
    </dsp:sp>
    <dsp:sp modelId="{24E8CE73-9EC6-3B4B-BD18-4603A3685EB3}">
      <dsp:nvSpPr>
        <dsp:cNvPr id="0" name=""/>
        <dsp:cNvSpPr/>
      </dsp:nvSpPr>
      <dsp:spPr>
        <a:xfrm>
          <a:off x="3112509" y="723370"/>
          <a:ext cx="910520" cy="5346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Prevention of symptomatic HF</a:t>
          </a:r>
        </a:p>
      </dsp:txBody>
      <dsp:txXfrm>
        <a:off x="3128167" y="739028"/>
        <a:ext cx="879204" cy="503284"/>
      </dsp:txXfrm>
    </dsp:sp>
    <dsp:sp modelId="{B753E2D2-0EAF-514F-9ED6-B5F533751D2F}">
      <dsp:nvSpPr>
        <dsp:cNvPr id="0" name=""/>
        <dsp:cNvSpPr/>
      </dsp:nvSpPr>
      <dsp:spPr>
        <a:xfrm>
          <a:off x="3974568" y="436123"/>
          <a:ext cx="292626" cy="226693"/>
        </a:xfrm>
        <a:prstGeom prst="rightArrow">
          <a:avLst>
            <a:gd name="adj1" fmla="val 60000"/>
            <a:gd name="adj2" fmla="val 50000"/>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p>
      </dsp:txBody>
      <dsp:txXfrm>
        <a:off x="3974568" y="481462"/>
        <a:ext cx="224618" cy="136015"/>
      </dsp:txXfrm>
    </dsp:sp>
    <dsp:sp modelId="{E0C83E93-B3D2-3146-BAEA-F4763A971075}">
      <dsp:nvSpPr>
        <dsp:cNvPr id="0" name=""/>
        <dsp:cNvSpPr/>
      </dsp:nvSpPr>
      <dsp:spPr>
        <a:xfrm>
          <a:off x="4388663" y="375570"/>
          <a:ext cx="910520" cy="52170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t>Outcome</a:t>
          </a:r>
        </a:p>
      </dsp:txBody>
      <dsp:txXfrm>
        <a:off x="4388663" y="375570"/>
        <a:ext cx="910520" cy="347800"/>
      </dsp:txXfrm>
    </dsp:sp>
    <dsp:sp modelId="{DDB40BDE-EDAC-E042-BAE0-0F4F135852FD}">
      <dsp:nvSpPr>
        <dsp:cNvPr id="0" name=""/>
        <dsp:cNvSpPr/>
      </dsp:nvSpPr>
      <dsp:spPr>
        <a:xfrm>
          <a:off x="4575155" y="723370"/>
          <a:ext cx="910520" cy="53460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t>Reduction in mortality </a:t>
          </a:r>
        </a:p>
      </dsp:txBody>
      <dsp:txXfrm>
        <a:off x="4590813" y="739028"/>
        <a:ext cx="879204" cy="50328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27DCA8B40E9A81438A07641B415202FE"/>
        <w:category>
          <w:name w:val="General"/>
          <w:gallery w:val="placeholder"/>
        </w:category>
        <w:types>
          <w:type w:val="bbPlcHdr"/>
        </w:types>
        <w:behaviors>
          <w:behavior w:val="content"/>
        </w:behaviors>
        <w:guid w:val="{924A268A-5150-E14C-9BA3-3FD58ECF0731}"/>
      </w:docPartPr>
      <w:docPartBody>
        <w:p w:rsidR="0080322F" w:rsidRDefault="0080322F" w:rsidP="0080322F">
          <w:pPr>
            <w:pStyle w:val="27DCA8B40E9A81438A07641B415202FE"/>
          </w:pPr>
          <w:r w:rsidRPr="003B1CC5">
            <w:rPr>
              <w:rStyle w:val="PlaceholderText"/>
              <w:rFonts w:cstheme="minorHAnsi"/>
              <w:color w:val="A6A6A6" w:themeColor="background1" w:themeShade="A6"/>
            </w:rPr>
            <w:t>Click here to enter composite measure #/ title</w:t>
          </w:r>
        </w:p>
      </w:docPartBody>
    </w:docPart>
    <w:docPart>
      <w:docPartPr>
        <w:name w:val="827A0D9B810EC140B88F003CD49B0008"/>
        <w:category>
          <w:name w:val="General"/>
          <w:gallery w:val="placeholder"/>
        </w:category>
        <w:types>
          <w:type w:val="bbPlcHdr"/>
        </w:types>
        <w:behaviors>
          <w:behavior w:val="content"/>
        </w:behaviors>
        <w:guid w:val="{7BD79D3D-AEFA-474D-B140-2CDF367AF29C}"/>
      </w:docPartPr>
      <w:docPartBody>
        <w:p w:rsidR="0080322F" w:rsidRDefault="0080322F" w:rsidP="0080322F">
          <w:pPr>
            <w:pStyle w:val="827A0D9B810EC140B88F003CD49B0008"/>
          </w:pPr>
          <w:r w:rsidRPr="003B1CC5">
            <w:rPr>
              <w:rStyle w:val="PlaceholderText"/>
              <w:rFonts w:cstheme="minorHAnsi"/>
              <w:color w:val="A6A6A6" w:themeColor="background1" w:themeShade="A6"/>
            </w:rPr>
            <w:t>Click here to enter composite measure #/ title</w:t>
          </w:r>
        </w:p>
      </w:docPartBody>
    </w:docPart>
    <w:docPart>
      <w:docPartPr>
        <w:name w:val="BF33FB18C463ED498302757080B33040"/>
        <w:category>
          <w:name w:val="General"/>
          <w:gallery w:val="placeholder"/>
        </w:category>
        <w:types>
          <w:type w:val="bbPlcHdr"/>
        </w:types>
        <w:behaviors>
          <w:behavior w:val="content"/>
        </w:behaviors>
        <w:guid w:val="{5EF60412-347B-DA42-B895-B1BC58ED3CCF}"/>
      </w:docPartPr>
      <w:docPartBody>
        <w:p w:rsidR="0080322F" w:rsidRDefault="0080322F" w:rsidP="0080322F">
          <w:pPr>
            <w:pStyle w:val="BF33FB18C463ED498302757080B33040"/>
          </w:pPr>
          <w:r w:rsidRPr="003B1CC5">
            <w:rPr>
              <w:rStyle w:val="PlaceholderText"/>
              <w:rFonts w:cstheme="minorHAnsi"/>
              <w:color w:val="A6A6A6" w:themeColor="background1" w:themeShade="A6"/>
            </w:rPr>
            <w:t>Click here to enter composite measure #/ title</w:t>
          </w:r>
        </w:p>
      </w:docPartBody>
    </w:docPart>
    <w:docPart>
      <w:docPartPr>
        <w:name w:val="471F1E540D749C4E9B9EAFA3C61FADDB"/>
        <w:category>
          <w:name w:val="General"/>
          <w:gallery w:val="placeholder"/>
        </w:category>
        <w:types>
          <w:type w:val="bbPlcHdr"/>
        </w:types>
        <w:behaviors>
          <w:behavior w:val="content"/>
        </w:behaviors>
        <w:guid w:val="{905B9222-25BF-7947-B73F-184D87E83691}"/>
      </w:docPartPr>
      <w:docPartBody>
        <w:p w:rsidR="0080322F" w:rsidRDefault="0080322F" w:rsidP="0080322F">
          <w:pPr>
            <w:pStyle w:val="471F1E540D749C4E9B9EAFA3C61FADDB"/>
          </w:pPr>
          <w:r w:rsidRPr="003B1CC5">
            <w:rPr>
              <w:rStyle w:val="PlaceholderText"/>
              <w:rFonts w:cstheme="minorHAnsi"/>
              <w:color w:val="A6A6A6" w:themeColor="background1" w:themeShade="A6"/>
            </w:rPr>
            <w:t>Click here to enter composite measure #/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auto"/>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Times">
    <w:altName w:val="Times Roman"/>
    <w:panose1 w:val="020206030504050203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Helvetica Neue">
    <w:charset w:val="00"/>
    <w:family w:val="auto"/>
    <w:pitch w:val="variable"/>
    <w:sig w:usb0="E50002FF" w:usb1="500079DB" w:usb2="00000010" w:usb3="00000000" w:csb0="00000001" w:csb1="00000000"/>
  </w:font>
  <w:font w:name="Apple Symbols">
    <w:charset w:val="00"/>
    <w:family w:val="auto"/>
    <w:pitch w:val="variable"/>
    <w:sig w:usb0="800000A3" w:usb1="08007BEB" w:usb2="01840034" w:usb3="00000000" w:csb0="000001FB" w:csb1="00000000"/>
  </w:font>
  <w:font w:name="Times Roman">
    <w:charset w:val="00"/>
    <w:family w:val="auto"/>
    <w:pitch w:val="variable"/>
    <w:sig w:usb0="E00002FF" w:usb1="5000205A" w:usb2="00000000" w:usb3="00000000" w:csb0="0000019F" w:csb1="00000000"/>
  </w:font>
  <w:font w:name="Helvetica">
    <w:panose1 w:val="020B0604020202020204"/>
    <w:charset w:val="00"/>
    <w:family w:val="swiss"/>
    <w:pitch w:val="variable"/>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30A1"/>
    <w:rsid w:val="0007538A"/>
    <w:rsid w:val="00160241"/>
    <w:rsid w:val="001F47A0"/>
    <w:rsid w:val="002B5F47"/>
    <w:rsid w:val="003A1E4B"/>
    <w:rsid w:val="00455EB5"/>
    <w:rsid w:val="00461C1C"/>
    <w:rsid w:val="00487249"/>
    <w:rsid w:val="004E2027"/>
    <w:rsid w:val="0057230E"/>
    <w:rsid w:val="005F21F3"/>
    <w:rsid w:val="0067090E"/>
    <w:rsid w:val="0080322F"/>
    <w:rsid w:val="008F6A9B"/>
    <w:rsid w:val="009D7DAD"/>
    <w:rsid w:val="00A77B15"/>
    <w:rsid w:val="00BE0F2D"/>
    <w:rsid w:val="00C03643"/>
    <w:rsid w:val="00C2797F"/>
    <w:rsid w:val="00C80225"/>
    <w:rsid w:val="00D228C9"/>
    <w:rsid w:val="00D253D0"/>
    <w:rsid w:val="00D2552B"/>
    <w:rsid w:val="00D75B64"/>
    <w:rsid w:val="00DB5324"/>
    <w:rsid w:val="00E04393"/>
    <w:rsid w:val="00E97654"/>
    <w:rsid w:val="00EA555A"/>
    <w:rsid w:val="00F87EB9"/>
    <w:rsid w:val="00FC30A1"/>
    <w:rsid w:val="00FE05F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0322F"/>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 w:type="paragraph" w:customStyle="1" w:styleId="73B308F1A99D4788BA3E9AC2AFE5C701">
    <w:name w:val="73B308F1A99D4788BA3E9AC2AFE5C701"/>
    <w:rsid w:val="001F47A0"/>
  </w:style>
  <w:style w:type="paragraph" w:customStyle="1" w:styleId="BF5C6A60F90F4D03A7F54FFDD789FE96">
    <w:name w:val="BF5C6A60F90F4D03A7F54FFDD789FE96"/>
    <w:rsid w:val="00487249"/>
    <w:pPr>
      <w:spacing w:after="160" w:line="259" w:lineRule="auto"/>
    </w:pPr>
  </w:style>
  <w:style w:type="paragraph" w:customStyle="1" w:styleId="9FCAE2F2C4D84EBE8D16DEA686834FC8">
    <w:name w:val="9FCAE2F2C4D84EBE8D16DEA686834FC8"/>
    <w:rsid w:val="00487249"/>
    <w:pPr>
      <w:spacing w:after="160" w:line="259" w:lineRule="auto"/>
    </w:pPr>
  </w:style>
  <w:style w:type="paragraph" w:customStyle="1" w:styleId="11271190523A4849BC93C2B9EBDCE268">
    <w:name w:val="11271190523A4849BC93C2B9EBDCE268"/>
    <w:rsid w:val="00487249"/>
    <w:pPr>
      <w:spacing w:after="160" w:line="259" w:lineRule="auto"/>
    </w:pPr>
  </w:style>
  <w:style w:type="paragraph" w:customStyle="1" w:styleId="6639CCB9333A4D14B7DB44A084CF899D">
    <w:name w:val="6639CCB9333A4D14B7DB44A084CF899D"/>
    <w:rsid w:val="00487249"/>
    <w:pPr>
      <w:spacing w:after="160" w:line="259" w:lineRule="auto"/>
    </w:pPr>
  </w:style>
  <w:style w:type="paragraph" w:customStyle="1" w:styleId="0B3CA7E4795A4B14B3C945C3BC618246">
    <w:name w:val="0B3CA7E4795A4B14B3C945C3BC618246"/>
    <w:rsid w:val="0067090E"/>
    <w:pPr>
      <w:spacing w:after="160" w:line="259" w:lineRule="auto"/>
    </w:pPr>
  </w:style>
  <w:style w:type="paragraph" w:customStyle="1" w:styleId="A6E280B6F8B542DA871F30145414CCD5">
    <w:name w:val="A6E280B6F8B542DA871F30145414CCD5"/>
    <w:rsid w:val="0067090E"/>
    <w:pPr>
      <w:spacing w:after="160" w:line="259" w:lineRule="auto"/>
    </w:pPr>
  </w:style>
  <w:style w:type="paragraph" w:customStyle="1" w:styleId="5C736AB01823405691C317E4DC3711DB">
    <w:name w:val="5C736AB01823405691C317E4DC3711DB"/>
    <w:rsid w:val="0067090E"/>
    <w:pPr>
      <w:spacing w:after="160" w:line="259" w:lineRule="auto"/>
    </w:pPr>
  </w:style>
  <w:style w:type="paragraph" w:customStyle="1" w:styleId="01D182F5418C44B1BEC8AD7EFD40C4A1">
    <w:name w:val="01D182F5418C44B1BEC8AD7EFD40C4A1"/>
    <w:rsid w:val="0067090E"/>
    <w:pPr>
      <w:spacing w:after="160" w:line="259" w:lineRule="auto"/>
    </w:pPr>
  </w:style>
  <w:style w:type="paragraph" w:customStyle="1" w:styleId="7B222E3332994A2BBC2A483DBF610B29">
    <w:name w:val="7B222E3332994A2BBC2A483DBF610B29"/>
    <w:rsid w:val="0007538A"/>
    <w:pPr>
      <w:spacing w:after="160" w:line="259" w:lineRule="auto"/>
    </w:pPr>
  </w:style>
  <w:style w:type="paragraph" w:customStyle="1" w:styleId="82B35765A79B42F3B9880FABFB944E99">
    <w:name w:val="82B35765A79B42F3B9880FABFB944E99"/>
    <w:rsid w:val="0007538A"/>
    <w:pPr>
      <w:spacing w:after="160" w:line="259" w:lineRule="auto"/>
    </w:pPr>
  </w:style>
  <w:style w:type="paragraph" w:customStyle="1" w:styleId="B24B106A0F7F49F6B8D734BC1F959A8D">
    <w:name w:val="B24B106A0F7F49F6B8D734BC1F959A8D"/>
    <w:rsid w:val="0007538A"/>
    <w:pPr>
      <w:spacing w:after="160" w:line="259" w:lineRule="auto"/>
    </w:pPr>
  </w:style>
  <w:style w:type="paragraph" w:customStyle="1" w:styleId="C400C65776DD490C997B33DEC8BEEDC6">
    <w:name w:val="C400C65776DD490C997B33DEC8BEEDC6"/>
    <w:rsid w:val="0007538A"/>
    <w:pPr>
      <w:spacing w:after="160" w:line="259" w:lineRule="auto"/>
    </w:pPr>
  </w:style>
  <w:style w:type="paragraph" w:customStyle="1" w:styleId="8CDB800221784DCDBF52B5EFD42EC1FC">
    <w:name w:val="8CDB800221784DCDBF52B5EFD42EC1FC"/>
    <w:rsid w:val="0007538A"/>
    <w:pPr>
      <w:spacing w:after="160" w:line="259" w:lineRule="auto"/>
    </w:pPr>
  </w:style>
  <w:style w:type="paragraph" w:customStyle="1" w:styleId="9821E76A57234407B2A4094B890246A3">
    <w:name w:val="9821E76A57234407B2A4094B890246A3"/>
    <w:rsid w:val="0007538A"/>
    <w:pPr>
      <w:spacing w:after="160" w:line="259" w:lineRule="auto"/>
    </w:pPr>
  </w:style>
  <w:style w:type="paragraph" w:customStyle="1" w:styleId="D753B712B45640DABFAEBE326B8FFB23">
    <w:name w:val="D753B712B45640DABFAEBE326B8FFB23"/>
    <w:rsid w:val="0007538A"/>
    <w:pPr>
      <w:spacing w:after="160" w:line="259" w:lineRule="auto"/>
    </w:pPr>
  </w:style>
  <w:style w:type="paragraph" w:customStyle="1" w:styleId="5FD56BE9A98D40B3A97642235B88E673">
    <w:name w:val="5FD56BE9A98D40B3A97642235B88E673"/>
    <w:rsid w:val="0007538A"/>
    <w:pPr>
      <w:spacing w:after="160" w:line="259" w:lineRule="auto"/>
    </w:pPr>
  </w:style>
  <w:style w:type="paragraph" w:customStyle="1" w:styleId="27DCA8B40E9A81438A07641B415202FE">
    <w:name w:val="27DCA8B40E9A81438A07641B415202FE"/>
    <w:rsid w:val="0080322F"/>
    <w:pPr>
      <w:spacing w:after="0" w:line="240" w:lineRule="auto"/>
    </w:pPr>
    <w:rPr>
      <w:sz w:val="24"/>
      <w:szCs w:val="24"/>
      <w:lang w:eastAsia="ja-JP"/>
    </w:rPr>
  </w:style>
  <w:style w:type="paragraph" w:customStyle="1" w:styleId="827A0D9B810EC140B88F003CD49B0008">
    <w:name w:val="827A0D9B810EC140B88F003CD49B0008"/>
    <w:rsid w:val="0080322F"/>
    <w:pPr>
      <w:spacing w:after="0" w:line="240" w:lineRule="auto"/>
    </w:pPr>
    <w:rPr>
      <w:sz w:val="24"/>
      <w:szCs w:val="24"/>
      <w:lang w:eastAsia="ja-JP"/>
    </w:rPr>
  </w:style>
  <w:style w:type="paragraph" w:customStyle="1" w:styleId="BF33FB18C463ED498302757080B33040">
    <w:name w:val="BF33FB18C463ED498302757080B33040"/>
    <w:rsid w:val="0080322F"/>
    <w:pPr>
      <w:spacing w:after="0" w:line="240" w:lineRule="auto"/>
    </w:pPr>
    <w:rPr>
      <w:sz w:val="24"/>
      <w:szCs w:val="24"/>
      <w:lang w:eastAsia="ja-JP"/>
    </w:rPr>
  </w:style>
  <w:style w:type="paragraph" w:customStyle="1" w:styleId="471F1E540D749C4E9B9EAFA3C61FADDB">
    <w:name w:val="471F1E540D749C4E9B9EAFA3C61FADDB"/>
    <w:rsid w:val="0080322F"/>
    <w:pPr>
      <w:spacing w:after="0" w:line="240" w:lineRule="auto"/>
    </w:pPr>
    <w:rPr>
      <w:sz w:val="24"/>
      <w:szCs w:val="24"/>
      <w:lang w:eastAsia="ja-JP"/>
    </w:rPr>
  </w:style>
  <w:style w:type="paragraph" w:customStyle="1" w:styleId="8BAB36F45EC23B40ACA3A50E1F87CA8B">
    <w:name w:val="8BAB36F45EC23B40ACA3A50E1F87CA8B"/>
    <w:rsid w:val="0080322F"/>
    <w:pPr>
      <w:spacing w:after="0" w:line="240" w:lineRule="auto"/>
    </w:pPr>
    <w:rPr>
      <w:sz w:val="24"/>
      <w:szCs w:val="24"/>
      <w:lang w:eastAsia="ja-JP"/>
    </w:rPr>
  </w:style>
  <w:style w:type="paragraph" w:customStyle="1" w:styleId="7BD2FD0FEF16924A9E519D85B97A575A">
    <w:name w:val="7BD2FD0FEF16924A9E519D85B97A575A"/>
    <w:rsid w:val="0080322F"/>
    <w:pPr>
      <w:spacing w:after="0" w:line="240" w:lineRule="auto"/>
    </w:pPr>
    <w:rPr>
      <w:sz w:val="24"/>
      <w:szCs w:val="24"/>
      <w:lang w:eastAsia="ja-JP"/>
    </w:rPr>
  </w:style>
  <w:style w:type="paragraph" w:customStyle="1" w:styleId="607A20A72AE83F4CB3CDBF2299A22529">
    <w:name w:val="607A20A72AE83F4CB3CDBF2299A22529"/>
    <w:rsid w:val="0080322F"/>
    <w:pPr>
      <w:spacing w:after="0" w:line="240" w:lineRule="auto"/>
    </w:pPr>
    <w:rPr>
      <w:sz w:val="24"/>
      <w:szCs w:val="24"/>
      <w:lang w:eastAsia="ja-JP"/>
    </w:rPr>
  </w:style>
  <w:style w:type="paragraph" w:customStyle="1" w:styleId="EA133C14940FCF4B88240C0732281582">
    <w:name w:val="EA133C14940FCF4B88240C0732281582"/>
    <w:rsid w:val="0080322F"/>
    <w:pPr>
      <w:spacing w:after="0" w:line="240" w:lineRule="auto"/>
    </w:pPr>
    <w:rPr>
      <w:sz w:val="24"/>
      <w:szCs w:val="24"/>
      <w:lang w:eastAsia="ja-JP"/>
    </w:rPr>
  </w:style>
  <w:style w:type="paragraph" w:customStyle="1" w:styleId="6F36EE7DDAA51842B002458E746075CA">
    <w:name w:val="6F36EE7DDAA51842B002458E746075CA"/>
    <w:rsid w:val="0080322F"/>
    <w:pPr>
      <w:spacing w:after="0" w:line="240" w:lineRule="auto"/>
    </w:pPr>
    <w:rPr>
      <w:sz w:val="24"/>
      <w:szCs w:val="24"/>
      <w:lang w:eastAsia="ja-JP"/>
    </w:rPr>
  </w:style>
  <w:style w:type="paragraph" w:customStyle="1" w:styleId="952A8BBC880B0F4E883901928361B729">
    <w:name w:val="952A8BBC880B0F4E883901928361B729"/>
    <w:rsid w:val="0080322F"/>
    <w:pPr>
      <w:spacing w:after="0" w:line="240" w:lineRule="auto"/>
    </w:pPr>
    <w:rPr>
      <w:sz w:val="24"/>
      <w:szCs w:val="24"/>
      <w:lang w:eastAsia="ja-JP"/>
    </w:rPr>
  </w:style>
  <w:style w:type="paragraph" w:customStyle="1" w:styleId="B3CEB7654651FB4394BAFCEAB4E6DD9F">
    <w:name w:val="B3CEB7654651FB4394BAFCEAB4E6DD9F"/>
    <w:rsid w:val="0080322F"/>
    <w:pPr>
      <w:spacing w:after="0" w:line="240" w:lineRule="auto"/>
    </w:pPr>
    <w:rPr>
      <w:sz w:val="24"/>
      <w:szCs w:val="24"/>
      <w:lang w:eastAsia="ja-JP"/>
    </w:rPr>
  </w:style>
  <w:style w:type="paragraph" w:customStyle="1" w:styleId="3984C0C79E220E469EE7AB34776CF95A">
    <w:name w:val="3984C0C79E220E469EE7AB34776CF95A"/>
    <w:rsid w:val="0080322F"/>
    <w:pPr>
      <w:spacing w:after="0" w:line="240" w:lineRule="auto"/>
    </w:pPr>
    <w:rPr>
      <w:sz w:val="24"/>
      <w:szCs w:val="24"/>
      <w:lang w:eastAsia="ja-JP"/>
    </w:rPr>
  </w:style>
  <w:style w:type="paragraph" w:customStyle="1" w:styleId="D87BCBD986191245A5D5AC73C7C75B78">
    <w:name w:val="D87BCBD986191245A5D5AC73C7C75B78"/>
    <w:rsid w:val="0080322F"/>
    <w:pPr>
      <w:spacing w:after="0" w:line="240" w:lineRule="auto"/>
    </w:pPr>
    <w:rPr>
      <w:sz w:val="24"/>
      <w:szCs w:val="24"/>
      <w:lang w:eastAsia="ja-JP"/>
    </w:rPr>
  </w:style>
  <w:style w:type="paragraph" w:customStyle="1" w:styleId="C5AA134AD43A164E85CD97D0AE0D7EDC">
    <w:name w:val="C5AA134AD43A164E85CD97D0AE0D7EDC"/>
    <w:rsid w:val="0080322F"/>
    <w:pPr>
      <w:spacing w:after="0" w:line="240" w:lineRule="auto"/>
    </w:pPr>
    <w:rPr>
      <w:sz w:val="24"/>
      <w:szCs w:val="24"/>
      <w:lang w:eastAsia="ja-JP"/>
    </w:rPr>
  </w:style>
  <w:style w:type="paragraph" w:customStyle="1" w:styleId="496331ABDDB9B647992E55B2979CCFE8">
    <w:name w:val="496331ABDDB9B647992E55B2979CCFE8"/>
    <w:rsid w:val="0080322F"/>
    <w:pPr>
      <w:spacing w:after="0" w:line="240" w:lineRule="auto"/>
    </w:pPr>
    <w:rPr>
      <w:sz w:val="24"/>
      <w:szCs w:val="24"/>
      <w:lang w:eastAsia="ja-JP"/>
    </w:rPr>
  </w:style>
  <w:style w:type="paragraph" w:customStyle="1" w:styleId="8FF74DCF923A184B9BFE1A4152A549A5">
    <w:name w:val="8FF74DCF923A184B9BFE1A4152A549A5"/>
    <w:rsid w:val="0080322F"/>
    <w:pPr>
      <w:spacing w:after="0" w:line="240" w:lineRule="auto"/>
    </w:pPr>
    <w:rPr>
      <w:sz w:val="24"/>
      <w:szCs w:val="24"/>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1f971ac7d559ead76220319017d3656">
  <xsd:schema xmlns:xsd="http://www.w3.org/2001/XMLSchema" xmlns:xs="http://www.w3.org/2001/XMLSchema" xmlns:p="http://schemas.microsoft.com/office/2006/metadata/properties" xmlns:ns2="836b82f1-340d-495e-85b5-201c5296619a" targetNamespace="http://schemas.microsoft.com/office/2006/metadata/properties" ma:root="true" ma:fieldsID="3be9963e7f408cfe264e4739eaeea019"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Measure Developer Webinars"/>
          <xsd:enumeration value="Maintenance Tracking Documents"/>
          <xsd:enumeration value="CSAC Materials"/>
          <xsd:enumeration value="Reference Materials"/>
          <xsd:enumeration value="Measure Developer Workshop"/>
          <xsd:enumeration value="Measure Developer Schedules"/>
          <xsd:enumeration value="Measure Developer Advisory Panel"/>
          <xsd:enumeration value="Restructuring Maintenance"/>
          <xsd:enumeration value="Project Management"/>
          <xsd:enumeration value="Archiv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77C6A-324F-4FC0-B7AC-A64B0A132FFF}">
  <ds:schemaRefs>
    <ds:schemaRef ds:uri="http://schemas.microsoft.com/sharepoint/events"/>
  </ds:schemaRefs>
</ds:datastoreItem>
</file>

<file path=customXml/itemProps2.xml><?xml version="1.0" encoding="utf-8"?>
<ds:datastoreItem xmlns:ds="http://schemas.openxmlformats.org/officeDocument/2006/customXml" ds:itemID="{8C703B16-F147-463E-8909-145470A06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2CDBE7-7F08-4F52-B308-EE351D989842}">
  <ds:schemaRef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836b82f1-340d-495e-85b5-201c5296619a"/>
    <ds:schemaRef ds:uri="http://www.w3.org/XML/1998/namespace"/>
    <ds:schemaRef ds:uri="http://purl.org/dc/elements/1.1/"/>
  </ds:schemaRefs>
</ds:datastoreItem>
</file>

<file path=customXml/itemProps4.xml><?xml version="1.0" encoding="utf-8"?>
<ds:datastoreItem xmlns:ds="http://schemas.openxmlformats.org/officeDocument/2006/customXml" ds:itemID="{910DB350-FC8B-4433-8EFB-33E9A67FD251}">
  <ds:schemaRefs>
    <ds:schemaRef ds:uri="http://schemas.microsoft.com/sharepoint/v3/contenttype/forms"/>
  </ds:schemaRefs>
</ds:datastoreItem>
</file>

<file path=customXml/itemProps5.xml><?xml version="1.0" encoding="utf-8"?>
<ds:datastoreItem xmlns:ds="http://schemas.openxmlformats.org/officeDocument/2006/customXml" ds:itemID="{F386833F-282C-4709-A76F-C6236AC23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8360</Words>
  <Characters>47652</Characters>
  <Application>Microsoft Office Word</Application>
  <DocSecurity>4</DocSecurity>
  <Lines>397</Lines>
  <Paragraphs>111</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55901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Pace</dc:creator>
  <cp:lastModifiedBy>Beth Denton</cp:lastModifiedBy>
  <cp:revision>2</cp:revision>
  <dcterms:created xsi:type="dcterms:W3CDTF">2019-11-21T15:52:00Z</dcterms:created>
  <dcterms:modified xsi:type="dcterms:W3CDTF">2019-11-21T15:52:00Z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