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31B5C">
            <w:rPr>
              <w:rStyle w:val="Style1"/>
            </w:rPr>
            <w:t>1360</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352BE4">
            <w:rPr>
              <w:rStyle w:val="Style1"/>
            </w:rPr>
            <w:t>Audiology evaluation</w:t>
          </w:r>
          <w:r w:rsidR="00631B5C">
            <w:rPr>
              <w:rStyle w:val="Style1"/>
            </w:rPr>
            <w:t xml:space="preserve"> no later than 3 months of age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3-27T00:00:00Z">
            <w:dateFormat w:val="M/d/yyyy"/>
            <w:lid w:val="en-US"/>
            <w:storeMappedDataAs w:val="dateTime"/>
            <w:calendar w:val="gregorian"/>
          </w:date>
        </w:sdtPr>
        <w:sdtEndPr>
          <w:rPr>
            <w:rStyle w:val="DefaultParagraphFont"/>
            <w:noProof/>
            <w:color w:val="auto"/>
            <w:u w:val="none"/>
          </w:rPr>
        </w:sdtEndPr>
        <w:sdtContent>
          <w:r w:rsidR="00631B5C">
            <w:rPr>
              <w:rStyle w:val="Style2"/>
            </w:rPr>
            <w:t>3/27/2015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9B0BEC"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9B0BEC"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rsidR="00496AF8" w:rsidRPr="003B1CC5" w:rsidRDefault="009B0BEC"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9B0BEC"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A37B8C">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proofErr w:type="spellStart"/>
          <w:r w:rsidR="00C2470A">
            <w:rPr>
              <w:rStyle w:val="Style2"/>
              <w:rFonts w:cstheme="minorHAnsi"/>
            </w:rPr>
            <w:t>audiological</w:t>
          </w:r>
          <w:proofErr w:type="spellEnd"/>
          <w:r w:rsidR="00C2470A">
            <w:rPr>
              <w:rStyle w:val="Style2"/>
              <w:rFonts w:cstheme="minorHAnsi"/>
            </w:rPr>
            <w:t xml:space="preserve"> diagnostic evaluation </w:t>
          </w:r>
          <w:r w:rsidR="00A37B8C">
            <w:rPr>
              <w:rStyle w:val="Style2"/>
              <w:rFonts w:cstheme="minorHAnsi"/>
            </w:rPr>
            <w:t>after failing newborn hearing screening</w:t>
          </w:r>
        </w:sdtContent>
      </w:sdt>
    </w:p>
    <w:p w:rsidR="00496AF8" w:rsidRPr="003B1CC5" w:rsidRDefault="009B0BE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9B0BEC"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22E52" w:rsidRDefault="00722E52" w:rsidP="002E2177">
      <w:pPr>
        <w:ind w:left="0" w:firstLine="0"/>
      </w:pPr>
    </w:p>
    <w:p w:rsidR="007C1887" w:rsidRDefault="0073377B" w:rsidP="002E2177">
      <w:pPr>
        <w:ind w:left="0" w:firstLine="0"/>
      </w:pPr>
      <w:proofErr w:type="spellStart"/>
      <w:r>
        <w:t>Audiogical</w:t>
      </w:r>
      <w:proofErr w:type="spellEnd"/>
      <w:r>
        <w:t xml:space="preserve"> diagnostic evaluation --&gt; early diagnosis of infant hearing loss </w:t>
      </w:r>
      <w:r>
        <w:sym w:font="Wingdings" w:char="F0E0"/>
      </w:r>
      <w:r>
        <w:t xml:space="preserve"> early </w:t>
      </w:r>
      <w:proofErr w:type="spellStart"/>
      <w:r>
        <w:t>early</w:t>
      </w:r>
      <w:proofErr w:type="spellEnd"/>
      <w:r>
        <w:t xml:space="preserve"> intervention service reception </w:t>
      </w:r>
      <w:r>
        <w:sym w:font="Wingdings" w:char="F0E0"/>
      </w:r>
      <w:r>
        <w:t xml:space="preserve"> better</w:t>
      </w:r>
      <w:r w:rsidR="00722E52" w:rsidRPr="00722E52">
        <w:t xml:space="preserve"> linguistic competence and literacy development for children </w:t>
      </w:r>
      <w:r>
        <w:t>who are deaf or hard of hearing</w:t>
      </w:r>
    </w:p>
    <w:p w:rsidR="0049015C" w:rsidRPr="003B1CC5" w:rsidRDefault="0049015C"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9B0BEC"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E95C04">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9B0BEC" w:rsidP="002E2177">
      <w:pPr>
        <w:ind w:left="0" w:firstLine="0"/>
        <w:rPr>
          <w:b/>
          <w:i/>
        </w:rPr>
      </w:pPr>
      <w:sdt>
        <w:sdtPr>
          <w:rPr>
            <w:bCs/>
            <w:color w:val="0000FF"/>
          </w:rPr>
          <w:id w:val="-411317169"/>
          <w14:checkbox>
            <w14:checked w14:val="1"/>
            <w14:checkedState w14:val="2612" w14:font="MS Gothic"/>
            <w14:uncheckedState w14:val="2610" w14:font="MS Gothic"/>
          </w14:checkbox>
        </w:sdtPr>
        <w:sdtEndPr/>
        <w:sdtContent>
          <w:r w:rsidR="00991C2E">
            <w:rPr>
              <w:rFonts w:ascii="MS Gothic" w:eastAsia="MS Gothic" w:hAnsi="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9B0BEC"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9B0BEC"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5B2CB6">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E95C04" w:rsidRDefault="00E95C04" w:rsidP="002E2177">
      <w:pPr>
        <w:ind w:left="0" w:firstLine="0"/>
        <w:rPr>
          <w:rFonts w:cs="Arial"/>
          <w:sz w:val="20"/>
          <w:szCs w:val="20"/>
        </w:rPr>
      </w:pPr>
    </w:p>
    <w:p w:rsidR="00D53405" w:rsidRPr="003B1CC5" w:rsidRDefault="00E95C04" w:rsidP="002E2177">
      <w:pPr>
        <w:ind w:left="0" w:firstLine="0"/>
        <w:rPr>
          <w:rFonts w:cs="Arial"/>
          <w:sz w:val="20"/>
          <w:szCs w:val="20"/>
        </w:rPr>
      </w:pPr>
      <w:hyperlink r:id="rId18" w:history="1">
        <w:r w:rsidRPr="00E95C04">
          <w:rPr>
            <w:rStyle w:val="Hyperlink"/>
            <w:rFonts w:cs="Arial"/>
            <w:sz w:val="20"/>
            <w:szCs w:val="20"/>
          </w:rPr>
          <w:t>Joint Commission on Infant Hearing Position Statement 2007</w:t>
        </w:r>
      </w:hyperlink>
    </w:p>
    <w:p w:rsidR="00E95C04" w:rsidRPr="003B1CC5" w:rsidRDefault="00E95C04" w:rsidP="002E2177">
      <w:pPr>
        <w:ind w:left="0" w:firstLine="0"/>
        <w:rPr>
          <w:color w:val="0000FF"/>
        </w:rPr>
      </w:pPr>
    </w:p>
    <w:p w:rsidR="00D14F0B" w:rsidRDefault="008B51D9" w:rsidP="002E2177">
      <w:pPr>
        <w:ind w:left="0" w:firstLine="0"/>
      </w:pPr>
      <w:r w:rsidRPr="003B1CC5">
        <w:rPr>
          <w:b/>
          <w:color w:val="0000FF"/>
        </w:rPr>
        <w:lastRenderedPageBreak/>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8C6992" w:rsidRDefault="008C6992" w:rsidP="002E2177">
      <w:pPr>
        <w:ind w:left="0" w:firstLine="0"/>
      </w:pPr>
    </w:p>
    <w:p w:rsidR="008C6992" w:rsidRDefault="008C6992" w:rsidP="008C6992">
      <w:pPr>
        <w:pStyle w:val="Default"/>
        <w:rPr>
          <w:color w:val="0000FF"/>
        </w:rPr>
      </w:pPr>
    </w:p>
    <w:p w:rsidR="008C6992" w:rsidRPr="008C6992" w:rsidRDefault="00315C41" w:rsidP="008C6992">
      <w:pPr>
        <w:pStyle w:val="Default"/>
        <w:rPr>
          <w:b/>
        </w:rPr>
      </w:pPr>
      <w:r>
        <w:rPr>
          <w:color w:val="0000FF"/>
        </w:rPr>
        <w:t>Page 898</w:t>
      </w:r>
      <w:proofErr w:type="gramStart"/>
      <w:r w:rsidR="008C6992">
        <w:rPr>
          <w:color w:val="0000FF"/>
        </w:rPr>
        <w:t>.</w:t>
      </w:r>
      <w:r w:rsidR="008C6992">
        <w:rPr>
          <w:color w:val="0000FF"/>
        </w:rPr>
        <w:t>“</w:t>
      </w:r>
      <w:proofErr w:type="gramEnd"/>
      <w:r w:rsidR="008C6992">
        <w:rPr>
          <w:sz w:val="19"/>
          <w:szCs w:val="19"/>
        </w:rPr>
        <w:t xml:space="preserve">To maximize the outcome for infants who are deaf or hard of hearing, the hearing of all infants should be screened at no later than 1 month of age. </w:t>
      </w:r>
      <w:r w:rsidR="008C6992" w:rsidRPr="008C6992">
        <w:rPr>
          <w:b/>
          <w:sz w:val="19"/>
          <w:szCs w:val="19"/>
        </w:rPr>
        <w:t xml:space="preserve">Those who do not pass screening should have a comprehensive </w:t>
      </w:r>
      <w:proofErr w:type="spellStart"/>
      <w:r w:rsidR="008C6992" w:rsidRPr="008C6992">
        <w:rPr>
          <w:b/>
          <w:sz w:val="19"/>
          <w:szCs w:val="19"/>
        </w:rPr>
        <w:t>audiological</w:t>
      </w:r>
      <w:proofErr w:type="spellEnd"/>
      <w:r w:rsidR="008C6992" w:rsidRPr="008C6992">
        <w:rPr>
          <w:b/>
          <w:sz w:val="19"/>
          <w:szCs w:val="19"/>
        </w:rPr>
        <w:t xml:space="preserve"> evaluation at no later than 3 months of age. </w:t>
      </w:r>
      <w:r w:rsidR="008C6992">
        <w:rPr>
          <w:b/>
        </w:rPr>
        <w:t xml:space="preserve"> </w:t>
      </w:r>
      <w:r w:rsidR="008C6992">
        <w:rPr>
          <w:sz w:val="19"/>
          <w:szCs w:val="19"/>
        </w:rPr>
        <w:t>Infants with confirmed hearing loss should receive appropriate intervention at no later than 6 months of age from health care and education professionals with expertise in hearing loss and deafness in infants and young children.”</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Default="008C6992" w:rsidP="00265702">
      <w:pPr>
        <w:ind w:left="0" w:firstLine="0"/>
      </w:pPr>
      <w:r>
        <w:t>Not applicable</w:t>
      </w:r>
    </w:p>
    <w:p w:rsidR="008C6992" w:rsidRPr="003B1CC5" w:rsidRDefault="008C6992"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8C6992" w:rsidRDefault="008C6992" w:rsidP="00265702">
      <w:pPr>
        <w:ind w:left="0" w:firstLine="0"/>
      </w:pPr>
    </w:p>
    <w:p w:rsidR="00A12762" w:rsidRPr="008C6992" w:rsidRDefault="008C6992" w:rsidP="00265702">
      <w:pPr>
        <w:ind w:left="0" w:firstLine="0"/>
      </w:pPr>
      <w:r w:rsidRPr="008C6992">
        <w:t>Not applicable</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9B0BEC" w:rsidP="00FC32D3">
      <w:pPr>
        <w:ind w:left="720" w:hanging="432"/>
        <w:rPr>
          <w:b/>
        </w:rPr>
      </w:pPr>
      <w:sdt>
        <w:sdtPr>
          <w:rPr>
            <w:bCs/>
            <w:color w:val="0000FF"/>
          </w:rPr>
          <w:id w:val="-1346319738"/>
          <w14:checkbox>
            <w14:checked w14:val="1"/>
            <w14:checkedState w14:val="2612" w14:font="MS Gothic"/>
            <w14:uncheckedState w14:val="2610" w14:font="MS Gothic"/>
          </w14:checkbox>
        </w:sdtPr>
        <w:sdtEndPr/>
        <w:sdtContent>
          <w:r w:rsidR="001B3EBD">
            <w:rPr>
              <w:rFonts w:ascii="MS Gothic" w:eastAsia="MS Gothic" w:hAnsi="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9B0BEC"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1B3EBD">
            <w:rPr>
              <w:rFonts w:ascii="MS Gothic" w:eastAsia="MS Gothic" w:hAnsi="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BE612C" w:rsidP="00736AEC">
      <w:pPr>
        <w:rPr>
          <w:b/>
        </w:rPr>
      </w:pPr>
      <w:r>
        <w:rPr>
          <w:b/>
        </w:rPr>
        <w:t>(Please also see section 1.5 for USPSTF recommendation and evidence)</w:t>
      </w: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9B0BEC" w:rsidP="00307FA5">
      <w:pPr>
        <w:ind w:left="0" w:firstLine="0"/>
        <w:rPr>
          <w:rFonts w:cs="Arial"/>
          <w:sz w:val="20"/>
          <w:szCs w:val="20"/>
        </w:rPr>
      </w:pPr>
      <w:hyperlink r:id="rId19" w:history="1">
        <w:r w:rsidR="00991C2E" w:rsidRPr="00DA6B83">
          <w:rPr>
            <w:rStyle w:val="Hyperlink"/>
            <w:rFonts w:cs="Arial"/>
            <w:sz w:val="20"/>
            <w:szCs w:val="20"/>
          </w:rPr>
          <w:t>Universal Screening for Hearing Loss in Newborns: US Preventive Service Task</w:t>
        </w:r>
        <w:r w:rsidR="00DA6B83" w:rsidRPr="00DA6B83">
          <w:rPr>
            <w:rStyle w:val="Hyperlink"/>
            <w:rFonts w:cs="Arial"/>
            <w:sz w:val="20"/>
            <w:szCs w:val="20"/>
          </w:rPr>
          <w:t xml:space="preserve"> Force Recommendation Statement, July </w:t>
        </w:r>
        <w:r w:rsidR="00991C2E" w:rsidRPr="00DA6B83">
          <w:rPr>
            <w:rStyle w:val="Hyperlink"/>
            <w:rFonts w:cs="Arial"/>
            <w:sz w:val="20"/>
            <w:szCs w:val="20"/>
          </w:rPr>
          <w:t>2008</w:t>
        </w:r>
      </w:hyperlink>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Default="009B0BEC" w:rsidP="00307FA5">
      <w:pPr>
        <w:ind w:left="0" w:firstLine="0"/>
      </w:pPr>
      <w:hyperlink r:id="rId20" w:tooltip="Pediatrics." w:history="1">
        <w:proofErr w:type="gramStart"/>
        <w:r w:rsidR="00DA6B83">
          <w:rPr>
            <w:rStyle w:val="Hyperlink"/>
          </w:rPr>
          <w:t>Pediatrics.</w:t>
        </w:r>
        <w:proofErr w:type="gramEnd"/>
      </w:hyperlink>
      <w:r w:rsidR="00DA6B83">
        <w:t xml:space="preserve"> 2008 Jul</w:t>
      </w:r>
      <w:proofErr w:type="gramStart"/>
      <w:r w:rsidR="00DA6B83">
        <w:t>;122</w:t>
      </w:r>
      <w:proofErr w:type="gramEnd"/>
      <w:r w:rsidR="00DA6B83">
        <w:t xml:space="preserve">(1):143-8. </w:t>
      </w:r>
      <w:proofErr w:type="spellStart"/>
      <w:proofErr w:type="gramStart"/>
      <w:r w:rsidR="00DA6B83">
        <w:t>doi</w:t>
      </w:r>
      <w:proofErr w:type="spellEnd"/>
      <w:proofErr w:type="gramEnd"/>
      <w:r w:rsidR="00DA6B83">
        <w:t>: 10.1542/peds.2007-2210</w:t>
      </w:r>
    </w:p>
    <w:p w:rsidR="00DA6B83" w:rsidRDefault="00DA6B83" w:rsidP="00307FA5">
      <w:pPr>
        <w:ind w:left="0" w:firstLine="0"/>
      </w:pPr>
    </w:p>
    <w:p w:rsidR="00DA6B83" w:rsidRDefault="003411C5" w:rsidP="00307FA5">
      <w:pPr>
        <w:ind w:left="0" w:firstLine="0"/>
      </w:pPr>
      <w:r>
        <w:t xml:space="preserve">Timing of screening: </w:t>
      </w:r>
      <w:r w:rsidR="00DA6B83">
        <w:t xml:space="preserve">“Infants who do not pass the newborn screening should undergo </w:t>
      </w:r>
      <w:proofErr w:type="spellStart"/>
      <w:r w:rsidR="00DA6B83">
        <w:t>audiologic</w:t>
      </w:r>
      <w:proofErr w:type="spellEnd"/>
      <w:r w:rsidR="00DA6B83">
        <w:t xml:space="preserve"> and medical evaluation before 3 </w:t>
      </w:r>
      <w:proofErr w:type="spellStart"/>
      <w:proofErr w:type="gramStart"/>
      <w:r w:rsidR="00DA6B83">
        <w:t>mo</w:t>
      </w:r>
      <w:proofErr w:type="spellEnd"/>
      <w:proofErr w:type="gramEnd"/>
      <w:r w:rsidR="00DA6B83">
        <w:t xml:space="preserve"> of age”.</w:t>
      </w:r>
    </w:p>
    <w:p w:rsidR="00DA6B83" w:rsidRPr="003B1CC5" w:rsidRDefault="00DA6B83"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Default="008A45F3" w:rsidP="00307FA5">
      <w:pPr>
        <w:ind w:left="0" w:firstLine="0"/>
      </w:pPr>
    </w:p>
    <w:p w:rsidR="00904D68" w:rsidRDefault="00904D68" w:rsidP="00307FA5">
      <w:pPr>
        <w:ind w:left="0" w:firstLine="0"/>
      </w:pPr>
      <w:r>
        <w:t>Grade B: The USPSTF recommends the service. There is high certainty that the net benefit is moderate or there is moderate certainty that the net benefit is moderate to substantial.</w:t>
      </w:r>
    </w:p>
    <w:p w:rsidR="00904D68" w:rsidRDefault="00904D68" w:rsidP="00307FA5">
      <w:pPr>
        <w:ind w:left="0" w:firstLine="0"/>
      </w:pPr>
    </w:p>
    <w:p w:rsidR="003411C5" w:rsidRDefault="003411C5" w:rsidP="00307FA5">
      <w:pPr>
        <w:ind w:left="0" w:firstLine="0"/>
      </w:pPr>
      <w:r>
        <w:t>Suggestions for practice: Offer/provide this service</w:t>
      </w:r>
    </w:p>
    <w:p w:rsidR="003411C5" w:rsidRPr="003B1CC5" w:rsidRDefault="003411C5" w:rsidP="00307FA5">
      <w:pPr>
        <w:ind w:left="0" w:firstLine="0"/>
      </w:pPr>
    </w:p>
    <w:p w:rsidR="00307FA5" w:rsidRPr="003B1CC5" w:rsidRDefault="008A45F3" w:rsidP="00307FA5">
      <w:pPr>
        <w:ind w:left="0" w:firstLine="0"/>
      </w:pPr>
      <w:r w:rsidRPr="003B1CC5">
        <w:rPr>
          <w:b/>
          <w:color w:val="0000FF"/>
        </w:rPr>
        <w:lastRenderedPageBreak/>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tbl>
      <w:tblPr>
        <w:tblStyle w:val="TableGrid"/>
        <w:tblW w:w="0" w:type="auto"/>
        <w:tblLook w:val="04A0" w:firstRow="1" w:lastRow="0" w:firstColumn="1" w:lastColumn="0" w:noHBand="0" w:noVBand="1"/>
      </w:tblPr>
      <w:tblGrid>
        <w:gridCol w:w="3192"/>
        <w:gridCol w:w="3192"/>
        <w:gridCol w:w="3192"/>
      </w:tblGrid>
      <w:tr w:rsidR="00855C10" w:rsidTr="00855C10">
        <w:tc>
          <w:tcPr>
            <w:tcW w:w="3192" w:type="dxa"/>
          </w:tcPr>
          <w:p w:rsidR="00855C10" w:rsidRDefault="00855C10" w:rsidP="00307FA5">
            <w:pPr>
              <w:ind w:left="0" w:firstLine="0"/>
              <w:rPr>
                <w:b/>
                <w:color w:val="0000FF"/>
              </w:rPr>
            </w:pPr>
            <w:r>
              <w:rPr>
                <w:b/>
                <w:color w:val="0000FF"/>
              </w:rPr>
              <w:t>Grade</w:t>
            </w:r>
          </w:p>
        </w:tc>
        <w:tc>
          <w:tcPr>
            <w:tcW w:w="3192" w:type="dxa"/>
          </w:tcPr>
          <w:p w:rsidR="00855C10" w:rsidRDefault="00855C10" w:rsidP="00307FA5">
            <w:pPr>
              <w:ind w:left="0" w:firstLine="0"/>
              <w:rPr>
                <w:b/>
                <w:color w:val="0000FF"/>
              </w:rPr>
            </w:pPr>
            <w:r>
              <w:rPr>
                <w:b/>
                <w:color w:val="0000FF"/>
              </w:rPr>
              <w:t>Grade Definition</w:t>
            </w:r>
          </w:p>
        </w:tc>
        <w:tc>
          <w:tcPr>
            <w:tcW w:w="3192" w:type="dxa"/>
          </w:tcPr>
          <w:p w:rsidR="00855C10" w:rsidRDefault="00855C10" w:rsidP="00307FA5">
            <w:pPr>
              <w:ind w:left="0" w:firstLine="0"/>
              <w:rPr>
                <w:b/>
                <w:color w:val="0000FF"/>
              </w:rPr>
            </w:pPr>
            <w:r>
              <w:rPr>
                <w:b/>
                <w:color w:val="0000FF"/>
              </w:rPr>
              <w:t>Suggestions for Practice</w:t>
            </w:r>
          </w:p>
        </w:tc>
      </w:tr>
      <w:tr w:rsidR="00855C10" w:rsidTr="00855C10">
        <w:tc>
          <w:tcPr>
            <w:tcW w:w="3192" w:type="dxa"/>
          </w:tcPr>
          <w:p w:rsidR="00855C10" w:rsidRPr="00855C10" w:rsidRDefault="00855C10" w:rsidP="00307FA5">
            <w:pPr>
              <w:ind w:left="0" w:firstLine="0"/>
            </w:pPr>
            <w:r w:rsidRPr="00855C10">
              <w:t>A</w:t>
            </w:r>
          </w:p>
        </w:tc>
        <w:tc>
          <w:tcPr>
            <w:tcW w:w="3192" w:type="dxa"/>
          </w:tcPr>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recommends the service. There is high certainty that the net</w:t>
            </w:r>
          </w:p>
          <w:p w:rsidR="00855C10" w:rsidRDefault="00855C10" w:rsidP="00855C10">
            <w:pPr>
              <w:ind w:left="0" w:firstLine="0"/>
              <w:rPr>
                <w:b/>
                <w:color w:val="0000FF"/>
              </w:rPr>
            </w:pPr>
            <w:r>
              <w:rPr>
                <w:rFonts w:ascii="MyriadPro-LightSemiCn" w:hAnsi="MyriadPro-LightSemiCn" w:cs="MyriadPro-LightSemiCn"/>
                <w:sz w:val="16"/>
                <w:szCs w:val="16"/>
              </w:rPr>
              <w:t>benefit is substantial</w:t>
            </w:r>
          </w:p>
        </w:tc>
        <w:tc>
          <w:tcPr>
            <w:tcW w:w="3192" w:type="dxa"/>
          </w:tcPr>
          <w:p w:rsidR="00855C10" w:rsidRDefault="00AF1323" w:rsidP="00307FA5">
            <w:pPr>
              <w:ind w:left="0" w:firstLine="0"/>
              <w:rPr>
                <w:b/>
                <w:color w:val="0000FF"/>
              </w:rPr>
            </w:pPr>
            <w:r>
              <w:rPr>
                <w:rFonts w:ascii="MyriadPro-LightSemiCn" w:hAnsi="MyriadPro-LightSemiCn" w:cs="MyriadPro-LightSemiCn"/>
                <w:sz w:val="16"/>
                <w:szCs w:val="16"/>
              </w:rPr>
              <w:t>Offer/provide this service.</w:t>
            </w:r>
          </w:p>
        </w:tc>
      </w:tr>
      <w:tr w:rsidR="00855C10" w:rsidTr="00855C10">
        <w:tc>
          <w:tcPr>
            <w:tcW w:w="3192" w:type="dxa"/>
          </w:tcPr>
          <w:p w:rsidR="00855C10" w:rsidRPr="00855C10" w:rsidRDefault="00855C10" w:rsidP="00307FA5">
            <w:pPr>
              <w:ind w:left="0" w:firstLine="0"/>
            </w:pPr>
            <w:r w:rsidRPr="00855C10">
              <w:t>B</w:t>
            </w:r>
          </w:p>
        </w:tc>
        <w:tc>
          <w:tcPr>
            <w:tcW w:w="3192" w:type="dxa"/>
          </w:tcPr>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recommends the service. There is high certainty that the net</w:t>
            </w:r>
          </w:p>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benefit is moderate or there is moderate certainty that the net benefit is</w:t>
            </w:r>
          </w:p>
          <w:p w:rsidR="00855C10" w:rsidRDefault="00855C10" w:rsidP="00855C10">
            <w:pPr>
              <w:ind w:left="0" w:firstLine="0"/>
              <w:rPr>
                <w:b/>
                <w:color w:val="0000FF"/>
              </w:rPr>
            </w:pPr>
            <w:proofErr w:type="gramStart"/>
            <w:r>
              <w:rPr>
                <w:rFonts w:ascii="MyriadPro-LightSemiCn" w:hAnsi="MyriadPro-LightSemiCn" w:cs="MyriadPro-LightSemiCn"/>
                <w:sz w:val="16"/>
                <w:szCs w:val="16"/>
              </w:rPr>
              <w:t>moderate</w:t>
            </w:r>
            <w:proofErr w:type="gramEnd"/>
            <w:r>
              <w:rPr>
                <w:rFonts w:ascii="MyriadPro-LightSemiCn" w:hAnsi="MyriadPro-LightSemiCn" w:cs="MyriadPro-LightSemiCn"/>
                <w:sz w:val="16"/>
                <w:szCs w:val="16"/>
              </w:rPr>
              <w:t xml:space="preserve"> to substantial.</w:t>
            </w:r>
          </w:p>
        </w:tc>
        <w:tc>
          <w:tcPr>
            <w:tcW w:w="3192" w:type="dxa"/>
          </w:tcPr>
          <w:p w:rsidR="00855C10" w:rsidRDefault="00AF1323" w:rsidP="00307FA5">
            <w:pPr>
              <w:ind w:left="0" w:firstLine="0"/>
              <w:rPr>
                <w:b/>
                <w:color w:val="0000FF"/>
              </w:rPr>
            </w:pPr>
            <w:r>
              <w:rPr>
                <w:rFonts w:ascii="MyriadPro-LightSemiCn" w:hAnsi="MyriadPro-LightSemiCn" w:cs="MyriadPro-LightSemiCn"/>
                <w:sz w:val="16"/>
                <w:szCs w:val="16"/>
              </w:rPr>
              <w:t>Offer/provide this service.</w:t>
            </w:r>
          </w:p>
        </w:tc>
      </w:tr>
      <w:tr w:rsidR="00855C10" w:rsidTr="00855C10">
        <w:tc>
          <w:tcPr>
            <w:tcW w:w="3192" w:type="dxa"/>
          </w:tcPr>
          <w:p w:rsidR="00855C10" w:rsidRPr="00855C10" w:rsidRDefault="00855C10" w:rsidP="00307FA5">
            <w:pPr>
              <w:ind w:left="0" w:firstLine="0"/>
            </w:pPr>
            <w:r w:rsidRPr="00855C10">
              <w:t>C</w:t>
            </w:r>
          </w:p>
        </w:tc>
        <w:tc>
          <w:tcPr>
            <w:tcW w:w="3192" w:type="dxa"/>
          </w:tcPr>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recommends against routinely providing the service. There</w:t>
            </w:r>
          </w:p>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may be considerations that support providing the service in an</w:t>
            </w:r>
          </w:p>
          <w:p w:rsidR="00855C10" w:rsidRDefault="00855C10" w:rsidP="00855C10">
            <w:pPr>
              <w:autoSpaceDE w:val="0"/>
              <w:autoSpaceDN w:val="0"/>
              <w:adjustRightInd w:val="0"/>
              <w:ind w:left="0" w:firstLine="0"/>
              <w:rPr>
                <w:rFonts w:ascii="MyriadPro-LightSemiCn" w:hAnsi="MyriadPro-LightSemiCn" w:cs="MyriadPro-LightSemiCn"/>
                <w:sz w:val="16"/>
                <w:szCs w:val="16"/>
              </w:rPr>
            </w:pPr>
            <w:proofErr w:type="gramStart"/>
            <w:r>
              <w:rPr>
                <w:rFonts w:ascii="MyriadPro-LightSemiCn" w:hAnsi="MyriadPro-LightSemiCn" w:cs="MyriadPro-LightSemiCn"/>
                <w:sz w:val="16"/>
                <w:szCs w:val="16"/>
              </w:rPr>
              <w:t>individual</w:t>
            </w:r>
            <w:proofErr w:type="gramEnd"/>
            <w:r>
              <w:rPr>
                <w:rFonts w:ascii="MyriadPro-LightSemiCn" w:hAnsi="MyriadPro-LightSemiCn" w:cs="MyriadPro-LightSemiCn"/>
                <w:sz w:val="16"/>
                <w:szCs w:val="16"/>
              </w:rPr>
              <w:t xml:space="preserve"> patient. There is moderate or high certainty that the net</w:t>
            </w:r>
          </w:p>
          <w:p w:rsidR="00855C10" w:rsidRDefault="00855C10" w:rsidP="00855C10">
            <w:pPr>
              <w:ind w:left="0" w:firstLine="0"/>
              <w:rPr>
                <w:b/>
                <w:color w:val="0000FF"/>
              </w:rPr>
            </w:pPr>
            <w:proofErr w:type="gramStart"/>
            <w:r>
              <w:rPr>
                <w:rFonts w:ascii="MyriadPro-LightSemiCn" w:hAnsi="MyriadPro-LightSemiCn" w:cs="MyriadPro-LightSemiCn"/>
                <w:sz w:val="16"/>
                <w:szCs w:val="16"/>
              </w:rPr>
              <w:t>benefit</w:t>
            </w:r>
            <w:proofErr w:type="gramEnd"/>
            <w:r>
              <w:rPr>
                <w:rFonts w:ascii="MyriadPro-LightSemiCn" w:hAnsi="MyriadPro-LightSemiCn" w:cs="MyriadPro-LightSemiCn"/>
                <w:sz w:val="16"/>
                <w:szCs w:val="16"/>
              </w:rPr>
              <w:t xml:space="preserve"> is small.</w:t>
            </w:r>
          </w:p>
        </w:tc>
        <w:tc>
          <w:tcPr>
            <w:tcW w:w="3192" w:type="dxa"/>
          </w:tcPr>
          <w:p w:rsidR="00AF1323" w:rsidRDefault="00AF1323" w:rsidP="00AF1323">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Offer/provide this service only if there are other considerations</w:t>
            </w:r>
          </w:p>
          <w:p w:rsidR="00AF1323" w:rsidRDefault="00AF1323" w:rsidP="00AF1323">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in support of the offering/providing the service in an</w:t>
            </w:r>
          </w:p>
          <w:p w:rsidR="00855C10" w:rsidRDefault="00AF1323" w:rsidP="00AF1323">
            <w:pPr>
              <w:ind w:left="0" w:firstLine="0"/>
              <w:rPr>
                <w:b/>
                <w:color w:val="0000FF"/>
              </w:rPr>
            </w:pPr>
            <w:proofErr w:type="gramStart"/>
            <w:r>
              <w:rPr>
                <w:rFonts w:ascii="MyriadPro-LightSemiCn" w:hAnsi="MyriadPro-LightSemiCn" w:cs="MyriadPro-LightSemiCn"/>
                <w:sz w:val="16"/>
                <w:szCs w:val="16"/>
              </w:rPr>
              <w:t>individual</w:t>
            </w:r>
            <w:proofErr w:type="gramEnd"/>
            <w:r>
              <w:rPr>
                <w:rFonts w:ascii="MyriadPro-LightSemiCn" w:hAnsi="MyriadPro-LightSemiCn" w:cs="MyriadPro-LightSemiCn"/>
                <w:sz w:val="16"/>
                <w:szCs w:val="16"/>
              </w:rPr>
              <w:t xml:space="preserve"> patient.</w:t>
            </w:r>
          </w:p>
        </w:tc>
      </w:tr>
      <w:tr w:rsidR="00855C10" w:rsidTr="00855C10">
        <w:tc>
          <w:tcPr>
            <w:tcW w:w="3192" w:type="dxa"/>
          </w:tcPr>
          <w:p w:rsidR="00855C10" w:rsidRPr="00855C10" w:rsidRDefault="00855C10" w:rsidP="00307FA5">
            <w:pPr>
              <w:ind w:left="0" w:firstLine="0"/>
            </w:pPr>
            <w:r w:rsidRPr="00855C10">
              <w:t>D</w:t>
            </w:r>
          </w:p>
        </w:tc>
        <w:tc>
          <w:tcPr>
            <w:tcW w:w="3192" w:type="dxa"/>
          </w:tcPr>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recommends against the service. There is moderate or high</w:t>
            </w:r>
          </w:p>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certainty that the service has no net benefit or that the harms outweigh</w:t>
            </w:r>
          </w:p>
          <w:p w:rsidR="00855C10" w:rsidRDefault="00855C10" w:rsidP="00855C10">
            <w:pPr>
              <w:ind w:left="0" w:firstLine="0"/>
              <w:rPr>
                <w:b/>
                <w:color w:val="0000FF"/>
              </w:rPr>
            </w:pPr>
            <w:proofErr w:type="gramStart"/>
            <w:r>
              <w:rPr>
                <w:rFonts w:ascii="MyriadPro-LightSemiCn" w:hAnsi="MyriadPro-LightSemiCn" w:cs="MyriadPro-LightSemiCn"/>
                <w:sz w:val="16"/>
                <w:szCs w:val="16"/>
              </w:rPr>
              <w:t>the</w:t>
            </w:r>
            <w:proofErr w:type="gramEnd"/>
            <w:r>
              <w:rPr>
                <w:rFonts w:ascii="MyriadPro-LightSemiCn" w:hAnsi="MyriadPro-LightSemiCn" w:cs="MyriadPro-LightSemiCn"/>
                <w:sz w:val="16"/>
                <w:szCs w:val="16"/>
              </w:rPr>
              <w:t xml:space="preserve"> benefits.</w:t>
            </w:r>
          </w:p>
        </w:tc>
        <w:tc>
          <w:tcPr>
            <w:tcW w:w="3192" w:type="dxa"/>
          </w:tcPr>
          <w:p w:rsidR="00855C10" w:rsidRDefault="00AF1323" w:rsidP="00307FA5">
            <w:pPr>
              <w:ind w:left="0" w:firstLine="0"/>
              <w:rPr>
                <w:b/>
                <w:color w:val="0000FF"/>
              </w:rPr>
            </w:pPr>
            <w:r>
              <w:rPr>
                <w:rFonts w:ascii="MyriadPro-LightSemiCn" w:hAnsi="MyriadPro-LightSemiCn" w:cs="MyriadPro-LightSemiCn"/>
                <w:sz w:val="16"/>
                <w:szCs w:val="16"/>
              </w:rPr>
              <w:t>Discourage the use of this service.</w:t>
            </w:r>
          </w:p>
        </w:tc>
      </w:tr>
      <w:tr w:rsidR="00855C10" w:rsidTr="00855C10">
        <w:tc>
          <w:tcPr>
            <w:tcW w:w="3192" w:type="dxa"/>
          </w:tcPr>
          <w:p w:rsidR="00855C10" w:rsidRPr="00855C10" w:rsidRDefault="00855C10" w:rsidP="00307FA5">
            <w:pPr>
              <w:ind w:left="0" w:firstLine="0"/>
            </w:pPr>
            <w:r w:rsidRPr="00855C10">
              <w:t>I statement</w:t>
            </w:r>
          </w:p>
        </w:tc>
        <w:tc>
          <w:tcPr>
            <w:tcW w:w="3192" w:type="dxa"/>
          </w:tcPr>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concludes that the current evidence is insufficient to assess the</w:t>
            </w:r>
          </w:p>
          <w:p w:rsidR="00855C10" w:rsidRDefault="00855C10" w:rsidP="00855C10">
            <w:pPr>
              <w:autoSpaceDE w:val="0"/>
              <w:autoSpaceDN w:val="0"/>
              <w:adjustRightInd w:val="0"/>
              <w:ind w:left="0" w:firstLine="0"/>
              <w:rPr>
                <w:rFonts w:ascii="MyriadPro-LightSemiCn" w:hAnsi="MyriadPro-LightSemiCn" w:cs="MyriadPro-LightSemiCn"/>
                <w:sz w:val="16"/>
                <w:szCs w:val="16"/>
              </w:rPr>
            </w:pPr>
            <w:proofErr w:type="gramStart"/>
            <w:r>
              <w:rPr>
                <w:rFonts w:ascii="MyriadPro-LightSemiCn" w:hAnsi="MyriadPro-LightSemiCn" w:cs="MyriadPro-LightSemiCn"/>
                <w:sz w:val="16"/>
                <w:szCs w:val="16"/>
              </w:rPr>
              <w:t>balance</w:t>
            </w:r>
            <w:proofErr w:type="gramEnd"/>
            <w:r>
              <w:rPr>
                <w:rFonts w:ascii="MyriadPro-LightSemiCn" w:hAnsi="MyriadPro-LightSemiCn" w:cs="MyriadPro-LightSemiCn"/>
                <w:sz w:val="16"/>
                <w:szCs w:val="16"/>
              </w:rPr>
              <w:t xml:space="preserve"> of benefits and harms of the service. Evidence is lacking, of poor</w:t>
            </w:r>
          </w:p>
          <w:p w:rsidR="00855C10" w:rsidRDefault="00855C10" w:rsidP="00855C10">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quality, or conflicting, and the balance of benefits and harms cannot be</w:t>
            </w:r>
          </w:p>
          <w:p w:rsidR="00855C10" w:rsidRDefault="00855C10" w:rsidP="00855C10">
            <w:pPr>
              <w:ind w:left="0" w:firstLine="0"/>
              <w:rPr>
                <w:b/>
                <w:color w:val="0000FF"/>
              </w:rPr>
            </w:pPr>
            <w:proofErr w:type="gramStart"/>
            <w:r>
              <w:rPr>
                <w:rFonts w:ascii="MyriadPro-LightSemiCn" w:hAnsi="MyriadPro-LightSemiCn" w:cs="MyriadPro-LightSemiCn"/>
                <w:sz w:val="16"/>
                <w:szCs w:val="16"/>
              </w:rPr>
              <w:t>determined</w:t>
            </w:r>
            <w:proofErr w:type="gramEnd"/>
            <w:r>
              <w:rPr>
                <w:rFonts w:ascii="MyriadPro-LightSemiCn" w:hAnsi="MyriadPro-LightSemiCn" w:cs="MyriadPro-LightSemiCn"/>
                <w:sz w:val="16"/>
                <w:szCs w:val="16"/>
              </w:rPr>
              <w:t>.</w:t>
            </w:r>
          </w:p>
        </w:tc>
        <w:tc>
          <w:tcPr>
            <w:tcW w:w="3192" w:type="dxa"/>
          </w:tcPr>
          <w:p w:rsidR="00AF1323" w:rsidRDefault="00AF1323" w:rsidP="00AF1323">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Read “Clinical Considerations” in the USPSTF Recommendation</w:t>
            </w:r>
          </w:p>
          <w:p w:rsidR="00AF1323" w:rsidRDefault="00AF1323" w:rsidP="00AF1323">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Statement. If offered, patients should understand the</w:t>
            </w:r>
          </w:p>
          <w:p w:rsidR="00855C10" w:rsidRDefault="00AF1323" w:rsidP="00AF1323">
            <w:pPr>
              <w:ind w:left="0" w:firstLine="0"/>
              <w:rPr>
                <w:b/>
                <w:color w:val="0000FF"/>
              </w:rPr>
            </w:pPr>
            <w:proofErr w:type="gramStart"/>
            <w:r>
              <w:rPr>
                <w:rFonts w:ascii="MyriadPro-LightSemiCn" w:hAnsi="MyriadPro-LightSemiCn" w:cs="MyriadPro-LightSemiCn"/>
                <w:sz w:val="16"/>
                <w:szCs w:val="16"/>
              </w:rPr>
              <w:t>uncertainty</w:t>
            </w:r>
            <w:proofErr w:type="gramEnd"/>
            <w:r>
              <w:rPr>
                <w:rFonts w:ascii="MyriadPro-LightSemiCn" w:hAnsi="MyriadPro-LightSemiCn" w:cs="MyriadPro-LightSemiCn"/>
                <w:sz w:val="16"/>
                <w:szCs w:val="16"/>
              </w:rPr>
              <w:t xml:space="preserve"> about the balance of benefits and harms.</w:t>
            </w:r>
          </w:p>
        </w:tc>
      </w:tr>
    </w:tbl>
    <w:p w:rsidR="00307FA5" w:rsidRDefault="00307FA5" w:rsidP="00307FA5">
      <w:pPr>
        <w:ind w:left="0" w:firstLine="0"/>
        <w:rPr>
          <w:b/>
          <w:color w:val="0000FF"/>
        </w:rPr>
      </w:pPr>
    </w:p>
    <w:p w:rsidR="00855C10" w:rsidRDefault="00855C10" w:rsidP="00307FA5">
      <w:pPr>
        <w:ind w:left="432" w:hanging="432"/>
        <w:rPr>
          <w:b/>
          <w:color w:val="0000FF"/>
        </w:rPr>
      </w:pPr>
    </w:p>
    <w:p w:rsidR="00855C10" w:rsidRDefault="00855C10" w:rsidP="00307FA5">
      <w:pPr>
        <w:ind w:left="432" w:hanging="432"/>
        <w:rPr>
          <w:b/>
          <w:color w:val="0000FF"/>
        </w:rPr>
      </w:pPr>
    </w:p>
    <w:p w:rsidR="00855C10" w:rsidRDefault="00855C10" w:rsidP="00307FA5">
      <w:pPr>
        <w:ind w:left="432" w:hanging="432"/>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9B0BEC" w:rsidRPr="003B1CC5" w:rsidRDefault="009B0BEC" w:rsidP="009B0BEC">
      <w:pPr>
        <w:tabs>
          <w:tab w:val="left" w:pos="7350"/>
        </w:tabs>
        <w:ind w:left="0" w:firstLine="0"/>
      </w:pPr>
      <w:r>
        <w:tab/>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E95C04" w:rsidRDefault="00E95C04" w:rsidP="00EE5AF6">
      <w:pPr>
        <w:ind w:left="0" w:firstLine="0"/>
      </w:pPr>
    </w:p>
    <w:p w:rsidR="00E95C04" w:rsidRPr="003B1CC5" w:rsidRDefault="00951817" w:rsidP="00EE5AF6">
      <w:pPr>
        <w:ind w:left="0" w:firstLine="0"/>
      </w:pPr>
      <w:proofErr w:type="spellStart"/>
      <w:r>
        <w:lastRenderedPageBreak/>
        <w:t>Audiologic</w:t>
      </w:r>
      <w:proofErr w:type="spellEnd"/>
      <w:r>
        <w:t xml:space="preserve"> diagnostic evaluation </w:t>
      </w:r>
      <w:proofErr w:type="gramStart"/>
      <w:r>
        <w:t>service,</w:t>
      </w:r>
      <w:proofErr w:type="gramEnd"/>
      <w:r>
        <w:t xml:space="preserve"> and linguistic and developmental outcome</w:t>
      </w:r>
      <w:r w:rsidR="004C10E9">
        <w:t>s</w:t>
      </w:r>
      <w:r>
        <w:t xml:space="preserve"> of infants who are deaf or hard of hearing</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C1581D" w:rsidRDefault="00C1581D" w:rsidP="00C1581D">
      <w:pPr>
        <w:ind w:left="0" w:firstLine="0"/>
      </w:pPr>
      <w:r>
        <w:t>Grade B: The USPSTF recommends the service. There is high certainty that the net benefit is moderate or there is moderate certainty that the net benefit is moderate to substantial.</w:t>
      </w:r>
    </w:p>
    <w:p w:rsidR="00C1581D" w:rsidRDefault="00C1581D" w:rsidP="00C1581D">
      <w:pPr>
        <w:ind w:left="0" w:firstLine="0"/>
      </w:pPr>
    </w:p>
    <w:p w:rsidR="00C1581D" w:rsidRDefault="00C1581D" w:rsidP="00C1581D">
      <w:pPr>
        <w:ind w:left="0" w:firstLine="0"/>
      </w:pPr>
      <w:r>
        <w:t>Suggestions for practice: Offer/provide this service</w:t>
      </w:r>
    </w:p>
    <w:p w:rsidR="00C1581D" w:rsidRPr="003B1CC5" w:rsidRDefault="00C1581D" w:rsidP="00C1581D">
      <w:pPr>
        <w:ind w:left="0" w:firstLine="0"/>
      </w:pP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tbl>
      <w:tblPr>
        <w:tblStyle w:val="TableGrid"/>
        <w:tblW w:w="0" w:type="auto"/>
        <w:tblLook w:val="04A0" w:firstRow="1" w:lastRow="0" w:firstColumn="1" w:lastColumn="0" w:noHBand="0" w:noVBand="1"/>
      </w:tblPr>
      <w:tblGrid>
        <w:gridCol w:w="3192"/>
        <w:gridCol w:w="3192"/>
        <w:gridCol w:w="3192"/>
      </w:tblGrid>
      <w:tr w:rsidR="00C1581D" w:rsidTr="008F4DDF">
        <w:tc>
          <w:tcPr>
            <w:tcW w:w="3192" w:type="dxa"/>
          </w:tcPr>
          <w:p w:rsidR="00C1581D" w:rsidRDefault="00C1581D" w:rsidP="008F4DDF">
            <w:pPr>
              <w:ind w:left="0" w:firstLine="0"/>
              <w:rPr>
                <w:b/>
                <w:color w:val="0000FF"/>
              </w:rPr>
            </w:pPr>
            <w:r>
              <w:rPr>
                <w:b/>
                <w:color w:val="0000FF"/>
              </w:rPr>
              <w:t>Grade</w:t>
            </w:r>
          </w:p>
        </w:tc>
        <w:tc>
          <w:tcPr>
            <w:tcW w:w="3192" w:type="dxa"/>
          </w:tcPr>
          <w:p w:rsidR="00C1581D" w:rsidRDefault="00C1581D" w:rsidP="008F4DDF">
            <w:pPr>
              <w:ind w:left="0" w:firstLine="0"/>
              <w:rPr>
                <w:b/>
                <w:color w:val="0000FF"/>
              </w:rPr>
            </w:pPr>
            <w:r>
              <w:rPr>
                <w:b/>
                <w:color w:val="0000FF"/>
              </w:rPr>
              <w:t>Grade Definition</w:t>
            </w:r>
          </w:p>
        </w:tc>
        <w:tc>
          <w:tcPr>
            <w:tcW w:w="3192" w:type="dxa"/>
          </w:tcPr>
          <w:p w:rsidR="00C1581D" w:rsidRDefault="00C1581D" w:rsidP="008F4DDF">
            <w:pPr>
              <w:ind w:left="0" w:firstLine="0"/>
              <w:rPr>
                <w:b/>
                <w:color w:val="0000FF"/>
              </w:rPr>
            </w:pPr>
            <w:r>
              <w:rPr>
                <w:b/>
                <w:color w:val="0000FF"/>
              </w:rPr>
              <w:t>Suggestions for Practice</w:t>
            </w:r>
          </w:p>
        </w:tc>
      </w:tr>
      <w:tr w:rsidR="00C1581D" w:rsidTr="008F4DDF">
        <w:tc>
          <w:tcPr>
            <w:tcW w:w="3192" w:type="dxa"/>
          </w:tcPr>
          <w:p w:rsidR="00C1581D" w:rsidRPr="00855C10" w:rsidRDefault="00C1581D" w:rsidP="008F4DDF">
            <w:pPr>
              <w:ind w:left="0" w:firstLine="0"/>
            </w:pPr>
            <w:r w:rsidRPr="00855C10">
              <w:t>A</w:t>
            </w:r>
          </w:p>
        </w:tc>
        <w:tc>
          <w:tcPr>
            <w:tcW w:w="3192" w:type="dxa"/>
          </w:tcPr>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recommends the service. There is high certainty that the net</w:t>
            </w:r>
          </w:p>
          <w:p w:rsidR="00C1581D" w:rsidRDefault="00C1581D" w:rsidP="008F4DDF">
            <w:pPr>
              <w:ind w:left="0" w:firstLine="0"/>
              <w:rPr>
                <w:b/>
                <w:color w:val="0000FF"/>
              </w:rPr>
            </w:pPr>
            <w:r>
              <w:rPr>
                <w:rFonts w:ascii="MyriadPro-LightSemiCn" w:hAnsi="MyriadPro-LightSemiCn" w:cs="MyriadPro-LightSemiCn"/>
                <w:sz w:val="16"/>
                <w:szCs w:val="16"/>
              </w:rPr>
              <w:t>benefit is substantial</w:t>
            </w:r>
          </w:p>
        </w:tc>
        <w:tc>
          <w:tcPr>
            <w:tcW w:w="3192" w:type="dxa"/>
          </w:tcPr>
          <w:p w:rsidR="00C1581D" w:rsidRDefault="00C1581D" w:rsidP="008F4DDF">
            <w:pPr>
              <w:ind w:left="0" w:firstLine="0"/>
              <w:rPr>
                <w:b/>
                <w:color w:val="0000FF"/>
              </w:rPr>
            </w:pPr>
            <w:r>
              <w:rPr>
                <w:rFonts w:ascii="MyriadPro-LightSemiCn" w:hAnsi="MyriadPro-LightSemiCn" w:cs="MyriadPro-LightSemiCn"/>
                <w:sz w:val="16"/>
                <w:szCs w:val="16"/>
              </w:rPr>
              <w:t>Offer/provide this service.</w:t>
            </w:r>
          </w:p>
        </w:tc>
      </w:tr>
      <w:tr w:rsidR="00C1581D" w:rsidTr="008F4DDF">
        <w:tc>
          <w:tcPr>
            <w:tcW w:w="3192" w:type="dxa"/>
          </w:tcPr>
          <w:p w:rsidR="00C1581D" w:rsidRPr="00855C10" w:rsidRDefault="00C1581D" w:rsidP="008F4DDF">
            <w:pPr>
              <w:ind w:left="0" w:firstLine="0"/>
            </w:pPr>
            <w:r w:rsidRPr="00855C10">
              <w:t>B</w:t>
            </w:r>
          </w:p>
        </w:tc>
        <w:tc>
          <w:tcPr>
            <w:tcW w:w="3192" w:type="dxa"/>
          </w:tcPr>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recommends the service. There is high certainty that the net</w:t>
            </w:r>
          </w:p>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benefit is moderate or there is moderate certainty that the net benefit is</w:t>
            </w:r>
          </w:p>
          <w:p w:rsidR="00C1581D" w:rsidRDefault="00C1581D" w:rsidP="008F4DDF">
            <w:pPr>
              <w:ind w:left="0" w:firstLine="0"/>
              <w:rPr>
                <w:b/>
                <w:color w:val="0000FF"/>
              </w:rPr>
            </w:pPr>
            <w:proofErr w:type="gramStart"/>
            <w:r>
              <w:rPr>
                <w:rFonts w:ascii="MyriadPro-LightSemiCn" w:hAnsi="MyriadPro-LightSemiCn" w:cs="MyriadPro-LightSemiCn"/>
                <w:sz w:val="16"/>
                <w:szCs w:val="16"/>
              </w:rPr>
              <w:t>moderate</w:t>
            </w:r>
            <w:proofErr w:type="gramEnd"/>
            <w:r>
              <w:rPr>
                <w:rFonts w:ascii="MyriadPro-LightSemiCn" w:hAnsi="MyriadPro-LightSemiCn" w:cs="MyriadPro-LightSemiCn"/>
                <w:sz w:val="16"/>
                <w:szCs w:val="16"/>
              </w:rPr>
              <w:t xml:space="preserve"> to substantial.</w:t>
            </w:r>
          </w:p>
        </w:tc>
        <w:tc>
          <w:tcPr>
            <w:tcW w:w="3192" w:type="dxa"/>
          </w:tcPr>
          <w:p w:rsidR="00C1581D" w:rsidRDefault="00C1581D" w:rsidP="008F4DDF">
            <w:pPr>
              <w:ind w:left="0" w:firstLine="0"/>
              <w:rPr>
                <w:b/>
                <w:color w:val="0000FF"/>
              </w:rPr>
            </w:pPr>
            <w:r>
              <w:rPr>
                <w:rFonts w:ascii="MyriadPro-LightSemiCn" w:hAnsi="MyriadPro-LightSemiCn" w:cs="MyriadPro-LightSemiCn"/>
                <w:sz w:val="16"/>
                <w:szCs w:val="16"/>
              </w:rPr>
              <w:t>Offer/provide this service.</w:t>
            </w:r>
          </w:p>
        </w:tc>
      </w:tr>
      <w:tr w:rsidR="00C1581D" w:rsidTr="008F4DDF">
        <w:tc>
          <w:tcPr>
            <w:tcW w:w="3192" w:type="dxa"/>
          </w:tcPr>
          <w:p w:rsidR="00C1581D" w:rsidRPr="00855C10" w:rsidRDefault="00C1581D" w:rsidP="008F4DDF">
            <w:pPr>
              <w:ind w:left="0" w:firstLine="0"/>
            </w:pPr>
            <w:r w:rsidRPr="00855C10">
              <w:t>C</w:t>
            </w:r>
          </w:p>
        </w:tc>
        <w:tc>
          <w:tcPr>
            <w:tcW w:w="3192" w:type="dxa"/>
          </w:tcPr>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recommends against routinely providing the service. There</w:t>
            </w:r>
          </w:p>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may be considerations that support providing the service in an</w:t>
            </w:r>
          </w:p>
          <w:p w:rsidR="00C1581D" w:rsidRDefault="00C1581D" w:rsidP="008F4DDF">
            <w:pPr>
              <w:autoSpaceDE w:val="0"/>
              <w:autoSpaceDN w:val="0"/>
              <w:adjustRightInd w:val="0"/>
              <w:ind w:left="0" w:firstLine="0"/>
              <w:rPr>
                <w:rFonts w:ascii="MyriadPro-LightSemiCn" w:hAnsi="MyriadPro-LightSemiCn" w:cs="MyriadPro-LightSemiCn"/>
                <w:sz w:val="16"/>
                <w:szCs w:val="16"/>
              </w:rPr>
            </w:pPr>
            <w:proofErr w:type="gramStart"/>
            <w:r>
              <w:rPr>
                <w:rFonts w:ascii="MyriadPro-LightSemiCn" w:hAnsi="MyriadPro-LightSemiCn" w:cs="MyriadPro-LightSemiCn"/>
                <w:sz w:val="16"/>
                <w:szCs w:val="16"/>
              </w:rPr>
              <w:t>individual</w:t>
            </w:r>
            <w:proofErr w:type="gramEnd"/>
            <w:r>
              <w:rPr>
                <w:rFonts w:ascii="MyriadPro-LightSemiCn" w:hAnsi="MyriadPro-LightSemiCn" w:cs="MyriadPro-LightSemiCn"/>
                <w:sz w:val="16"/>
                <w:szCs w:val="16"/>
              </w:rPr>
              <w:t xml:space="preserve"> patient. There is moderate or high certainty that the net</w:t>
            </w:r>
          </w:p>
          <w:p w:rsidR="00C1581D" w:rsidRDefault="00C1581D" w:rsidP="008F4DDF">
            <w:pPr>
              <w:ind w:left="0" w:firstLine="0"/>
              <w:rPr>
                <w:b/>
                <w:color w:val="0000FF"/>
              </w:rPr>
            </w:pPr>
            <w:proofErr w:type="gramStart"/>
            <w:r>
              <w:rPr>
                <w:rFonts w:ascii="MyriadPro-LightSemiCn" w:hAnsi="MyriadPro-LightSemiCn" w:cs="MyriadPro-LightSemiCn"/>
                <w:sz w:val="16"/>
                <w:szCs w:val="16"/>
              </w:rPr>
              <w:t>benefit</w:t>
            </w:r>
            <w:proofErr w:type="gramEnd"/>
            <w:r>
              <w:rPr>
                <w:rFonts w:ascii="MyriadPro-LightSemiCn" w:hAnsi="MyriadPro-LightSemiCn" w:cs="MyriadPro-LightSemiCn"/>
                <w:sz w:val="16"/>
                <w:szCs w:val="16"/>
              </w:rPr>
              <w:t xml:space="preserve"> is small.</w:t>
            </w:r>
          </w:p>
        </w:tc>
        <w:tc>
          <w:tcPr>
            <w:tcW w:w="3192" w:type="dxa"/>
          </w:tcPr>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Offer/provide this service only if there are other considerations</w:t>
            </w:r>
          </w:p>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in support of the offering/providing the service in an</w:t>
            </w:r>
          </w:p>
          <w:p w:rsidR="00C1581D" w:rsidRDefault="00C1581D" w:rsidP="008F4DDF">
            <w:pPr>
              <w:ind w:left="0" w:firstLine="0"/>
              <w:rPr>
                <w:b/>
                <w:color w:val="0000FF"/>
              </w:rPr>
            </w:pPr>
            <w:proofErr w:type="gramStart"/>
            <w:r>
              <w:rPr>
                <w:rFonts w:ascii="MyriadPro-LightSemiCn" w:hAnsi="MyriadPro-LightSemiCn" w:cs="MyriadPro-LightSemiCn"/>
                <w:sz w:val="16"/>
                <w:szCs w:val="16"/>
              </w:rPr>
              <w:t>individual</w:t>
            </w:r>
            <w:proofErr w:type="gramEnd"/>
            <w:r>
              <w:rPr>
                <w:rFonts w:ascii="MyriadPro-LightSemiCn" w:hAnsi="MyriadPro-LightSemiCn" w:cs="MyriadPro-LightSemiCn"/>
                <w:sz w:val="16"/>
                <w:szCs w:val="16"/>
              </w:rPr>
              <w:t xml:space="preserve"> patient.</w:t>
            </w:r>
          </w:p>
        </w:tc>
      </w:tr>
      <w:tr w:rsidR="00C1581D" w:rsidTr="008F4DDF">
        <w:tc>
          <w:tcPr>
            <w:tcW w:w="3192" w:type="dxa"/>
          </w:tcPr>
          <w:p w:rsidR="00C1581D" w:rsidRPr="00855C10" w:rsidRDefault="00C1581D" w:rsidP="008F4DDF">
            <w:pPr>
              <w:ind w:left="0" w:firstLine="0"/>
            </w:pPr>
            <w:r w:rsidRPr="00855C10">
              <w:t>D</w:t>
            </w:r>
          </w:p>
        </w:tc>
        <w:tc>
          <w:tcPr>
            <w:tcW w:w="3192" w:type="dxa"/>
          </w:tcPr>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recommends against the service. There is moderate or high</w:t>
            </w:r>
          </w:p>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certainty that the service has no net benefit or that the harms outweigh</w:t>
            </w:r>
          </w:p>
          <w:p w:rsidR="00C1581D" w:rsidRDefault="00C1581D" w:rsidP="008F4DDF">
            <w:pPr>
              <w:ind w:left="0" w:firstLine="0"/>
              <w:rPr>
                <w:b/>
                <w:color w:val="0000FF"/>
              </w:rPr>
            </w:pPr>
            <w:proofErr w:type="gramStart"/>
            <w:r>
              <w:rPr>
                <w:rFonts w:ascii="MyriadPro-LightSemiCn" w:hAnsi="MyriadPro-LightSemiCn" w:cs="MyriadPro-LightSemiCn"/>
                <w:sz w:val="16"/>
                <w:szCs w:val="16"/>
              </w:rPr>
              <w:t>the</w:t>
            </w:r>
            <w:proofErr w:type="gramEnd"/>
            <w:r>
              <w:rPr>
                <w:rFonts w:ascii="MyriadPro-LightSemiCn" w:hAnsi="MyriadPro-LightSemiCn" w:cs="MyriadPro-LightSemiCn"/>
                <w:sz w:val="16"/>
                <w:szCs w:val="16"/>
              </w:rPr>
              <w:t xml:space="preserve"> benefits.</w:t>
            </w:r>
          </w:p>
        </w:tc>
        <w:tc>
          <w:tcPr>
            <w:tcW w:w="3192" w:type="dxa"/>
          </w:tcPr>
          <w:p w:rsidR="00C1581D" w:rsidRDefault="00C1581D" w:rsidP="008F4DDF">
            <w:pPr>
              <w:ind w:left="0" w:firstLine="0"/>
              <w:rPr>
                <w:b/>
                <w:color w:val="0000FF"/>
              </w:rPr>
            </w:pPr>
            <w:r>
              <w:rPr>
                <w:rFonts w:ascii="MyriadPro-LightSemiCn" w:hAnsi="MyriadPro-LightSemiCn" w:cs="MyriadPro-LightSemiCn"/>
                <w:sz w:val="16"/>
                <w:szCs w:val="16"/>
              </w:rPr>
              <w:t>Discourage the use of this service.</w:t>
            </w:r>
          </w:p>
        </w:tc>
      </w:tr>
      <w:tr w:rsidR="00C1581D" w:rsidTr="008F4DDF">
        <w:tc>
          <w:tcPr>
            <w:tcW w:w="3192" w:type="dxa"/>
          </w:tcPr>
          <w:p w:rsidR="00C1581D" w:rsidRPr="00855C10" w:rsidRDefault="00C1581D" w:rsidP="008F4DDF">
            <w:pPr>
              <w:ind w:left="0" w:firstLine="0"/>
            </w:pPr>
            <w:r w:rsidRPr="00855C10">
              <w:t>I statement</w:t>
            </w:r>
          </w:p>
        </w:tc>
        <w:tc>
          <w:tcPr>
            <w:tcW w:w="3192" w:type="dxa"/>
          </w:tcPr>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The USPSTF concludes that the current evidence is insufficient to assess the</w:t>
            </w:r>
          </w:p>
          <w:p w:rsidR="00C1581D" w:rsidRDefault="00C1581D" w:rsidP="008F4DDF">
            <w:pPr>
              <w:autoSpaceDE w:val="0"/>
              <w:autoSpaceDN w:val="0"/>
              <w:adjustRightInd w:val="0"/>
              <w:ind w:left="0" w:firstLine="0"/>
              <w:rPr>
                <w:rFonts w:ascii="MyriadPro-LightSemiCn" w:hAnsi="MyriadPro-LightSemiCn" w:cs="MyriadPro-LightSemiCn"/>
                <w:sz w:val="16"/>
                <w:szCs w:val="16"/>
              </w:rPr>
            </w:pPr>
            <w:proofErr w:type="gramStart"/>
            <w:r>
              <w:rPr>
                <w:rFonts w:ascii="MyriadPro-LightSemiCn" w:hAnsi="MyriadPro-LightSemiCn" w:cs="MyriadPro-LightSemiCn"/>
                <w:sz w:val="16"/>
                <w:szCs w:val="16"/>
              </w:rPr>
              <w:t>balance</w:t>
            </w:r>
            <w:proofErr w:type="gramEnd"/>
            <w:r>
              <w:rPr>
                <w:rFonts w:ascii="MyriadPro-LightSemiCn" w:hAnsi="MyriadPro-LightSemiCn" w:cs="MyriadPro-LightSemiCn"/>
                <w:sz w:val="16"/>
                <w:szCs w:val="16"/>
              </w:rPr>
              <w:t xml:space="preserve"> of benefits and harms of the service. Evidence is lacking, of poor</w:t>
            </w:r>
          </w:p>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quality, or conflicting, and the balance of benefits and harms cannot be</w:t>
            </w:r>
          </w:p>
          <w:p w:rsidR="00C1581D" w:rsidRDefault="00C1581D" w:rsidP="008F4DDF">
            <w:pPr>
              <w:ind w:left="0" w:firstLine="0"/>
              <w:rPr>
                <w:b/>
                <w:color w:val="0000FF"/>
              </w:rPr>
            </w:pPr>
            <w:proofErr w:type="gramStart"/>
            <w:r>
              <w:rPr>
                <w:rFonts w:ascii="MyriadPro-LightSemiCn" w:hAnsi="MyriadPro-LightSemiCn" w:cs="MyriadPro-LightSemiCn"/>
                <w:sz w:val="16"/>
                <w:szCs w:val="16"/>
              </w:rPr>
              <w:t>determined</w:t>
            </w:r>
            <w:proofErr w:type="gramEnd"/>
            <w:r>
              <w:rPr>
                <w:rFonts w:ascii="MyriadPro-LightSemiCn" w:hAnsi="MyriadPro-LightSemiCn" w:cs="MyriadPro-LightSemiCn"/>
                <w:sz w:val="16"/>
                <w:szCs w:val="16"/>
              </w:rPr>
              <w:t>.</w:t>
            </w:r>
          </w:p>
        </w:tc>
        <w:tc>
          <w:tcPr>
            <w:tcW w:w="3192" w:type="dxa"/>
          </w:tcPr>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Read “Clinical Considerations” in the USPSTF Recommendation</w:t>
            </w:r>
          </w:p>
          <w:p w:rsidR="00C1581D" w:rsidRDefault="00C1581D" w:rsidP="008F4DDF">
            <w:pPr>
              <w:autoSpaceDE w:val="0"/>
              <w:autoSpaceDN w:val="0"/>
              <w:adjustRightInd w:val="0"/>
              <w:ind w:left="0" w:firstLine="0"/>
              <w:rPr>
                <w:rFonts w:ascii="MyriadPro-LightSemiCn" w:hAnsi="MyriadPro-LightSemiCn" w:cs="MyriadPro-LightSemiCn"/>
                <w:sz w:val="16"/>
                <w:szCs w:val="16"/>
              </w:rPr>
            </w:pPr>
            <w:r>
              <w:rPr>
                <w:rFonts w:ascii="MyriadPro-LightSemiCn" w:hAnsi="MyriadPro-LightSemiCn" w:cs="MyriadPro-LightSemiCn"/>
                <w:sz w:val="16"/>
                <w:szCs w:val="16"/>
              </w:rPr>
              <w:t>Statement. If offered, patients should understand the</w:t>
            </w:r>
          </w:p>
          <w:p w:rsidR="00C1581D" w:rsidRDefault="00C1581D" w:rsidP="008F4DDF">
            <w:pPr>
              <w:ind w:left="0" w:firstLine="0"/>
              <w:rPr>
                <w:b/>
                <w:color w:val="0000FF"/>
              </w:rPr>
            </w:pPr>
            <w:proofErr w:type="gramStart"/>
            <w:r>
              <w:rPr>
                <w:rFonts w:ascii="MyriadPro-LightSemiCn" w:hAnsi="MyriadPro-LightSemiCn" w:cs="MyriadPro-LightSemiCn"/>
                <w:sz w:val="16"/>
                <w:szCs w:val="16"/>
              </w:rPr>
              <w:t>uncertainty</w:t>
            </w:r>
            <w:proofErr w:type="gramEnd"/>
            <w:r>
              <w:rPr>
                <w:rFonts w:ascii="MyriadPro-LightSemiCn" w:hAnsi="MyriadPro-LightSemiCn" w:cs="MyriadPro-LightSemiCn"/>
                <w:sz w:val="16"/>
                <w:szCs w:val="16"/>
              </w:rPr>
              <w:t xml:space="preserve"> about the balance of benefits and harms.</w:t>
            </w:r>
          </w:p>
        </w:tc>
      </w:tr>
    </w:tbl>
    <w:p w:rsidR="00A12762" w:rsidRPr="003B1CC5" w:rsidRDefault="00A12762" w:rsidP="002E2177">
      <w:pPr>
        <w:ind w:left="0" w:firstLine="0"/>
        <w:rPr>
          <w:noProof/>
        </w:rPr>
      </w:pPr>
    </w:p>
    <w:p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C1581D" w:rsidRDefault="009B0BEC" w:rsidP="00C1581D">
      <w:pPr>
        <w:ind w:left="0" w:firstLine="0"/>
        <w:rPr>
          <w:noProof/>
        </w:rPr>
      </w:pPr>
      <w:r>
        <w:rPr>
          <w:noProof/>
        </w:rPr>
        <w:t>2004-2008</w:t>
      </w:r>
    </w:p>
    <w:p w:rsidR="00C1581D" w:rsidRPr="003B1CC5" w:rsidRDefault="00C1581D"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C1581D" w:rsidRDefault="00C1581D" w:rsidP="002E2177">
      <w:pPr>
        <w:ind w:left="0" w:firstLine="0"/>
      </w:pPr>
      <w:r>
        <w:t xml:space="preserve">One community-based retrospective cohort trial, one retrospective cohort study, </w:t>
      </w:r>
    </w:p>
    <w:p w:rsidR="00C1581D" w:rsidRPr="003B1CC5" w:rsidRDefault="00C1581D" w:rsidP="002E2177">
      <w:pPr>
        <w:ind w:left="0" w:firstLine="0"/>
      </w:pPr>
    </w:p>
    <w:p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C1581D" w:rsidRPr="003B1CC5" w:rsidRDefault="00C1581D" w:rsidP="002E2177">
      <w:pPr>
        <w:ind w:left="432" w:hanging="432"/>
        <w:rPr>
          <w:iCs/>
        </w:rPr>
      </w:pPr>
    </w:p>
    <w:p w:rsidR="00496AF8" w:rsidRPr="003B1CC5" w:rsidRDefault="00C1581D" w:rsidP="002E2177">
      <w:pPr>
        <w:ind w:left="0" w:firstLine="0"/>
      </w:pPr>
      <w:r>
        <w:lastRenderedPageBreak/>
        <w:t>Fair to good quality</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A42BB5" w:rsidRPr="003B1CC5" w:rsidRDefault="00A42BB5" w:rsidP="002E2177">
      <w:pPr>
        <w:ind w:left="432" w:hanging="432"/>
      </w:pPr>
    </w:p>
    <w:p w:rsidR="00496AF8" w:rsidRDefault="004F2945" w:rsidP="002E2177">
      <w:pPr>
        <w:ind w:left="0" w:firstLine="0"/>
      </w:pPr>
      <w:r>
        <w:t>A</w:t>
      </w:r>
      <w:r w:rsidR="00A42BB5">
        <w:t xml:space="preserve"> study found that age at diagnosis did contribute significantly to variance on receptive vocabulary but did not for other language, speech, or reading measures. </w:t>
      </w:r>
    </w:p>
    <w:p w:rsidR="004F2945" w:rsidRPr="003B1CC5" w:rsidRDefault="004F2945" w:rsidP="002E2177">
      <w:pPr>
        <w:ind w:left="0" w:firstLine="0"/>
      </w:pPr>
      <w:r>
        <w:t xml:space="preserve">Wake M, Hughes EK, Poulakis Z, Collins C, Rickards FW. </w:t>
      </w:r>
      <w:proofErr w:type="gramStart"/>
      <w:r>
        <w:t>“Outcomes of children with mild-profound congenital hearing loss at 7 to 8 years; a population study.”</w:t>
      </w:r>
      <w:proofErr w:type="gramEnd"/>
      <w:r>
        <w:t xml:space="preserve">  Ear Hear. 2004; 25(1): 1-8</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Default="00FC4BEE" w:rsidP="002E2177">
      <w:pPr>
        <w:ind w:left="0" w:firstLine="0"/>
      </w:pPr>
      <w:r>
        <w:t xml:space="preserve">Limited evidence is available about the harms of audiology diagnostic tests.  One poor-quality case-control study examined infants who were at risk for hearing impairment, who failed a distraction </w:t>
      </w:r>
      <w:proofErr w:type="spellStart"/>
      <w:r>
        <w:t>stree</w:t>
      </w:r>
      <w:proofErr w:type="spellEnd"/>
      <w:r>
        <w:t xml:space="preserve"> test, or who were controls for the other 2 groups. Parent-reported concerns about language development, general development, and perceived vulnerability to ill health did not differ among the groups, and most negative emotions resolved after the child’s definitive hearing test.</w:t>
      </w:r>
    </w:p>
    <w:p w:rsidR="00FC4BEE" w:rsidRPr="003B1CC5" w:rsidRDefault="00FC4BEE"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0" w:name="Section1a8"/>
      <w:bookmarkEnd w:id="10"/>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37121" w:rsidRDefault="00837121" w:rsidP="002E2177">
      <w:pPr>
        <w:ind w:left="0" w:firstLine="0"/>
      </w:pPr>
    </w:p>
    <w:p w:rsidR="00837121" w:rsidRDefault="00837121" w:rsidP="002E2177">
      <w:pPr>
        <w:ind w:left="0" w:firstLine="0"/>
        <w:rPr>
          <w:b/>
        </w:rPr>
      </w:pPr>
      <w:bookmarkStart w:id="11" w:name="_GoBack"/>
      <w:bookmarkEnd w:id="11"/>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F868FB" w:rsidRDefault="00F868FB" w:rsidP="002E2177">
      <w:pPr>
        <w:ind w:left="0" w:firstLine="0"/>
        <w:rPr>
          <w:b/>
        </w:rPr>
      </w:pPr>
    </w:p>
    <w:p w:rsidR="00F868FB" w:rsidRPr="001B772D" w:rsidRDefault="00F868FB" w:rsidP="002E2177">
      <w:pPr>
        <w:ind w:left="0" w:firstLine="0"/>
      </w:pPr>
    </w:p>
    <w:sectPr w:rsidR="00F868FB" w:rsidRPr="001B772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MOEA O+ Meridien">
    <w:altName w:val="Meridie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yriadPro-LightSemiC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B0BEC">
      <w:rPr>
        <w:noProof/>
      </w:rPr>
      <w:t>2</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284D"/>
    <w:rsid w:val="000B627F"/>
    <w:rsid w:val="000C5B0A"/>
    <w:rsid w:val="000D649E"/>
    <w:rsid w:val="000D6D06"/>
    <w:rsid w:val="00114848"/>
    <w:rsid w:val="00120934"/>
    <w:rsid w:val="00132070"/>
    <w:rsid w:val="00132518"/>
    <w:rsid w:val="00141875"/>
    <w:rsid w:val="0014347E"/>
    <w:rsid w:val="00154438"/>
    <w:rsid w:val="001551F6"/>
    <w:rsid w:val="0015535B"/>
    <w:rsid w:val="00162036"/>
    <w:rsid w:val="001632DD"/>
    <w:rsid w:val="00176E60"/>
    <w:rsid w:val="00192406"/>
    <w:rsid w:val="00194D9A"/>
    <w:rsid w:val="001A196B"/>
    <w:rsid w:val="001A6D05"/>
    <w:rsid w:val="001B38BF"/>
    <w:rsid w:val="001B3EBD"/>
    <w:rsid w:val="001B772D"/>
    <w:rsid w:val="001D5B5D"/>
    <w:rsid w:val="001E6153"/>
    <w:rsid w:val="00201FF9"/>
    <w:rsid w:val="00205857"/>
    <w:rsid w:val="00235ADC"/>
    <w:rsid w:val="00236F87"/>
    <w:rsid w:val="00263FAA"/>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15C41"/>
    <w:rsid w:val="00324D64"/>
    <w:rsid w:val="003411C5"/>
    <w:rsid w:val="00352B52"/>
    <w:rsid w:val="00352BE4"/>
    <w:rsid w:val="0035760D"/>
    <w:rsid w:val="00363ECC"/>
    <w:rsid w:val="0039020B"/>
    <w:rsid w:val="00395263"/>
    <w:rsid w:val="003956E0"/>
    <w:rsid w:val="0039609A"/>
    <w:rsid w:val="00397500"/>
    <w:rsid w:val="003B1CC5"/>
    <w:rsid w:val="003B65CE"/>
    <w:rsid w:val="003E039E"/>
    <w:rsid w:val="00422917"/>
    <w:rsid w:val="00430654"/>
    <w:rsid w:val="00440687"/>
    <w:rsid w:val="0044131D"/>
    <w:rsid w:val="00441ADA"/>
    <w:rsid w:val="00457E46"/>
    <w:rsid w:val="0049015C"/>
    <w:rsid w:val="00496AF8"/>
    <w:rsid w:val="004A575D"/>
    <w:rsid w:val="004B65C6"/>
    <w:rsid w:val="004C10E9"/>
    <w:rsid w:val="004D1DC7"/>
    <w:rsid w:val="004F2945"/>
    <w:rsid w:val="004F7D7E"/>
    <w:rsid w:val="00500B0C"/>
    <w:rsid w:val="00537150"/>
    <w:rsid w:val="00540984"/>
    <w:rsid w:val="00543851"/>
    <w:rsid w:val="0055559D"/>
    <w:rsid w:val="005569AE"/>
    <w:rsid w:val="005857F8"/>
    <w:rsid w:val="005B0D18"/>
    <w:rsid w:val="005B12C3"/>
    <w:rsid w:val="005B2CB6"/>
    <w:rsid w:val="005B409D"/>
    <w:rsid w:val="005D0FDB"/>
    <w:rsid w:val="005D25E9"/>
    <w:rsid w:val="005D6D59"/>
    <w:rsid w:val="00617390"/>
    <w:rsid w:val="00623420"/>
    <w:rsid w:val="00631B5C"/>
    <w:rsid w:val="00634768"/>
    <w:rsid w:val="0063596F"/>
    <w:rsid w:val="006708E9"/>
    <w:rsid w:val="006709EB"/>
    <w:rsid w:val="00672824"/>
    <w:rsid w:val="0068184A"/>
    <w:rsid w:val="006B5C51"/>
    <w:rsid w:val="006C77DF"/>
    <w:rsid w:val="006C7F30"/>
    <w:rsid w:val="006E6FDD"/>
    <w:rsid w:val="006F4B7F"/>
    <w:rsid w:val="006F760B"/>
    <w:rsid w:val="00701CC3"/>
    <w:rsid w:val="007035B1"/>
    <w:rsid w:val="00722E52"/>
    <w:rsid w:val="00724801"/>
    <w:rsid w:val="0073377B"/>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55C10"/>
    <w:rsid w:val="00863E43"/>
    <w:rsid w:val="008647C3"/>
    <w:rsid w:val="008659ED"/>
    <w:rsid w:val="00870987"/>
    <w:rsid w:val="0087564A"/>
    <w:rsid w:val="00881160"/>
    <w:rsid w:val="0088371C"/>
    <w:rsid w:val="008A45F3"/>
    <w:rsid w:val="008B51D9"/>
    <w:rsid w:val="008B652E"/>
    <w:rsid w:val="008C6992"/>
    <w:rsid w:val="008F1DC6"/>
    <w:rsid w:val="00904D68"/>
    <w:rsid w:val="00905C5B"/>
    <w:rsid w:val="00923295"/>
    <w:rsid w:val="00925F11"/>
    <w:rsid w:val="00935265"/>
    <w:rsid w:val="0094689F"/>
    <w:rsid w:val="009477D6"/>
    <w:rsid w:val="00951817"/>
    <w:rsid w:val="00953ED3"/>
    <w:rsid w:val="00965FF6"/>
    <w:rsid w:val="009846D6"/>
    <w:rsid w:val="0098657F"/>
    <w:rsid w:val="00991C2E"/>
    <w:rsid w:val="009A3236"/>
    <w:rsid w:val="009B0BEC"/>
    <w:rsid w:val="009B5A93"/>
    <w:rsid w:val="009B5BEA"/>
    <w:rsid w:val="009C291F"/>
    <w:rsid w:val="009E37BD"/>
    <w:rsid w:val="009E6B86"/>
    <w:rsid w:val="00A03301"/>
    <w:rsid w:val="00A109C3"/>
    <w:rsid w:val="00A12762"/>
    <w:rsid w:val="00A13867"/>
    <w:rsid w:val="00A26FED"/>
    <w:rsid w:val="00A34106"/>
    <w:rsid w:val="00A37B8C"/>
    <w:rsid w:val="00A421D4"/>
    <w:rsid w:val="00A42BB5"/>
    <w:rsid w:val="00A44FF0"/>
    <w:rsid w:val="00A50E55"/>
    <w:rsid w:val="00A67EB1"/>
    <w:rsid w:val="00A857A8"/>
    <w:rsid w:val="00A91A47"/>
    <w:rsid w:val="00A95D2B"/>
    <w:rsid w:val="00AA5587"/>
    <w:rsid w:val="00AC1E3D"/>
    <w:rsid w:val="00AC1E53"/>
    <w:rsid w:val="00AD79C8"/>
    <w:rsid w:val="00AE6CE0"/>
    <w:rsid w:val="00AF1323"/>
    <w:rsid w:val="00AF674E"/>
    <w:rsid w:val="00B058A6"/>
    <w:rsid w:val="00B117D0"/>
    <w:rsid w:val="00B13998"/>
    <w:rsid w:val="00B2118C"/>
    <w:rsid w:val="00B40B97"/>
    <w:rsid w:val="00B439DD"/>
    <w:rsid w:val="00B52E0F"/>
    <w:rsid w:val="00B74629"/>
    <w:rsid w:val="00B91F58"/>
    <w:rsid w:val="00BA579E"/>
    <w:rsid w:val="00BE2295"/>
    <w:rsid w:val="00BE612C"/>
    <w:rsid w:val="00BE6373"/>
    <w:rsid w:val="00BF533A"/>
    <w:rsid w:val="00C1581D"/>
    <w:rsid w:val="00C2470A"/>
    <w:rsid w:val="00C46677"/>
    <w:rsid w:val="00C50BC1"/>
    <w:rsid w:val="00C5180E"/>
    <w:rsid w:val="00C54E40"/>
    <w:rsid w:val="00C55F56"/>
    <w:rsid w:val="00C57BA4"/>
    <w:rsid w:val="00C613EB"/>
    <w:rsid w:val="00C84623"/>
    <w:rsid w:val="00CB06C9"/>
    <w:rsid w:val="00CB0EA5"/>
    <w:rsid w:val="00CB1E41"/>
    <w:rsid w:val="00CB271C"/>
    <w:rsid w:val="00CD791E"/>
    <w:rsid w:val="00CE4F96"/>
    <w:rsid w:val="00CF0AB1"/>
    <w:rsid w:val="00CF4B9B"/>
    <w:rsid w:val="00CF55E6"/>
    <w:rsid w:val="00CF772F"/>
    <w:rsid w:val="00D048DB"/>
    <w:rsid w:val="00D14F0B"/>
    <w:rsid w:val="00D178CA"/>
    <w:rsid w:val="00D3311C"/>
    <w:rsid w:val="00D53405"/>
    <w:rsid w:val="00D5457B"/>
    <w:rsid w:val="00D72995"/>
    <w:rsid w:val="00DA6B83"/>
    <w:rsid w:val="00DA7FA2"/>
    <w:rsid w:val="00DC2D8D"/>
    <w:rsid w:val="00DE1F5D"/>
    <w:rsid w:val="00DE50D8"/>
    <w:rsid w:val="00DF278A"/>
    <w:rsid w:val="00E1664B"/>
    <w:rsid w:val="00E30D12"/>
    <w:rsid w:val="00E3394E"/>
    <w:rsid w:val="00E35241"/>
    <w:rsid w:val="00E41417"/>
    <w:rsid w:val="00E536D3"/>
    <w:rsid w:val="00E57BE2"/>
    <w:rsid w:val="00E62A95"/>
    <w:rsid w:val="00E7048E"/>
    <w:rsid w:val="00E746A2"/>
    <w:rsid w:val="00E90D06"/>
    <w:rsid w:val="00E95C04"/>
    <w:rsid w:val="00E97E59"/>
    <w:rsid w:val="00EA79C9"/>
    <w:rsid w:val="00EB66AC"/>
    <w:rsid w:val="00EC2247"/>
    <w:rsid w:val="00EE1F87"/>
    <w:rsid w:val="00EE3931"/>
    <w:rsid w:val="00EE5AF6"/>
    <w:rsid w:val="00EF2CEF"/>
    <w:rsid w:val="00F1092D"/>
    <w:rsid w:val="00F42C20"/>
    <w:rsid w:val="00F431D8"/>
    <w:rsid w:val="00F67706"/>
    <w:rsid w:val="00F868FB"/>
    <w:rsid w:val="00F92D75"/>
    <w:rsid w:val="00F97327"/>
    <w:rsid w:val="00FA296F"/>
    <w:rsid w:val="00FA7323"/>
    <w:rsid w:val="00FC32D3"/>
    <w:rsid w:val="00FC4BEE"/>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E95C04"/>
    <w:pPr>
      <w:autoSpaceDE w:val="0"/>
      <w:autoSpaceDN w:val="0"/>
      <w:adjustRightInd w:val="0"/>
      <w:ind w:left="0" w:firstLine="0"/>
    </w:pPr>
    <w:rPr>
      <w:rFonts w:ascii="EMOEA O+ Meridien" w:hAnsi="EMOEA O+ Meridien" w:cs="EMOEA O+ Meridie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E95C04"/>
    <w:pPr>
      <w:autoSpaceDE w:val="0"/>
      <w:autoSpaceDN w:val="0"/>
      <w:adjustRightInd w:val="0"/>
      <w:ind w:left="0" w:firstLine="0"/>
    </w:pPr>
    <w:rPr>
      <w:rFonts w:ascii="EMOEA O+ Meridien" w:hAnsi="EMOEA O+ Meridien" w:cs="EMOEA O+ Meridi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yperlink" Target="http://www.cdc.gov/ncbddd/hearingloss/documents/jcih_2007.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www.ncbi.nlm.nih.gov/pubmed/1859599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ncbi.nlm.nih.gov/pubmed/18595997"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9D392C"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MOEA O+ Meridien">
    <w:altName w:val="Meridie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yriadPro-LightSemiCn">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9D392C"/>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4E434-7F59-478F-9889-8C8438FFF984}">
  <ds:schemaRefs>
    <ds:schemaRef ds:uri="http://schemas.microsoft.com/office/infopath/2007/PartnerControls"/>
    <ds:schemaRef ds:uri="http://purl.org/dc/term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AD3DB3-158C-44AA-BBDD-E25041D23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2584</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CDC User</cp:lastModifiedBy>
  <cp:revision>18</cp:revision>
  <dcterms:created xsi:type="dcterms:W3CDTF">2015-03-26T19:30:00Z</dcterms:created>
  <dcterms:modified xsi:type="dcterms:W3CDTF">2015-03-27T17:34:00Z</dcterms:modified>
</cp:coreProperties>
</file>