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7CA213DA"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F8BF2D2"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7030A0"/>
          </w:rPr>
          <w:id w:val="1103681744"/>
          <w:placeholder>
            <w:docPart w:val="D06AB11FD608490E9B47857CE12EB3BD"/>
          </w:placeholder>
        </w:sdtPr>
        <w:sdtEndPr>
          <w:rPr>
            <w:rStyle w:val="DefaultParagraphFont"/>
            <w:rFonts w:cstheme="minorHAnsi"/>
            <w:b/>
            <w:noProof/>
          </w:rPr>
        </w:sdtEndPr>
        <w:sdtContent>
          <w:r w:rsidR="00195391" w:rsidRPr="00195391">
            <w:rPr>
              <w:rStyle w:val="Style1"/>
              <w:color w:val="7030A0"/>
            </w:rPr>
            <w:t>2436</w:t>
          </w:r>
        </w:sdtContent>
      </w:sdt>
    </w:p>
    <w:p w14:paraId="0CABCF56" w14:textId="31A66193"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2086219593"/>
              <w:placeholder>
                <w:docPart w:val="C905B989F466441583344F96BD2A3603"/>
              </w:placeholder>
            </w:sdtPr>
            <w:sdtEndPr>
              <w:rPr>
                <w:rStyle w:val="DefaultParagraphFont"/>
                <w:noProof/>
                <w:color w:val="auto"/>
              </w:rPr>
            </w:sdtEndPr>
            <w:sdtContent>
              <w:r w:rsidR="00195391" w:rsidRPr="00562C22">
                <w:rPr>
                  <w:rStyle w:val="Style1"/>
                  <w:color w:val="7030A0"/>
                </w:rPr>
                <w:t>Hospital‐level, risk‐standardized payment associated wi</w:t>
              </w:r>
              <w:r w:rsidR="00195391">
                <w:rPr>
                  <w:rStyle w:val="Style1"/>
                  <w:color w:val="7030A0"/>
                </w:rPr>
                <w:t>th a 30‐day episode-of-care for Heart Failure (HF)</w:t>
              </w:r>
            </w:sdtContent>
          </w:sdt>
        </w:sdtContent>
      </w:sdt>
    </w:p>
    <w:p w14:paraId="0CABCF57" w14:textId="7DDC8F21"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color w:val="C00000"/>
          </w:rPr>
          <w:id w:val="-1689821638"/>
          <w:placeholder>
            <w:docPart w:val="D0A5AE3409394D21BA5FA5F27780E302"/>
          </w:placeholder>
          <w:date w:fullDate="2021-01-05T00:00:00Z">
            <w:dateFormat w:val="M/d/yyyy"/>
            <w:lid w:val="en-US"/>
            <w:storeMappedDataAs w:val="dateTime"/>
            <w:calendar w:val="gregorian"/>
          </w:date>
        </w:sdtPr>
        <w:sdtEndPr>
          <w:rPr>
            <w:rStyle w:val="DefaultParagraphFont"/>
            <w:noProof/>
            <w:u w:val="none"/>
          </w:rPr>
        </w:sdtEndPr>
        <w:sdtContent>
          <w:r w:rsidR="00195391" w:rsidRPr="00195391">
            <w:rPr>
              <w:rStyle w:val="Style2"/>
              <w:rFonts w:cstheme="minorHAnsi"/>
              <w:color w:val="C00000"/>
            </w:rPr>
            <w:t>1/</w:t>
          </w:r>
          <w:r w:rsidR="00ED4030">
            <w:rPr>
              <w:rStyle w:val="Style2"/>
              <w:rFonts w:cstheme="minorHAnsi"/>
              <w:color w:val="C00000"/>
            </w:rPr>
            <w:t>5</w:t>
          </w:r>
          <w:r w:rsidR="00195391" w:rsidRPr="00195391">
            <w:rPr>
              <w:rStyle w:val="Style2"/>
              <w:rFonts w:cstheme="minorHAnsi"/>
              <w:color w:val="C00000"/>
            </w:rPr>
            <w:t>/2021</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DD3171"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DD3171"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DD3171"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066BEBF4" w:rsidR="000B7D57" w:rsidRPr="00C775CE" w:rsidRDefault="00DD3171" w:rsidP="00CD364B">
            <w:pPr>
              <w:autoSpaceDE w:val="0"/>
              <w:autoSpaceDN w:val="0"/>
              <w:adjustRightInd w:val="0"/>
              <w:rPr>
                <w:rFonts w:cstheme="minorHAnsi"/>
                <w:bCs/>
              </w:rPr>
            </w:pPr>
            <w:sdt>
              <w:sdtPr>
                <w:rPr>
                  <w:rFonts w:cstheme="minorHAnsi"/>
                  <w:bCs/>
                </w:rPr>
                <w:id w:val="1280841322"/>
                <w14:checkbox>
                  <w14:checked w14:val="1"/>
                  <w14:checkedState w14:val="2612" w14:font="MS Gothic"/>
                  <w14:uncheckedState w14:val="2610" w14:font="MS Gothic"/>
                </w14:checkbox>
              </w:sdtPr>
              <w:sdtEndPr/>
              <w:sdtContent>
                <w:r w:rsidR="00195391">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DD3171"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DD3171"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DD317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407D1BB"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w:t>
            </w:r>
            <w:r w:rsidR="00131D3E">
              <w:rPr>
                <w:rFonts w:cstheme="minorHAnsi"/>
                <w:b/>
                <w:noProof/>
                <w:u w:val="single"/>
              </w:rPr>
              <w:t xml:space="preserve"> specificati</w:t>
            </w:r>
            <w:r w:rsidR="004D4D8A">
              <w:rPr>
                <w:rFonts w:cstheme="minorHAnsi"/>
                <w:b/>
                <w:noProof/>
                <w:u w:val="single"/>
              </w:rPr>
              <w: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w:t>
            </w:r>
            <w:proofErr w:type="gramStart"/>
            <w:r w:rsidRPr="000F034A">
              <w:rPr>
                <w:rFonts w:cstheme="minorHAnsi"/>
                <w:bCs/>
                <w:iCs/>
              </w:rPr>
              <w:t>time period</w:t>
            </w:r>
            <w:proofErr w:type="gramEnd"/>
            <w:r w:rsidRPr="000F034A">
              <w:rPr>
                <w:rFonts w:cstheme="minorHAnsi"/>
                <w:bCs/>
                <w:iCs/>
              </w:rPr>
              <w:t xml:space="preserve">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 xml:space="preserve">differences in </w:t>
            </w:r>
            <w:proofErr w:type="gramStart"/>
            <w:r w:rsidRPr="000F034A">
              <w:rPr>
                <w:rFonts w:cstheme="minorHAnsi"/>
                <w:b/>
              </w:rPr>
              <w:t>performance</w:t>
            </w:r>
            <w:r w:rsidRPr="000F034A">
              <w:rPr>
                <w:rFonts w:cstheme="minorHAnsi"/>
              </w:rPr>
              <w:t>;</w:t>
            </w:r>
            <w:proofErr w:type="gramEnd"/>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A831B4">
              <w:rPr>
                <w:rFonts w:cstheme="minorHAnsi"/>
                <w:sz w:val="20"/>
                <w:szCs w:val="20"/>
              </w:rPr>
              <w:t>received  smoking</w:t>
            </w:r>
            <w:proofErr w:type="gramEnd"/>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1"/>
        <w:gridCol w:w="4737"/>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DD3171"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DD3171"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568EDB7C" w:rsidR="00A01494" w:rsidRPr="000F1B7A" w:rsidRDefault="00DD3171"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195391">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75D49BF5" w:rsidR="00A01494" w:rsidRPr="000F1B7A" w:rsidRDefault="00DD3171"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195391">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DD3171"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DD3171"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DD317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DD317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DD317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DD317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3B50B140" w:rsidR="00A01494" w:rsidRPr="000F1B7A" w:rsidRDefault="00DD3171"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195391">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theme="minorHAnsi"/>
                  <w:bCs/>
                  <w:color w:val="7030A0"/>
                </w:rPr>
                <w:id w:val="1834251992"/>
                <w:text/>
              </w:sdtPr>
              <w:sdtEndPr/>
              <w:sdtContent>
                <w:r w:rsidR="00784253" w:rsidRPr="00784253">
                  <w:rPr>
                    <w:rFonts w:cstheme="minorHAnsi"/>
                    <w:bCs/>
                    <w:color w:val="7030A0"/>
                  </w:rPr>
                  <w:t>Medicare Enrollment Database (including the Master Beneficiary Summary File), Medicare Fee Schedules, CMS Wage Index Data.</w:t>
                </w:r>
              </w:sdtContent>
            </w:sdt>
          </w:p>
        </w:tc>
        <w:tc>
          <w:tcPr>
            <w:tcW w:w="4847" w:type="dxa"/>
          </w:tcPr>
          <w:p w14:paraId="0CABCFAB" w14:textId="20E9E681" w:rsidR="00A01494" w:rsidRPr="000F1B7A" w:rsidRDefault="00DD3171"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195391">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theme="minorHAnsi"/>
                  <w:bCs/>
                  <w:color w:val="7030A0"/>
                </w:rPr>
                <w:id w:val="1976178076"/>
                <w:text/>
              </w:sdtPr>
              <w:sdtEndPr/>
              <w:sdtContent>
                <w:r w:rsidR="00784253" w:rsidRPr="00195391">
                  <w:rPr>
                    <w:rFonts w:cstheme="minorHAnsi"/>
                    <w:bCs/>
                    <w:color w:val="7030A0"/>
                  </w:rPr>
                  <w:t xml:space="preserve">Census Data/American Community Survey, </w:t>
                </w:r>
                <w:r w:rsidR="00784253">
                  <w:rPr>
                    <w:rFonts w:cstheme="minorHAnsi"/>
                    <w:bCs/>
                    <w:color w:val="7030A0"/>
                  </w:rPr>
                  <w:t xml:space="preserve">Medicare Enrollment Database (including the </w:t>
                </w:r>
                <w:r w:rsidR="00784253" w:rsidRPr="00195391">
                  <w:rPr>
                    <w:rFonts w:cstheme="minorHAnsi"/>
                    <w:bCs/>
                    <w:color w:val="7030A0"/>
                  </w:rPr>
                  <w:t>Master Beneficiary Summary File</w:t>
                </w:r>
                <w:r w:rsidR="00784253" w:rsidRPr="00B459C5">
                  <w:rPr>
                    <w:rFonts w:cstheme="minorHAnsi"/>
                    <w:bCs/>
                    <w:color w:val="7030A0"/>
                  </w:rPr>
                  <w:t>), Medicare Fee Schedules, CMS Wage Index Data.</w:t>
                </w:r>
                <w:r w:rsidR="00784253">
                  <w:rPr>
                    <w:rFonts w:cstheme="minorHAnsi"/>
                    <w:bCs/>
                    <w:color w:val="7030A0"/>
                  </w:rPr>
                  <w:t>)</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5B964F6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w:t>
      </w:r>
      <w:proofErr w:type="gramStart"/>
      <w:r w:rsidR="001C7B02">
        <w:rPr>
          <w:rFonts w:cstheme="minorHAnsi"/>
          <w:bCs/>
          <w:i/>
        </w:rPr>
        <w:t>measured;</w:t>
      </w:r>
      <w:proofErr w:type="gramEnd"/>
      <w:r w:rsidR="001C7B02">
        <w:rPr>
          <w:rFonts w:cstheme="minorHAnsi"/>
          <w:bCs/>
          <w:i/>
        </w:rPr>
        <w:t xml:space="preserve">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ACEEB52" w14:textId="3BED6604" w:rsidR="00195391" w:rsidRPr="007E653E" w:rsidRDefault="00195391" w:rsidP="00195391">
      <w:pPr>
        <w:autoSpaceDE w:val="0"/>
        <w:autoSpaceDN w:val="0"/>
        <w:adjustRightInd w:val="0"/>
        <w:spacing w:before="120" w:after="120" w:line="240" w:lineRule="auto"/>
        <w:rPr>
          <w:rFonts w:cstheme="minorHAnsi"/>
          <w:color w:val="7030A0"/>
        </w:rPr>
      </w:pPr>
      <w:r w:rsidRPr="007E653E">
        <w:rPr>
          <w:rFonts w:cstheme="minorHAnsi"/>
          <w:color w:val="7030A0"/>
        </w:rPr>
        <w:t xml:space="preserve">The datasets/data sources we used in testing </w:t>
      </w:r>
      <w:proofErr w:type="gramStart"/>
      <w:r w:rsidRPr="007E653E">
        <w:rPr>
          <w:rFonts w:cstheme="minorHAnsi"/>
          <w:color w:val="7030A0"/>
        </w:rPr>
        <w:t>include:</w:t>
      </w:r>
      <w:proofErr w:type="gramEnd"/>
      <w:r w:rsidRPr="007E653E">
        <w:rPr>
          <w:rFonts w:cstheme="minorHAnsi"/>
          <w:color w:val="7030A0"/>
        </w:rPr>
        <w:t xml:space="preserve"> </w:t>
      </w:r>
      <w:r>
        <w:rPr>
          <w:rFonts w:cstheme="minorHAnsi"/>
          <w:color w:val="7030A0"/>
        </w:rPr>
        <w:t>Medicare administrative claims data, Medicare enrollment d</w:t>
      </w:r>
      <w:r w:rsidRPr="007E653E">
        <w:rPr>
          <w:rFonts w:cstheme="minorHAnsi"/>
          <w:color w:val="7030A0"/>
        </w:rPr>
        <w:t xml:space="preserve">atabase (EDB), Medicare fee schedules, Federal Register Final Rules for Medicare PPS systems and payment policies, and CMS published wage index data. </w:t>
      </w:r>
    </w:p>
    <w:p w14:paraId="307099F4" w14:textId="0303EA55" w:rsidR="00195391" w:rsidRPr="00195391" w:rsidRDefault="00195391" w:rsidP="00195391">
      <w:pPr>
        <w:autoSpaceDE w:val="0"/>
        <w:autoSpaceDN w:val="0"/>
        <w:adjustRightInd w:val="0"/>
        <w:spacing w:before="120" w:after="120" w:line="240" w:lineRule="auto"/>
        <w:rPr>
          <w:rFonts w:cstheme="minorHAnsi"/>
          <w:color w:val="7030A0"/>
        </w:rPr>
      </w:pPr>
      <w:r w:rsidRPr="007E653E">
        <w:rPr>
          <w:rFonts w:cstheme="minorHAnsi"/>
          <w:color w:val="7030A0"/>
        </w:rPr>
        <w:t xml:space="preserve">To assess socioeconomic factors, we used census as well as Medicare enrollment </w:t>
      </w:r>
      <w:proofErr w:type="spellStart"/>
      <w:proofErr w:type="gramStart"/>
      <w:r w:rsidRPr="007E653E">
        <w:rPr>
          <w:rFonts w:cstheme="minorHAnsi"/>
          <w:color w:val="7030A0"/>
        </w:rPr>
        <w:t>data.</w:t>
      </w:r>
      <w:r>
        <w:rPr>
          <w:rFonts w:cstheme="minorHAnsi"/>
          <w:color w:val="7030A0"/>
        </w:rPr>
        <w:t>D</w:t>
      </w:r>
      <w:r w:rsidRPr="007E653E">
        <w:rPr>
          <w:rFonts w:cstheme="minorHAnsi"/>
          <w:color w:val="7030A0"/>
        </w:rPr>
        <w:t>ual</w:t>
      </w:r>
      <w:proofErr w:type="spellEnd"/>
      <w:proofErr w:type="gramEnd"/>
      <w:r w:rsidRPr="007E653E">
        <w:rPr>
          <w:rFonts w:cstheme="minorHAnsi"/>
          <w:color w:val="7030A0"/>
        </w:rPr>
        <w:t xml:space="preserve"> eligibility was obtained through enrollment data. </w:t>
      </w:r>
      <w:r w:rsidRPr="007E653E">
        <w:rPr>
          <w:rFonts w:cstheme="minorHAnsi"/>
          <w:color w:val="C00000"/>
        </w:rPr>
        <w:t>The Agency for Healthcare Research and Quality (AHRQ) socioeconomic status (SES) index score was obtained using the American Community Survey (ACS), 2013-2017.</w:t>
      </w:r>
    </w:p>
    <w:p w14:paraId="0CABCFAF" w14:textId="26749F78" w:rsidR="009E1846" w:rsidRDefault="00195391" w:rsidP="00DB3627">
      <w:pPr>
        <w:autoSpaceDE w:val="0"/>
        <w:autoSpaceDN w:val="0"/>
        <w:adjustRightInd w:val="0"/>
        <w:spacing w:after="0" w:line="240" w:lineRule="auto"/>
        <w:rPr>
          <w:rFonts w:cstheme="minorHAnsi"/>
          <w:color w:val="7030A0"/>
        </w:rPr>
      </w:pPr>
      <w:r w:rsidRPr="007E653E">
        <w:rPr>
          <w:rFonts w:cstheme="minorHAnsi"/>
          <w:color w:val="7030A0"/>
        </w:rPr>
        <w:t>The dataset used varies by testing type; see Section 1.7 for details.</w:t>
      </w:r>
    </w:p>
    <w:p w14:paraId="63169852" w14:textId="77777777" w:rsidR="00EE2989" w:rsidRDefault="00EE2989" w:rsidP="00DB3627">
      <w:pPr>
        <w:autoSpaceDE w:val="0"/>
        <w:autoSpaceDN w:val="0"/>
        <w:adjustRightInd w:val="0"/>
        <w:spacing w:after="0" w:line="240" w:lineRule="auto"/>
        <w:rPr>
          <w:rFonts w:cstheme="minorHAnsi"/>
          <w:b/>
        </w:rPr>
      </w:pPr>
    </w:p>
    <w:p w14:paraId="0CABCFB0" w14:textId="18671EAB"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Calibri"/>
            <w:color w:val="7030A0"/>
          </w:rPr>
          <w:id w:val="950514773"/>
          <w:text/>
        </w:sdtPr>
        <w:sdtEndPr/>
        <w:sdtContent>
          <w:r w:rsidR="00195391" w:rsidRPr="00195391">
            <w:rPr>
              <w:rFonts w:cs="Calibri"/>
              <w:color w:val="7030A0"/>
            </w:rPr>
            <w:t>The dates used for testing vary by testing type; see Section 1.7 for details.</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DD3171"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DD3171"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DD3171"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DD3171"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08C192A2" w:rsidR="000414E8" w:rsidRPr="00A01494" w:rsidRDefault="00DD3171"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19539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2D585CF0" w:rsidR="000414E8" w:rsidRPr="00A01494" w:rsidRDefault="00DD3171"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19539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DD3171"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DD3171"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DD3171"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DD3171"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18D7026F" w14:textId="77777777" w:rsidR="00195391" w:rsidRPr="00A953C9" w:rsidRDefault="00195391" w:rsidP="00195391">
      <w:pPr>
        <w:autoSpaceDE w:val="0"/>
        <w:autoSpaceDN w:val="0"/>
        <w:adjustRightInd w:val="0"/>
        <w:spacing w:before="120" w:after="120" w:line="240" w:lineRule="auto"/>
        <w:rPr>
          <w:rFonts w:cstheme="minorHAnsi"/>
          <w:bCs/>
          <w:color w:val="7030A0"/>
        </w:rPr>
      </w:pPr>
      <w:r w:rsidRPr="007E653E">
        <w:rPr>
          <w:rFonts w:cstheme="minorHAnsi"/>
          <w:bCs/>
          <w:color w:val="7030A0"/>
        </w:rPr>
        <w:t>For this measure, hospitals are the measured entities. All non-federal, short-term acute care inpatient US hospitals (including territories) with Medicare fee-for-service (FFS) beneficiaries aged 65 years or over are included. The number of measured entities (hospitals) varies by testing type; see Section 1.7 for details.</w:t>
      </w: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1183903B" w14:textId="77777777" w:rsidR="00EE2989" w:rsidRDefault="002B5016" w:rsidP="00DB3627">
      <w:pPr>
        <w:autoSpaceDE w:val="0"/>
        <w:autoSpaceDN w:val="0"/>
        <w:adjustRightInd w:val="0"/>
        <w:spacing w:after="0" w:line="240" w:lineRule="auto"/>
        <w:rPr>
          <w:rFonts w:cstheme="minorHAnsi"/>
          <w:iCs/>
          <w:color w:val="7030A0"/>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bookmarkStart w:id="11" w:name="_Hlk46410889"/>
    </w:p>
    <w:p w14:paraId="0CABCFC9" w14:textId="74DE5C30" w:rsidR="007422FD" w:rsidRDefault="00195391" w:rsidP="00DB3627">
      <w:pPr>
        <w:autoSpaceDE w:val="0"/>
        <w:autoSpaceDN w:val="0"/>
        <w:adjustRightInd w:val="0"/>
        <w:spacing w:after="0" w:line="240" w:lineRule="auto"/>
        <w:rPr>
          <w:rFonts w:cstheme="minorHAnsi"/>
          <w:iCs/>
          <w:color w:val="7030A0"/>
        </w:rPr>
      </w:pPr>
      <w:r w:rsidRPr="00043DA7">
        <w:rPr>
          <w:rFonts w:cstheme="minorHAnsi"/>
          <w:iCs/>
          <w:color w:val="7030A0"/>
        </w:rPr>
        <w:t>The number of admissions/patients varies by testing type: see Section 1.7 for details</w:t>
      </w:r>
      <w:r>
        <w:rPr>
          <w:rFonts w:cstheme="minorHAnsi"/>
          <w:iCs/>
          <w:color w:val="7030A0"/>
        </w:rPr>
        <w:t>.</w:t>
      </w:r>
      <w:bookmarkEnd w:id="11"/>
    </w:p>
    <w:p w14:paraId="5F04E55F" w14:textId="77777777" w:rsidR="00195391" w:rsidRDefault="00195391" w:rsidP="00DB3627">
      <w:pPr>
        <w:autoSpaceDE w:val="0"/>
        <w:autoSpaceDN w:val="0"/>
        <w:adjustRightInd w:val="0"/>
        <w:spacing w:after="0" w:line="240" w:lineRule="auto"/>
        <w:rPr>
          <w:rFonts w:cstheme="minorHAnsi"/>
          <w:bCs/>
        </w:rPr>
      </w:pPr>
    </w:p>
    <w:p w14:paraId="0CABCFCA" w14:textId="103A2A0A"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03F3CE8" w14:textId="77777777" w:rsidR="00195391" w:rsidRDefault="00195391" w:rsidP="00195391">
      <w:pPr>
        <w:autoSpaceDE w:val="0"/>
        <w:autoSpaceDN w:val="0"/>
        <w:adjustRightInd w:val="0"/>
        <w:spacing w:before="120" w:after="120" w:line="240" w:lineRule="auto"/>
        <w:rPr>
          <w:rFonts w:cstheme="minorHAnsi"/>
          <w:bCs/>
          <w:color w:val="7030A0"/>
        </w:rPr>
      </w:pPr>
      <w:bookmarkStart w:id="12" w:name="_Hlk46410915"/>
      <w:r>
        <w:rPr>
          <w:rFonts w:cstheme="minorHAnsi"/>
          <w:bCs/>
          <w:color w:val="7030A0"/>
        </w:rPr>
        <w:t>The datasets, dates, number of measured hospitals, and number of admissions used in each type of testing are in Table 1.</w:t>
      </w:r>
    </w:p>
    <w:p w14:paraId="4510888B" w14:textId="77777777" w:rsidR="00195391" w:rsidRDefault="00195391" w:rsidP="00195391">
      <w:pPr>
        <w:autoSpaceDE w:val="0"/>
        <w:autoSpaceDN w:val="0"/>
        <w:adjustRightInd w:val="0"/>
        <w:spacing w:before="120" w:after="120" w:line="240" w:lineRule="auto"/>
        <w:rPr>
          <w:rFonts w:cstheme="minorHAnsi"/>
          <w:bCs/>
          <w:color w:val="C00000"/>
          <w:u w:val="single"/>
        </w:rPr>
      </w:pPr>
      <w:r>
        <w:rPr>
          <w:rFonts w:cstheme="minorHAnsi"/>
          <w:bCs/>
          <w:color w:val="C00000"/>
          <w:u w:val="single"/>
        </w:rPr>
        <w:t xml:space="preserve">Measure Testing </w:t>
      </w:r>
    </w:p>
    <w:p w14:paraId="26530481" w14:textId="77777777" w:rsidR="00195391" w:rsidRDefault="00195391" w:rsidP="00195391">
      <w:pPr>
        <w:autoSpaceDE w:val="0"/>
        <w:autoSpaceDN w:val="0"/>
        <w:adjustRightInd w:val="0"/>
        <w:spacing w:before="120" w:after="120" w:line="240" w:lineRule="auto"/>
        <w:rPr>
          <w:rFonts w:cstheme="minorHAnsi"/>
          <w:bCs/>
          <w:color w:val="C00000"/>
        </w:rPr>
      </w:pPr>
      <w:r>
        <w:rPr>
          <w:rFonts w:cstheme="minorHAnsi"/>
          <w:bCs/>
          <w:color w:val="C00000"/>
        </w:rPr>
        <w:t>For analytical updates for this measure, we used three-years of Medicare administrative claims data (July 2016 – June 2019). The dataset also included administrative data on each patient for the 12 months prior to the index admission and the 30 days following it. The dataset contained inpatient and facility outpatient claims and Medicare enrollment database (EDB) data. The datasets also contain price-standardized payments for Medicare patients across all Medicare settings, services, and supplies (that is, inpatient, outpatient, SNF, home health agency, hospice, physician/clinical laboratory/ambulance services, and durable medical equipment, prosthetics/orthotics, and supplies). The CMS Standardization Methodology for Allowed Amount for 2006 through 2019 was applied to the claims to calculate the measures.</w:t>
      </w:r>
    </w:p>
    <w:p w14:paraId="59E091B1" w14:textId="63BBABA2" w:rsidR="00195391" w:rsidRDefault="00195391" w:rsidP="00195391">
      <w:pPr>
        <w:spacing w:line="240" w:lineRule="auto"/>
        <w:rPr>
          <w:rFonts w:cstheme="minorHAnsi"/>
          <w:bCs/>
          <w:color w:val="C00000"/>
        </w:rPr>
      </w:pPr>
      <w:r>
        <w:rPr>
          <w:rFonts w:cstheme="minorHAnsi"/>
          <w:bCs/>
          <w:color w:val="C00000"/>
        </w:rPr>
        <w:t xml:space="preserve">Refer to the </w:t>
      </w:r>
      <w:hyperlink r:id="rId13" w:history="1">
        <w:r>
          <w:rPr>
            <w:rStyle w:val="Hyperlink"/>
            <w:rFonts w:cstheme="minorHAnsi"/>
            <w:bCs/>
          </w:rPr>
          <w:t>original methodology report</w:t>
        </w:r>
      </w:hyperlink>
      <w:r>
        <w:rPr>
          <w:rFonts w:cstheme="minorHAnsi"/>
          <w:bCs/>
          <w:color w:val="C00000"/>
        </w:rPr>
        <w:t xml:space="preserve"> for further descriptions of these data sources.</w:t>
      </w:r>
    </w:p>
    <w:p w14:paraId="1742226C" w14:textId="77777777" w:rsidR="00195391" w:rsidRDefault="00195391" w:rsidP="00195391">
      <w:pPr>
        <w:autoSpaceDE w:val="0"/>
        <w:autoSpaceDN w:val="0"/>
        <w:adjustRightInd w:val="0"/>
        <w:spacing w:before="120" w:after="120" w:line="240" w:lineRule="auto"/>
        <w:rPr>
          <w:rFonts w:cstheme="minorHAnsi"/>
          <w:bCs/>
          <w:color w:val="7030A0"/>
        </w:rPr>
      </w:pPr>
      <w:r>
        <w:rPr>
          <w:rFonts w:cstheme="minorHAnsi"/>
          <w:bCs/>
          <w:color w:val="7030A0"/>
        </w:rPr>
        <w:t>Federal Register Final Rules for Medicare Prospective Payment Systems and Payment Policies: Certain data necessary to calculate payments (</w:t>
      </w:r>
      <w:proofErr w:type="gramStart"/>
      <w:r>
        <w:rPr>
          <w:rFonts w:cstheme="minorHAnsi"/>
          <w:bCs/>
          <w:color w:val="7030A0"/>
        </w:rPr>
        <w:t>e.g.</w:t>
      </w:r>
      <w:proofErr w:type="gramEnd"/>
      <w:r>
        <w:rPr>
          <w:rFonts w:cstheme="minorHAnsi"/>
          <w:bCs/>
          <w:color w:val="7030A0"/>
        </w:rPr>
        <w:t xml:space="preserve"> annual base payments and conversion factors, DRG weights, wage indexes, and average length of stay) were taken from applicable Federal Register Final Rules. CMS-published Wage Index Data Wage index data not published in Federal Register Final Rules (such as the wage index data for Renal Dialysis Facilities) were obtained via the CMS website.</w:t>
      </w:r>
    </w:p>
    <w:p w14:paraId="5F2F4B05" w14:textId="77777777" w:rsidR="00195391" w:rsidRDefault="00195391" w:rsidP="00195391">
      <w:pPr>
        <w:autoSpaceDE w:val="0"/>
        <w:autoSpaceDN w:val="0"/>
        <w:adjustRightInd w:val="0"/>
        <w:spacing w:before="120" w:after="120" w:line="240" w:lineRule="auto"/>
        <w:rPr>
          <w:rFonts w:cstheme="minorHAnsi"/>
          <w:bCs/>
          <w:color w:val="7030A0"/>
        </w:rPr>
      </w:pPr>
      <w:r>
        <w:rPr>
          <w:rFonts w:cstheme="minorHAnsi"/>
          <w:bCs/>
          <w:color w:val="7030A0"/>
        </w:rPr>
        <w:lastRenderedPageBreak/>
        <w:t>CMS-published Wage Index Data Wage index data not published in Federal Register Final Rules (such as the wage index data for Renal Dialysis Facilities) were obtained via the CMS website.</w:t>
      </w:r>
      <w:bookmarkEnd w:id="12"/>
    </w:p>
    <w:p w14:paraId="350C9672" w14:textId="30EE83EE" w:rsidR="00195391" w:rsidRPr="004446A5" w:rsidRDefault="00195391" w:rsidP="00195391">
      <w:pPr>
        <w:pStyle w:val="Caption"/>
        <w:keepNext/>
        <w:rPr>
          <w:color w:val="C00000"/>
          <w:sz w:val="22"/>
        </w:rPr>
      </w:pPr>
      <w:r w:rsidRPr="004446A5">
        <w:rPr>
          <w:color w:val="C00000"/>
          <w:sz w:val="22"/>
        </w:rPr>
        <w:t xml:space="preserve">Table </w:t>
      </w:r>
      <w:r w:rsidRPr="004446A5">
        <w:rPr>
          <w:color w:val="C00000"/>
          <w:sz w:val="22"/>
        </w:rPr>
        <w:fldChar w:fldCharType="begin"/>
      </w:r>
      <w:r w:rsidRPr="004446A5">
        <w:rPr>
          <w:color w:val="C00000"/>
          <w:sz w:val="22"/>
        </w:rPr>
        <w:instrText xml:space="preserve"> SEQ Table \* ARABIC </w:instrText>
      </w:r>
      <w:r w:rsidRPr="004446A5">
        <w:rPr>
          <w:color w:val="C00000"/>
          <w:sz w:val="22"/>
        </w:rPr>
        <w:fldChar w:fldCharType="separate"/>
      </w:r>
      <w:r w:rsidR="00632EF4">
        <w:rPr>
          <w:noProof/>
          <w:color w:val="C00000"/>
          <w:sz w:val="22"/>
        </w:rPr>
        <w:t>1</w:t>
      </w:r>
      <w:r w:rsidRPr="004446A5">
        <w:rPr>
          <w:color w:val="C00000"/>
          <w:sz w:val="22"/>
        </w:rPr>
        <w:fldChar w:fldCharType="end"/>
      </w:r>
      <w:r w:rsidRPr="004446A5">
        <w:rPr>
          <w:color w:val="C00000"/>
          <w:sz w:val="22"/>
        </w:rPr>
        <w:t>. Dataset Descriptions</w:t>
      </w:r>
    </w:p>
    <w:tbl>
      <w:tblPr>
        <w:tblStyle w:val="ListTable3-Accent11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359"/>
        <w:gridCol w:w="3870"/>
      </w:tblGrid>
      <w:tr w:rsidR="00195391" w:rsidRPr="00293613" w14:paraId="1BC00E55" w14:textId="77777777" w:rsidTr="009458E6">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16" w:type="dxa"/>
          </w:tcPr>
          <w:p w14:paraId="3EF45EA4" w14:textId="77777777" w:rsidR="00195391" w:rsidRPr="00293613" w:rsidRDefault="00195391" w:rsidP="009458E6">
            <w:pPr>
              <w:jc w:val="center"/>
            </w:pPr>
            <w:r w:rsidRPr="00293613">
              <w:t>Dataset</w:t>
            </w:r>
          </w:p>
        </w:tc>
        <w:tc>
          <w:tcPr>
            <w:tcW w:w="3359" w:type="dxa"/>
          </w:tcPr>
          <w:p w14:paraId="3FDFA181" w14:textId="77777777" w:rsidR="00195391" w:rsidRPr="00293613" w:rsidRDefault="00195391" w:rsidP="009458E6">
            <w:pPr>
              <w:jc w:val="center"/>
              <w:cnfStyle w:val="100000000000" w:firstRow="1" w:lastRow="0" w:firstColumn="0" w:lastColumn="0" w:oddVBand="0" w:evenVBand="0" w:oddHBand="0" w:evenHBand="0" w:firstRowFirstColumn="0" w:firstRowLastColumn="0" w:lastRowFirstColumn="0" w:lastRowLastColumn="0"/>
            </w:pPr>
            <w:r w:rsidRPr="00293613">
              <w:t>Applicable Section in the Testing Attachment</w:t>
            </w:r>
          </w:p>
        </w:tc>
        <w:tc>
          <w:tcPr>
            <w:tcW w:w="3870" w:type="dxa"/>
          </w:tcPr>
          <w:p w14:paraId="0143A93C" w14:textId="77777777" w:rsidR="00195391" w:rsidRPr="00293613" w:rsidRDefault="00195391" w:rsidP="009458E6">
            <w:pPr>
              <w:jc w:val="center"/>
              <w:cnfStyle w:val="100000000000" w:firstRow="1" w:lastRow="0" w:firstColumn="0" w:lastColumn="0" w:oddVBand="0" w:evenVBand="0" w:oddHBand="0" w:evenHBand="0" w:firstRowFirstColumn="0" w:firstRowLastColumn="0" w:lastRowFirstColumn="0" w:lastRowLastColumn="0"/>
            </w:pPr>
            <w:r w:rsidRPr="00293613">
              <w:t>Description of Dataset</w:t>
            </w:r>
          </w:p>
        </w:tc>
      </w:tr>
      <w:tr w:rsidR="00195391" w:rsidRPr="00043DA7" w14:paraId="0C2B73F4" w14:textId="77777777" w:rsidTr="009458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1F29AD0" w14:textId="77777777" w:rsidR="00195391" w:rsidRPr="00043DA7" w:rsidRDefault="00195391" w:rsidP="009458E6">
            <w:pPr>
              <w:jc w:val="center"/>
              <w:rPr>
                <w:color w:val="7030A0"/>
              </w:rPr>
            </w:pPr>
            <w:r>
              <w:rPr>
                <w:rFonts w:cstheme="minorHAnsi"/>
                <w:color w:val="7030A0"/>
              </w:rPr>
              <w:t xml:space="preserve">Original </w:t>
            </w:r>
            <w:r w:rsidRPr="00043DA7">
              <w:rPr>
                <w:rFonts w:cstheme="minorHAnsi"/>
                <w:color w:val="7030A0"/>
              </w:rPr>
              <w:t>Development and Validation Datasets</w:t>
            </w:r>
            <w:r>
              <w:rPr>
                <w:rFonts w:cstheme="minorHAnsi"/>
                <w:color w:val="7030A0"/>
              </w:rPr>
              <w:br/>
            </w:r>
            <w:r w:rsidRPr="00043DA7">
              <w:rPr>
                <w:rFonts w:cstheme="minorHAnsi"/>
                <w:color w:val="7030A0"/>
              </w:rPr>
              <w:t>(Medicare Fee-For-Service Administrative Claims Data)</w:t>
            </w:r>
          </w:p>
        </w:tc>
        <w:tc>
          <w:tcPr>
            <w:tcW w:w="3359" w:type="dxa"/>
          </w:tcPr>
          <w:p w14:paraId="4329EAED" w14:textId="77777777" w:rsidR="00195391" w:rsidRPr="00043DA7" w:rsidRDefault="00195391" w:rsidP="009458E6">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Section 2b3 Risk Adjustment/Stratification </w:t>
            </w:r>
          </w:p>
          <w:p w14:paraId="3A2661A0" w14:textId="29220B0A" w:rsidR="00195391" w:rsidRPr="00784253" w:rsidRDefault="00784253" w:rsidP="009458E6">
            <w:pPr>
              <w:spacing w:after="240"/>
              <w:cnfStyle w:val="000000100000" w:firstRow="0" w:lastRow="0" w:firstColumn="0" w:lastColumn="0" w:oddVBand="0" w:evenVBand="0" w:oddHBand="1" w:evenHBand="0" w:firstRowFirstColumn="0" w:firstRowLastColumn="0" w:lastRowFirstColumn="0" w:lastRowLastColumn="0"/>
              <w:rPr>
                <w:color w:val="7030A0"/>
              </w:rPr>
            </w:pPr>
            <w:r w:rsidRPr="00784253">
              <w:rPr>
                <w:rFonts w:cstheme="minorHAnsi"/>
                <w:color w:val="7030A0"/>
              </w:rPr>
              <w:t xml:space="preserve">Section </w:t>
            </w:r>
            <w:r w:rsidR="00195391" w:rsidRPr="00784253">
              <w:rPr>
                <w:rFonts w:cstheme="minorHAnsi"/>
                <w:color w:val="7030A0"/>
              </w:rPr>
              <w:t>2b3.6. Statistical Risk Model Discrimination Statistics</w:t>
            </w:r>
          </w:p>
          <w:p w14:paraId="6D7BF8E9" w14:textId="2616F721" w:rsidR="00195391" w:rsidRPr="00043DA7" w:rsidRDefault="00784253" w:rsidP="009458E6">
            <w:pPr>
              <w:spacing w:after="240"/>
              <w:cnfStyle w:val="000000100000" w:firstRow="0" w:lastRow="0" w:firstColumn="0" w:lastColumn="0" w:oddVBand="0" w:evenVBand="0" w:oddHBand="1" w:evenHBand="0" w:firstRowFirstColumn="0" w:firstRowLastColumn="0" w:lastRowFirstColumn="0" w:lastRowLastColumn="0"/>
              <w:rPr>
                <w:color w:val="7030A0"/>
              </w:rPr>
            </w:pPr>
            <w:r w:rsidRPr="00784253">
              <w:rPr>
                <w:rFonts w:cstheme="minorHAnsi"/>
                <w:color w:val="7030A0"/>
              </w:rPr>
              <w:t xml:space="preserve">Section </w:t>
            </w:r>
            <w:r w:rsidR="00195391" w:rsidRPr="00784253">
              <w:rPr>
                <w:rFonts w:cstheme="minorHAnsi"/>
                <w:color w:val="7030A0"/>
              </w:rPr>
              <w:t>2b3.7. Statistical Risk Model Calibration Statistics</w:t>
            </w:r>
          </w:p>
        </w:tc>
        <w:tc>
          <w:tcPr>
            <w:tcW w:w="3870" w:type="dxa"/>
          </w:tcPr>
          <w:p w14:paraId="01E7682C" w14:textId="4D2A0A90" w:rsidR="00D43CFF" w:rsidRDefault="00D43CFF" w:rsidP="009458E6">
            <w:pPr>
              <w:spacing w:after="240"/>
              <w:cnfStyle w:val="000000100000" w:firstRow="0" w:lastRow="0" w:firstColumn="0" w:lastColumn="0" w:oddVBand="0" w:evenVBand="0" w:oddHBand="1" w:evenHBand="0" w:firstRowFirstColumn="0" w:firstRowLastColumn="0" w:lastRowFirstColumn="0" w:lastRowLastColumn="0"/>
              <w:rPr>
                <w:color w:val="7030A0"/>
              </w:rPr>
            </w:pPr>
            <w:r>
              <w:rPr>
                <w:color w:val="7030A0"/>
              </w:rPr>
              <w:t>Full 2008 Sample (</w:t>
            </w:r>
            <w:r w:rsidRPr="00D43CFF">
              <w:rPr>
                <w:b/>
                <w:bCs/>
                <w:color w:val="7030A0"/>
              </w:rPr>
              <w:t>Sample “A3”)</w:t>
            </w:r>
          </w:p>
          <w:p w14:paraId="4808EEEA" w14:textId="3BFA06E6" w:rsidR="00195391" w:rsidRPr="00043DA7" w:rsidRDefault="00195391" w:rsidP="009458E6">
            <w:pPr>
              <w:spacing w:after="240"/>
              <w:cnfStyle w:val="000000100000" w:firstRow="0" w:lastRow="0" w:firstColumn="0" w:lastColumn="0" w:oddVBand="0" w:evenVBand="0" w:oddHBand="1" w:evenHBand="0" w:firstRowFirstColumn="0" w:firstRowLastColumn="0" w:lastRowFirstColumn="0" w:lastRowLastColumn="0"/>
              <w:rPr>
                <w:color w:val="7030A0"/>
              </w:rPr>
            </w:pPr>
            <w:r>
              <w:rPr>
                <w:color w:val="7030A0"/>
              </w:rPr>
              <w:t>Dates of Data: January</w:t>
            </w:r>
            <w:r w:rsidRPr="00043DA7">
              <w:rPr>
                <w:color w:val="7030A0"/>
              </w:rPr>
              <w:t xml:space="preserve"> 1, 20</w:t>
            </w:r>
            <w:r>
              <w:rPr>
                <w:color w:val="7030A0"/>
              </w:rPr>
              <w:t>08 – January 31, 2008</w:t>
            </w:r>
          </w:p>
          <w:p w14:paraId="19C272FB" w14:textId="52770B26" w:rsidR="00195391" w:rsidRPr="00043DA7" w:rsidRDefault="00195391" w:rsidP="009458E6">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Number of admissions = </w:t>
            </w:r>
            <w:r w:rsidR="00D43CFF">
              <w:rPr>
                <w:color w:val="7030A0"/>
              </w:rPr>
              <w:t>348,061</w:t>
            </w:r>
          </w:p>
          <w:p w14:paraId="6A3EA9AB" w14:textId="173C879F" w:rsidR="00D43CFF" w:rsidRPr="00D43CFF" w:rsidRDefault="00195391" w:rsidP="00D43CFF">
            <w:pPr>
              <w:spacing w:after="240"/>
              <w:cnfStyle w:val="000000100000" w:firstRow="0" w:lastRow="0" w:firstColumn="0" w:lastColumn="0" w:oddVBand="0" w:evenVBand="0" w:oddHBand="1" w:evenHBand="0" w:firstRowFirstColumn="0" w:firstRowLastColumn="0" w:lastRowFirstColumn="0" w:lastRowLastColumn="0"/>
              <w:rPr>
                <w:color w:val="7030A0"/>
                <w:highlight w:val="yellow"/>
              </w:rPr>
            </w:pPr>
            <w:r w:rsidRPr="00043DA7">
              <w:rPr>
                <w:color w:val="7030A0"/>
              </w:rPr>
              <w:t>Num</w:t>
            </w:r>
            <w:r>
              <w:rPr>
                <w:color w:val="7030A0"/>
              </w:rPr>
              <w:t>ber of measured hospitals:</w:t>
            </w:r>
            <w:r w:rsidR="00D43CFF">
              <w:rPr>
                <w:color w:val="7030A0"/>
              </w:rPr>
              <w:t xml:space="preserve"> 4,579</w:t>
            </w:r>
          </w:p>
          <w:p w14:paraId="7897F87F" w14:textId="21495AB3" w:rsidR="00D43CFF" w:rsidRDefault="00D43CFF" w:rsidP="009458E6">
            <w:pPr>
              <w:cnfStyle w:val="000000100000" w:firstRow="0" w:lastRow="0" w:firstColumn="0" w:lastColumn="0" w:oddVBand="0" w:evenVBand="0" w:oddHBand="1" w:evenHBand="0" w:firstRowFirstColumn="0" w:firstRowLastColumn="0" w:lastRowFirstColumn="0" w:lastRowLastColumn="0"/>
              <w:rPr>
                <w:color w:val="7030A0"/>
              </w:rPr>
            </w:pPr>
            <w:r>
              <w:rPr>
                <w:color w:val="7030A0"/>
              </w:rPr>
              <w:t>Full 2009 Sample:</w:t>
            </w:r>
          </w:p>
          <w:p w14:paraId="4ABC2CBF" w14:textId="77777777" w:rsidR="00D43CFF" w:rsidRPr="00043DA7" w:rsidRDefault="00D43CFF" w:rsidP="00D43CFF">
            <w:pPr>
              <w:spacing w:before="12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This cohort was randomly split for initial model testing.</w:t>
            </w:r>
          </w:p>
          <w:p w14:paraId="300D6711" w14:textId="308A320E" w:rsidR="00D43CFF" w:rsidRPr="00043DA7" w:rsidRDefault="00D43CFF" w:rsidP="00D43CFF">
            <w:pPr>
              <w:spacing w:before="12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First half of split sample</w:t>
            </w:r>
            <w:r>
              <w:rPr>
                <w:color w:val="7030A0"/>
              </w:rPr>
              <w:t xml:space="preserve"> (</w:t>
            </w:r>
            <w:r w:rsidRPr="00D43CFF">
              <w:rPr>
                <w:b/>
                <w:bCs/>
                <w:color w:val="7030A0"/>
              </w:rPr>
              <w:t>Sample “A1”</w:t>
            </w:r>
            <w:r w:rsidRPr="00D43CFF">
              <w:rPr>
                <w:color w:val="7030A0"/>
              </w:rPr>
              <w:t>)</w:t>
            </w:r>
          </w:p>
          <w:p w14:paraId="0D37BC30" w14:textId="0D868EBF" w:rsidR="00D43CFF" w:rsidRPr="00043DA7" w:rsidRDefault="00D43CFF" w:rsidP="00D43CFF">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-Number of Admissions: </w:t>
            </w:r>
            <w:r>
              <w:rPr>
                <w:color w:val="7030A0"/>
              </w:rPr>
              <w:t>173,296</w:t>
            </w:r>
          </w:p>
          <w:p w14:paraId="2E3B3C14" w14:textId="450D63C6" w:rsidR="00D43CFF" w:rsidRPr="00043DA7" w:rsidRDefault="00D43CFF" w:rsidP="00D43CFF">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-Number of Measured Hospitals: </w:t>
            </w:r>
            <w:r>
              <w:rPr>
                <w:color w:val="7030A0"/>
              </w:rPr>
              <w:t>4,508</w:t>
            </w:r>
          </w:p>
          <w:p w14:paraId="317C9F69" w14:textId="0FE3CE4E" w:rsidR="00D43CFF" w:rsidRPr="00D43CFF" w:rsidRDefault="00D43CFF" w:rsidP="00D43CFF">
            <w:pPr>
              <w:spacing w:before="120"/>
              <w:cnfStyle w:val="000000100000" w:firstRow="0" w:lastRow="0" w:firstColumn="0" w:lastColumn="0" w:oddVBand="0" w:evenVBand="0" w:oddHBand="1" w:evenHBand="0" w:firstRowFirstColumn="0" w:firstRowLastColumn="0" w:lastRowFirstColumn="0" w:lastRowLastColumn="0"/>
              <w:rPr>
                <w:b/>
                <w:bCs/>
                <w:color w:val="7030A0"/>
              </w:rPr>
            </w:pPr>
            <w:r w:rsidRPr="00043DA7">
              <w:rPr>
                <w:color w:val="7030A0"/>
              </w:rPr>
              <w:t>Second half of split sample</w:t>
            </w:r>
            <w:r>
              <w:rPr>
                <w:color w:val="7030A0"/>
              </w:rPr>
              <w:t xml:space="preserve"> (</w:t>
            </w:r>
            <w:r w:rsidRPr="00D43CFF">
              <w:rPr>
                <w:b/>
                <w:bCs/>
                <w:color w:val="7030A0"/>
              </w:rPr>
              <w:t>Sample “A2”)</w:t>
            </w:r>
          </w:p>
          <w:p w14:paraId="14FC5850" w14:textId="035E6871" w:rsidR="00D43CFF" w:rsidRPr="00043DA7" w:rsidRDefault="00D43CFF" w:rsidP="00D43CFF">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-Number of Admissions: </w:t>
            </w:r>
            <w:r>
              <w:rPr>
                <w:color w:val="7030A0"/>
              </w:rPr>
              <w:t>173,296</w:t>
            </w:r>
          </w:p>
          <w:p w14:paraId="2FD4AE62" w14:textId="1CC3120E" w:rsidR="00D43CFF" w:rsidRDefault="00D43CFF" w:rsidP="00D43CFF">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-Number of Measured Hospitals: </w:t>
            </w:r>
            <w:r>
              <w:rPr>
                <w:color w:val="7030A0"/>
              </w:rPr>
              <w:t>4,493</w:t>
            </w:r>
          </w:p>
          <w:p w14:paraId="1629555A" w14:textId="77777777" w:rsidR="00D43CFF" w:rsidRDefault="00D43CFF" w:rsidP="009458E6">
            <w:pPr>
              <w:cnfStyle w:val="000000100000" w:firstRow="0" w:lastRow="0" w:firstColumn="0" w:lastColumn="0" w:oddVBand="0" w:evenVBand="0" w:oddHBand="1" w:evenHBand="0" w:firstRowFirstColumn="0" w:firstRowLastColumn="0" w:lastRowFirstColumn="0" w:lastRowLastColumn="0"/>
              <w:rPr>
                <w:color w:val="7030A0"/>
              </w:rPr>
            </w:pPr>
          </w:p>
          <w:p w14:paraId="1649115A" w14:textId="79421E79" w:rsidR="00D43CFF" w:rsidRPr="00043DA7" w:rsidRDefault="00D43CFF" w:rsidP="009458E6">
            <w:pPr>
              <w:cnfStyle w:val="000000100000" w:firstRow="0" w:lastRow="0" w:firstColumn="0" w:lastColumn="0" w:oddVBand="0" w:evenVBand="0" w:oddHBand="1" w:evenHBand="0" w:firstRowFirstColumn="0" w:firstRowLastColumn="0" w:lastRowFirstColumn="0" w:lastRowLastColumn="0"/>
              <w:rPr>
                <w:color w:val="7030A0"/>
              </w:rPr>
            </w:pPr>
          </w:p>
        </w:tc>
      </w:tr>
      <w:tr w:rsidR="00195391" w:rsidRPr="00043DA7" w14:paraId="015ACD4C" w14:textId="77777777" w:rsidTr="009458E6">
        <w:tc>
          <w:tcPr>
            <w:cnfStyle w:val="001000000000" w:firstRow="0" w:lastRow="0" w:firstColumn="1" w:lastColumn="0" w:oddVBand="0" w:evenVBand="0" w:oddHBand="0" w:evenHBand="0" w:firstRowFirstColumn="0" w:firstRowLastColumn="0" w:lastRowFirstColumn="0" w:lastRowLastColumn="0"/>
            <w:tcW w:w="3116" w:type="dxa"/>
          </w:tcPr>
          <w:p w14:paraId="7A0C0B57" w14:textId="5A95DD49" w:rsidR="00195391" w:rsidRPr="00BB03E9" w:rsidRDefault="00195391" w:rsidP="009458E6">
            <w:pPr>
              <w:jc w:val="center"/>
              <w:rPr>
                <w:rFonts w:cstheme="minorHAnsi"/>
                <w:color w:val="FF0000"/>
              </w:rPr>
            </w:pPr>
            <w:r>
              <w:rPr>
                <w:rFonts w:cstheme="minorHAnsi"/>
                <w:color w:val="C00000"/>
              </w:rPr>
              <w:t xml:space="preserve">EM </w:t>
            </w:r>
            <w:r w:rsidRPr="00043DA7">
              <w:rPr>
                <w:rFonts w:cstheme="minorHAnsi"/>
                <w:color w:val="C00000"/>
              </w:rPr>
              <w:t>Testing Dataset</w:t>
            </w:r>
            <w:r>
              <w:rPr>
                <w:rFonts w:cstheme="minorHAnsi"/>
                <w:color w:val="C00000"/>
              </w:rPr>
              <w:br/>
            </w:r>
            <w:r w:rsidRPr="00043DA7">
              <w:rPr>
                <w:rFonts w:cstheme="minorHAnsi"/>
                <w:color w:val="C00000"/>
              </w:rPr>
              <w:t xml:space="preserve">(Medicare Fee-For-Service Administrative Claims </w:t>
            </w:r>
            <w:r>
              <w:rPr>
                <w:rFonts w:cstheme="minorHAnsi"/>
                <w:color w:val="C00000"/>
              </w:rPr>
              <w:t>Data</w:t>
            </w:r>
            <w:r w:rsidR="00784253">
              <w:rPr>
                <w:rFonts w:cstheme="minorHAnsi"/>
                <w:color w:val="C00000"/>
              </w:rPr>
              <w:t>)</w:t>
            </w:r>
            <w:r>
              <w:rPr>
                <w:rFonts w:cstheme="minorHAnsi"/>
                <w:color w:val="C00000"/>
              </w:rPr>
              <w:t xml:space="preserve"> </w:t>
            </w:r>
            <w:r w:rsidRPr="00043DA7">
              <w:rPr>
                <w:rFonts w:cstheme="minorHAnsi"/>
                <w:color w:val="C00000"/>
              </w:rPr>
              <w:t xml:space="preserve">(July 1, 2016 – June 30, 2019) </w:t>
            </w:r>
          </w:p>
        </w:tc>
        <w:tc>
          <w:tcPr>
            <w:tcW w:w="3359" w:type="dxa"/>
          </w:tcPr>
          <w:p w14:paraId="3B1BEF2F" w14:textId="77777777" w:rsidR="00195391" w:rsidRPr="00043DA7"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2a2 Reliability Testing</w:t>
            </w:r>
          </w:p>
          <w:p w14:paraId="39B3AB2D" w14:textId="77777777" w:rsidR="00195391" w:rsidRPr="00043DA7" w:rsidRDefault="00195391" w:rsidP="009458E6">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2b1 Validity Testing</w:t>
            </w:r>
          </w:p>
          <w:p w14:paraId="3CBAB3AA" w14:textId="77777777" w:rsidR="00195391" w:rsidRPr="00043DA7" w:rsidRDefault="00195391" w:rsidP="009458E6">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2b2 Testing of Measure Exclusion</w:t>
            </w:r>
          </w:p>
          <w:p w14:paraId="618B6430" w14:textId="77777777" w:rsidR="00195391" w:rsidRPr="00043DA7" w:rsidRDefault="00195391" w:rsidP="009458E6">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 xml:space="preserve">Section 2b3 Risk Adjustment/Stratification </w:t>
            </w:r>
          </w:p>
          <w:p w14:paraId="3B8F60B3" w14:textId="673EE786" w:rsidR="00195391" w:rsidRPr="00784253" w:rsidRDefault="00784253" w:rsidP="009458E6">
            <w:pPr>
              <w:spacing w:before="240"/>
              <w:cnfStyle w:val="000000000000" w:firstRow="0" w:lastRow="0" w:firstColumn="0" w:lastColumn="0" w:oddVBand="0" w:evenVBand="0" w:oddHBand="0" w:evenHBand="0" w:firstRowFirstColumn="0" w:firstRowLastColumn="0" w:lastRowFirstColumn="0" w:lastRowLastColumn="0"/>
              <w:rPr>
                <w:color w:val="C00000"/>
              </w:rPr>
            </w:pPr>
            <w:r w:rsidRPr="00784253">
              <w:rPr>
                <w:color w:val="C00000"/>
              </w:rPr>
              <w:t xml:space="preserve">Section </w:t>
            </w:r>
            <w:r w:rsidR="00195391" w:rsidRPr="00784253">
              <w:rPr>
                <w:color w:val="C00000"/>
              </w:rPr>
              <w:t>2b3.</w:t>
            </w:r>
            <w:r w:rsidR="00195391" w:rsidRPr="00784253">
              <w:rPr>
                <w:rFonts w:cstheme="minorHAnsi"/>
                <w:color w:val="C00000"/>
              </w:rPr>
              <w:t>6. Statistical Risk Model Discrimination Statistics</w:t>
            </w:r>
          </w:p>
          <w:p w14:paraId="067D9603" w14:textId="77777777" w:rsidR="00195391" w:rsidRPr="00BB03E9" w:rsidRDefault="00195391" w:rsidP="009458E6">
            <w:pPr>
              <w:spacing w:before="240"/>
              <w:cnfStyle w:val="000000000000" w:firstRow="0" w:lastRow="0" w:firstColumn="0" w:lastColumn="0" w:oddVBand="0" w:evenVBand="0" w:oddHBand="0" w:evenHBand="0" w:firstRowFirstColumn="0" w:firstRowLastColumn="0" w:lastRowFirstColumn="0" w:lastRowLastColumn="0"/>
              <w:rPr>
                <w:color w:val="FF0000"/>
              </w:rPr>
            </w:pPr>
            <w:r w:rsidRPr="00043DA7">
              <w:rPr>
                <w:color w:val="C00000"/>
              </w:rPr>
              <w:t>Section 2b4 Meaningful Differences</w:t>
            </w:r>
          </w:p>
        </w:tc>
        <w:tc>
          <w:tcPr>
            <w:tcW w:w="3870" w:type="dxa"/>
          </w:tcPr>
          <w:p w14:paraId="1AF0A28C"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Dates of Data: July</w:t>
            </w:r>
            <w:r>
              <w:rPr>
                <w:color w:val="C00000"/>
              </w:rPr>
              <w:t xml:space="preserve"> </w:t>
            </w:r>
            <w:r w:rsidRPr="002C07DD">
              <w:rPr>
                <w:color w:val="C00000"/>
              </w:rPr>
              <w:t>2016-June</w:t>
            </w:r>
            <w:r>
              <w:rPr>
                <w:color w:val="C00000"/>
              </w:rPr>
              <w:t xml:space="preserve"> </w:t>
            </w:r>
            <w:r w:rsidRPr="002C07DD">
              <w:rPr>
                <w:color w:val="C00000"/>
              </w:rPr>
              <w:t>2019.</w:t>
            </w:r>
          </w:p>
          <w:p w14:paraId="1C9883D8"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r>
              <w:rPr>
                <w:color w:val="C00000"/>
              </w:rPr>
              <w:t>Number of admissions = 987,227</w:t>
            </w:r>
            <w:r w:rsidRPr="002C07DD">
              <w:rPr>
                <w:color w:val="C00000"/>
              </w:rPr>
              <w:t>.</w:t>
            </w:r>
          </w:p>
          <w:p w14:paraId="2206A4AD"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Num</w:t>
            </w:r>
            <w:r>
              <w:rPr>
                <w:color w:val="C00000"/>
              </w:rPr>
              <w:t>ber of measured hospitals: 4,502</w:t>
            </w:r>
            <w:r w:rsidRPr="002C07DD">
              <w:rPr>
                <w:color w:val="C00000"/>
              </w:rPr>
              <w:t>.</w:t>
            </w:r>
          </w:p>
          <w:p w14:paraId="694F2F60"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p>
          <w:p w14:paraId="1DD95F14"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This cohort was randomly split into two halves.</w:t>
            </w:r>
          </w:p>
          <w:p w14:paraId="372136A4"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First half of split sample</w:t>
            </w:r>
          </w:p>
          <w:p w14:paraId="103A0A26"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r>
              <w:rPr>
                <w:color w:val="C00000"/>
              </w:rPr>
              <w:t>- Number of Admissions: 492,506</w:t>
            </w:r>
            <w:r w:rsidRPr="002C07DD">
              <w:rPr>
                <w:color w:val="C00000"/>
              </w:rPr>
              <w:t>.</w:t>
            </w:r>
          </w:p>
          <w:p w14:paraId="1DA3FBBE"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 Nu</w:t>
            </w:r>
            <w:r>
              <w:rPr>
                <w:color w:val="C00000"/>
              </w:rPr>
              <w:t>mber of measured hospitals: 4,457</w:t>
            </w:r>
            <w:r w:rsidRPr="002C07DD">
              <w:rPr>
                <w:color w:val="C00000"/>
              </w:rPr>
              <w:t>.</w:t>
            </w:r>
          </w:p>
          <w:p w14:paraId="70FB5324"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p>
          <w:p w14:paraId="74B1865C"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Second half of split sample</w:t>
            </w:r>
          </w:p>
          <w:p w14:paraId="597C620B"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r>
              <w:rPr>
                <w:color w:val="C00000"/>
              </w:rPr>
              <w:t>- Number of Admissions: 494,721</w:t>
            </w:r>
            <w:r w:rsidRPr="002C07DD">
              <w:rPr>
                <w:color w:val="C00000"/>
              </w:rPr>
              <w:t>.</w:t>
            </w:r>
          </w:p>
          <w:p w14:paraId="13CA2C1F"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 Num</w:t>
            </w:r>
            <w:r>
              <w:rPr>
                <w:color w:val="C00000"/>
              </w:rPr>
              <w:t>ber of measured hospitals: 4,502</w:t>
            </w:r>
            <w:r w:rsidRPr="002C07DD">
              <w:rPr>
                <w:color w:val="C00000"/>
              </w:rPr>
              <w:t>.</w:t>
            </w:r>
          </w:p>
          <w:p w14:paraId="4E0B58DC" w14:textId="77777777" w:rsidR="00195391" w:rsidRPr="002C07DD"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r w:rsidRPr="002C07DD">
              <w:rPr>
                <w:color w:val="C00000"/>
              </w:rPr>
              <w:t>Patient Descriptive Characteristi</w:t>
            </w:r>
            <w:r>
              <w:rPr>
                <w:color w:val="C00000"/>
              </w:rPr>
              <w:t>c</w:t>
            </w:r>
            <w:r w:rsidRPr="002C07DD">
              <w:rPr>
                <w:color w:val="C00000"/>
              </w:rPr>
              <w:t>s:</w:t>
            </w:r>
          </w:p>
          <w:p w14:paraId="1FC5C672" w14:textId="0F44FDC4" w:rsidR="00195391" w:rsidRPr="00043DA7" w:rsidRDefault="00195391" w:rsidP="009458E6">
            <w:pPr>
              <w:cnfStyle w:val="000000000000" w:firstRow="0" w:lastRow="0" w:firstColumn="0" w:lastColumn="0" w:oddVBand="0" w:evenVBand="0" w:oddHBand="0" w:evenHBand="0" w:firstRowFirstColumn="0" w:firstRowLastColumn="0" w:lastRowFirstColumn="0" w:lastRowLastColumn="0"/>
              <w:rPr>
                <w:color w:val="C00000"/>
              </w:rPr>
            </w:pPr>
          </w:p>
        </w:tc>
      </w:tr>
      <w:tr w:rsidR="00195391" w:rsidRPr="00293613" w14:paraId="1E475954" w14:textId="77777777" w:rsidTr="009458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38293D6" w14:textId="77777777" w:rsidR="00195391" w:rsidRPr="00043DA7" w:rsidRDefault="00195391" w:rsidP="009458E6">
            <w:pPr>
              <w:jc w:val="center"/>
              <w:rPr>
                <w:color w:val="7030A0"/>
              </w:rPr>
            </w:pPr>
            <w:r w:rsidRPr="00043DA7">
              <w:rPr>
                <w:rFonts w:cstheme="minorHAnsi"/>
                <w:color w:val="7030A0"/>
              </w:rPr>
              <w:t>The American Community Survey (ACS)</w:t>
            </w:r>
          </w:p>
        </w:tc>
        <w:tc>
          <w:tcPr>
            <w:tcW w:w="3359" w:type="dxa"/>
          </w:tcPr>
          <w:p w14:paraId="136E2734" w14:textId="77777777" w:rsidR="00195391" w:rsidRPr="00043DA7" w:rsidRDefault="00195391" w:rsidP="009458E6">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Section 2b3: Risk adjustment/Stratification for O</w:t>
            </w:r>
            <w:r>
              <w:rPr>
                <w:color w:val="7030A0"/>
              </w:rPr>
              <w:t>utcome or Resource Use Measures</w:t>
            </w:r>
          </w:p>
        </w:tc>
        <w:tc>
          <w:tcPr>
            <w:tcW w:w="3870" w:type="dxa"/>
          </w:tcPr>
          <w:p w14:paraId="03E2A630" w14:textId="77777777" w:rsidR="00195391" w:rsidRPr="00293613" w:rsidRDefault="00195391" w:rsidP="009458E6">
            <w:pPr>
              <w:spacing w:after="240"/>
              <w:cnfStyle w:val="000000100000" w:firstRow="0" w:lastRow="0" w:firstColumn="0" w:lastColumn="0" w:oddVBand="0" w:evenVBand="0" w:oddHBand="1" w:evenHBand="0" w:firstRowFirstColumn="0" w:firstRowLastColumn="0" w:lastRowFirstColumn="0" w:lastRowLastColumn="0"/>
            </w:pPr>
            <w:r w:rsidRPr="00043DA7">
              <w:rPr>
                <w:color w:val="7030A0"/>
              </w:rPr>
              <w:t xml:space="preserve">Dates of Data: </w:t>
            </w:r>
            <w:r w:rsidRPr="00043DA7">
              <w:rPr>
                <w:color w:val="C00000"/>
              </w:rPr>
              <w:t>2013-2017</w:t>
            </w:r>
          </w:p>
          <w:p w14:paraId="290E2251" w14:textId="77777777" w:rsidR="00195391" w:rsidRPr="00293613" w:rsidRDefault="00195391" w:rsidP="009458E6">
            <w:pPr>
              <w:cnfStyle w:val="000000100000" w:firstRow="0" w:lastRow="0" w:firstColumn="0" w:lastColumn="0" w:oddVBand="0" w:evenVBand="0" w:oddHBand="1" w:evenHBand="0" w:firstRowFirstColumn="0" w:firstRowLastColumn="0" w:lastRowFirstColumn="0" w:lastRowLastColumn="0"/>
            </w:pPr>
            <w:r w:rsidRPr="00043DA7">
              <w:rPr>
                <w:color w:val="7030A0"/>
              </w:rPr>
              <w:t xml:space="preserve">We used the AHRQ SES index score derived from the American Community Survey (2013-2017) to study the </w:t>
            </w:r>
            <w:r w:rsidRPr="00043DA7">
              <w:rPr>
                <w:color w:val="7030A0"/>
              </w:rPr>
              <w:lastRenderedPageBreak/>
              <w:t>association between the 30-day readmission outcome and SRFs. The AHRQ SES index score is based on beneficiary 9-digit zip code level of residence and incorporates 7 census variables found in the American Community Survey.</w:t>
            </w:r>
          </w:p>
        </w:tc>
      </w:tr>
      <w:tr w:rsidR="00195391" w:rsidRPr="00293613" w14:paraId="24B1DEED" w14:textId="77777777" w:rsidTr="009458E6">
        <w:tc>
          <w:tcPr>
            <w:cnfStyle w:val="001000000000" w:firstRow="0" w:lastRow="0" w:firstColumn="1" w:lastColumn="0" w:oddVBand="0" w:evenVBand="0" w:oddHBand="0" w:evenHBand="0" w:firstRowFirstColumn="0" w:firstRowLastColumn="0" w:lastRowFirstColumn="0" w:lastRowLastColumn="0"/>
            <w:tcW w:w="3116" w:type="dxa"/>
          </w:tcPr>
          <w:p w14:paraId="323AA9D2" w14:textId="77777777" w:rsidR="00195391" w:rsidRPr="00043DA7" w:rsidRDefault="00195391" w:rsidP="009458E6">
            <w:pPr>
              <w:jc w:val="center"/>
              <w:rPr>
                <w:rFonts w:cstheme="minorHAnsi"/>
                <w:color w:val="7030A0"/>
              </w:rPr>
            </w:pPr>
            <w:r w:rsidRPr="00043DA7">
              <w:rPr>
                <w:rFonts w:cstheme="minorHAnsi"/>
                <w:color w:val="7030A0"/>
              </w:rPr>
              <w:lastRenderedPageBreak/>
              <w:t>Master Beneficiary Summary File (MBSF)</w:t>
            </w:r>
          </w:p>
        </w:tc>
        <w:tc>
          <w:tcPr>
            <w:tcW w:w="3359" w:type="dxa"/>
          </w:tcPr>
          <w:p w14:paraId="0F91A543" w14:textId="77777777" w:rsidR="00195391" w:rsidRPr="00043DA7" w:rsidRDefault="00195391" w:rsidP="009458E6">
            <w:pPr>
              <w:cnfStyle w:val="000000000000" w:firstRow="0" w:lastRow="0" w:firstColumn="0" w:lastColumn="0" w:oddVBand="0" w:evenVBand="0" w:oddHBand="0" w:evenHBand="0" w:firstRowFirstColumn="0" w:firstRowLastColumn="0" w:lastRowFirstColumn="0" w:lastRowLastColumn="0"/>
              <w:rPr>
                <w:color w:val="7030A0"/>
              </w:rPr>
            </w:pPr>
            <w:r w:rsidRPr="00043DA7">
              <w:rPr>
                <w:color w:val="7030A0"/>
              </w:rPr>
              <w:t>Section 2b3: Risk adjustment/Stratification for O</w:t>
            </w:r>
            <w:r>
              <w:rPr>
                <w:color w:val="7030A0"/>
              </w:rPr>
              <w:t>utcome or Resource Use Measures</w:t>
            </w:r>
          </w:p>
        </w:tc>
        <w:tc>
          <w:tcPr>
            <w:tcW w:w="3870" w:type="dxa"/>
          </w:tcPr>
          <w:p w14:paraId="617DAD81" w14:textId="77777777" w:rsidR="00195391" w:rsidRPr="00293613" w:rsidRDefault="00195391" w:rsidP="009458E6">
            <w:pPr>
              <w:spacing w:after="240"/>
              <w:cnfStyle w:val="000000000000" w:firstRow="0" w:lastRow="0" w:firstColumn="0" w:lastColumn="0" w:oddVBand="0" w:evenVBand="0" w:oddHBand="0" w:evenHBand="0" w:firstRowFirstColumn="0" w:firstRowLastColumn="0" w:lastRowFirstColumn="0" w:lastRowLastColumn="0"/>
            </w:pPr>
            <w:r w:rsidRPr="00043DA7">
              <w:rPr>
                <w:color w:val="7030A0"/>
              </w:rPr>
              <w:t xml:space="preserve">Dates of Data: </w:t>
            </w:r>
            <w:r w:rsidRPr="00043DA7">
              <w:rPr>
                <w:color w:val="C00000"/>
              </w:rPr>
              <w:t>July 2016 – June 2019</w:t>
            </w:r>
          </w:p>
          <w:p w14:paraId="2D760BDD" w14:textId="77777777" w:rsidR="00195391" w:rsidRPr="00293613" w:rsidRDefault="00195391" w:rsidP="009458E6">
            <w:pPr>
              <w:cnfStyle w:val="000000000000" w:firstRow="0" w:lastRow="0" w:firstColumn="0" w:lastColumn="0" w:oddVBand="0" w:evenVBand="0" w:oddHBand="0" w:evenHBand="0" w:firstRowFirstColumn="0" w:firstRowLastColumn="0" w:lastRowFirstColumn="0" w:lastRowLastColumn="0"/>
            </w:pPr>
            <w:r w:rsidRPr="00043DA7">
              <w:rPr>
                <w:color w:val="7030A0"/>
              </w:rPr>
              <w:t>We used dual eligible status (for Medicare and Medicaid) derived from the MBSF to study the association between the 30-day measure outcome and dual-eligible status.</w:t>
            </w:r>
          </w:p>
        </w:tc>
      </w:tr>
    </w:tbl>
    <w:p w14:paraId="226B6886" w14:textId="77777777" w:rsidR="00195391" w:rsidRDefault="00195391" w:rsidP="00E37E1B">
      <w:pPr>
        <w:autoSpaceDE w:val="0"/>
        <w:autoSpaceDN w:val="0"/>
        <w:adjustRightInd w:val="0"/>
        <w:spacing w:after="0" w:line="240" w:lineRule="auto"/>
        <w:rPr>
          <w:rFonts w:cstheme="minorHAnsi"/>
          <w:bCs/>
        </w:rPr>
      </w:pP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4652D2D9"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w:t>
      </w:r>
      <w:proofErr w:type="gramStart"/>
      <w:r>
        <w:rPr>
          <w:rFonts w:cstheme="minorHAnsi"/>
          <w:bCs/>
        </w:rPr>
        <w:t>e.g.</w:t>
      </w:r>
      <w:proofErr w:type="gramEnd"/>
      <w:r>
        <w:rPr>
          <w:rFonts w:cstheme="minorHAnsi"/>
          <w:bCs/>
        </w:rPr>
        <w:t xml:space="preserve">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0E2A8A13" w14:textId="77777777" w:rsidR="00BE22E1" w:rsidRDefault="00BE22E1" w:rsidP="00BE22E1">
      <w:pPr>
        <w:autoSpaceDE w:val="0"/>
        <w:autoSpaceDN w:val="0"/>
        <w:adjustRightInd w:val="0"/>
        <w:spacing w:before="120" w:after="0" w:line="240" w:lineRule="auto"/>
        <w:rPr>
          <w:rFonts w:cstheme="minorHAnsi"/>
          <w:bCs/>
          <w:color w:val="C00000"/>
        </w:rPr>
      </w:pPr>
      <w:r>
        <w:rPr>
          <w:rFonts w:cstheme="minorHAnsi"/>
          <w:bCs/>
          <w:color w:val="C00000"/>
        </w:rPr>
        <w:t xml:space="preserve">We selected social risk factor (SRF) variables to analyze after reviewing the literature and examining available national data sources. </w:t>
      </w:r>
      <w:r>
        <w:rPr>
          <w:rFonts w:cstheme="minorHAnsi"/>
          <w:noProof/>
          <w:color w:val="C00000"/>
        </w:rPr>
        <w:t xml:space="preserve">We sought to find variables that are consistently captured in a reliable fashion for all patients in this measure. </w:t>
      </w:r>
      <w:r>
        <w:rPr>
          <w:rFonts w:cstheme="minorHAnsi"/>
          <w:bCs/>
          <w:color w:val="C00000"/>
        </w:rPr>
        <w:t>There is a large body of literature linking various social risk factors to worse health status and higher mortality, readmissions, complications of care, and outcomes and cost of care more broadly</w:t>
      </w:r>
      <w:r>
        <w:rPr>
          <w:rFonts w:cstheme="minorHAnsi"/>
          <w:bCs/>
        </w:rPr>
        <w:t xml:space="preserve">. </w:t>
      </w:r>
      <w:r>
        <w:rPr>
          <w:rFonts w:cstheme="minorHAnsi"/>
          <w:bCs/>
          <w:color w:val="C00000"/>
        </w:rPr>
        <w:t xml:space="preserve">Overall, income, education, and occupation are the </w:t>
      </w:r>
      <w:proofErr w:type="gramStart"/>
      <w:r>
        <w:rPr>
          <w:rFonts w:cstheme="minorHAnsi"/>
          <w:bCs/>
          <w:color w:val="C00000"/>
        </w:rPr>
        <w:t>most commonly examined</w:t>
      </w:r>
      <w:proofErr w:type="gramEnd"/>
      <w:r>
        <w:rPr>
          <w:rFonts w:cstheme="minorHAnsi"/>
          <w:bCs/>
          <w:color w:val="C00000"/>
        </w:rPr>
        <w:t xml:space="preserve"> SRFs studied. </w:t>
      </w:r>
    </w:p>
    <w:p w14:paraId="4107CFDA" w14:textId="0769B3B2" w:rsidR="008B5A4F" w:rsidRDefault="00BE22E1" w:rsidP="00BE22E1">
      <w:pPr>
        <w:autoSpaceDE w:val="0"/>
        <w:autoSpaceDN w:val="0"/>
        <w:adjustRightInd w:val="0"/>
        <w:spacing w:before="120" w:after="0" w:line="240" w:lineRule="auto"/>
        <w:rPr>
          <w:rFonts w:cstheme="minorHAnsi"/>
          <w:bCs/>
          <w:color w:val="C00000"/>
        </w:rPr>
      </w:pPr>
      <w:r w:rsidRPr="00205612">
        <w:rPr>
          <w:rFonts w:cstheme="minorHAnsi"/>
          <w:bCs/>
          <w:color w:val="C00000"/>
        </w:rPr>
        <w:t xml:space="preserve">For heart failure specifically, studies have shown that black and Hispanic Medicare patients with heart failure were less likely to have a follow-up clinic visit but more likely to experience a </w:t>
      </w:r>
      <w:r w:rsidR="008B5A4F">
        <w:rPr>
          <w:rFonts w:cstheme="minorHAnsi"/>
          <w:bCs/>
          <w:color w:val="C00000"/>
        </w:rPr>
        <w:t xml:space="preserve">more costly readmission </w:t>
      </w:r>
      <w:r w:rsidRPr="00205612">
        <w:rPr>
          <w:rFonts w:cstheme="minorHAnsi"/>
          <w:bCs/>
          <w:color w:val="C00000"/>
        </w:rPr>
        <w:t xml:space="preserve">within 30 days of hospital discharge, compared with white patients. In addition, patients with Medicare Advantage plans (considered by the authors as a possible proxy for income) were much less likely to have a follow-up visit </w:t>
      </w:r>
      <w:proofErr w:type="gramStart"/>
      <w:r w:rsidRPr="00205612">
        <w:rPr>
          <w:rFonts w:cstheme="minorHAnsi"/>
          <w:bCs/>
          <w:color w:val="C00000"/>
        </w:rPr>
        <w:t>and also</w:t>
      </w:r>
      <w:proofErr w:type="gramEnd"/>
      <w:r w:rsidRPr="00205612">
        <w:rPr>
          <w:rFonts w:cstheme="minorHAnsi"/>
          <w:bCs/>
          <w:color w:val="C00000"/>
        </w:rPr>
        <w:t xml:space="preserve"> more likely to experience a readmission within 30 days; the inverse was true for patients with commercial insurance. Medicare patients with additional Medicaid coverage were much less likely to have a follow-up visit but also less likely to experience a readmission.</w:t>
      </w:r>
      <w:r w:rsidR="008B5A4F">
        <w:rPr>
          <w:rFonts w:cstheme="minorHAnsi"/>
          <w:bCs/>
          <w:color w:val="C00000"/>
        </w:rPr>
        <w:t xml:space="preserve"> </w:t>
      </w:r>
    </w:p>
    <w:p w14:paraId="3AEB9B42" w14:textId="77777777" w:rsidR="00BE22E1" w:rsidRDefault="00BE22E1" w:rsidP="00BE22E1">
      <w:pPr>
        <w:autoSpaceDE w:val="0"/>
        <w:autoSpaceDN w:val="0"/>
        <w:adjustRightInd w:val="0"/>
        <w:spacing w:before="120" w:after="0" w:line="240" w:lineRule="auto"/>
        <w:rPr>
          <w:rFonts w:cstheme="minorHAnsi"/>
          <w:bCs/>
          <w:color w:val="C00000"/>
        </w:rPr>
      </w:pPr>
      <w:r>
        <w:rPr>
          <w:rFonts w:cstheme="minorHAnsi"/>
          <w:bCs/>
          <w:color w:val="C00000"/>
        </w:rPr>
        <w:t>The causal pathways for SRF variable selection are described below in Section 2b3.3a. Unfortunately, these variables are not available at the patient level for this measure. Therefore, proxy measures of income, education level and economic status were selected.</w:t>
      </w:r>
    </w:p>
    <w:p w14:paraId="7BAFFCC7" w14:textId="77777777" w:rsidR="00BE22E1" w:rsidRDefault="00BE22E1" w:rsidP="00BE22E1">
      <w:pPr>
        <w:autoSpaceDE w:val="0"/>
        <w:autoSpaceDN w:val="0"/>
        <w:adjustRightInd w:val="0"/>
        <w:spacing w:before="120" w:after="0" w:line="240" w:lineRule="auto"/>
        <w:rPr>
          <w:rFonts w:cstheme="minorHAnsi"/>
          <w:bCs/>
          <w:color w:val="C00000"/>
        </w:rPr>
      </w:pPr>
      <w:r>
        <w:rPr>
          <w:rFonts w:cstheme="minorHAnsi"/>
          <w:bCs/>
          <w:color w:val="C00000"/>
        </w:rPr>
        <w:t>The SRF variables used for analysis were:</w:t>
      </w:r>
    </w:p>
    <w:p w14:paraId="29815B46" w14:textId="77777777" w:rsidR="00BE22E1" w:rsidRDefault="00BE22E1" w:rsidP="00BE22E1">
      <w:pPr>
        <w:pStyle w:val="ListParagraph"/>
        <w:numPr>
          <w:ilvl w:val="0"/>
          <w:numId w:val="35"/>
        </w:numPr>
        <w:autoSpaceDE w:val="0"/>
        <w:autoSpaceDN w:val="0"/>
        <w:adjustRightInd w:val="0"/>
        <w:spacing w:before="120" w:after="0" w:line="240" w:lineRule="auto"/>
        <w:ind w:left="360"/>
        <w:rPr>
          <w:rFonts w:cstheme="minorHAnsi"/>
          <w:bCs/>
          <w:color w:val="C00000"/>
        </w:rPr>
      </w:pPr>
      <w:r>
        <w:rPr>
          <w:rFonts w:cstheme="minorHAnsi"/>
          <w:bCs/>
          <w:color w:val="C00000"/>
        </w:rPr>
        <w:t>Dual eligible status: Dual eligible status (i.e., enrolled in both Medicare and Medicaid) patient-level data is obtained from the CMS Master Beneficiary Summary File (MBSF).</w:t>
      </w:r>
    </w:p>
    <w:p w14:paraId="6297655E" w14:textId="77777777" w:rsidR="00BE22E1" w:rsidRDefault="00BE22E1" w:rsidP="00BE22E1">
      <w:pPr>
        <w:autoSpaceDE w:val="0"/>
        <w:autoSpaceDN w:val="0"/>
        <w:adjustRightInd w:val="0"/>
        <w:spacing w:before="120" w:after="120" w:line="240" w:lineRule="auto"/>
        <w:ind w:left="360"/>
        <w:rPr>
          <w:rFonts w:cstheme="minorHAnsi"/>
          <w:noProof/>
          <w:color w:val="C00000"/>
        </w:rPr>
      </w:pPr>
      <w:r>
        <w:rPr>
          <w:rFonts w:cstheme="minorHAnsi"/>
          <w:noProof/>
          <w:color w:val="C00000"/>
        </w:rPr>
        <w:t xml:space="preserve">Following guidance from ASPE and a body of literature demonstrating differential health care and health outcomes among dual eligible patients, we identified dual eligibility as a key variable (ASPE 2016; ASPE 2020). </w:t>
      </w:r>
      <w:r>
        <w:rPr>
          <w:rFonts w:cstheme="minorHAnsi"/>
          <w:bCs/>
          <w:color w:val="C00000"/>
        </w:rPr>
        <w:t xml:space="preserve">We recognize that Medicare-Medicaid dual eligibility has limitations as a proxy for patients' income or assets because it does not provide a range of results and is only a </w:t>
      </w:r>
      <w:r>
        <w:rPr>
          <w:rFonts w:cstheme="minorHAnsi"/>
          <w:bCs/>
          <w:color w:val="C00000"/>
        </w:rPr>
        <w:lastRenderedPageBreak/>
        <w:t xml:space="preserve">dichotomous outcome. However, the threshold for over 65-year-old Medicare patients is valuable, as it </w:t>
      </w:r>
      <w:proofErr w:type="gramStart"/>
      <w:r>
        <w:rPr>
          <w:rFonts w:cstheme="minorHAnsi"/>
          <w:bCs/>
          <w:color w:val="C00000"/>
        </w:rPr>
        <w:t>takes into account</w:t>
      </w:r>
      <w:proofErr w:type="gramEnd"/>
      <w:r>
        <w:rPr>
          <w:rFonts w:cstheme="minorHAnsi"/>
          <w:bCs/>
          <w:color w:val="C00000"/>
        </w:rPr>
        <w:t xml:space="preserve"> both income and assets and is consistently applied across states for the older population. </w:t>
      </w:r>
      <w:r>
        <w:rPr>
          <w:rFonts w:cstheme="minorHAnsi"/>
          <w:noProof/>
          <w:color w:val="C00000"/>
        </w:rPr>
        <w:t>We acknowledge that it is important to test a wider variety of SRFs including key variables such as education and poverty level; therefore, we also tested a validated composite based on census data linked to as small a geographic unit as possible.</w:t>
      </w:r>
    </w:p>
    <w:p w14:paraId="6518B84A" w14:textId="77777777" w:rsidR="00BE22E1" w:rsidRDefault="00BE22E1" w:rsidP="00BE22E1">
      <w:pPr>
        <w:pStyle w:val="ListParagraph"/>
        <w:numPr>
          <w:ilvl w:val="0"/>
          <w:numId w:val="35"/>
        </w:numPr>
        <w:autoSpaceDE w:val="0"/>
        <w:autoSpaceDN w:val="0"/>
        <w:adjustRightInd w:val="0"/>
        <w:spacing w:before="120" w:after="0" w:line="240" w:lineRule="auto"/>
        <w:ind w:left="360"/>
        <w:rPr>
          <w:rFonts w:cstheme="minorHAnsi"/>
          <w:bCs/>
          <w:color w:val="C00000"/>
        </w:rPr>
      </w:pPr>
      <w:r>
        <w:rPr>
          <w:rFonts w:cstheme="minorHAnsi"/>
          <w:bCs/>
          <w:color w:val="C00000"/>
        </w:rPr>
        <w:t>AHRQ-validated SES index score (summarizing the information from the following 7 variables): percentage of people in the labor force who are unemployed, percentage of people living below poverty level, median household income, median value of owner-occupied dwellings, percentage of people ≥25 years of age with less than a 12</w:t>
      </w:r>
      <w:r>
        <w:rPr>
          <w:rFonts w:cstheme="minorHAnsi"/>
          <w:bCs/>
          <w:color w:val="C00000"/>
          <w:vertAlign w:val="superscript"/>
        </w:rPr>
        <w:t>th</w:t>
      </w:r>
      <w:r>
        <w:rPr>
          <w:rFonts w:cstheme="minorHAnsi"/>
          <w:bCs/>
          <w:color w:val="C00000"/>
        </w:rPr>
        <w:t xml:space="preserve"> grade education, percentage of people ≥25 years of age completing ≥4 years of college, and percentage of households that average ≥1 people per room) </w:t>
      </w:r>
    </w:p>
    <w:p w14:paraId="0062D35E" w14:textId="15F8484A" w:rsidR="00BE22E1" w:rsidRDefault="00784253" w:rsidP="00BE22E1">
      <w:pPr>
        <w:autoSpaceDE w:val="0"/>
        <w:autoSpaceDN w:val="0"/>
        <w:adjustRightInd w:val="0"/>
        <w:spacing w:before="120" w:after="0" w:line="240" w:lineRule="auto"/>
        <w:ind w:left="360"/>
        <w:rPr>
          <w:rFonts w:cstheme="minorHAnsi"/>
          <w:bCs/>
          <w:color w:val="C00000"/>
        </w:rPr>
      </w:pPr>
      <w:r>
        <w:rPr>
          <w:rFonts w:cstheme="minorHAnsi"/>
          <w:bCs/>
          <w:color w:val="C00000"/>
        </w:rPr>
        <w:t>W</w:t>
      </w:r>
      <w:r w:rsidR="00BE22E1">
        <w:rPr>
          <w:rFonts w:cstheme="minorHAnsi"/>
          <w:bCs/>
          <w:color w:val="C00000"/>
        </w:rPr>
        <w:t xml:space="preserve">e selected the AHRQ SES index score because it is a well-validated variable that describes the average SES of people living in defined geographic areas. Its value as a proxy for patient-level information is dependent on having the most granular-level data with respect to communities that patients live in. We considered the area deprivation index (ADI) among many other potential indicators when we initially evaluated the impact of SDS indicators. We ultimately did not include the ADI at the time, partly </w:t>
      </w:r>
      <w:proofErr w:type="gramStart"/>
      <w:r w:rsidR="00BE22E1">
        <w:rPr>
          <w:rFonts w:cstheme="minorHAnsi"/>
          <w:bCs/>
          <w:color w:val="C00000"/>
        </w:rPr>
        <w:t>due to the fact that</w:t>
      </w:r>
      <w:proofErr w:type="gramEnd"/>
      <w:r w:rsidR="00BE22E1">
        <w:rPr>
          <w:rFonts w:cstheme="minorHAnsi"/>
          <w:bCs/>
          <w:color w:val="C00000"/>
        </w:rPr>
        <w:t xml:space="preserve"> the coefficients used to derive ADI had not been updated for many years. Recently, the coefficients for ADI have been updated and therefore we compared the ADI with the AHRQ SES Index and found them to be highly correlated. In this submission, we present analyses using the census block level, the most granular level possible using American Community Survey (ACS) data. A census block group is a geographical unit used by the US Census Bureau which is between the census tract and the census block. It is the smallest geographical unit for which the bureau publishes sample data. The target size for block groups is 1,500 and they typically have a population of 600 to 3,000 people. We used 2013-2017 ACS data and mapped patients’ 9-digit ZIP codes via vendor software to the census block group level. Given the variation in cost of living across the country, the median income and median property value components of the AHRQ SES Index were adjusted by regional price parity values published by the Bureau of Economic Analysis (BEA). This provides a better marker of low SES neighborhoods in high expense geographic areas. We then calculated an AHRQ SES Index score for census block groups that can be linked to 9-digit ZIP codes. We used the percentage of patients with an AHRQ SES index score equal to or below 42.7 to define the lowest quartile of the AHRQ SES Index.</w:t>
      </w:r>
    </w:p>
    <w:p w14:paraId="664339E1" w14:textId="77777777" w:rsidR="004065CD" w:rsidRDefault="004065CD" w:rsidP="00195391">
      <w:pPr>
        <w:autoSpaceDE w:val="0"/>
        <w:autoSpaceDN w:val="0"/>
        <w:adjustRightInd w:val="0"/>
        <w:spacing w:before="120" w:after="0" w:line="240" w:lineRule="auto"/>
        <w:rPr>
          <w:rFonts w:cstheme="minorHAnsi"/>
          <w:bCs/>
          <w:color w:val="C00000"/>
        </w:rPr>
      </w:pPr>
    </w:p>
    <w:p w14:paraId="5C845089" w14:textId="496C9955" w:rsidR="00195391" w:rsidRDefault="00195391" w:rsidP="00195391">
      <w:pPr>
        <w:autoSpaceDE w:val="0"/>
        <w:autoSpaceDN w:val="0"/>
        <w:adjustRightInd w:val="0"/>
        <w:spacing w:before="120" w:after="0" w:line="240" w:lineRule="auto"/>
        <w:rPr>
          <w:rFonts w:cstheme="minorHAnsi"/>
          <w:bCs/>
          <w:color w:val="C00000"/>
        </w:rPr>
      </w:pPr>
      <w:r>
        <w:rPr>
          <w:rFonts w:cstheme="minorHAnsi"/>
          <w:bCs/>
          <w:color w:val="C00000"/>
          <w:u w:val="single"/>
        </w:rPr>
        <w:t>References</w:t>
      </w:r>
      <w:r>
        <w:rPr>
          <w:rFonts w:cstheme="minorHAnsi"/>
          <w:bCs/>
          <w:color w:val="C00000"/>
        </w:rPr>
        <w:t>:</w:t>
      </w:r>
    </w:p>
    <w:p w14:paraId="5B128982" w14:textId="77777777" w:rsidR="00195391" w:rsidRDefault="00195391" w:rsidP="00195391">
      <w:pPr>
        <w:autoSpaceDE w:val="0"/>
        <w:autoSpaceDN w:val="0"/>
        <w:adjustRightInd w:val="0"/>
        <w:spacing w:before="120" w:after="0" w:line="240" w:lineRule="auto"/>
        <w:rPr>
          <w:rFonts w:cstheme="minorHAnsi"/>
          <w:bCs/>
          <w:color w:val="C00000"/>
        </w:rPr>
      </w:pPr>
      <w:r>
        <w:rPr>
          <w:rFonts w:cstheme="minorHAnsi"/>
          <w:bCs/>
          <w:color w:val="C00000"/>
        </w:rPr>
        <w:t>Adler NE, Newman K. Socioeconomic disparities in health: pathways and policies. Health affairs (Project Hope). 2002; 21(2):60-76.</w:t>
      </w:r>
    </w:p>
    <w:p w14:paraId="71323616" w14:textId="77777777" w:rsidR="00195391" w:rsidRDefault="00195391" w:rsidP="00195391">
      <w:pPr>
        <w:autoSpaceDE w:val="0"/>
        <w:autoSpaceDN w:val="0"/>
        <w:adjustRightInd w:val="0"/>
        <w:spacing w:before="120" w:after="0" w:line="240" w:lineRule="auto"/>
        <w:rPr>
          <w:rFonts w:cstheme="minorHAnsi"/>
          <w:bCs/>
          <w:color w:val="C00000"/>
        </w:rPr>
      </w:pPr>
      <w:r>
        <w:rPr>
          <w:rFonts w:cstheme="minorHAnsi"/>
          <w:bCs/>
          <w:color w:val="C00000"/>
        </w:rPr>
        <w:t xml:space="preserve">Blum AB, </w:t>
      </w:r>
      <w:proofErr w:type="spellStart"/>
      <w:r>
        <w:rPr>
          <w:rFonts w:cstheme="minorHAnsi"/>
          <w:bCs/>
          <w:color w:val="C00000"/>
        </w:rPr>
        <w:t>Egorova</w:t>
      </w:r>
      <w:proofErr w:type="spellEnd"/>
      <w:r>
        <w:rPr>
          <w:rFonts w:cstheme="minorHAnsi"/>
          <w:bCs/>
          <w:color w:val="C00000"/>
        </w:rPr>
        <w:t xml:space="preserve"> NN, </w:t>
      </w:r>
      <w:proofErr w:type="spellStart"/>
      <w:r>
        <w:rPr>
          <w:rFonts w:cstheme="minorHAnsi"/>
          <w:bCs/>
          <w:color w:val="C00000"/>
        </w:rPr>
        <w:t>Sosunov</w:t>
      </w:r>
      <w:proofErr w:type="spellEnd"/>
      <w:r>
        <w:rPr>
          <w:rFonts w:cstheme="minorHAnsi"/>
          <w:bCs/>
          <w:color w:val="C00000"/>
        </w:rPr>
        <w:t xml:space="preserve"> EA, et al. Impact of socioeconomic status measures on hospital profiling in New York City. Circulation. Cardiovascular quality and outcomes. May 2014; 7(3):391-397.</w:t>
      </w:r>
    </w:p>
    <w:p w14:paraId="2E51DF7B" w14:textId="77777777" w:rsidR="00195391" w:rsidRDefault="00195391" w:rsidP="00195391">
      <w:pPr>
        <w:autoSpaceDE w:val="0"/>
        <w:autoSpaceDN w:val="0"/>
        <w:adjustRightInd w:val="0"/>
        <w:spacing w:before="120" w:after="0" w:line="240" w:lineRule="auto"/>
        <w:rPr>
          <w:rFonts w:cstheme="minorHAnsi"/>
          <w:bCs/>
          <w:color w:val="C00000"/>
        </w:rPr>
      </w:pPr>
      <w:r>
        <w:rPr>
          <w:rFonts w:cstheme="minorHAnsi"/>
          <w:bCs/>
          <w:color w:val="C00000"/>
        </w:rPr>
        <w:t xml:space="preserve">Bonito A, Bann C, </w:t>
      </w:r>
      <w:proofErr w:type="spellStart"/>
      <w:r>
        <w:rPr>
          <w:rFonts w:cstheme="minorHAnsi"/>
          <w:bCs/>
          <w:color w:val="C00000"/>
        </w:rPr>
        <w:t>Eicheldinger</w:t>
      </w:r>
      <w:proofErr w:type="spellEnd"/>
      <w:r>
        <w:rPr>
          <w:rFonts w:cstheme="minorHAnsi"/>
          <w:bCs/>
          <w:color w:val="C00000"/>
        </w:rPr>
        <w:t xml:space="preserve"> C, Carpenter L. Creation of new race-ethnicity codes and socioeconomic status (SES) indicators for Medicare beneficiaries. Final Report, Sub-Task. 2008;2.</w:t>
      </w:r>
    </w:p>
    <w:p w14:paraId="04091DE0" w14:textId="77777777" w:rsidR="00192F6F" w:rsidRPr="00A30A25" w:rsidRDefault="00192F6F" w:rsidP="00192F6F">
      <w:pPr>
        <w:autoSpaceDE w:val="0"/>
        <w:autoSpaceDN w:val="0"/>
        <w:adjustRightInd w:val="0"/>
        <w:spacing w:before="120" w:after="0" w:line="240" w:lineRule="auto"/>
        <w:rPr>
          <w:rFonts w:cstheme="minorHAnsi"/>
          <w:bCs/>
          <w:color w:val="C00000"/>
        </w:rPr>
      </w:pPr>
      <w:proofErr w:type="spellStart"/>
      <w:r w:rsidRPr="00A30A25">
        <w:rPr>
          <w:rFonts w:cstheme="minorHAnsi"/>
          <w:bCs/>
          <w:color w:val="C00000"/>
        </w:rPr>
        <w:t>DeLia</w:t>
      </w:r>
      <w:proofErr w:type="spellEnd"/>
      <w:r w:rsidRPr="00A30A25">
        <w:rPr>
          <w:rFonts w:cstheme="minorHAnsi"/>
          <w:bCs/>
          <w:color w:val="C00000"/>
        </w:rPr>
        <w:t xml:space="preserve">, D., Tong, J., </w:t>
      </w:r>
      <w:proofErr w:type="spellStart"/>
      <w:r w:rsidRPr="00A30A25">
        <w:rPr>
          <w:rFonts w:cstheme="minorHAnsi"/>
          <w:bCs/>
          <w:color w:val="C00000"/>
        </w:rPr>
        <w:t>Gaboda</w:t>
      </w:r>
      <w:proofErr w:type="spellEnd"/>
      <w:r w:rsidRPr="00A30A25">
        <w:rPr>
          <w:rFonts w:cstheme="minorHAnsi"/>
          <w:bCs/>
          <w:color w:val="C00000"/>
        </w:rPr>
        <w:t xml:space="preserve">, D., &amp; </w:t>
      </w:r>
      <w:proofErr w:type="spellStart"/>
      <w:r w:rsidRPr="00A30A25">
        <w:rPr>
          <w:rFonts w:cstheme="minorHAnsi"/>
          <w:bCs/>
          <w:color w:val="C00000"/>
        </w:rPr>
        <w:t>Casalino</w:t>
      </w:r>
      <w:proofErr w:type="spellEnd"/>
      <w:r w:rsidRPr="00A30A25">
        <w:rPr>
          <w:rFonts w:cstheme="minorHAnsi"/>
          <w:bCs/>
          <w:color w:val="C00000"/>
        </w:rPr>
        <w:t xml:space="preserve">, L. P. (2014). Post-discharge follow-up visits and hospital utilization by Medicare patients, 2007-2010. Medicare &amp; </w:t>
      </w:r>
      <w:proofErr w:type="spellStart"/>
      <w:r w:rsidRPr="00A30A25">
        <w:rPr>
          <w:rFonts w:cstheme="minorHAnsi"/>
          <w:bCs/>
          <w:color w:val="C00000"/>
        </w:rPr>
        <w:t>medicaid</w:t>
      </w:r>
      <w:proofErr w:type="spellEnd"/>
      <w:r w:rsidRPr="00A30A25">
        <w:rPr>
          <w:rFonts w:cstheme="minorHAnsi"/>
          <w:bCs/>
          <w:color w:val="C00000"/>
        </w:rPr>
        <w:t xml:space="preserve"> research review, 4(2), mmrr.004.</w:t>
      </w:r>
      <w:proofErr w:type="gramStart"/>
      <w:r w:rsidRPr="00A30A25">
        <w:rPr>
          <w:rFonts w:cstheme="minorHAnsi"/>
          <w:bCs/>
          <w:color w:val="C00000"/>
        </w:rPr>
        <w:t>02.a</w:t>
      </w:r>
      <w:proofErr w:type="gramEnd"/>
      <w:r w:rsidRPr="00A30A25">
        <w:rPr>
          <w:rFonts w:cstheme="minorHAnsi"/>
          <w:bCs/>
          <w:color w:val="C00000"/>
        </w:rPr>
        <w:t xml:space="preserve">01. </w:t>
      </w:r>
    </w:p>
    <w:p w14:paraId="15F74455" w14:textId="77777777" w:rsidR="00195391" w:rsidRDefault="00195391" w:rsidP="00195391">
      <w:pPr>
        <w:autoSpaceDE w:val="0"/>
        <w:autoSpaceDN w:val="0"/>
        <w:adjustRightInd w:val="0"/>
        <w:spacing w:before="120" w:after="0" w:line="240" w:lineRule="auto"/>
        <w:rPr>
          <w:rFonts w:cstheme="minorHAnsi"/>
          <w:bCs/>
          <w:iCs/>
          <w:color w:val="C00000"/>
        </w:rPr>
      </w:pPr>
      <w:r>
        <w:rPr>
          <w:rFonts w:cstheme="minorHAnsi"/>
          <w:bCs/>
          <w:iCs/>
          <w:color w:val="C00000"/>
        </w:rPr>
        <w:t xml:space="preserve">Department of Health and Human Services, Office of the Assistant Secretary of Planning and Evaluation (ASPE). Report to Congress: Social Risk factors and Performance Under Medicare’s Value-based Payment </w:t>
      </w:r>
      <w:r>
        <w:rPr>
          <w:rFonts w:cstheme="minorHAnsi"/>
          <w:bCs/>
          <w:iCs/>
          <w:color w:val="C00000"/>
        </w:rPr>
        <w:lastRenderedPageBreak/>
        <w:t xml:space="preserve">Programs. 2016; </w:t>
      </w:r>
      <w:hyperlink r:id="rId14" w:history="1">
        <w:r>
          <w:rPr>
            <w:rStyle w:val="Hyperlink"/>
            <w:rFonts w:cstheme="minorHAnsi"/>
            <w:color w:val="C00000"/>
          </w:rPr>
          <w:t>https://aspe.hhs.gov/pdf-report/report-congress-social-risk-factors-and-performance-under-medicares-value-based-purchasing-programs</w:t>
        </w:r>
      </w:hyperlink>
      <w:r>
        <w:rPr>
          <w:rFonts w:cstheme="minorHAnsi"/>
          <w:bCs/>
          <w:iCs/>
          <w:color w:val="C00000"/>
        </w:rPr>
        <w:t>. Accessed November 10, 2019.</w:t>
      </w:r>
    </w:p>
    <w:p w14:paraId="4F62220F" w14:textId="77777777" w:rsidR="0011504A" w:rsidRPr="000A6F1B" w:rsidRDefault="0011504A" w:rsidP="0011504A">
      <w:pPr>
        <w:autoSpaceDE w:val="0"/>
        <w:autoSpaceDN w:val="0"/>
        <w:adjustRightInd w:val="0"/>
        <w:spacing w:before="120" w:after="120" w:line="240" w:lineRule="auto"/>
        <w:rPr>
          <w:rFonts w:cstheme="minorHAnsi"/>
          <w:iCs/>
          <w:noProof/>
          <w:color w:val="C00000"/>
        </w:rPr>
      </w:pPr>
      <w:bookmarkStart w:id="13" w:name="_Hlk60629992"/>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15" w:history="1">
        <w:r w:rsidRPr="00C72A25">
          <w:rPr>
            <w:rStyle w:val="Hyperlink"/>
            <w:rFonts w:cstheme="minorHAnsi"/>
            <w:iCs/>
            <w:noProof/>
          </w:rPr>
          <w:t>https://aspe.hhs.gov/pdf-report/second-impact-report-to-congress</w:t>
        </w:r>
      </w:hyperlink>
      <w:r>
        <w:rPr>
          <w:rFonts w:cstheme="minorHAnsi"/>
          <w:iCs/>
          <w:noProof/>
          <w:color w:val="C00000"/>
        </w:rPr>
        <w:t>. Accessed January 4, 2021</w:t>
      </w:r>
      <w:r w:rsidRPr="000A6F1B">
        <w:rPr>
          <w:rFonts w:cstheme="minorHAnsi"/>
          <w:iCs/>
          <w:noProof/>
          <w:color w:val="C00000"/>
        </w:rPr>
        <w:t>.</w:t>
      </w:r>
    </w:p>
    <w:p w14:paraId="44531195" w14:textId="77777777" w:rsidR="00195391" w:rsidRDefault="00195391" w:rsidP="00195391">
      <w:pPr>
        <w:autoSpaceDE w:val="0"/>
        <w:autoSpaceDN w:val="0"/>
        <w:adjustRightInd w:val="0"/>
        <w:spacing w:before="120" w:after="0" w:line="240" w:lineRule="auto"/>
        <w:rPr>
          <w:rFonts w:cstheme="minorHAnsi"/>
          <w:bCs/>
          <w:iCs/>
          <w:color w:val="C00000"/>
        </w:rPr>
      </w:pPr>
      <w:proofErr w:type="spellStart"/>
      <w:r>
        <w:rPr>
          <w:rFonts w:cstheme="minorHAnsi"/>
          <w:bCs/>
          <w:iCs/>
          <w:color w:val="C00000"/>
        </w:rPr>
        <w:t>Eapen</w:t>
      </w:r>
      <w:proofErr w:type="spellEnd"/>
      <w:r>
        <w:rPr>
          <w:rFonts w:cstheme="minorHAnsi"/>
          <w:bCs/>
          <w:iCs/>
          <w:color w:val="C00000"/>
        </w:rPr>
        <w:t xml:space="preserve"> ZJ, McCoy LA, </w:t>
      </w:r>
      <w:proofErr w:type="spellStart"/>
      <w:r>
        <w:rPr>
          <w:rFonts w:cstheme="minorHAnsi"/>
          <w:bCs/>
          <w:iCs/>
          <w:color w:val="C00000"/>
        </w:rPr>
        <w:t>Fonarow</w:t>
      </w:r>
      <w:proofErr w:type="spellEnd"/>
      <w:r>
        <w:rPr>
          <w:rFonts w:cstheme="minorHAnsi"/>
          <w:bCs/>
          <w:iCs/>
          <w:color w:val="C00000"/>
        </w:rPr>
        <w:t xml:space="preserve"> GC, Yancy CW, Miranda ML, Peterson ED, </w:t>
      </w:r>
      <w:proofErr w:type="spellStart"/>
      <w:r>
        <w:rPr>
          <w:rFonts w:cstheme="minorHAnsi"/>
          <w:bCs/>
          <w:iCs/>
          <w:color w:val="C00000"/>
        </w:rPr>
        <w:t>Califf</w:t>
      </w:r>
      <w:proofErr w:type="spellEnd"/>
      <w:r>
        <w:rPr>
          <w:rFonts w:cstheme="minorHAnsi"/>
          <w:bCs/>
          <w:iCs/>
          <w:color w:val="C00000"/>
        </w:rPr>
        <w:t xml:space="preserve"> RM, Hernandez AF. Utility of socioeconomic status in predicting 30-day outcomes after heart failure hospitalization. Circ Heart Fail. May 2015; 8(3):473-80.</w:t>
      </w:r>
    </w:p>
    <w:p w14:paraId="41D651C1" w14:textId="77777777" w:rsidR="00195391" w:rsidRDefault="00195391" w:rsidP="00195391">
      <w:pPr>
        <w:autoSpaceDE w:val="0"/>
        <w:autoSpaceDN w:val="0"/>
        <w:adjustRightInd w:val="0"/>
        <w:spacing w:before="120" w:after="0" w:line="240" w:lineRule="auto"/>
        <w:rPr>
          <w:rFonts w:cstheme="minorHAnsi"/>
          <w:bCs/>
          <w:iCs/>
          <w:color w:val="C00000"/>
        </w:rPr>
      </w:pPr>
      <w:r>
        <w:rPr>
          <w:rFonts w:cstheme="minorHAnsi"/>
          <w:bCs/>
          <w:iCs/>
          <w:color w:val="C00000"/>
        </w:rPr>
        <w:t xml:space="preserve">Gilman M, Adams EK, Hockenberry JM, Wilson IB, Milstein AS, Becker ER. California safety-net hospitals likely to be penalized by ACA value, readmission, and meaningful-use programs. Health </w:t>
      </w:r>
      <w:proofErr w:type="spellStart"/>
      <w:r>
        <w:rPr>
          <w:rFonts w:cstheme="minorHAnsi"/>
          <w:bCs/>
          <w:iCs/>
          <w:color w:val="C00000"/>
        </w:rPr>
        <w:t>Aff</w:t>
      </w:r>
      <w:proofErr w:type="spellEnd"/>
      <w:r>
        <w:rPr>
          <w:rFonts w:cstheme="minorHAnsi"/>
          <w:bCs/>
          <w:iCs/>
          <w:color w:val="C00000"/>
        </w:rPr>
        <w:t xml:space="preserve"> (Millwood). Aug 2014; 33(8):1314-22.</w:t>
      </w:r>
    </w:p>
    <w:bookmarkEnd w:id="13"/>
    <w:p w14:paraId="560B1DAC" w14:textId="77777777" w:rsidR="00195391" w:rsidRDefault="00195391" w:rsidP="00195391">
      <w:pPr>
        <w:autoSpaceDE w:val="0"/>
        <w:autoSpaceDN w:val="0"/>
        <w:adjustRightInd w:val="0"/>
        <w:spacing w:before="120" w:after="0" w:line="240" w:lineRule="auto"/>
        <w:rPr>
          <w:rFonts w:cstheme="minorHAnsi"/>
          <w:bCs/>
          <w:iCs/>
          <w:color w:val="C00000"/>
        </w:rPr>
      </w:pPr>
      <w:proofErr w:type="spellStart"/>
      <w:r>
        <w:rPr>
          <w:rFonts w:cstheme="minorHAnsi"/>
          <w:bCs/>
          <w:iCs/>
          <w:color w:val="C00000"/>
        </w:rPr>
        <w:t>Glymour</w:t>
      </w:r>
      <w:proofErr w:type="spellEnd"/>
      <w:r>
        <w:rPr>
          <w:rFonts w:cstheme="minorHAnsi"/>
          <w:bCs/>
          <w:iCs/>
          <w:color w:val="C00000"/>
        </w:rPr>
        <w:t xml:space="preserve"> MM, Kosheleva A, Boden-</w:t>
      </w:r>
      <w:proofErr w:type="spellStart"/>
      <w:r>
        <w:rPr>
          <w:rFonts w:cstheme="minorHAnsi"/>
          <w:bCs/>
          <w:iCs/>
          <w:color w:val="C00000"/>
        </w:rPr>
        <w:t>Albala</w:t>
      </w:r>
      <w:proofErr w:type="spellEnd"/>
      <w:r>
        <w:rPr>
          <w:rFonts w:cstheme="minorHAnsi"/>
          <w:bCs/>
          <w:iCs/>
          <w:color w:val="C00000"/>
        </w:rPr>
        <w:t xml:space="preserve"> B. </w:t>
      </w:r>
      <w:proofErr w:type="gramStart"/>
      <w:r>
        <w:rPr>
          <w:rFonts w:cstheme="minorHAnsi"/>
          <w:bCs/>
          <w:iCs/>
          <w:color w:val="C00000"/>
        </w:rPr>
        <w:t>Birth</w:t>
      </w:r>
      <w:proofErr w:type="gramEnd"/>
      <w:r>
        <w:rPr>
          <w:rFonts w:cstheme="minorHAnsi"/>
          <w:bCs/>
          <w:iCs/>
          <w:color w:val="C00000"/>
        </w:rPr>
        <w:t xml:space="preserve"> and adult residence in the Stroke Belt independently predict stroke mortality. Neurology. Dec </w:t>
      </w:r>
      <w:proofErr w:type="gramStart"/>
      <w:r>
        <w:rPr>
          <w:rFonts w:cstheme="minorHAnsi"/>
          <w:bCs/>
          <w:iCs/>
          <w:color w:val="C00000"/>
        </w:rPr>
        <w:t>1</w:t>
      </w:r>
      <w:proofErr w:type="gramEnd"/>
      <w:r>
        <w:rPr>
          <w:rFonts w:cstheme="minorHAnsi"/>
          <w:bCs/>
          <w:iCs/>
          <w:color w:val="C00000"/>
        </w:rPr>
        <w:t xml:space="preserve"> 2009;73(22):1858-1865.</w:t>
      </w:r>
    </w:p>
    <w:p w14:paraId="037E310C" w14:textId="77777777" w:rsidR="00195391" w:rsidRDefault="00195391" w:rsidP="00195391">
      <w:pPr>
        <w:autoSpaceDE w:val="0"/>
        <w:autoSpaceDN w:val="0"/>
        <w:adjustRightInd w:val="0"/>
        <w:spacing w:before="120" w:after="0" w:line="240" w:lineRule="auto"/>
        <w:rPr>
          <w:rFonts w:cstheme="minorHAnsi"/>
          <w:bCs/>
          <w:iCs/>
          <w:color w:val="C00000"/>
        </w:rPr>
      </w:pPr>
      <w:r>
        <w:rPr>
          <w:rFonts w:cstheme="minorHAnsi"/>
          <w:bCs/>
          <w:iCs/>
          <w:color w:val="C00000"/>
        </w:rPr>
        <w:t xml:space="preserve">Howard VJ, </w:t>
      </w:r>
      <w:proofErr w:type="spellStart"/>
      <w:r>
        <w:rPr>
          <w:rFonts w:cstheme="minorHAnsi"/>
          <w:bCs/>
          <w:iCs/>
          <w:color w:val="C00000"/>
        </w:rPr>
        <w:t>Kleindorfer</w:t>
      </w:r>
      <w:proofErr w:type="spellEnd"/>
      <w:r>
        <w:rPr>
          <w:rFonts w:cstheme="minorHAnsi"/>
          <w:bCs/>
          <w:iCs/>
          <w:color w:val="C00000"/>
        </w:rPr>
        <w:t xml:space="preserve"> DO, Judd SE, et al. Disparities in stroke incidence contributing to disparities in stroke mortality. Ann Neurol </w:t>
      </w:r>
      <w:proofErr w:type="gramStart"/>
      <w:r>
        <w:rPr>
          <w:rFonts w:cstheme="minorHAnsi"/>
          <w:bCs/>
          <w:iCs/>
          <w:color w:val="C00000"/>
        </w:rPr>
        <w:t>2011;69:619</w:t>
      </w:r>
      <w:proofErr w:type="gramEnd"/>
      <w:r>
        <w:rPr>
          <w:rFonts w:cstheme="minorHAnsi"/>
          <w:bCs/>
          <w:iCs/>
          <w:color w:val="C00000"/>
        </w:rPr>
        <w:t>–627.</w:t>
      </w:r>
    </w:p>
    <w:p w14:paraId="1B2C3982" w14:textId="77777777" w:rsidR="00195391" w:rsidRDefault="00195391" w:rsidP="00195391">
      <w:pPr>
        <w:autoSpaceDE w:val="0"/>
        <w:autoSpaceDN w:val="0"/>
        <w:adjustRightInd w:val="0"/>
        <w:spacing w:before="120" w:after="0" w:line="240" w:lineRule="auto"/>
        <w:rPr>
          <w:rFonts w:cstheme="minorHAnsi"/>
          <w:bCs/>
          <w:iCs/>
          <w:color w:val="C00000"/>
        </w:rPr>
      </w:pPr>
      <w:proofErr w:type="spellStart"/>
      <w:r>
        <w:rPr>
          <w:rFonts w:cstheme="minorHAnsi"/>
          <w:color w:val="C00000"/>
          <w:shd w:val="clear" w:color="auto" w:fill="FFFFFF"/>
        </w:rPr>
        <w:t>Kosar</w:t>
      </w:r>
      <w:proofErr w:type="spellEnd"/>
      <w:r>
        <w:rPr>
          <w:rFonts w:cstheme="minorHAnsi"/>
          <w:color w:val="C00000"/>
          <w:shd w:val="clear" w:color="auto" w:fill="FFFFFF"/>
        </w:rPr>
        <w:t xml:space="preserve"> CM, </w:t>
      </w:r>
      <w:proofErr w:type="spellStart"/>
      <w:r>
        <w:rPr>
          <w:rFonts w:cstheme="minorHAnsi"/>
          <w:color w:val="C00000"/>
          <w:shd w:val="clear" w:color="auto" w:fill="FFFFFF"/>
        </w:rPr>
        <w:t>Loomer</w:t>
      </w:r>
      <w:proofErr w:type="spellEnd"/>
      <w:r>
        <w:rPr>
          <w:rFonts w:cstheme="minorHAnsi"/>
          <w:color w:val="C00000"/>
          <w:shd w:val="clear" w:color="auto" w:fill="FFFFFF"/>
        </w:rPr>
        <w:t xml:space="preserve"> L, </w:t>
      </w:r>
      <w:proofErr w:type="spellStart"/>
      <w:r>
        <w:rPr>
          <w:rFonts w:cstheme="minorHAnsi"/>
          <w:color w:val="C00000"/>
          <w:shd w:val="clear" w:color="auto" w:fill="FFFFFF"/>
        </w:rPr>
        <w:t>Ferdows</w:t>
      </w:r>
      <w:proofErr w:type="spellEnd"/>
      <w:r>
        <w:rPr>
          <w:rFonts w:cstheme="minorHAnsi"/>
          <w:color w:val="C00000"/>
          <w:shd w:val="clear" w:color="auto" w:fill="FFFFFF"/>
        </w:rPr>
        <w:t xml:space="preserve"> NB, Trivedi AN, </w:t>
      </w:r>
      <w:proofErr w:type="spellStart"/>
      <w:r>
        <w:rPr>
          <w:rFonts w:cstheme="minorHAnsi"/>
          <w:color w:val="C00000"/>
          <w:shd w:val="clear" w:color="auto" w:fill="FFFFFF"/>
        </w:rPr>
        <w:t>Panagiotou</w:t>
      </w:r>
      <w:proofErr w:type="spellEnd"/>
      <w:r>
        <w:rPr>
          <w:rFonts w:cstheme="minorHAnsi"/>
          <w:color w:val="C00000"/>
          <w:shd w:val="clear" w:color="auto" w:fill="FFFFFF"/>
        </w:rPr>
        <w:t xml:space="preserve"> OA, Rahman M. Assessment of Rural-Urban Differences in </w:t>
      </w:r>
      <w:proofErr w:type="spellStart"/>
      <w:r>
        <w:rPr>
          <w:rFonts w:cstheme="minorHAnsi"/>
          <w:color w:val="C00000"/>
          <w:shd w:val="clear" w:color="auto" w:fill="FFFFFF"/>
        </w:rPr>
        <w:t>Postacute</w:t>
      </w:r>
      <w:proofErr w:type="spellEnd"/>
      <w:r>
        <w:rPr>
          <w:rFonts w:cstheme="minorHAnsi"/>
          <w:color w:val="C00000"/>
          <w:shd w:val="clear" w:color="auto" w:fill="FFFFFF"/>
        </w:rPr>
        <w:t xml:space="preserve"> Care Utilization and Outcomes Among Older US Adults. </w:t>
      </w:r>
      <w:r>
        <w:rPr>
          <w:rFonts w:cstheme="minorHAnsi"/>
          <w:i/>
          <w:iCs/>
          <w:color w:val="C00000"/>
          <w:shd w:val="clear" w:color="auto" w:fill="FFFFFF"/>
        </w:rPr>
        <w:t xml:space="preserve">JAMA </w:t>
      </w:r>
      <w:proofErr w:type="spellStart"/>
      <w:r>
        <w:rPr>
          <w:rFonts w:cstheme="minorHAnsi"/>
          <w:i/>
          <w:iCs/>
          <w:color w:val="C00000"/>
          <w:shd w:val="clear" w:color="auto" w:fill="FFFFFF"/>
        </w:rPr>
        <w:t>Netw</w:t>
      </w:r>
      <w:proofErr w:type="spellEnd"/>
      <w:r>
        <w:rPr>
          <w:rFonts w:cstheme="minorHAnsi"/>
          <w:i/>
          <w:iCs/>
          <w:color w:val="C00000"/>
          <w:shd w:val="clear" w:color="auto" w:fill="FFFFFF"/>
        </w:rPr>
        <w:t xml:space="preserve"> Open</w:t>
      </w:r>
      <w:r>
        <w:rPr>
          <w:rFonts w:cstheme="minorHAnsi"/>
          <w:color w:val="C00000"/>
          <w:shd w:val="clear" w:color="auto" w:fill="FFFFFF"/>
        </w:rPr>
        <w:t>. 2020;3(1</w:t>
      </w:r>
      <w:proofErr w:type="gramStart"/>
      <w:r>
        <w:rPr>
          <w:rFonts w:cstheme="minorHAnsi"/>
          <w:color w:val="C00000"/>
          <w:shd w:val="clear" w:color="auto" w:fill="FFFFFF"/>
        </w:rPr>
        <w:t>):e</w:t>
      </w:r>
      <w:proofErr w:type="gramEnd"/>
      <w:r>
        <w:rPr>
          <w:rFonts w:cstheme="minorHAnsi"/>
          <w:color w:val="C00000"/>
          <w:shd w:val="clear" w:color="auto" w:fill="FFFFFF"/>
        </w:rPr>
        <w:t>1918738. Published 2020 Jan 3. doi:10.1001/jamanetworkopen.2019.18738.</w:t>
      </w:r>
    </w:p>
    <w:p w14:paraId="0AA6E0C9" w14:textId="77777777" w:rsidR="00195391" w:rsidRDefault="00195391" w:rsidP="00195391">
      <w:pPr>
        <w:autoSpaceDE w:val="0"/>
        <w:autoSpaceDN w:val="0"/>
        <w:adjustRightInd w:val="0"/>
        <w:spacing w:before="120" w:after="0" w:line="240" w:lineRule="auto"/>
        <w:rPr>
          <w:rFonts w:cstheme="minorHAnsi"/>
          <w:bCs/>
          <w:iCs/>
          <w:color w:val="C00000"/>
        </w:rPr>
      </w:pPr>
      <w:proofErr w:type="spellStart"/>
      <w:r>
        <w:rPr>
          <w:rFonts w:cstheme="minorHAnsi"/>
          <w:bCs/>
          <w:iCs/>
          <w:color w:val="C00000"/>
        </w:rPr>
        <w:t>Mackenbach</w:t>
      </w:r>
      <w:proofErr w:type="spellEnd"/>
      <w:r>
        <w:rPr>
          <w:rFonts w:cstheme="minorHAnsi"/>
          <w:bCs/>
          <w:iCs/>
          <w:color w:val="C00000"/>
        </w:rPr>
        <w:t xml:space="preserve"> JP, </w:t>
      </w:r>
      <w:proofErr w:type="spellStart"/>
      <w:r>
        <w:rPr>
          <w:rFonts w:cstheme="minorHAnsi"/>
          <w:bCs/>
          <w:iCs/>
          <w:color w:val="C00000"/>
        </w:rPr>
        <w:t>Cavelaars</w:t>
      </w:r>
      <w:proofErr w:type="spellEnd"/>
      <w:r>
        <w:rPr>
          <w:rFonts w:cstheme="minorHAnsi"/>
          <w:bCs/>
          <w:iCs/>
          <w:color w:val="C00000"/>
        </w:rPr>
        <w:t xml:space="preserve"> AE, Kunst AE, </w:t>
      </w:r>
      <w:proofErr w:type="spellStart"/>
      <w:r>
        <w:rPr>
          <w:rFonts w:cstheme="minorHAnsi"/>
          <w:bCs/>
          <w:iCs/>
          <w:color w:val="C00000"/>
        </w:rPr>
        <w:t>Groenhof</w:t>
      </w:r>
      <w:proofErr w:type="spellEnd"/>
      <w:r>
        <w:rPr>
          <w:rFonts w:cstheme="minorHAnsi"/>
          <w:bCs/>
          <w:iCs/>
          <w:color w:val="C00000"/>
        </w:rPr>
        <w:t xml:space="preserve"> F. Socioeconomic inequalities in cardiovascular disease mortality; an international study. European heart journal. 2000; 21(14):1141-1151.</w:t>
      </w:r>
    </w:p>
    <w:p w14:paraId="3F0A271B" w14:textId="77777777" w:rsidR="00195391" w:rsidRDefault="00195391" w:rsidP="00195391">
      <w:pPr>
        <w:autoSpaceDE w:val="0"/>
        <w:autoSpaceDN w:val="0"/>
        <w:adjustRightInd w:val="0"/>
        <w:spacing w:before="120" w:after="0" w:line="240" w:lineRule="auto"/>
        <w:rPr>
          <w:rFonts w:cstheme="minorHAnsi"/>
          <w:bCs/>
          <w:iCs/>
          <w:color w:val="C00000"/>
        </w:rPr>
      </w:pPr>
      <w:proofErr w:type="spellStart"/>
      <w:r>
        <w:rPr>
          <w:rFonts w:cstheme="minorHAnsi"/>
          <w:bCs/>
          <w:iCs/>
          <w:color w:val="C00000"/>
        </w:rPr>
        <w:t>Pedigo</w:t>
      </w:r>
      <w:proofErr w:type="spellEnd"/>
      <w:r>
        <w:rPr>
          <w:rFonts w:cstheme="minorHAnsi"/>
          <w:bCs/>
          <w:iCs/>
          <w:color w:val="C00000"/>
        </w:rPr>
        <w:t xml:space="preserve"> A, </w:t>
      </w:r>
      <w:proofErr w:type="spellStart"/>
      <w:r>
        <w:rPr>
          <w:rFonts w:cstheme="minorHAnsi"/>
          <w:bCs/>
          <w:iCs/>
          <w:color w:val="C00000"/>
        </w:rPr>
        <w:t>Seaver</w:t>
      </w:r>
      <w:proofErr w:type="spellEnd"/>
      <w:r>
        <w:rPr>
          <w:rFonts w:cstheme="minorHAnsi"/>
          <w:bCs/>
          <w:iCs/>
          <w:color w:val="C00000"/>
        </w:rPr>
        <w:t xml:space="preserve"> W, </w:t>
      </w:r>
      <w:proofErr w:type="spellStart"/>
      <w:r>
        <w:rPr>
          <w:rFonts w:cstheme="minorHAnsi"/>
          <w:bCs/>
          <w:iCs/>
          <w:color w:val="C00000"/>
        </w:rPr>
        <w:t>Odoi</w:t>
      </w:r>
      <w:proofErr w:type="spellEnd"/>
      <w:r>
        <w:rPr>
          <w:rFonts w:cstheme="minorHAnsi"/>
          <w:bCs/>
          <w:iCs/>
          <w:color w:val="C00000"/>
        </w:rPr>
        <w:t xml:space="preserve"> A. Identifying unique neighborhood characteristics to guide health planning for stroke and heart attack: fuzzy cluster and discriminant analyses approaches. </w:t>
      </w:r>
      <w:proofErr w:type="spellStart"/>
      <w:r>
        <w:rPr>
          <w:rFonts w:cstheme="minorHAnsi"/>
          <w:bCs/>
          <w:iCs/>
          <w:color w:val="C00000"/>
        </w:rPr>
        <w:t>PloS</w:t>
      </w:r>
      <w:proofErr w:type="spellEnd"/>
      <w:r>
        <w:rPr>
          <w:rFonts w:cstheme="minorHAnsi"/>
          <w:bCs/>
          <w:iCs/>
          <w:color w:val="C00000"/>
        </w:rPr>
        <w:t xml:space="preserve"> one. 2011;6(7</w:t>
      </w:r>
      <w:proofErr w:type="gramStart"/>
      <w:r>
        <w:rPr>
          <w:rFonts w:cstheme="minorHAnsi"/>
          <w:bCs/>
          <w:iCs/>
          <w:color w:val="C00000"/>
        </w:rPr>
        <w:t>):e</w:t>
      </w:r>
      <w:proofErr w:type="gramEnd"/>
      <w:r>
        <w:rPr>
          <w:rFonts w:cstheme="minorHAnsi"/>
          <w:bCs/>
          <w:iCs/>
          <w:color w:val="C00000"/>
        </w:rPr>
        <w:t>22693.</w:t>
      </w:r>
    </w:p>
    <w:p w14:paraId="038B1778" w14:textId="77777777" w:rsidR="00195391" w:rsidRDefault="00195391" w:rsidP="00195391">
      <w:pPr>
        <w:autoSpaceDE w:val="0"/>
        <w:autoSpaceDN w:val="0"/>
        <w:adjustRightInd w:val="0"/>
        <w:spacing w:before="120" w:after="0" w:line="240" w:lineRule="auto"/>
        <w:rPr>
          <w:rFonts w:cstheme="minorHAnsi"/>
          <w:bCs/>
          <w:iCs/>
          <w:color w:val="C00000"/>
        </w:rPr>
      </w:pPr>
      <w:proofErr w:type="spellStart"/>
      <w:r>
        <w:rPr>
          <w:rFonts w:cstheme="minorHAnsi"/>
          <w:bCs/>
          <w:iCs/>
          <w:color w:val="C00000"/>
        </w:rPr>
        <w:t>Tonne</w:t>
      </w:r>
      <w:proofErr w:type="spellEnd"/>
      <w:r>
        <w:rPr>
          <w:rFonts w:cstheme="minorHAnsi"/>
          <w:bCs/>
          <w:iCs/>
          <w:color w:val="C00000"/>
        </w:rPr>
        <w:t xml:space="preserve"> C, Schwartz J, </w:t>
      </w:r>
      <w:proofErr w:type="spellStart"/>
      <w:r>
        <w:rPr>
          <w:rFonts w:cstheme="minorHAnsi"/>
          <w:bCs/>
          <w:iCs/>
          <w:color w:val="C00000"/>
        </w:rPr>
        <w:t>Mittleman</w:t>
      </w:r>
      <w:proofErr w:type="spellEnd"/>
      <w:r>
        <w:rPr>
          <w:rFonts w:cstheme="minorHAnsi"/>
          <w:bCs/>
          <w:iCs/>
          <w:color w:val="C00000"/>
        </w:rPr>
        <w:t xml:space="preserve"> M, </w:t>
      </w:r>
      <w:proofErr w:type="spellStart"/>
      <w:r>
        <w:rPr>
          <w:rFonts w:cstheme="minorHAnsi"/>
          <w:bCs/>
          <w:iCs/>
          <w:color w:val="C00000"/>
        </w:rPr>
        <w:t>Melly</w:t>
      </w:r>
      <w:proofErr w:type="spellEnd"/>
      <w:r>
        <w:rPr>
          <w:rFonts w:cstheme="minorHAnsi"/>
          <w:bCs/>
          <w:iCs/>
          <w:color w:val="C00000"/>
        </w:rPr>
        <w:t xml:space="preserve"> S, Suh H, Goldberg R. Long-term survival after acute myocardial infarction is lower in more deprived neighborhoods. Circulation. Jun </w:t>
      </w:r>
      <w:proofErr w:type="gramStart"/>
      <w:r>
        <w:rPr>
          <w:rFonts w:cstheme="minorHAnsi"/>
          <w:bCs/>
          <w:iCs/>
          <w:color w:val="C00000"/>
        </w:rPr>
        <w:t>14</w:t>
      </w:r>
      <w:proofErr w:type="gramEnd"/>
      <w:r>
        <w:rPr>
          <w:rFonts w:cstheme="minorHAnsi"/>
          <w:bCs/>
          <w:iCs/>
          <w:color w:val="C00000"/>
        </w:rPr>
        <w:t xml:space="preserve"> 2005; 111(23):3063-3070.</w:t>
      </w:r>
    </w:p>
    <w:p w14:paraId="726FB87A" w14:textId="77777777" w:rsidR="00195391" w:rsidRDefault="00195391"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008D1105"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195391">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DCAB270" w14:textId="77777777" w:rsidR="00195391" w:rsidRPr="00BA2D4B" w:rsidRDefault="00195391" w:rsidP="00195391">
      <w:pPr>
        <w:autoSpaceDE w:val="0"/>
        <w:autoSpaceDN w:val="0"/>
        <w:adjustRightInd w:val="0"/>
        <w:spacing w:before="120" w:after="120" w:line="240" w:lineRule="auto"/>
        <w:rPr>
          <w:rFonts w:cstheme="minorHAnsi"/>
          <w:bCs/>
          <w:color w:val="C00000"/>
          <w:u w:val="single"/>
        </w:rPr>
      </w:pPr>
      <w:r w:rsidRPr="00BA2D4B">
        <w:rPr>
          <w:rFonts w:cstheme="minorHAnsi"/>
          <w:bCs/>
          <w:color w:val="C00000"/>
          <w:u w:val="single"/>
        </w:rPr>
        <w:t>Measure Score Reliability</w:t>
      </w:r>
    </w:p>
    <w:p w14:paraId="742C4DDF" w14:textId="77777777" w:rsidR="00195391" w:rsidRDefault="00195391" w:rsidP="00195391">
      <w:pPr>
        <w:autoSpaceDE w:val="0"/>
        <w:autoSpaceDN w:val="0"/>
        <w:adjustRightInd w:val="0"/>
        <w:spacing w:before="120" w:after="120" w:line="240" w:lineRule="auto"/>
        <w:rPr>
          <w:rFonts w:cstheme="minorHAnsi"/>
          <w:bCs/>
        </w:rPr>
      </w:pPr>
      <w:r>
        <w:rPr>
          <w:rFonts w:cstheme="minorHAnsi"/>
          <w:bCs/>
          <w:color w:val="C00000"/>
        </w:rPr>
        <w:lastRenderedPageBreak/>
        <w:t>W</w:t>
      </w:r>
      <w:r w:rsidRPr="00BA2D4B">
        <w:rPr>
          <w:rFonts w:cstheme="minorHAnsi"/>
          <w:bCs/>
          <w:color w:val="C00000"/>
        </w:rPr>
        <w:t>e estimated the overall measure score reliability by calculating the intra-class correlation coefficient (ICC) using a split sample (</w:t>
      </w:r>
      <w:proofErr w:type="gramStart"/>
      <w:r w:rsidRPr="00BA2D4B">
        <w:rPr>
          <w:rFonts w:cstheme="minorHAnsi"/>
          <w:bCs/>
          <w:color w:val="C00000"/>
        </w:rPr>
        <w:t>i.e.</w:t>
      </w:r>
      <w:proofErr w:type="gramEnd"/>
      <w:r w:rsidRPr="00BA2D4B">
        <w:rPr>
          <w:rFonts w:cstheme="minorHAnsi"/>
          <w:bCs/>
          <w:color w:val="C00000"/>
        </w:rPr>
        <w:t xml:space="preserve"> test-retest) method. </w:t>
      </w:r>
    </w:p>
    <w:p w14:paraId="62B46663" w14:textId="77777777" w:rsidR="00195391" w:rsidRDefault="00195391" w:rsidP="00195391">
      <w:pPr>
        <w:autoSpaceDE w:val="0"/>
        <w:autoSpaceDN w:val="0"/>
        <w:adjustRightInd w:val="0"/>
        <w:spacing w:before="120" w:after="120" w:line="240" w:lineRule="auto"/>
        <w:rPr>
          <w:rFonts w:cstheme="minorHAnsi"/>
          <w:noProof/>
          <w:color w:val="C00000"/>
        </w:rPr>
      </w:pPr>
      <w:r w:rsidRPr="00043DA7">
        <w:rPr>
          <w:rFonts w:cstheme="minorHAnsi"/>
          <w:noProof/>
          <w:color w:val="C00000"/>
          <w:u w:val="single"/>
        </w:rPr>
        <w:t>Split-Sample Reliability</w:t>
      </w:r>
    </w:p>
    <w:p w14:paraId="3DC8BFE7" w14:textId="77777777" w:rsidR="00195391" w:rsidRDefault="00195391" w:rsidP="00195391">
      <w:pPr>
        <w:autoSpaceDE w:val="0"/>
        <w:autoSpaceDN w:val="0"/>
        <w:adjustRightInd w:val="0"/>
        <w:spacing w:before="120" w:after="120" w:line="240" w:lineRule="auto"/>
        <w:rPr>
          <w:rFonts w:cstheme="minorHAnsi"/>
          <w:noProof/>
          <w:color w:val="C00000"/>
        </w:rPr>
      </w:pPr>
      <w:r w:rsidRPr="00043DA7">
        <w:rPr>
          <w:rFonts w:cstheme="minorHAnsi"/>
          <w:noProof/>
          <w:color w:val="C00000"/>
        </w:rPr>
        <w:t xml:space="preserve">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Accordingly, our approach to assessing reliability is to consider the extent to which assessments of a hospital using different but randomly selected subsets of patients produce similar measures of hospital performance. </w:t>
      </w:r>
      <w:r>
        <w:rPr>
          <w:rFonts w:cstheme="minorHAnsi"/>
          <w:noProof/>
          <w:color w:val="C00000"/>
        </w:rPr>
        <w:t>H</w:t>
      </w:r>
      <w:r w:rsidRPr="00043DA7">
        <w:rPr>
          <w:rFonts w:cstheme="minorHAnsi"/>
          <w:noProof/>
          <w:color w:val="C00000"/>
        </w:rPr>
        <w:t>ospital performance is measured once using a random subset of patients</w:t>
      </w:r>
      <w:r>
        <w:rPr>
          <w:rFonts w:cstheme="minorHAnsi"/>
          <w:noProof/>
          <w:color w:val="C00000"/>
        </w:rPr>
        <w:t xml:space="preserve"> from a defined dataset from a measurement period</w:t>
      </w:r>
      <w:r w:rsidRPr="00043DA7">
        <w:rPr>
          <w:rFonts w:cstheme="minorHAnsi"/>
          <w:noProof/>
          <w:color w:val="C00000"/>
        </w:rPr>
        <w:t>, and then measured again using a second random subset exclusive of the first</w:t>
      </w:r>
      <w:r>
        <w:rPr>
          <w:rFonts w:cstheme="minorHAnsi"/>
          <w:noProof/>
          <w:color w:val="C00000"/>
        </w:rPr>
        <w:t xml:space="preserve"> from the same measurment period</w:t>
      </w:r>
      <w:r w:rsidRPr="00043DA7">
        <w:rPr>
          <w:rFonts w:cstheme="minorHAnsi"/>
          <w:noProof/>
          <w:color w:val="C00000"/>
        </w:rPr>
        <w:t>, and the agreement of the two resulting performance measures compared across hospitals (Rousson, Gasser, and Seifert, 2002).</w:t>
      </w:r>
    </w:p>
    <w:p w14:paraId="5976D5E3" w14:textId="5283D13B" w:rsidR="00195391" w:rsidRDefault="00195391" w:rsidP="00195391">
      <w:pPr>
        <w:autoSpaceDE w:val="0"/>
        <w:autoSpaceDN w:val="0"/>
        <w:adjustRightInd w:val="0"/>
        <w:spacing w:before="120" w:after="120" w:line="240" w:lineRule="auto"/>
        <w:rPr>
          <w:rFonts w:cstheme="minorHAnsi"/>
          <w:noProof/>
          <w:color w:val="C00000"/>
        </w:rPr>
      </w:pPr>
      <w:r w:rsidRPr="00043DA7">
        <w:rPr>
          <w:rFonts w:cstheme="minorHAnsi"/>
          <w:noProof/>
          <w:color w:val="C00000"/>
        </w:rPr>
        <w:t xml:space="preserve">For </w:t>
      </w:r>
      <w:r>
        <w:rPr>
          <w:rFonts w:cstheme="minorHAnsi"/>
          <w:noProof/>
          <w:color w:val="C00000"/>
        </w:rPr>
        <w:t>split-sample</w:t>
      </w:r>
      <w:r w:rsidRPr="00043DA7">
        <w:rPr>
          <w:rFonts w:cstheme="minorHAnsi"/>
          <w:noProof/>
          <w:color w:val="C00000"/>
        </w:rPr>
        <w:t xml:space="preserve"> reliability of the measure in </w:t>
      </w:r>
      <w:r>
        <w:rPr>
          <w:rFonts w:cstheme="minorHAnsi"/>
          <w:noProof/>
          <w:color w:val="C00000"/>
        </w:rPr>
        <w:t xml:space="preserve">patients </w:t>
      </w:r>
      <w:r w:rsidRPr="00043DA7">
        <w:rPr>
          <w:rFonts w:cstheme="minorHAnsi"/>
          <w:noProof/>
          <w:color w:val="C00000"/>
        </w:rPr>
        <w:t xml:space="preserve">aged 65 years and older, we randomly sampled half of patients within each hospital </w:t>
      </w:r>
      <w:r>
        <w:rPr>
          <w:rFonts w:cstheme="minorHAnsi"/>
          <w:noProof/>
          <w:color w:val="C00000"/>
        </w:rPr>
        <w:t>from a one-year measurement period</w:t>
      </w:r>
      <w:r w:rsidRPr="00043DA7">
        <w:rPr>
          <w:rFonts w:cstheme="minorHAnsi"/>
          <w:noProof/>
          <w:color w:val="C00000"/>
        </w:rPr>
        <w:t>, calculated the measure for each hospital, and repeated the calculation using the second half</w:t>
      </w:r>
      <w:r>
        <w:rPr>
          <w:rFonts w:cstheme="minorHAnsi"/>
          <w:noProof/>
          <w:color w:val="C00000"/>
        </w:rPr>
        <w:t xml:space="preserve"> of patients</w:t>
      </w:r>
      <w:r w:rsidRPr="00043DA7">
        <w:rPr>
          <w:rFonts w:cstheme="minorHAnsi"/>
          <w:noProof/>
          <w:color w:val="C00000"/>
        </w:rPr>
        <w:t xml:space="preserve">. Thus, each hospital is measured twice, but each measurement is made using an entirely distinct set of patients. To the extent that the calculated measures of these two subsets agree, we have evidence that the measure is assessing an attribute of the hospital, not of the patients. As a metric of agreement we calculated the intra-class correlation coefficient (Shrout &amp; Fleiss, 1979), and assessed the values according to conventional standards. Specifically, we used </w:t>
      </w:r>
      <w:r>
        <w:rPr>
          <w:rFonts w:cstheme="minorHAnsi"/>
          <w:noProof/>
          <w:color w:val="C00000"/>
        </w:rPr>
        <w:t>the 2020 EM Testing Dataset and</w:t>
      </w:r>
      <w:r w:rsidRPr="00043DA7">
        <w:rPr>
          <w:rFonts w:cstheme="minorHAnsi"/>
          <w:noProof/>
          <w:color w:val="C00000"/>
        </w:rPr>
        <w:t>, randomly split it into two approximately equal subsets of patients, and calculated the RSRR for each hospital for each sample. The agreement of the two RSRRs was quantified for hospitals in each sample using the intra-class correlation as defined by ICC (2,1). (Shrout &amp; Fleiss, 1979)</w:t>
      </w:r>
      <w:r>
        <w:rPr>
          <w:rFonts w:cstheme="minorHAnsi"/>
          <w:noProof/>
          <w:color w:val="C00000"/>
        </w:rPr>
        <w:t>.</w:t>
      </w:r>
    </w:p>
    <w:p w14:paraId="3EF83E8E" w14:textId="77777777" w:rsidR="00195391" w:rsidRDefault="00195391" w:rsidP="00195391">
      <w:pPr>
        <w:autoSpaceDE w:val="0"/>
        <w:autoSpaceDN w:val="0"/>
        <w:adjustRightInd w:val="0"/>
        <w:spacing w:before="120" w:after="120" w:line="240" w:lineRule="auto"/>
        <w:rPr>
          <w:rFonts w:cstheme="minorHAnsi"/>
          <w:noProof/>
          <w:color w:val="C00000"/>
        </w:rPr>
      </w:pPr>
      <w:r w:rsidRPr="00043DA7">
        <w:rPr>
          <w:rFonts w:cstheme="minorHAnsi"/>
          <w:noProof/>
          <w:color w:val="C00000"/>
        </w:rPr>
        <w:t>Using two non-overlapping random samples provides a conservative estimate of the measure’s reliability, compared with using two random</w:t>
      </w:r>
      <w:r>
        <w:rPr>
          <w:rFonts w:cstheme="minorHAnsi"/>
          <w:noProof/>
          <w:color w:val="C00000"/>
        </w:rPr>
        <w:t>,</w:t>
      </w:r>
      <w:r w:rsidRPr="00043DA7">
        <w:rPr>
          <w:rFonts w:cstheme="minorHAnsi"/>
          <w:noProof/>
          <w:color w:val="C00000"/>
        </w:rPr>
        <w:t xml:space="preserve"> but potentially overlapping samples which would exaggerate the agreement. Moreover, because our final measure is derived using hierarchical logistic regression, and a known property of hierarchical logistic regression models is that smaller volume hospitals contribute less 'signal', a split sample using a single measurement period would introduce extra noise.</w:t>
      </w:r>
      <w:r w:rsidRPr="00043DA7">
        <w:rPr>
          <w:color w:val="C00000"/>
        </w:rPr>
        <w:t xml:space="preserve"> </w:t>
      </w:r>
      <w:r w:rsidRPr="00043DA7">
        <w:rPr>
          <w:rFonts w:cstheme="minorHAnsi"/>
          <w:noProof/>
          <w:color w:val="C00000"/>
        </w:rPr>
        <w:t xml:space="preserve">This leads to an underestimate in the actual </w:t>
      </w:r>
      <w:r>
        <w:rPr>
          <w:rFonts w:cstheme="minorHAnsi"/>
          <w:noProof/>
          <w:color w:val="C00000"/>
        </w:rPr>
        <w:t>split-sample</w:t>
      </w:r>
      <w:r w:rsidRPr="00043DA7">
        <w:rPr>
          <w:rFonts w:cstheme="minorHAnsi"/>
          <w:noProof/>
          <w:color w:val="C00000"/>
        </w:rPr>
        <w:t xml:space="preserve"> reliability that would be achieved if the measure were reported using the full measurement period, as evidenced by the Spearman Brown prophecy formula (Spearman 1910, Brown 1910). We used this formula to estimate the reliability of the measure if the whole cohort were used, based on an estimate from half the cohort.</w:t>
      </w:r>
    </w:p>
    <w:p w14:paraId="5484A64D" w14:textId="77777777" w:rsidR="00195391" w:rsidRDefault="00195391" w:rsidP="00195391">
      <w:pPr>
        <w:autoSpaceDE w:val="0"/>
        <w:autoSpaceDN w:val="0"/>
        <w:adjustRightInd w:val="0"/>
        <w:spacing w:before="120" w:after="120" w:line="240" w:lineRule="auto"/>
        <w:rPr>
          <w:rFonts w:ascii="Calibri" w:eastAsia="Times New Roman" w:hAnsi="Calibri" w:cs="Calibri"/>
          <w:color w:val="C00000"/>
        </w:rPr>
      </w:pPr>
      <w:r w:rsidRPr="00043DA7">
        <w:rPr>
          <w:rFonts w:cstheme="minorHAnsi"/>
          <w:bCs/>
          <w:color w:val="C00000"/>
          <w:u w:val="single"/>
        </w:rPr>
        <w:t>Additional Information</w:t>
      </w:r>
    </w:p>
    <w:p w14:paraId="7FECB435" w14:textId="77777777" w:rsidR="00195391" w:rsidRDefault="00195391" w:rsidP="00195391">
      <w:pPr>
        <w:autoSpaceDE w:val="0"/>
        <w:autoSpaceDN w:val="0"/>
        <w:adjustRightInd w:val="0"/>
        <w:spacing w:before="120" w:after="120" w:line="240" w:lineRule="auto"/>
        <w:rPr>
          <w:rFonts w:cstheme="minorHAnsi"/>
          <w:bCs/>
          <w:color w:val="C00000"/>
        </w:rPr>
      </w:pPr>
      <w:r w:rsidRPr="00043DA7">
        <w:rPr>
          <w:rFonts w:cstheme="minorHAnsi"/>
          <w:bCs/>
          <w:color w:val="C00000"/>
        </w:rPr>
        <w:t>In constructing the measure, we aim to utilize only those data elements from the claims that have both face validity and reliability. We avoid the use of fields that are thought to be coded inconsistently across providers. Specifically, we use fields that are consequential for payment and which are audited. We identify such variables through empiric analyses and our understanding of CMS auditing and billing policies and seek to avoid variables which do not meet this standard</w:t>
      </w:r>
      <w:r>
        <w:rPr>
          <w:rFonts w:cstheme="minorHAnsi"/>
          <w:bCs/>
          <w:color w:val="C00000"/>
        </w:rPr>
        <w:t>.</w:t>
      </w:r>
    </w:p>
    <w:p w14:paraId="36CA4619" w14:textId="77777777" w:rsidR="00195391" w:rsidRDefault="00195391" w:rsidP="00195391">
      <w:pPr>
        <w:autoSpaceDE w:val="0"/>
        <w:autoSpaceDN w:val="0"/>
        <w:adjustRightInd w:val="0"/>
        <w:spacing w:before="120" w:after="120" w:line="240" w:lineRule="auto"/>
        <w:rPr>
          <w:rFonts w:cstheme="minorHAnsi"/>
          <w:bCs/>
          <w:color w:val="C00000"/>
        </w:rPr>
      </w:pPr>
      <w:r w:rsidRPr="00043DA7">
        <w:rPr>
          <w:rFonts w:cstheme="minorHAnsi"/>
          <w:bCs/>
          <w:color w:val="C00000"/>
        </w:rPr>
        <w:t>In addition, CMS has in place several hospital auditing programs used to assess overall claims code accuracy, to ensure appropriate billing, and for overpayment recoupment. CMS routinely conducts data analysis to identify potential problem areas and detect fraud, and audits important data fields used in our measures, including diagnosis and procedure codes and other elements that are consequential to payment</w:t>
      </w:r>
      <w:r>
        <w:rPr>
          <w:rFonts w:cstheme="minorHAnsi"/>
          <w:bCs/>
          <w:color w:val="C00000"/>
        </w:rPr>
        <w:t>.</w:t>
      </w:r>
    </w:p>
    <w:p w14:paraId="08EFF5D7" w14:textId="5571D491" w:rsidR="00195391" w:rsidRDefault="00195391" w:rsidP="00195391">
      <w:pPr>
        <w:autoSpaceDE w:val="0"/>
        <w:autoSpaceDN w:val="0"/>
        <w:adjustRightInd w:val="0"/>
        <w:spacing w:before="120" w:after="120" w:line="240" w:lineRule="auto"/>
        <w:rPr>
          <w:rFonts w:cstheme="minorHAnsi"/>
          <w:bCs/>
          <w:color w:val="C00000"/>
        </w:rPr>
      </w:pPr>
      <w:r w:rsidRPr="00043DA7">
        <w:rPr>
          <w:rFonts w:cstheme="minorHAnsi"/>
          <w:bCs/>
          <w:color w:val="C00000"/>
        </w:rPr>
        <w:lastRenderedPageBreak/>
        <w:t xml:space="preserve">Furthermore, we assessed the variation in the frequency of the variables over time: Detailed information is presented in the measure’s </w:t>
      </w:r>
      <w:hyperlink r:id="rId16" w:history="1">
        <w:r w:rsidRPr="00784253">
          <w:rPr>
            <w:rStyle w:val="Hyperlink"/>
            <w:rFonts w:cstheme="minorHAnsi"/>
            <w:bCs/>
          </w:rPr>
          <w:t>2020 Condition-Specific Measure Updates and Specifications Report</w:t>
        </w:r>
      </w:hyperlink>
      <w:r>
        <w:rPr>
          <w:rFonts w:cstheme="minorHAnsi"/>
          <w:bCs/>
          <w:color w:val="C00000"/>
        </w:rPr>
        <w:t>.</w:t>
      </w:r>
    </w:p>
    <w:p w14:paraId="78B6FAE4" w14:textId="77777777" w:rsidR="00195391" w:rsidRPr="008E78D8" w:rsidRDefault="00195391" w:rsidP="00195391">
      <w:pPr>
        <w:autoSpaceDE w:val="0"/>
        <w:autoSpaceDN w:val="0"/>
        <w:adjustRightInd w:val="0"/>
        <w:spacing w:before="120" w:after="120" w:line="240" w:lineRule="auto"/>
        <w:rPr>
          <w:rFonts w:cstheme="minorHAnsi"/>
          <w:bCs/>
          <w:color w:val="C00000"/>
          <w:u w:val="single"/>
        </w:rPr>
      </w:pPr>
      <w:r w:rsidRPr="008E78D8">
        <w:rPr>
          <w:rFonts w:cstheme="minorHAnsi"/>
          <w:bCs/>
          <w:color w:val="C00000"/>
          <w:u w:val="single"/>
        </w:rPr>
        <w:t>References</w:t>
      </w:r>
    </w:p>
    <w:p w14:paraId="1EC3E91A" w14:textId="77777777" w:rsidR="00195391" w:rsidRDefault="00195391" w:rsidP="00195391">
      <w:pPr>
        <w:autoSpaceDE w:val="0"/>
        <w:autoSpaceDN w:val="0"/>
        <w:adjustRightInd w:val="0"/>
        <w:spacing w:before="120" w:after="120" w:line="240" w:lineRule="auto"/>
        <w:rPr>
          <w:rFonts w:cstheme="minorHAnsi"/>
          <w:bCs/>
          <w:color w:val="C00000"/>
        </w:rPr>
      </w:pPr>
      <w:r w:rsidRPr="00637CA0">
        <w:rPr>
          <w:rFonts w:cstheme="minorHAnsi"/>
          <w:bCs/>
          <w:color w:val="C00000"/>
        </w:rPr>
        <w:t xml:space="preserve">Adams J., The reliability of provider profiling: A tutorial.  RAND Health, 2009.  https://www.rand.org/content/dam/rand/pubs/technical_reports/2009/RAND_TR653.pdf; accessed on </w:t>
      </w:r>
      <w:r>
        <w:rPr>
          <w:rFonts w:cstheme="minorHAnsi"/>
          <w:bCs/>
          <w:color w:val="C00000"/>
        </w:rPr>
        <w:t>September 13, 2020</w:t>
      </w:r>
    </w:p>
    <w:p w14:paraId="5CD2500D" w14:textId="77777777" w:rsidR="00195391" w:rsidRPr="00051129" w:rsidRDefault="00195391" w:rsidP="00195391">
      <w:pPr>
        <w:autoSpaceDE w:val="0"/>
        <w:autoSpaceDN w:val="0"/>
        <w:adjustRightInd w:val="0"/>
        <w:spacing w:before="120" w:after="120" w:line="240" w:lineRule="auto"/>
        <w:rPr>
          <w:rFonts w:cstheme="minorHAnsi"/>
          <w:bCs/>
          <w:color w:val="C00000"/>
        </w:rPr>
      </w:pPr>
      <w:r w:rsidRPr="00051129">
        <w:rPr>
          <w:rFonts w:cstheme="minorHAnsi"/>
          <w:bCs/>
          <w:color w:val="C00000"/>
        </w:rPr>
        <w:t xml:space="preserve">Adams J, </w:t>
      </w:r>
      <w:proofErr w:type="spellStart"/>
      <w:r w:rsidRPr="00051129">
        <w:rPr>
          <w:rFonts w:cstheme="minorHAnsi"/>
          <w:bCs/>
          <w:color w:val="C00000"/>
        </w:rPr>
        <w:t>Mehrota</w:t>
      </w:r>
      <w:proofErr w:type="spellEnd"/>
      <w:r w:rsidRPr="00051129">
        <w:rPr>
          <w:rFonts w:cstheme="minorHAnsi"/>
          <w:bCs/>
          <w:color w:val="C00000"/>
        </w:rPr>
        <w:t xml:space="preserve">, A, </w:t>
      </w:r>
      <w:proofErr w:type="spellStart"/>
      <w:r w:rsidRPr="00051129">
        <w:rPr>
          <w:rFonts w:cstheme="minorHAnsi"/>
          <w:bCs/>
          <w:color w:val="C00000"/>
        </w:rPr>
        <w:t>Thoman</w:t>
      </w:r>
      <w:proofErr w:type="spellEnd"/>
      <w:r w:rsidRPr="00051129">
        <w:rPr>
          <w:rFonts w:cstheme="minorHAnsi"/>
          <w:bCs/>
          <w:color w:val="C00000"/>
        </w:rPr>
        <w:t xml:space="preserve"> J, McGlynn, E. (2010). Physician cost profiling – reliability and risk of misclassification. NEJM, 362(11): 1014-1021.</w:t>
      </w:r>
    </w:p>
    <w:p w14:paraId="0B55F91D" w14:textId="77777777" w:rsidR="00195391" w:rsidRPr="00051129" w:rsidRDefault="00195391" w:rsidP="00195391">
      <w:pPr>
        <w:autoSpaceDE w:val="0"/>
        <w:autoSpaceDN w:val="0"/>
        <w:adjustRightInd w:val="0"/>
        <w:spacing w:before="120" w:after="120" w:line="240" w:lineRule="auto"/>
        <w:rPr>
          <w:rFonts w:cstheme="minorHAnsi"/>
          <w:bCs/>
          <w:color w:val="C00000"/>
        </w:rPr>
      </w:pPr>
      <w:r w:rsidRPr="00051129">
        <w:rPr>
          <w:rFonts w:cstheme="minorHAnsi"/>
          <w:bCs/>
          <w:color w:val="C00000"/>
        </w:rPr>
        <w:t>Brown, W. (1910). Some experimental results in the correlation of mental abilities. British Journal of Psychology, 3, 296–322.</w:t>
      </w:r>
    </w:p>
    <w:p w14:paraId="1E50A248" w14:textId="77777777" w:rsidR="00195391" w:rsidRPr="00051129" w:rsidRDefault="00195391" w:rsidP="00195391">
      <w:pPr>
        <w:autoSpaceDE w:val="0"/>
        <w:autoSpaceDN w:val="0"/>
        <w:adjustRightInd w:val="0"/>
        <w:spacing w:before="120" w:after="120" w:line="240" w:lineRule="auto"/>
        <w:rPr>
          <w:rFonts w:cstheme="minorHAnsi"/>
          <w:bCs/>
          <w:color w:val="C00000"/>
        </w:rPr>
      </w:pPr>
      <w:r w:rsidRPr="00051129">
        <w:rPr>
          <w:rFonts w:cstheme="minorHAnsi"/>
          <w:bCs/>
          <w:color w:val="C00000"/>
        </w:rPr>
        <w:t>Landis J, Koch G, The measurement of observer agreement for categorical data, Biometrics, 1977;33:159-174.</w:t>
      </w:r>
    </w:p>
    <w:p w14:paraId="166E67D2" w14:textId="77777777" w:rsidR="00195391" w:rsidRPr="00051129" w:rsidRDefault="00195391" w:rsidP="00195391">
      <w:pPr>
        <w:autoSpaceDE w:val="0"/>
        <w:autoSpaceDN w:val="0"/>
        <w:adjustRightInd w:val="0"/>
        <w:spacing w:before="120" w:after="120" w:line="240" w:lineRule="auto"/>
        <w:rPr>
          <w:rFonts w:cstheme="minorHAnsi"/>
          <w:bCs/>
          <w:color w:val="C00000"/>
        </w:rPr>
      </w:pPr>
      <w:proofErr w:type="spellStart"/>
      <w:r w:rsidRPr="00051129">
        <w:rPr>
          <w:rFonts w:cstheme="minorHAnsi"/>
          <w:bCs/>
          <w:color w:val="C00000"/>
        </w:rPr>
        <w:t>Rousson</w:t>
      </w:r>
      <w:proofErr w:type="spellEnd"/>
      <w:r w:rsidRPr="00051129">
        <w:rPr>
          <w:rFonts w:cstheme="minorHAnsi"/>
          <w:bCs/>
          <w:color w:val="C00000"/>
        </w:rPr>
        <w:t xml:space="preserve"> V, Gasser T, Seifert B. "Assessing </w:t>
      </w:r>
      <w:proofErr w:type="spellStart"/>
      <w:r w:rsidRPr="00051129">
        <w:rPr>
          <w:rFonts w:cstheme="minorHAnsi"/>
          <w:bCs/>
          <w:color w:val="C00000"/>
        </w:rPr>
        <w:t>intrarater</w:t>
      </w:r>
      <w:proofErr w:type="spellEnd"/>
      <w:r w:rsidRPr="00051129">
        <w:rPr>
          <w:rFonts w:cstheme="minorHAnsi"/>
          <w:bCs/>
          <w:color w:val="C00000"/>
        </w:rPr>
        <w:t xml:space="preserve">, interrater and test–retest reliability of continuous measurements," Statistics in Medicine, 2002, 21:3431-3446. </w:t>
      </w:r>
    </w:p>
    <w:p w14:paraId="24919797" w14:textId="77777777" w:rsidR="00195391" w:rsidRDefault="00195391" w:rsidP="00195391">
      <w:pPr>
        <w:autoSpaceDE w:val="0"/>
        <w:autoSpaceDN w:val="0"/>
        <w:adjustRightInd w:val="0"/>
        <w:spacing w:before="120" w:after="120" w:line="240" w:lineRule="auto"/>
        <w:rPr>
          <w:rFonts w:cstheme="minorHAnsi"/>
          <w:bCs/>
          <w:color w:val="C00000"/>
        </w:rPr>
      </w:pPr>
      <w:proofErr w:type="spellStart"/>
      <w:r w:rsidRPr="00051129">
        <w:rPr>
          <w:rFonts w:cstheme="minorHAnsi"/>
          <w:bCs/>
          <w:color w:val="C00000"/>
        </w:rPr>
        <w:t>Shrout</w:t>
      </w:r>
      <w:proofErr w:type="spellEnd"/>
      <w:r w:rsidRPr="00051129">
        <w:rPr>
          <w:rFonts w:cstheme="minorHAnsi"/>
          <w:bCs/>
          <w:color w:val="C00000"/>
        </w:rPr>
        <w:t xml:space="preserve"> P, Fleiss J. Intraclass </w:t>
      </w:r>
      <w:proofErr w:type="gramStart"/>
      <w:r w:rsidRPr="00051129">
        <w:rPr>
          <w:rFonts w:cstheme="minorHAnsi"/>
          <w:bCs/>
          <w:color w:val="C00000"/>
        </w:rPr>
        <w:t>correlations:</w:t>
      </w:r>
      <w:proofErr w:type="gramEnd"/>
      <w:r w:rsidRPr="00051129">
        <w:rPr>
          <w:rFonts w:cstheme="minorHAnsi"/>
          <w:bCs/>
          <w:color w:val="C00000"/>
        </w:rPr>
        <w:t xml:space="preserve"> uses in assessing rater reliability. Psychological Bulletin, 1979, 86, 420-3428</w:t>
      </w:r>
      <w:r>
        <w:rPr>
          <w:rFonts w:cstheme="minorHAnsi"/>
          <w:bCs/>
          <w:color w:val="C00000"/>
        </w:rPr>
        <w:t>.</w:t>
      </w:r>
    </w:p>
    <w:p w14:paraId="0CABCFD2" w14:textId="62A1BFA8" w:rsidR="008C54A9" w:rsidRPr="00195391" w:rsidRDefault="00195391" w:rsidP="00195391">
      <w:pPr>
        <w:autoSpaceDE w:val="0"/>
        <w:autoSpaceDN w:val="0"/>
        <w:adjustRightInd w:val="0"/>
        <w:spacing w:before="120" w:after="120" w:line="240" w:lineRule="auto"/>
        <w:rPr>
          <w:rFonts w:cstheme="minorHAnsi"/>
          <w:bCs/>
          <w:color w:val="C00000"/>
        </w:rPr>
      </w:pPr>
      <w:r w:rsidRPr="008E78D8">
        <w:rPr>
          <w:rFonts w:cstheme="minorHAnsi"/>
          <w:bCs/>
          <w:color w:val="C00000"/>
        </w:rPr>
        <w:t>Spearman, Charles, C. (1910). Correlation calculated from faulty data. British Journal of Psychology, 3, 271–295.</w:t>
      </w:r>
    </w:p>
    <w:p w14:paraId="0AE117D4" w14:textId="77777777" w:rsidR="00195391" w:rsidRPr="003A7B79" w:rsidRDefault="00092566" w:rsidP="00195391">
      <w:pPr>
        <w:autoSpaceDE w:val="0"/>
        <w:autoSpaceDN w:val="0"/>
        <w:adjustRightInd w:val="0"/>
        <w:spacing w:before="120" w:after="120" w:line="240" w:lineRule="auto"/>
        <w:rPr>
          <w:rFonts w:ascii="Calibri" w:hAnsi="Calibri" w:cs="Calibri"/>
          <w:color w:val="C00000"/>
          <w:u w:val="single"/>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195391" w:rsidRPr="0048088A">
        <w:rPr>
          <w:rFonts w:ascii="Calibri" w:hAnsi="Calibri" w:cs="Calibri"/>
          <w:color w:val="C00000"/>
          <w:u w:val="single"/>
        </w:rPr>
        <w:t xml:space="preserve">Measure Score Reliability Results </w:t>
      </w:r>
    </w:p>
    <w:p w14:paraId="785BD0A4" w14:textId="77777777" w:rsidR="00195391" w:rsidRPr="003A7B79" w:rsidRDefault="00195391" w:rsidP="00195391">
      <w:pPr>
        <w:autoSpaceDE w:val="0"/>
        <w:autoSpaceDN w:val="0"/>
        <w:adjustRightInd w:val="0"/>
        <w:spacing w:after="0" w:line="240" w:lineRule="auto"/>
        <w:rPr>
          <w:rFonts w:cstheme="minorHAnsi"/>
          <w:bCs/>
          <w:color w:val="C00000"/>
        </w:rPr>
      </w:pPr>
      <w:r>
        <w:rPr>
          <w:rFonts w:cstheme="minorHAnsi"/>
          <w:bCs/>
          <w:color w:val="C00000"/>
        </w:rPr>
        <w:t>In total, 987,227</w:t>
      </w:r>
      <w:r w:rsidRPr="003A7B79">
        <w:rPr>
          <w:rFonts w:cstheme="minorHAnsi"/>
          <w:bCs/>
          <w:color w:val="C00000"/>
        </w:rPr>
        <w:t xml:space="preserve"> admissions were included in the a</w:t>
      </w:r>
      <w:r>
        <w:rPr>
          <w:rFonts w:cstheme="minorHAnsi"/>
          <w:bCs/>
          <w:color w:val="C00000"/>
        </w:rPr>
        <w:t xml:space="preserve">nalysis, using 3 years of data. </w:t>
      </w:r>
      <w:proofErr w:type="gramStart"/>
      <w:r w:rsidRPr="003A7B79">
        <w:rPr>
          <w:rFonts w:cstheme="minorHAnsi"/>
          <w:bCs/>
          <w:color w:val="C00000"/>
        </w:rPr>
        <w:t>After randomly splitting the sample</w:t>
      </w:r>
      <w:r>
        <w:rPr>
          <w:rFonts w:cstheme="minorHAnsi"/>
          <w:bCs/>
          <w:color w:val="C00000"/>
        </w:rPr>
        <w:t xml:space="preserve"> into two halves, there</w:t>
      </w:r>
      <w:proofErr w:type="gramEnd"/>
      <w:r>
        <w:rPr>
          <w:rFonts w:cstheme="minorHAnsi"/>
          <w:bCs/>
          <w:color w:val="C00000"/>
        </w:rPr>
        <w:t xml:space="preserve"> were 494,721 admissions from 4,502</w:t>
      </w:r>
      <w:r w:rsidRPr="003A7B79">
        <w:rPr>
          <w:rFonts w:cstheme="minorHAnsi"/>
          <w:bCs/>
          <w:color w:val="C00000"/>
        </w:rPr>
        <w:t xml:space="preserve"> hosp</w:t>
      </w:r>
      <w:r>
        <w:rPr>
          <w:rFonts w:cstheme="minorHAnsi"/>
          <w:bCs/>
          <w:color w:val="C00000"/>
        </w:rPr>
        <w:t>itals in one half and    492,506 admissions from 4,457</w:t>
      </w:r>
      <w:r w:rsidRPr="003A7B79">
        <w:rPr>
          <w:rFonts w:cstheme="minorHAnsi"/>
          <w:bCs/>
          <w:color w:val="C00000"/>
        </w:rPr>
        <w:t xml:space="preserve"> hospitals in the other half.</w:t>
      </w:r>
    </w:p>
    <w:p w14:paraId="75601F5B" w14:textId="77777777" w:rsidR="00195391" w:rsidRDefault="00195391" w:rsidP="00195391">
      <w:pPr>
        <w:autoSpaceDE w:val="0"/>
        <w:autoSpaceDN w:val="0"/>
        <w:adjustRightInd w:val="0"/>
        <w:spacing w:after="0" w:line="240" w:lineRule="auto"/>
        <w:rPr>
          <w:rFonts w:cstheme="minorHAnsi"/>
          <w:bCs/>
          <w:color w:val="C00000"/>
        </w:rPr>
      </w:pPr>
    </w:p>
    <w:p w14:paraId="039FE8F6" w14:textId="77777777" w:rsidR="00195391" w:rsidRPr="003A7B79" w:rsidRDefault="00195391" w:rsidP="00195391">
      <w:pPr>
        <w:autoSpaceDE w:val="0"/>
        <w:autoSpaceDN w:val="0"/>
        <w:adjustRightInd w:val="0"/>
        <w:spacing w:after="0" w:line="240" w:lineRule="auto"/>
        <w:rPr>
          <w:rFonts w:cstheme="minorHAnsi"/>
          <w:bCs/>
          <w:color w:val="C00000"/>
        </w:rPr>
      </w:pPr>
      <w:r w:rsidRPr="003A7B79">
        <w:rPr>
          <w:rFonts w:cstheme="minorHAnsi"/>
          <w:bCs/>
          <w:color w:val="C00000"/>
        </w:rPr>
        <w:t>As a metric of agreement, we calculated the ICC for hospitals with 25 admissions or more.</w:t>
      </w:r>
    </w:p>
    <w:p w14:paraId="0CABCFD3" w14:textId="626F1ADF" w:rsidR="007422FD" w:rsidRPr="00A25024" w:rsidRDefault="00195391" w:rsidP="00195391">
      <w:pPr>
        <w:autoSpaceDE w:val="0"/>
        <w:autoSpaceDN w:val="0"/>
        <w:adjustRightInd w:val="0"/>
        <w:spacing w:after="0" w:line="240" w:lineRule="auto"/>
        <w:rPr>
          <w:rFonts w:cstheme="minorHAnsi"/>
          <w:bCs/>
        </w:rPr>
      </w:pPr>
      <w:r w:rsidRPr="003A7B79">
        <w:rPr>
          <w:rFonts w:cstheme="minorHAnsi"/>
          <w:bCs/>
          <w:color w:val="C00000"/>
        </w:rPr>
        <w:t>Using the Spearman-Brown prediction formula, the agreement between the two in</w:t>
      </w:r>
      <w:r>
        <w:rPr>
          <w:rFonts w:cstheme="minorHAnsi"/>
          <w:bCs/>
          <w:color w:val="C00000"/>
        </w:rPr>
        <w:t>dependent assessments of the risk-standardized payment (RSP) for each hospital was 0.7</w:t>
      </w:r>
      <w:r w:rsidR="00EB4676">
        <w:rPr>
          <w:rFonts w:cstheme="minorHAnsi"/>
          <w:bCs/>
          <w:color w:val="C00000"/>
        </w:rPr>
        <w:t>81</w:t>
      </w:r>
      <w:r w:rsidRPr="003A7B79">
        <w:rPr>
          <w:rFonts w:cstheme="minorHAnsi"/>
          <w:bCs/>
          <w:color w:val="C00000"/>
        </w:rPr>
        <w:t>.</w:t>
      </w:r>
    </w:p>
    <w:p w14:paraId="57C62C28" w14:textId="77777777" w:rsidR="00195391" w:rsidRDefault="00092566" w:rsidP="00195391">
      <w:pPr>
        <w:autoSpaceDE w:val="0"/>
        <w:autoSpaceDN w:val="0"/>
        <w:adjustRightInd w:val="0"/>
        <w:spacing w:before="120" w:after="120" w:line="240" w:lineRule="auto"/>
        <w:rPr>
          <w:rFonts w:cstheme="minorHAnsi"/>
          <w:noProof/>
          <w:color w:val="C00000"/>
          <w:u w:val="single"/>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bookmarkStart w:id="14" w:name="_Hlk55471859"/>
      <w:bookmarkStart w:id="15" w:name="_Hlk55970285"/>
      <w:r w:rsidR="00195391" w:rsidRPr="00043DA7">
        <w:rPr>
          <w:rFonts w:cstheme="minorHAnsi"/>
          <w:noProof/>
          <w:color w:val="C00000"/>
          <w:u w:val="single"/>
        </w:rPr>
        <w:t>Measure Score Reliability Results</w:t>
      </w:r>
    </w:p>
    <w:p w14:paraId="6898CD66" w14:textId="7693CFF2" w:rsidR="00195391" w:rsidRDefault="00195391" w:rsidP="00195391">
      <w:pPr>
        <w:autoSpaceDE w:val="0"/>
        <w:autoSpaceDN w:val="0"/>
        <w:adjustRightInd w:val="0"/>
        <w:spacing w:before="120" w:after="120" w:line="240" w:lineRule="auto"/>
        <w:rPr>
          <w:rFonts w:cstheme="minorHAnsi"/>
          <w:bCs/>
          <w:color w:val="C00000"/>
        </w:rPr>
      </w:pPr>
      <w:r w:rsidRPr="00043DA7">
        <w:rPr>
          <w:rFonts w:cstheme="minorHAnsi"/>
          <w:bCs/>
          <w:color w:val="C00000"/>
        </w:rPr>
        <w:t>The split-s</w:t>
      </w:r>
      <w:r>
        <w:rPr>
          <w:rFonts w:cstheme="minorHAnsi"/>
          <w:bCs/>
          <w:color w:val="C00000"/>
        </w:rPr>
        <w:t>ample reliability score of 0.7</w:t>
      </w:r>
      <w:r w:rsidR="00985431">
        <w:rPr>
          <w:rFonts w:cstheme="minorHAnsi"/>
          <w:bCs/>
          <w:color w:val="C00000"/>
        </w:rPr>
        <w:t xml:space="preserve">81 </w:t>
      </w:r>
      <w:r w:rsidRPr="00043DA7">
        <w:rPr>
          <w:rFonts w:cstheme="minorHAnsi"/>
          <w:bCs/>
          <w:color w:val="C00000"/>
        </w:rPr>
        <w:t xml:space="preserve">discussed in the previous section, represents the lower bound of estimate of the true measure </w:t>
      </w:r>
      <w:r>
        <w:rPr>
          <w:rFonts w:cstheme="minorHAnsi"/>
          <w:bCs/>
          <w:color w:val="C00000"/>
        </w:rPr>
        <w:t xml:space="preserve">score </w:t>
      </w:r>
      <w:r w:rsidRPr="00043DA7">
        <w:rPr>
          <w:rFonts w:cstheme="minorHAnsi"/>
          <w:bCs/>
          <w:color w:val="C00000"/>
        </w:rPr>
        <w:t>reliability</w:t>
      </w:r>
      <w:r>
        <w:rPr>
          <w:rFonts w:cstheme="minorHAnsi"/>
          <w:bCs/>
          <w:color w:val="C00000"/>
        </w:rPr>
        <w:t>.</w:t>
      </w:r>
    </w:p>
    <w:p w14:paraId="490CBE36" w14:textId="77777777" w:rsidR="00195391" w:rsidRDefault="00195391" w:rsidP="00195391">
      <w:pPr>
        <w:autoSpaceDE w:val="0"/>
        <w:autoSpaceDN w:val="0"/>
        <w:adjustRightInd w:val="0"/>
        <w:spacing w:after="120" w:line="240" w:lineRule="auto"/>
        <w:rPr>
          <w:rFonts w:cstheme="minorHAnsi"/>
          <w:bCs/>
          <w:color w:val="C00000"/>
        </w:rPr>
      </w:pPr>
      <w:r>
        <w:rPr>
          <w:rFonts w:cstheme="minorHAnsi"/>
          <w:bCs/>
          <w:color w:val="C00000"/>
        </w:rPr>
        <w:t xml:space="preserve">According to published interpretations of reliability, this is considered sufficiently high (Adams et al., 2010; Landis and Koch, 1977; Yu et al., 2013). </w:t>
      </w:r>
      <w:r w:rsidRPr="00043DA7">
        <w:rPr>
          <w:rFonts w:cstheme="minorHAnsi"/>
          <w:bCs/>
          <w:color w:val="C00000"/>
        </w:rPr>
        <w:t xml:space="preserve"> </w:t>
      </w:r>
    </w:p>
    <w:bookmarkEnd w:id="14"/>
    <w:p w14:paraId="08E9F6A3" w14:textId="77777777" w:rsidR="00195391" w:rsidRPr="006A0885" w:rsidRDefault="00195391" w:rsidP="00195391">
      <w:pPr>
        <w:autoSpaceDE w:val="0"/>
        <w:autoSpaceDN w:val="0"/>
        <w:adjustRightInd w:val="0"/>
        <w:spacing w:after="120" w:line="240" w:lineRule="auto"/>
        <w:rPr>
          <w:rFonts w:cstheme="minorHAnsi"/>
          <w:bCs/>
          <w:color w:val="C00000"/>
        </w:rPr>
      </w:pPr>
      <w:r w:rsidRPr="006A0885">
        <w:rPr>
          <w:rFonts w:cstheme="minorHAnsi"/>
          <w:bCs/>
          <w:color w:val="C00000"/>
          <w:u w:val="single"/>
        </w:rPr>
        <w:t>References:</w:t>
      </w:r>
    </w:p>
    <w:p w14:paraId="12A7769A" w14:textId="77777777" w:rsidR="00195391" w:rsidRDefault="00195391" w:rsidP="00195391">
      <w:pPr>
        <w:autoSpaceDE w:val="0"/>
        <w:autoSpaceDN w:val="0"/>
        <w:adjustRightInd w:val="0"/>
        <w:spacing w:after="120" w:line="240" w:lineRule="auto"/>
        <w:rPr>
          <w:rFonts w:cstheme="minorHAnsi"/>
          <w:bCs/>
          <w:color w:val="C00000"/>
        </w:rPr>
      </w:pPr>
      <w:r w:rsidRPr="006A0885">
        <w:rPr>
          <w:rFonts w:cstheme="minorHAnsi"/>
          <w:bCs/>
          <w:color w:val="C00000"/>
        </w:rPr>
        <w:t xml:space="preserve">Adams J, </w:t>
      </w:r>
      <w:proofErr w:type="spellStart"/>
      <w:r w:rsidRPr="006A0885">
        <w:rPr>
          <w:rFonts w:cstheme="minorHAnsi"/>
          <w:bCs/>
          <w:color w:val="C00000"/>
        </w:rPr>
        <w:t>Mehrota</w:t>
      </w:r>
      <w:proofErr w:type="spellEnd"/>
      <w:r w:rsidRPr="006A0885">
        <w:rPr>
          <w:rFonts w:cstheme="minorHAnsi"/>
          <w:bCs/>
          <w:color w:val="C00000"/>
        </w:rPr>
        <w:t xml:space="preserve">, A, </w:t>
      </w:r>
      <w:proofErr w:type="spellStart"/>
      <w:r w:rsidRPr="006A0885">
        <w:rPr>
          <w:rFonts w:cstheme="minorHAnsi"/>
          <w:bCs/>
          <w:color w:val="C00000"/>
        </w:rPr>
        <w:t>Thoman</w:t>
      </w:r>
      <w:proofErr w:type="spellEnd"/>
      <w:r w:rsidRPr="006A0885">
        <w:rPr>
          <w:rFonts w:cstheme="minorHAnsi"/>
          <w:bCs/>
          <w:color w:val="C00000"/>
        </w:rPr>
        <w:t xml:space="preserve"> J, McGlynn, E. (2010). Physician cost profiling – reliability and risk of misclassification. NEJM, 362(11): 1014-1021.</w:t>
      </w:r>
    </w:p>
    <w:p w14:paraId="3D7DABF1" w14:textId="77777777" w:rsidR="00195391" w:rsidRPr="006A0885" w:rsidRDefault="00195391" w:rsidP="00195391">
      <w:pPr>
        <w:autoSpaceDE w:val="0"/>
        <w:autoSpaceDN w:val="0"/>
        <w:adjustRightInd w:val="0"/>
        <w:spacing w:after="120" w:line="240" w:lineRule="auto"/>
        <w:rPr>
          <w:rFonts w:cstheme="minorHAnsi"/>
          <w:bCs/>
          <w:color w:val="C00000"/>
        </w:rPr>
      </w:pPr>
      <w:r w:rsidRPr="006A0885">
        <w:rPr>
          <w:rFonts w:cstheme="minorHAnsi"/>
          <w:bCs/>
          <w:color w:val="C00000"/>
        </w:rPr>
        <w:lastRenderedPageBreak/>
        <w:t>Landis J, Koch G. The measurement of observer agreement for categorical data, Biometrics 1977;33:159-174.</w:t>
      </w:r>
    </w:p>
    <w:p w14:paraId="193A06A8" w14:textId="77777777" w:rsidR="00195391" w:rsidRPr="00963AE1" w:rsidRDefault="00195391" w:rsidP="00195391">
      <w:pPr>
        <w:autoSpaceDE w:val="0"/>
        <w:autoSpaceDN w:val="0"/>
        <w:adjustRightInd w:val="0"/>
        <w:spacing w:after="120" w:line="240" w:lineRule="auto"/>
        <w:rPr>
          <w:rFonts w:cstheme="minorHAnsi"/>
          <w:bCs/>
          <w:color w:val="C00000"/>
        </w:rPr>
      </w:pPr>
      <w:r w:rsidRPr="006A0885">
        <w:rPr>
          <w:rFonts w:cstheme="minorHAnsi"/>
          <w:bCs/>
          <w:color w:val="C00000"/>
        </w:rPr>
        <w:t xml:space="preserve">Yu, H, </w:t>
      </w:r>
      <w:proofErr w:type="spellStart"/>
      <w:r w:rsidRPr="006A0885">
        <w:rPr>
          <w:rFonts w:cstheme="minorHAnsi"/>
          <w:bCs/>
          <w:color w:val="C00000"/>
        </w:rPr>
        <w:t>Mehrota</w:t>
      </w:r>
      <w:proofErr w:type="spellEnd"/>
      <w:r w:rsidRPr="006A0885">
        <w:rPr>
          <w:rFonts w:cstheme="minorHAnsi"/>
          <w:bCs/>
          <w:color w:val="C00000"/>
        </w:rPr>
        <w:t>, A, Adams J. (2013). Reliability of utilization measures for primary care physician profiling. Healthcare, 1, 22-29</w:t>
      </w:r>
      <w:r>
        <w:rPr>
          <w:rFonts w:cstheme="minorHAnsi"/>
          <w:bCs/>
          <w:color w:val="C00000"/>
        </w:rPr>
        <w:t>.</w:t>
      </w:r>
    </w:p>
    <w:bookmarkEnd w:id="15"/>
    <w:p w14:paraId="0CABCFD4" w14:textId="77777777" w:rsidR="007422FD" w:rsidRPr="00A25024" w:rsidRDefault="007422FD"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25A000F9" w:rsidR="00696262" w:rsidRPr="00A25024" w:rsidRDefault="00DD317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19539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8A93D3C" w:rsidR="000574AB" w:rsidRPr="00A25024" w:rsidRDefault="00DD317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19539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proofErr w:type="gramStart"/>
      <w:r w:rsidR="000414E8">
        <w:rPr>
          <w:rFonts w:eastAsia="MS Gothic" w:cstheme="minorHAnsi"/>
          <w:bCs/>
          <w:i/>
        </w:rPr>
        <w:t>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proofErr w:type="gramEnd"/>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63AABBC" w14:textId="77777777" w:rsidR="004672A6" w:rsidRDefault="009C7513" w:rsidP="004672A6">
      <w:pPr>
        <w:autoSpaceDE w:val="0"/>
        <w:autoSpaceDN w:val="0"/>
        <w:adjustRightInd w:val="0"/>
        <w:spacing w:after="0" w:line="240" w:lineRule="auto"/>
        <w:rPr>
          <w:rFonts w:eastAsia="Calibri"/>
          <w:color w:val="7030A0"/>
          <w:u w:val="single"/>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4672A6">
        <w:rPr>
          <w:rFonts w:eastAsia="Calibri"/>
          <w:color w:val="7030A0"/>
          <w:u w:val="single"/>
        </w:rPr>
        <w:t>Measure Score Validity-Validity Indicated by Established Measure Development Guidelines</w:t>
      </w:r>
    </w:p>
    <w:p w14:paraId="23DB273C" w14:textId="56D7422E" w:rsidR="004672A6" w:rsidRDefault="004672A6" w:rsidP="004672A6">
      <w:pPr>
        <w:autoSpaceDE w:val="0"/>
        <w:autoSpaceDN w:val="0"/>
        <w:adjustRightInd w:val="0"/>
        <w:spacing w:after="0" w:line="240" w:lineRule="auto"/>
        <w:rPr>
          <w:rFonts w:eastAsia="Calibri"/>
          <w:color w:val="7030A0"/>
        </w:rPr>
      </w:pPr>
      <w:r>
        <w:rPr>
          <w:rFonts w:eastAsia="Calibri"/>
          <w:color w:val="7030A0"/>
        </w:rPr>
        <w:t>We developed this measure in consultation with national guidelines for publicly reported outcomes measures, with outside experts, and with the public. The measure is consistent with the technical approach to outcomes measurement set forth in NQF guidance for outcomes measures (National Quality Forum, 2010), CMS Measure Management System (MMS) guidance, and the guidance articulated in the American Heart Association scientific statement, “Standards for Statistical Models Used for Public Reporting of Health Outcomes”.</w:t>
      </w:r>
    </w:p>
    <w:p w14:paraId="297CFDC4" w14:textId="77777777" w:rsidR="004672A6" w:rsidRDefault="004672A6" w:rsidP="004672A6">
      <w:pPr>
        <w:autoSpaceDE w:val="0"/>
        <w:autoSpaceDN w:val="0"/>
        <w:adjustRightInd w:val="0"/>
        <w:spacing w:after="0" w:line="240" w:lineRule="auto"/>
        <w:rPr>
          <w:rFonts w:eastAsia="Calibri"/>
          <w:color w:val="7030A0"/>
        </w:rPr>
      </w:pPr>
    </w:p>
    <w:p w14:paraId="3B20214B" w14:textId="77777777" w:rsidR="004672A6" w:rsidRDefault="004672A6" w:rsidP="004672A6">
      <w:pPr>
        <w:autoSpaceDE w:val="0"/>
        <w:autoSpaceDN w:val="0"/>
        <w:adjustRightInd w:val="0"/>
        <w:spacing w:after="0" w:line="240" w:lineRule="auto"/>
        <w:rPr>
          <w:rFonts w:eastAsia="Calibri"/>
          <w:color w:val="7030A0"/>
          <w:u w:val="single"/>
        </w:rPr>
      </w:pPr>
      <w:r>
        <w:rPr>
          <w:rFonts w:eastAsia="Calibri"/>
          <w:color w:val="7030A0"/>
          <w:u w:val="single"/>
        </w:rPr>
        <w:t>Measure Score Validity-Validity as Assessed by External Groups</w:t>
      </w:r>
    </w:p>
    <w:p w14:paraId="5AAA12F6" w14:textId="77777777" w:rsidR="004672A6" w:rsidRDefault="004672A6" w:rsidP="004672A6">
      <w:pPr>
        <w:autoSpaceDE w:val="0"/>
        <w:autoSpaceDN w:val="0"/>
        <w:adjustRightInd w:val="0"/>
        <w:spacing w:after="0" w:line="240" w:lineRule="auto"/>
        <w:rPr>
          <w:rFonts w:eastAsia="Calibri"/>
          <w:color w:val="7030A0"/>
        </w:rPr>
      </w:pPr>
      <w:r>
        <w:rPr>
          <w:rFonts w:eastAsia="Calibri"/>
          <w:color w:val="7030A0"/>
        </w:rPr>
        <w:t xml:space="preserve">Throughout measure development, we obtained expert and stakeholder input via three mechanisms: regular consultations with an expert health economist, a national TEP, and a 30-day public comment period </w:t>
      </w:r>
      <w:proofErr w:type="gramStart"/>
      <w:r>
        <w:rPr>
          <w:rFonts w:eastAsia="Calibri"/>
          <w:color w:val="7030A0"/>
        </w:rPr>
        <w:t>in order to</w:t>
      </w:r>
      <w:proofErr w:type="gramEnd"/>
      <w:r>
        <w:rPr>
          <w:rFonts w:eastAsia="Calibri"/>
          <w:color w:val="7030A0"/>
        </w:rPr>
        <w:t xml:space="preserve"> increase transparency and to gain broader input into the measure. </w:t>
      </w:r>
    </w:p>
    <w:p w14:paraId="49A6439B" w14:textId="77777777" w:rsidR="004672A6" w:rsidRDefault="004672A6" w:rsidP="004672A6">
      <w:pPr>
        <w:autoSpaceDE w:val="0"/>
        <w:autoSpaceDN w:val="0"/>
        <w:adjustRightInd w:val="0"/>
        <w:spacing w:after="0" w:line="240" w:lineRule="auto"/>
        <w:rPr>
          <w:rFonts w:eastAsia="Calibri"/>
          <w:color w:val="7030A0"/>
        </w:rPr>
      </w:pPr>
    </w:p>
    <w:p w14:paraId="0A7C5BCA" w14:textId="77777777" w:rsidR="004672A6" w:rsidRDefault="004672A6" w:rsidP="004672A6">
      <w:pPr>
        <w:autoSpaceDE w:val="0"/>
        <w:autoSpaceDN w:val="0"/>
        <w:adjustRightInd w:val="0"/>
        <w:spacing w:after="0" w:line="240" w:lineRule="auto"/>
        <w:rPr>
          <w:rFonts w:eastAsia="Calibri"/>
          <w:color w:val="7030A0"/>
        </w:rPr>
      </w:pPr>
      <w:r>
        <w:rPr>
          <w:rFonts w:eastAsia="Calibri"/>
          <w:color w:val="7030A0"/>
        </w:rPr>
        <w:t>The health economist with whom we consulted had years of experience in economic analysis and working with claims data. We worked with the consultant to address key issues surrounding measure development, including detailed discussions regarding the appropriate cohort for inclusion in the measure. Having regular meetings with a consultant provided a forum for focused expert review and discussion of technical issues during measure development prior to consideration by the broader TEP.</w:t>
      </w:r>
    </w:p>
    <w:p w14:paraId="5FDA1CFD" w14:textId="77777777" w:rsidR="004672A6" w:rsidRDefault="004672A6" w:rsidP="004672A6">
      <w:pPr>
        <w:autoSpaceDE w:val="0"/>
        <w:autoSpaceDN w:val="0"/>
        <w:adjustRightInd w:val="0"/>
        <w:spacing w:after="0" w:line="240" w:lineRule="auto"/>
        <w:rPr>
          <w:rFonts w:eastAsia="Calibri"/>
          <w:color w:val="7030A0"/>
        </w:rPr>
      </w:pPr>
    </w:p>
    <w:p w14:paraId="4D96F020" w14:textId="77777777" w:rsidR="004672A6" w:rsidRDefault="004672A6" w:rsidP="004672A6">
      <w:pPr>
        <w:autoSpaceDE w:val="0"/>
        <w:autoSpaceDN w:val="0"/>
        <w:adjustRightInd w:val="0"/>
        <w:spacing w:after="0" w:line="240" w:lineRule="auto"/>
        <w:rPr>
          <w:rFonts w:eastAsia="Calibri"/>
          <w:color w:val="7030A0"/>
        </w:rPr>
      </w:pPr>
      <w:r>
        <w:rPr>
          <w:rFonts w:eastAsia="Calibri"/>
          <w:color w:val="7030A0"/>
        </w:rPr>
        <w:t xml:space="preserve">In addition to consulting with a health economist, and in alignment with the CMS Measure Management System, we convened a TEP to provide input and feedback during measure development from a group of recognized experts in relevant fields. To convene the TEP, we released a public call for nominations and selected individuals who represent a range of perspectives including clinicians, consumers, and purchasers, as well as individuals with experience in quality improvement, performance measurement, and healthcare disparities. We convened two structured TEP conference calls consisting of presentation of key issues, our proposed approach, and relevant data, followed by open discussion among TEP members. We made modifications to the measure based on TEP feedback. </w:t>
      </w:r>
    </w:p>
    <w:p w14:paraId="3286C9C7" w14:textId="77777777" w:rsidR="004672A6" w:rsidRDefault="004672A6" w:rsidP="004672A6">
      <w:pPr>
        <w:autoSpaceDE w:val="0"/>
        <w:autoSpaceDN w:val="0"/>
        <w:adjustRightInd w:val="0"/>
        <w:spacing w:after="0" w:line="240" w:lineRule="auto"/>
        <w:rPr>
          <w:rFonts w:eastAsia="Calibri"/>
          <w:color w:val="7030A0"/>
        </w:rPr>
      </w:pPr>
    </w:p>
    <w:p w14:paraId="5C793EC6" w14:textId="64B2D5FD" w:rsidR="00FC5D2C" w:rsidRDefault="004672A6" w:rsidP="00D2353D">
      <w:pPr>
        <w:autoSpaceDE w:val="0"/>
        <w:autoSpaceDN w:val="0"/>
        <w:adjustRightInd w:val="0"/>
        <w:spacing w:after="0" w:line="240" w:lineRule="auto"/>
        <w:rPr>
          <w:rFonts w:eastAsia="Calibri"/>
          <w:color w:val="7030A0"/>
        </w:rPr>
      </w:pPr>
      <w:r>
        <w:rPr>
          <w:rFonts w:eastAsia="Calibri"/>
          <w:color w:val="7030A0"/>
        </w:rPr>
        <w:t xml:space="preserve">Following completion of the measure, we solicited public comment on the measure through CMS, and the public comments were posted publicly for 60 days. </w:t>
      </w:r>
    </w:p>
    <w:p w14:paraId="3BC82918" w14:textId="77777777" w:rsidR="00D2353D" w:rsidRPr="00D2353D" w:rsidRDefault="00D2353D" w:rsidP="00D2353D">
      <w:pPr>
        <w:autoSpaceDE w:val="0"/>
        <w:autoSpaceDN w:val="0"/>
        <w:adjustRightInd w:val="0"/>
        <w:spacing w:after="0" w:line="240" w:lineRule="auto"/>
        <w:rPr>
          <w:rFonts w:eastAsia="Calibri"/>
          <w:color w:val="7030A0"/>
        </w:rPr>
      </w:pPr>
    </w:p>
    <w:p w14:paraId="46CD7C87" w14:textId="345FDB9F" w:rsidR="004672A6" w:rsidRPr="00C944A3" w:rsidRDefault="004672A6" w:rsidP="004672A6">
      <w:pPr>
        <w:spacing w:before="120" w:line="240" w:lineRule="auto"/>
        <w:rPr>
          <w:color w:val="7030A0"/>
          <w:u w:val="single"/>
        </w:rPr>
      </w:pPr>
      <w:r w:rsidRPr="00C944A3">
        <w:rPr>
          <w:color w:val="7030A0"/>
          <w:u w:val="single"/>
        </w:rPr>
        <w:t>Face Validity as Determined by Technical Expert Panel</w:t>
      </w:r>
    </w:p>
    <w:p w14:paraId="542F32DD" w14:textId="77777777" w:rsidR="004672A6" w:rsidRDefault="004672A6" w:rsidP="004672A6">
      <w:pPr>
        <w:spacing w:before="120" w:line="240" w:lineRule="auto"/>
        <w:rPr>
          <w:color w:val="7030A0"/>
        </w:rPr>
      </w:pPr>
      <w:r>
        <w:rPr>
          <w:color w:val="7030A0"/>
        </w:rPr>
        <w:t>One means of confirming the validity of this measure was face validity assessed by our TEP, which included 16 members, including patient representatives, expert clinicians, researchers, providers, and purchasers.</w:t>
      </w:r>
    </w:p>
    <w:p w14:paraId="31BF30BD" w14:textId="77777777" w:rsidR="004672A6" w:rsidRDefault="004672A6" w:rsidP="004672A6">
      <w:pPr>
        <w:spacing w:before="120" w:line="240" w:lineRule="auto"/>
        <w:rPr>
          <w:color w:val="7030A0"/>
        </w:rPr>
      </w:pPr>
      <w:r>
        <w:rPr>
          <w:b/>
          <w:bCs/>
          <w:color w:val="7030A0"/>
        </w:rPr>
        <w:t>Technical Expert Panel Members:</w:t>
      </w:r>
      <w:r>
        <w:rPr>
          <w:color w:val="7030A0"/>
        </w:rPr>
        <w:t xml:space="preserve"> </w:t>
      </w:r>
    </w:p>
    <w:p w14:paraId="0EBD7E15" w14:textId="77777777" w:rsidR="004672A6" w:rsidRDefault="004672A6" w:rsidP="004672A6">
      <w:pPr>
        <w:spacing w:before="120" w:line="240" w:lineRule="auto"/>
        <w:rPr>
          <w:color w:val="7030A0"/>
        </w:rPr>
      </w:pPr>
      <w:r>
        <w:rPr>
          <w:color w:val="7030A0"/>
        </w:rPr>
        <w:t xml:space="preserve">Ann-Marie </w:t>
      </w:r>
      <w:proofErr w:type="spellStart"/>
      <w:r>
        <w:rPr>
          <w:color w:val="7030A0"/>
        </w:rPr>
        <w:t>Audet</w:t>
      </w:r>
      <w:proofErr w:type="spellEnd"/>
      <w:r>
        <w:rPr>
          <w:color w:val="7030A0"/>
        </w:rPr>
        <w:t xml:space="preserve">, MD Commonwealth Fund </w:t>
      </w:r>
    </w:p>
    <w:p w14:paraId="169AA0AE" w14:textId="77777777" w:rsidR="004672A6" w:rsidRDefault="004672A6" w:rsidP="004672A6">
      <w:pPr>
        <w:spacing w:before="120" w:line="240" w:lineRule="auto"/>
        <w:rPr>
          <w:color w:val="7030A0"/>
        </w:rPr>
      </w:pPr>
      <w:r>
        <w:rPr>
          <w:color w:val="7030A0"/>
        </w:rPr>
        <w:t xml:space="preserve">Peter Bach, MD Memorial Sloan-Kettering Cancer Center </w:t>
      </w:r>
    </w:p>
    <w:p w14:paraId="4512FDC4" w14:textId="77777777" w:rsidR="004672A6" w:rsidRDefault="004672A6" w:rsidP="004672A6">
      <w:pPr>
        <w:spacing w:before="120" w:line="240" w:lineRule="auto"/>
        <w:rPr>
          <w:color w:val="7030A0"/>
        </w:rPr>
      </w:pPr>
      <w:r>
        <w:rPr>
          <w:color w:val="7030A0"/>
        </w:rPr>
        <w:t xml:space="preserve">Richard </w:t>
      </w:r>
      <w:proofErr w:type="spellStart"/>
      <w:r>
        <w:rPr>
          <w:color w:val="7030A0"/>
        </w:rPr>
        <w:t>Bankowitz</w:t>
      </w:r>
      <w:proofErr w:type="spellEnd"/>
      <w:r>
        <w:rPr>
          <w:color w:val="7030A0"/>
        </w:rPr>
        <w:t xml:space="preserve">, MD Premier Inc. </w:t>
      </w:r>
    </w:p>
    <w:p w14:paraId="049E17C8" w14:textId="77777777" w:rsidR="004672A6" w:rsidRDefault="004672A6" w:rsidP="004672A6">
      <w:pPr>
        <w:spacing w:before="120" w:line="240" w:lineRule="auto"/>
        <w:rPr>
          <w:color w:val="7030A0"/>
        </w:rPr>
      </w:pPr>
      <w:r>
        <w:rPr>
          <w:color w:val="7030A0"/>
        </w:rPr>
        <w:t xml:space="preserve">Donald Casey, MD New York University Langone Medical Center </w:t>
      </w:r>
    </w:p>
    <w:p w14:paraId="40030363" w14:textId="77777777" w:rsidR="004672A6" w:rsidRDefault="004672A6" w:rsidP="004672A6">
      <w:pPr>
        <w:spacing w:before="120" w:line="240" w:lineRule="auto"/>
        <w:rPr>
          <w:color w:val="7030A0"/>
        </w:rPr>
      </w:pPr>
      <w:r>
        <w:rPr>
          <w:color w:val="7030A0"/>
        </w:rPr>
        <w:t xml:space="preserve">Lesley Curtis, PhD Duke University </w:t>
      </w:r>
    </w:p>
    <w:p w14:paraId="4EA5BB7D" w14:textId="77777777" w:rsidR="004672A6" w:rsidRDefault="004672A6" w:rsidP="004672A6">
      <w:pPr>
        <w:spacing w:before="120" w:line="240" w:lineRule="auto"/>
        <w:rPr>
          <w:color w:val="7030A0"/>
        </w:rPr>
      </w:pPr>
      <w:r>
        <w:rPr>
          <w:color w:val="7030A0"/>
        </w:rPr>
        <w:t xml:space="preserve">David Dunn, MD </w:t>
      </w:r>
      <w:proofErr w:type="spellStart"/>
      <w:r>
        <w:rPr>
          <w:color w:val="7030A0"/>
        </w:rPr>
        <w:t>ZHealth</w:t>
      </w:r>
      <w:proofErr w:type="spellEnd"/>
      <w:r>
        <w:rPr>
          <w:color w:val="7030A0"/>
        </w:rPr>
        <w:t xml:space="preserve"> LLC </w:t>
      </w:r>
    </w:p>
    <w:p w14:paraId="47169209" w14:textId="77777777" w:rsidR="004672A6" w:rsidRDefault="004672A6" w:rsidP="004672A6">
      <w:pPr>
        <w:spacing w:before="120" w:line="240" w:lineRule="auto"/>
        <w:rPr>
          <w:color w:val="7030A0"/>
        </w:rPr>
      </w:pPr>
      <w:r>
        <w:rPr>
          <w:color w:val="7030A0"/>
        </w:rPr>
        <w:t xml:space="preserve">Terri </w:t>
      </w:r>
      <w:proofErr w:type="spellStart"/>
      <w:r>
        <w:rPr>
          <w:color w:val="7030A0"/>
        </w:rPr>
        <w:t>Golash</w:t>
      </w:r>
      <w:proofErr w:type="spellEnd"/>
      <w:r>
        <w:rPr>
          <w:color w:val="7030A0"/>
        </w:rPr>
        <w:t xml:space="preserve">, MD Aetna </w:t>
      </w:r>
    </w:p>
    <w:p w14:paraId="47ED4520" w14:textId="77777777" w:rsidR="004672A6" w:rsidRDefault="004672A6" w:rsidP="004672A6">
      <w:pPr>
        <w:spacing w:before="120" w:line="240" w:lineRule="auto"/>
        <w:rPr>
          <w:color w:val="7030A0"/>
        </w:rPr>
      </w:pPr>
      <w:r>
        <w:rPr>
          <w:color w:val="7030A0"/>
        </w:rPr>
        <w:t xml:space="preserve">Vivian Ho, PhD Rice University </w:t>
      </w:r>
    </w:p>
    <w:p w14:paraId="7481BF01" w14:textId="77777777" w:rsidR="004672A6" w:rsidRDefault="004672A6" w:rsidP="004672A6">
      <w:pPr>
        <w:spacing w:before="120" w:line="240" w:lineRule="auto"/>
        <w:rPr>
          <w:color w:val="7030A0"/>
        </w:rPr>
      </w:pPr>
      <w:r>
        <w:rPr>
          <w:color w:val="7030A0"/>
        </w:rPr>
        <w:t xml:space="preserve">David Hopkins, PhD Pacific Business Group on Health </w:t>
      </w:r>
    </w:p>
    <w:p w14:paraId="30897629" w14:textId="77777777" w:rsidR="004672A6" w:rsidRDefault="004672A6" w:rsidP="004672A6">
      <w:pPr>
        <w:spacing w:before="120" w:line="240" w:lineRule="auto"/>
        <w:rPr>
          <w:color w:val="7030A0"/>
        </w:rPr>
      </w:pPr>
      <w:r>
        <w:rPr>
          <w:color w:val="7030A0"/>
        </w:rPr>
        <w:t xml:space="preserve">Amanda Kowalski, PhD Yale University </w:t>
      </w:r>
    </w:p>
    <w:p w14:paraId="2486D2D8" w14:textId="77777777" w:rsidR="004672A6" w:rsidRDefault="004672A6" w:rsidP="004672A6">
      <w:pPr>
        <w:spacing w:before="120" w:line="240" w:lineRule="auto"/>
        <w:rPr>
          <w:color w:val="7030A0"/>
        </w:rPr>
      </w:pPr>
      <w:r>
        <w:rPr>
          <w:color w:val="7030A0"/>
        </w:rPr>
        <w:t xml:space="preserve">Kavita Patel, MD Brookings Institute </w:t>
      </w:r>
    </w:p>
    <w:p w14:paraId="63537B0A" w14:textId="5159D3BF" w:rsidR="004672A6" w:rsidRDefault="004672A6" w:rsidP="004672A6">
      <w:pPr>
        <w:spacing w:before="120" w:line="240" w:lineRule="auto"/>
        <w:rPr>
          <w:color w:val="7030A0"/>
        </w:rPr>
      </w:pPr>
      <w:r>
        <w:rPr>
          <w:color w:val="7030A0"/>
        </w:rPr>
        <w:t>Stephen Schmaltz, PhD Joint Commission</w:t>
      </w:r>
    </w:p>
    <w:p w14:paraId="08825813" w14:textId="77777777" w:rsidR="00C944A3" w:rsidRDefault="00C944A3" w:rsidP="00C944A3">
      <w:pPr>
        <w:autoSpaceDE w:val="0"/>
        <w:autoSpaceDN w:val="0"/>
        <w:adjustRightInd w:val="0"/>
        <w:spacing w:after="0" w:line="240" w:lineRule="auto"/>
        <w:rPr>
          <w:rFonts w:eastAsia="Calibri"/>
          <w:color w:val="7030A0"/>
          <w:u w:val="single"/>
        </w:rPr>
      </w:pPr>
      <w:r>
        <w:rPr>
          <w:rFonts w:eastAsia="Calibri"/>
          <w:color w:val="7030A0"/>
          <w:u w:val="single"/>
        </w:rPr>
        <w:t>Measure Score Validity-Face Validity as Determined by TEP</w:t>
      </w:r>
    </w:p>
    <w:p w14:paraId="107E59DA" w14:textId="2C652989" w:rsidR="00C944A3" w:rsidRDefault="00C944A3" w:rsidP="00FE0738">
      <w:pPr>
        <w:shd w:val="clear" w:color="auto" w:fill="FFFFFF"/>
        <w:rPr>
          <w:color w:val="7030A0"/>
        </w:rPr>
      </w:pPr>
      <w:r w:rsidRPr="00C944A3">
        <w:rPr>
          <w:color w:val="7030A0"/>
        </w:rPr>
        <w:t>To systematically assess face validity, we surveyed the Technical Expert Panel and asked each member to rate the following statement using a six-point scale (1=Strongly Disagree, 2=Moderately Disagree, 3=Somewhat Disagree, 4=Somewhat Agree, 5= Moderately Agree, and 6=Strongly Agree): “This is a measure of payments for Medicare patients for a 30-day HF episode of care. The measure removes policy adjustments that are independent of care decisions and risk-adjusts based on case mix. The measure is intended to provide CMS a tool to compare payments across hospitals nationally to identify hospitals that have notably higher or lower payments associated with HF care. To what extent does the committee agree that this measure accomplishes this purpose?”</w:t>
      </w:r>
    </w:p>
    <w:p w14:paraId="14A40EEB" w14:textId="77777777" w:rsidR="004672A6" w:rsidRDefault="004672A6" w:rsidP="004672A6">
      <w:pPr>
        <w:autoSpaceDE w:val="0"/>
        <w:autoSpaceDN w:val="0"/>
        <w:adjustRightInd w:val="0"/>
        <w:spacing w:before="120" w:after="120" w:line="240" w:lineRule="auto"/>
        <w:rPr>
          <w:color w:val="C00000"/>
          <w:u w:val="single"/>
        </w:rPr>
      </w:pPr>
      <w:r>
        <w:rPr>
          <w:color w:val="C00000"/>
          <w:u w:val="single"/>
        </w:rPr>
        <w:t>Empirical Validity</w:t>
      </w:r>
    </w:p>
    <w:p w14:paraId="74DD1081" w14:textId="25417414" w:rsidR="004672A6" w:rsidRDefault="004672A6" w:rsidP="004672A6">
      <w:pPr>
        <w:autoSpaceDE w:val="0"/>
        <w:autoSpaceDN w:val="0"/>
        <w:adjustRightInd w:val="0"/>
        <w:spacing w:before="120" w:after="120" w:line="240" w:lineRule="auto"/>
        <w:rPr>
          <w:color w:val="C00000"/>
        </w:rPr>
      </w:pPr>
      <w:r>
        <w:rPr>
          <w:color w:val="C00000"/>
        </w:rPr>
        <w:t xml:space="preserve">Stewards of NQF-endorsed measures going through the re-endorsement process are required to demonstrate external validity testing at the time of maintenance review, or if this is not possible, justify the use of face validity only. To meet this requirement for the HF payment measure, we identified and </w:t>
      </w:r>
      <w:r>
        <w:rPr>
          <w:color w:val="C00000"/>
        </w:rPr>
        <w:lastRenderedPageBreak/>
        <w:t>assessed the measure’s correlation with other measures that target the same domain (payment or utilization) for the same or similar populations. After literature review and consultations with measure experts in the field, there were very few measures identified. Given that challenge, we selected the hospital Medicare Spending per Beneficiary (MSPB) measure for comparison. We report an unweighted Pearson’s correlation coefficient for this analysis.</w:t>
      </w:r>
    </w:p>
    <w:p w14:paraId="5FCF1B79" w14:textId="77777777" w:rsidR="004672A6" w:rsidRDefault="004672A6" w:rsidP="004672A6">
      <w:pPr>
        <w:autoSpaceDE w:val="0"/>
        <w:autoSpaceDN w:val="0"/>
        <w:adjustRightInd w:val="0"/>
        <w:spacing w:before="120" w:after="120" w:line="240" w:lineRule="auto"/>
        <w:rPr>
          <w:color w:val="C00000"/>
        </w:rPr>
      </w:pPr>
      <w:r>
        <w:rPr>
          <w:color w:val="C00000"/>
        </w:rPr>
        <w:t xml:space="preserve">The hospital Medicare Spending per Beneficiary (MSPB) measure is a risk-adjusted, price-standardized measure that assesses Medicare Part A and Part B payments for services provided to Medicare beneficiaries for episodes that spanning from three days prior to an inpatient hospital admission through 30 days after discharge.  More information about the hospital MSPB measure can be found here: </w:t>
      </w:r>
      <w:hyperlink r:id="rId17" w:history="1">
        <w:r>
          <w:rPr>
            <w:rStyle w:val="Hyperlink"/>
          </w:rPr>
          <w:t>https://qualitynet.cms.gov/inpatient/measures/mspb</w:t>
        </w:r>
      </w:hyperlink>
      <w:r>
        <w:rPr>
          <w:color w:val="C00000"/>
        </w:rPr>
        <w:t>.</w:t>
      </w:r>
    </w:p>
    <w:p w14:paraId="275DDF7A" w14:textId="1F014ED3" w:rsidR="004672A6" w:rsidRDefault="004672A6" w:rsidP="004672A6">
      <w:pPr>
        <w:autoSpaceDE w:val="0"/>
        <w:autoSpaceDN w:val="0"/>
        <w:adjustRightInd w:val="0"/>
        <w:spacing w:before="120" w:after="120" w:line="240" w:lineRule="auto"/>
        <w:rPr>
          <w:color w:val="C00000"/>
        </w:rPr>
      </w:pPr>
      <w:r>
        <w:rPr>
          <w:color w:val="C00000"/>
        </w:rPr>
        <w:t>Because the MS</w:t>
      </w:r>
      <w:r w:rsidR="00133C69">
        <w:rPr>
          <w:color w:val="C00000"/>
        </w:rPr>
        <w:t>PB</w:t>
      </w:r>
      <w:r>
        <w:rPr>
          <w:color w:val="C00000"/>
        </w:rPr>
        <w:t xml:space="preserve"> measure assesses payments for all Medicare FFS patients for all conditions during the measurement period, and the </w:t>
      </w:r>
      <w:r w:rsidR="004049EC">
        <w:rPr>
          <w:color w:val="C00000"/>
        </w:rPr>
        <w:t xml:space="preserve">HF </w:t>
      </w:r>
      <w:r>
        <w:rPr>
          <w:color w:val="C00000"/>
        </w:rPr>
        <w:t xml:space="preserve">payment measure is focused on a single diagnosis, we predicted that HF payment measure scores would be weakly-to-moderately, positively correlated with MSPB measure scores.  </w:t>
      </w:r>
    </w:p>
    <w:p w14:paraId="57532216" w14:textId="77777777" w:rsidR="004672A6" w:rsidRDefault="004672A6" w:rsidP="004672A6">
      <w:pPr>
        <w:autoSpaceDE w:val="0"/>
        <w:autoSpaceDN w:val="0"/>
        <w:adjustRightInd w:val="0"/>
        <w:spacing w:before="120" w:after="120" w:line="240" w:lineRule="auto"/>
        <w:rPr>
          <w:color w:val="C00000"/>
        </w:rPr>
      </w:pPr>
      <w:r>
        <w:rPr>
          <w:color w:val="C00000"/>
        </w:rPr>
        <w:t>As additional evidence of measure score validity, we also present a measure of internal validity of the outcome by examining the distribution of payment types across the quartiles of risk-standardized payments.  Our expectation would be that detailed level observed payments would be greater in hospitals with higher risk-standardized payments.</w:t>
      </w:r>
    </w:p>
    <w:p w14:paraId="2B4F8CDF" w14:textId="77777777" w:rsidR="004672A6" w:rsidRDefault="004672A6" w:rsidP="004672A6">
      <w:pPr>
        <w:spacing w:before="120" w:line="240" w:lineRule="auto"/>
        <w:rPr>
          <w:color w:val="7030A0"/>
        </w:rPr>
      </w:pPr>
      <w:r>
        <w:rPr>
          <w:color w:val="7030A0"/>
          <w:u w:val="single"/>
        </w:rPr>
        <w:t>References</w:t>
      </w:r>
      <w:r>
        <w:rPr>
          <w:color w:val="7030A0"/>
        </w:rPr>
        <w:t>:</w:t>
      </w:r>
    </w:p>
    <w:p w14:paraId="52B253C4" w14:textId="77777777" w:rsidR="00133C69" w:rsidRDefault="00133C69" w:rsidP="00133C69">
      <w:pPr>
        <w:spacing w:before="120" w:line="240" w:lineRule="auto"/>
        <w:rPr>
          <w:color w:val="7030A0"/>
        </w:rPr>
      </w:pPr>
      <w:proofErr w:type="spellStart"/>
      <w:r w:rsidRPr="00815A89">
        <w:rPr>
          <w:color w:val="7030A0"/>
        </w:rPr>
        <w:t>Bratzler</w:t>
      </w:r>
      <w:proofErr w:type="spellEnd"/>
      <w:r w:rsidRPr="00815A89">
        <w:rPr>
          <w:color w:val="7030A0"/>
        </w:rPr>
        <w:t xml:space="preserve"> DW, Normand SL, Wang Y, et al. An administrative claims model for profiling hospital 30-day mortality rates for pneumonia patients. </w:t>
      </w:r>
      <w:proofErr w:type="spellStart"/>
      <w:r w:rsidRPr="00815A89">
        <w:rPr>
          <w:color w:val="7030A0"/>
        </w:rPr>
        <w:t>PLoS</w:t>
      </w:r>
      <w:proofErr w:type="spellEnd"/>
      <w:r w:rsidRPr="00815A89">
        <w:rPr>
          <w:color w:val="7030A0"/>
        </w:rPr>
        <w:t xml:space="preserve"> One 2011;6(4</w:t>
      </w:r>
      <w:proofErr w:type="gramStart"/>
      <w:r w:rsidRPr="00815A89">
        <w:rPr>
          <w:color w:val="7030A0"/>
        </w:rPr>
        <w:t>):e</w:t>
      </w:r>
      <w:proofErr w:type="gramEnd"/>
      <w:r w:rsidRPr="00815A89">
        <w:rPr>
          <w:color w:val="7030A0"/>
        </w:rPr>
        <w:t>17401.</w:t>
      </w:r>
    </w:p>
    <w:p w14:paraId="1E44625E" w14:textId="77777777" w:rsidR="00133C69" w:rsidRPr="00815A89" w:rsidRDefault="00133C69" w:rsidP="00133C69">
      <w:pPr>
        <w:spacing w:before="120" w:line="240" w:lineRule="auto"/>
        <w:rPr>
          <w:color w:val="7030A0"/>
        </w:rPr>
      </w:pPr>
      <w:r w:rsidRPr="00815A89">
        <w:rPr>
          <w:color w:val="7030A0"/>
        </w:rPr>
        <w:t xml:space="preserve">Keenan PS, Normand SL, Lin Z, et al. An administrative claims measure suitable for profiling hospital performance </w:t>
      </w:r>
      <w:proofErr w:type="gramStart"/>
      <w:r w:rsidRPr="00815A89">
        <w:rPr>
          <w:color w:val="7030A0"/>
        </w:rPr>
        <w:t>on the basis of</w:t>
      </w:r>
      <w:proofErr w:type="gramEnd"/>
      <w:r w:rsidRPr="00815A89">
        <w:rPr>
          <w:color w:val="7030A0"/>
        </w:rPr>
        <w:t xml:space="preserve"> 30-day all-cause readmission rates among patients with heart failure. Circulation 2008;1(1):29-37.</w:t>
      </w:r>
    </w:p>
    <w:p w14:paraId="407E73A9" w14:textId="77777777" w:rsidR="00133C69" w:rsidRDefault="00133C69" w:rsidP="00133C69">
      <w:pPr>
        <w:spacing w:before="120" w:line="240" w:lineRule="auto"/>
        <w:rPr>
          <w:color w:val="7030A0"/>
        </w:rPr>
      </w:pPr>
      <w:proofErr w:type="spellStart"/>
      <w:r w:rsidRPr="00815A89">
        <w:rPr>
          <w:color w:val="7030A0"/>
        </w:rPr>
        <w:t>Krumholz</w:t>
      </w:r>
      <w:proofErr w:type="spellEnd"/>
      <w:r w:rsidRPr="00815A89">
        <w:rPr>
          <w:color w:val="7030A0"/>
        </w:rPr>
        <w:t xml:space="preserve"> HM, </w:t>
      </w:r>
      <w:proofErr w:type="spellStart"/>
      <w:r w:rsidRPr="00815A89">
        <w:rPr>
          <w:color w:val="7030A0"/>
        </w:rPr>
        <w:t>Brindis</w:t>
      </w:r>
      <w:proofErr w:type="spellEnd"/>
      <w:r w:rsidRPr="00815A89">
        <w:rPr>
          <w:color w:val="7030A0"/>
        </w:rPr>
        <w:t xml:space="preserve"> </w:t>
      </w:r>
      <w:proofErr w:type="spellStart"/>
      <w:proofErr w:type="gramStart"/>
      <w:r w:rsidRPr="00815A89">
        <w:rPr>
          <w:color w:val="7030A0"/>
        </w:rPr>
        <w:t>RG,Brush</w:t>
      </w:r>
      <w:proofErr w:type="spellEnd"/>
      <w:proofErr w:type="gramEnd"/>
      <w:r w:rsidRPr="00815A89">
        <w:rPr>
          <w:color w:val="7030A0"/>
        </w:rPr>
        <w:t xml:space="preserve">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January 24, 2006 2006;113(3):456-462.</w:t>
      </w:r>
    </w:p>
    <w:p w14:paraId="4E27E71F" w14:textId="77777777" w:rsidR="00133C69" w:rsidRDefault="00133C69" w:rsidP="00133C69">
      <w:pPr>
        <w:spacing w:before="120" w:line="240" w:lineRule="auto"/>
        <w:rPr>
          <w:color w:val="7030A0"/>
        </w:rPr>
      </w:pPr>
      <w:r w:rsidRPr="00274BA2">
        <w:rPr>
          <w:color w:val="7030A0"/>
        </w:rPr>
        <w:t xml:space="preserve">Krumholz HM, Wang Y, Mattera JA, Wang Y-F, Han LF, Ingber MJ, Roman S, Normand SL. An administrative claims model suitable for profiling hospital performance based on 30-day mortality rates among patients with an acute myocardial infarction. Circulation. 2006 Apr 4;113(13):1683-92. </w:t>
      </w:r>
    </w:p>
    <w:p w14:paraId="6BDA6A19" w14:textId="77777777" w:rsidR="00133C69" w:rsidRPr="00274BA2" w:rsidRDefault="00133C69" w:rsidP="00133C69">
      <w:pPr>
        <w:spacing w:before="120" w:line="240" w:lineRule="auto"/>
        <w:rPr>
          <w:color w:val="7030A0"/>
        </w:rPr>
      </w:pPr>
      <w:r w:rsidRPr="00815A89">
        <w:rPr>
          <w:color w:val="7030A0"/>
        </w:rPr>
        <w:t>Krumholz HM, Wang Y, Mattera JA, et al. An administrative claims model suitable for profiling hospital performance based on 30-day mortality rates among patients with heart failure. Circulation 2006;113(13):1693-1701.</w:t>
      </w:r>
    </w:p>
    <w:p w14:paraId="3525391E" w14:textId="77777777" w:rsidR="00133C69" w:rsidRPr="00274BA2" w:rsidRDefault="00133C69" w:rsidP="00133C69">
      <w:pPr>
        <w:spacing w:before="120" w:line="240" w:lineRule="auto"/>
        <w:rPr>
          <w:color w:val="7030A0"/>
        </w:rPr>
      </w:pPr>
      <w:r w:rsidRPr="00274BA2">
        <w:rPr>
          <w:color w:val="7030A0"/>
        </w:rPr>
        <w:t>Krumholz HM, Lin Z, Drye EE, Desai MM, Han LF, Rapp MT, Mattera JA, Normand SL. An administrative claims measure suitable for profiling hospital performance based on 30-day all-cause readmission rates among patients with acute myocardial infarction. Circulation: Cardiovascular Quality and Outcomes. 2011 Mar 1;4(2):243-52.</w:t>
      </w:r>
    </w:p>
    <w:p w14:paraId="700D0D6F" w14:textId="77777777" w:rsidR="00133C69" w:rsidRPr="00274BA2" w:rsidRDefault="00133C69" w:rsidP="00133C69">
      <w:pPr>
        <w:spacing w:before="120" w:line="240" w:lineRule="auto"/>
        <w:rPr>
          <w:color w:val="7030A0"/>
        </w:rPr>
      </w:pPr>
      <w:proofErr w:type="spellStart"/>
      <w:r w:rsidRPr="00274BA2">
        <w:rPr>
          <w:color w:val="7030A0"/>
        </w:rPr>
        <w:lastRenderedPageBreak/>
        <w:t>Lindenauer</w:t>
      </w:r>
      <w:proofErr w:type="spellEnd"/>
      <w:r w:rsidRPr="00274BA2">
        <w:rPr>
          <w:color w:val="7030A0"/>
        </w:rPr>
        <w:t xml:space="preserve"> PK, Normand SL, Drye EE, Lin Z, Goodrich K, Desai MM, </w:t>
      </w:r>
      <w:proofErr w:type="spellStart"/>
      <w:r w:rsidRPr="00274BA2">
        <w:rPr>
          <w:color w:val="7030A0"/>
        </w:rPr>
        <w:t>Bratzler</w:t>
      </w:r>
      <w:proofErr w:type="spellEnd"/>
      <w:r w:rsidRPr="00274BA2">
        <w:rPr>
          <w:color w:val="7030A0"/>
        </w:rPr>
        <w:t xml:space="preserve"> DW, O'Donnell WJ, </w:t>
      </w:r>
      <w:proofErr w:type="spellStart"/>
      <w:r w:rsidRPr="00274BA2">
        <w:rPr>
          <w:color w:val="7030A0"/>
        </w:rPr>
        <w:t>Metersky</w:t>
      </w:r>
      <w:proofErr w:type="spellEnd"/>
      <w:r w:rsidRPr="00274BA2">
        <w:rPr>
          <w:color w:val="7030A0"/>
        </w:rPr>
        <w:t xml:space="preserve"> ML, </w:t>
      </w:r>
      <w:proofErr w:type="spellStart"/>
      <w:r w:rsidRPr="00274BA2">
        <w:rPr>
          <w:color w:val="7030A0"/>
        </w:rPr>
        <w:t>Krumholz</w:t>
      </w:r>
      <w:proofErr w:type="spellEnd"/>
      <w:r w:rsidRPr="00274BA2">
        <w:rPr>
          <w:color w:val="7030A0"/>
        </w:rPr>
        <w:t xml:space="preserve"> HM. Development, validation, and results of a measure of 30-day readmission following hospitalization for pneumonia. Journal of Hospital Medicine. 2011 Mar;6(3):142-50.</w:t>
      </w:r>
    </w:p>
    <w:p w14:paraId="3FC95DDA" w14:textId="77777777" w:rsidR="00133C69" w:rsidRDefault="00133C69" w:rsidP="00133C69">
      <w:pPr>
        <w:spacing w:before="120" w:line="240" w:lineRule="auto"/>
        <w:rPr>
          <w:color w:val="7030A0"/>
        </w:rPr>
      </w:pPr>
      <w:r w:rsidRPr="00274BA2">
        <w:rPr>
          <w:color w:val="7030A0"/>
        </w:rPr>
        <w:t>National Quality Forum. National voluntary consensus standards for patient outcomes, first report for phases 1 and 2: A consensus report http://www.nysna.org/images/pdfs/practice/nqf_ana_outcomes_draft10.pdf. Accessed August 19, 2010.</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30AF3A5D" w14:textId="77777777" w:rsidR="002C276F" w:rsidRDefault="009C7513" w:rsidP="004672A6">
      <w:pPr>
        <w:autoSpaceDE w:val="0"/>
        <w:autoSpaceDN w:val="0"/>
        <w:adjustRightInd w:val="0"/>
        <w:spacing w:before="120" w:after="120" w:line="240" w:lineRule="auto"/>
        <w:rPr>
          <w:b/>
          <w:color w:val="7030A0"/>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58A45429" w14:textId="759D5ABF" w:rsidR="004672A6" w:rsidRPr="00C84098" w:rsidRDefault="004672A6" w:rsidP="004672A6">
      <w:pPr>
        <w:autoSpaceDE w:val="0"/>
        <w:autoSpaceDN w:val="0"/>
        <w:adjustRightInd w:val="0"/>
        <w:spacing w:before="120" w:after="120" w:line="240" w:lineRule="auto"/>
        <w:rPr>
          <w:b/>
          <w:color w:val="7030A0"/>
          <w:u w:val="single"/>
        </w:rPr>
      </w:pPr>
      <w:r w:rsidRPr="00C84098">
        <w:rPr>
          <w:b/>
          <w:color w:val="7030A0"/>
          <w:u w:val="single"/>
        </w:rPr>
        <w:t xml:space="preserve">Measure Score Validity-Validity as Assessed by External Groups </w:t>
      </w:r>
    </w:p>
    <w:p w14:paraId="5D46DA57" w14:textId="08DD63ED" w:rsidR="00FE0738" w:rsidRPr="0088323A" w:rsidRDefault="00FE0738" w:rsidP="00D2353D">
      <w:pPr>
        <w:shd w:val="clear" w:color="auto" w:fill="FFFFFF"/>
        <w:spacing w:line="240" w:lineRule="auto"/>
        <w:rPr>
          <w:color w:val="7030A0"/>
        </w:rPr>
      </w:pPr>
      <w:r w:rsidRPr="00FE0738">
        <w:rPr>
          <w:color w:val="7030A0"/>
        </w:rPr>
        <w:t>Among the 8 TEP members who provided a response, 1 responded “Somewhat Agree,” 3 responded “Moderately Agree,” and 4 reported “Strongly Agree” that this measure accomplished the purposes of measuring payments for Medicare patients for a 30-day HF episode of care, removing policy adjustments unrelated to care decisions, risk-adjusting based upon case mix, and providing CMS with a tool that it can use to compare payments across hospitals and identify hospitals with notably higher and lower payments.</w:t>
      </w:r>
    </w:p>
    <w:p w14:paraId="59969A6D" w14:textId="755C31DD" w:rsidR="004672A6" w:rsidRPr="00C84098" w:rsidRDefault="004672A6" w:rsidP="004672A6">
      <w:pPr>
        <w:autoSpaceDE w:val="0"/>
        <w:autoSpaceDN w:val="0"/>
        <w:adjustRightInd w:val="0"/>
        <w:spacing w:before="120" w:after="120" w:line="240" w:lineRule="auto"/>
        <w:rPr>
          <w:b/>
          <w:color w:val="C00000"/>
          <w:u w:val="single"/>
        </w:rPr>
      </w:pPr>
      <w:r w:rsidRPr="00C84098">
        <w:rPr>
          <w:b/>
          <w:color w:val="C00000"/>
          <w:u w:val="single"/>
        </w:rPr>
        <w:t>External Empiric Validity</w:t>
      </w:r>
    </w:p>
    <w:p w14:paraId="6CF1DF1F" w14:textId="480CB748" w:rsidR="00192F6F" w:rsidRPr="00C84098" w:rsidRDefault="00192F6F" w:rsidP="004672A6">
      <w:pPr>
        <w:autoSpaceDE w:val="0"/>
        <w:autoSpaceDN w:val="0"/>
        <w:adjustRightInd w:val="0"/>
        <w:spacing w:before="120" w:after="120" w:line="240" w:lineRule="auto"/>
        <w:rPr>
          <w:bCs/>
          <w:i/>
          <w:iCs/>
          <w:color w:val="C00000"/>
        </w:rPr>
      </w:pPr>
      <w:r w:rsidRPr="00C84098">
        <w:rPr>
          <w:bCs/>
          <w:i/>
          <w:iCs/>
          <w:color w:val="C00000"/>
        </w:rPr>
        <w:t>Correlations with M</w:t>
      </w:r>
      <w:r w:rsidR="00C84098">
        <w:rPr>
          <w:bCs/>
          <w:i/>
          <w:iCs/>
          <w:color w:val="C00000"/>
        </w:rPr>
        <w:t>edicare Spending per Beneficiary</w:t>
      </w:r>
    </w:p>
    <w:p w14:paraId="01AF2291" w14:textId="77777777" w:rsidR="004672A6" w:rsidRDefault="004672A6" w:rsidP="004672A6">
      <w:pPr>
        <w:autoSpaceDE w:val="0"/>
        <w:autoSpaceDN w:val="0"/>
        <w:adjustRightInd w:val="0"/>
        <w:spacing w:before="120" w:after="120" w:line="240" w:lineRule="auto"/>
        <w:rPr>
          <w:color w:val="C00000"/>
        </w:rPr>
      </w:pPr>
      <w:r w:rsidRPr="005238CB">
        <w:rPr>
          <w:color w:val="C00000"/>
        </w:rPr>
        <w:t xml:space="preserve">The results of </w:t>
      </w:r>
      <w:r>
        <w:rPr>
          <w:color w:val="C00000"/>
        </w:rPr>
        <w:t xml:space="preserve">the correlation analyses described in section 2b1.2 are shown below in Figure 1. As expected, the HF payment measure score was positively correlated with the Medicare Spending Per Beneficiary (MSPB) measure, with a correlation coefficient of 0.543 meaning that higher spending across all Medicare FFS beneficiaries correlated with higher spending on patients hospitalized with HF. </w:t>
      </w:r>
    </w:p>
    <w:p w14:paraId="36CDB56C" w14:textId="56DC0B82" w:rsidR="004672A6" w:rsidRDefault="004672A6" w:rsidP="004672A6">
      <w:pPr>
        <w:autoSpaceDE w:val="0"/>
        <w:autoSpaceDN w:val="0"/>
        <w:adjustRightInd w:val="0"/>
        <w:spacing w:before="120" w:after="120" w:line="240" w:lineRule="auto"/>
        <w:rPr>
          <w:rFonts w:cstheme="minorHAnsi"/>
          <w:bCs/>
          <w:color w:val="C00000"/>
        </w:rPr>
      </w:pPr>
      <w:r>
        <w:rPr>
          <w:rFonts w:cstheme="minorHAnsi"/>
          <w:bCs/>
          <w:color w:val="C00000"/>
        </w:rPr>
        <w:t xml:space="preserve">Figure 1 </w:t>
      </w:r>
      <w:r w:rsidRPr="00C06A62">
        <w:rPr>
          <w:rFonts w:cstheme="minorHAnsi"/>
          <w:bCs/>
          <w:color w:val="C00000"/>
        </w:rPr>
        <w:t xml:space="preserve">shows the box-whisker plots of the </w:t>
      </w:r>
      <w:r>
        <w:rPr>
          <w:rFonts w:cstheme="minorHAnsi"/>
          <w:bCs/>
          <w:color w:val="C00000"/>
        </w:rPr>
        <w:t>HF risk-standardized payment (RSP)</w:t>
      </w:r>
      <w:r w:rsidRPr="00C06A62">
        <w:rPr>
          <w:rFonts w:cstheme="minorHAnsi"/>
          <w:bCs/>
          <w:color w:val="C00000"/>
        </w:rPr>
        <w:t xml:space="preserve"> within each quartile of </w:t>
      </w:r>
      <w:r>
        <w:rPr>
          <w:rFonts w:cstheme="minorHAnsi"/>
          <w:bCs/>
          <w:color w:val="C00000"/>
        </w:rPr>
        <w:t>the MSPB measure score</w:t>
      </w:r>
      <w:r w:rsidRPr="00C06A62">
        <w:rPr>
          <w:rFonts w:cstheme="minorHAnsi"/>
          <w:bCs/>
          <w:color w:val="C00000"/>
        </w:rPr>
        <w:t>. The blue</w:t>
      </w:r>
      <w:r>
        <w:rPr>
          <w:rFonts w:cstheme="minorHAnsi"/>
          <w:bCs/>
          <w:color w:val="C00000"/>
        </w:rPr>
        <w:t xml:space="preserve"> circles represent the mean RSP</w:t>
      </w:r>
      <w:r w:rsidRPr="00C06A62">
        <w:rPr>
          <w:rFonts w:cstheme="minorHAnsi"/>
          <w:bCs/>
          <w:color w:val="C00000"/>
        </w:rPr>
        <w:t xml:space="preserve">s </w:t>
      </w:r>
      <w:r>
        <w:rPr>
          <w:rFonts w:cstheme="minorHAnsi"/>
          <w:bCs/>
          <w:color w:val="C00000"/>
        </w:rPr>
        <w:t>of HF payment</w:t>
      </w:r>
      <w:r w:rsidRPr="00C06A62">
        <w:rPr>
          <w:rFonts w:cstheme="minorHAnsi"/>
          <w:bCs/>
          <w:color w:val="C00000"/>
        </w:rPr>
        <w:t xml:space="preserve"> score quartiles. The correlation between </w:t>
      </w:r>
      <w:r>
        <w:rPr>
          <w:rFonts w:cstheme="minorHAnsi"/>
          <w:bCs/>
          <w:color w:val="C00000"/>
        </w:rPr>
        <w:t>HF RSPs</w:t>
      </w:r>
      <w:r w:rsidRPr="00C06A62">
        <w:rPr>
          <w:rFonts w:cstheme="minorHAnsi"/>
          <w:bCs/>
          <w:color w:val="C00000"/>
        </w:rPr>
        <w:t xml:space="preserve"> and </w:t>
      </w:r>
      <w:r>
        <w:rPr>
          <w:rFonts w:cstheme="minorHAnsi"/>
          <w:bCs/>
          <w:color w:val="C00000"/>
        </w:rPr>
        <w:t>the MS</w:t>
      </w:r>
      <w:r w:rsidR="00133C69">
        <w:rPr>
          <w:rFonts w:cstheme="minorHAnsi"/>
          <w:bCs/>
          <w:color w:val="C00000"/>
        </w:rPr>
        <w:t>PB</w:t>
      </w:r>
      <w:r>
        <w:rPr>
          <w:rFonts w:cstheme="minorHAnsi"/>
          <w:bCs/>
          <w:color w:val="C00000"/>
        </w:rPr>
        <w:t xml:space="preserve"> score is </w:t>
      </w:r>
      <w:r>
        <w:rPr>
          <w:color w:val="C00000"/>
        </w:rPr>
        <w:t>0.543</w:t>
      </w:r>
      <w:r w:rsidRPr="00C06A62">
        <w:rPr>
          <w:rFonts w:cstheme="minorHAnsi"/>
          <w:bCs/>
          <w:color w:val="C00000"/>
        </w:rPr>
        <w:t xml:space="preserve">, which suggests that hospitals with </w:t>
      </w:r>
      <w:r>
        <w:rPr>
          <w:rFonts w:cstheme="minorHAnsi"/>
          <w:bCs/>
          <w:color w:val="C00000"/>
        </w:rPr>
        <w:t>higher</w:t>
      </w:r>
      <w:r w:rsidRPr="00C06A62">
        <w:rPr>
          <w:rFonts w:cstheme="minorHAnsi"/>
          <w:bCs/>
          <w:color w:val="C00000"/>
        </w:rPr>
        <w:t xml:space="preserve"> </w:t>
      </w:r>
      <w:r>
        <w:rPr>
          <w:rFonts w:cstheme="minorHAnsi"/>
          <w:bCs/>
          <w:color w:val="C00000"/>
        </w:rPr>
        <w:t xml:space="preserve">RSPs </w:t>
      </w:r>
      <w:r w:rsidRPr="00C06A62">
        <w:rPr>
          <w:rFonts w:cstheme="minorHAnsi"/>
          <w:bCs/>
          <w:color w:val="C00000"/>
        </w:rPr>
        <w:t>are more likely to have higher</w:t>
      </w:r>
      <w:r>
        <w:rPr>
          <w:rFonts w:cstheme="minorHAnsi"/>
          <w:bCs/>
          <w:color w:val="C00000"/>
        </w:rPr>
        <w:t xml:space="preserve"> MSPB measure scores.</w:t>
      </w:r>
    </w:p>
    <w:p w14:paraId="667DAD65" w14:textId="740CBD42" w:rsidR="004672A6" w:rsidRPr="004672A6" w:rsidRDefault="004672A6" w:rsidP="004672A6">
      <w:pPr>
        <w:pStyle w:val="Caption"/>
        <w:keepNext/>
        <w:rPr>
          <w:color w:val="C00000"/>
          <w:sz w:val="22"/>
        </w:rPr>
      </w:pPr>
      <w:r w:rsidRPr="00436669">
        <w:rPr>
          <w:color w:val="C00000"/>
          <w:sz w:val="22"/>
        </w:rPr>
        <w:lastRenderedPageBreak/>
        <w:t xml:space="preserve">Figure </w:t>
      </w:r>
      <w:r w:rsidRPr="00436669">
        <w:rPr>
          <w:color w:val="C00000"/>
          <w:sz w:val="22"/>
        </w:rPr>
        <w:fldChar w:fldCharType="begin"/>
      </w:r>
      <w:r w:rsidRPr="00436669">
        <w:rPr>
          <w:color w:val="C00000"/>
          <w:sz w:val="22"/>
        </w:rPr>
        <w:instrText xml:space="preserve"> SEQ Figure \* ARABIC </w:instrText>
      </w:r>
      <w:r w:rsidRPr="00436669">
        <w:rPr>
          <w:color w:val="C00000"/>
          <w:sz w:val="22"/>
        </w:rPr>
        <w:fldChar w:fldCharType="separate"/>
      </w:r>
      <w:r w:rsidRPr="00436669">
        <w:rPr>
          <w:noProof/>
          <w:color w:val="C00000"/>
          <w:sz w:val="22"/>
        </w:rPr>
        <w:t>1</w:t>
      </w:r>
      <w:r w:rsidRPr="00436669">
        <w:rPr>
          <w:color w:val="C00000"/>
          <w:sz w:val="22"/>
        </w:rPr>
        <w:fldChar w:fldCharType="end"/>
      </w:r>
      <w:r w:rsidRPr="00436669">
        <w:rPr>
          <w:color w:val="C00000"/>
          <w:sz w:val="22"/>
        </w:rPr>
        <w:t>. Box-whisker plots of HF payment RSPs within each quartile of the Medicare Savings Per B</w:t>
      </w:r>
      <w:r>
        <w:rPr>
          <w:color w:val="C00000"/>
          <w:sz w:val="22"/>
        </w:rPr>
        <w:t>eneficiary (MSPB) measure score</w:t>
      </w:r>
    </w:p>
    <w:p w14:paraId="0CABCFDE" w14:textId="6110BC0A" w:rsidR="007422FD" w:rsidRPr="00092566" w:rsidRDefault="004672A6" w:rsidP="00092566">
      <w:pPr>
        <w:autoSpaceDE w:val="0"/>
        <w:autoSpaceDN w:val="0"/>
        <w:adjustRightInd w:val="0"/>
        <w:spacing w:after="0" w:line="240" w:lineRule="auto"/>
        <w:rPr>
          <w:rFonts w:cstheme="minorHAnsi"/>
          <w:bCs/>
        </w:rPr>
      </w:pPr>
      <w:r>
        <w:rPr>
          <w:noProof/>
          <w:sz w:val="24"/>
          <w:szCs w:val="24"/>
        </w:rPr>
        <w:drawing>
          <wp:inline distT="0" distB="0" distL="0" distR="0" wp14:anchorId="5A0AB0A3" wp14:editId="153BE5E1">
            <wp:extent cx="5943600" cy="4459605"/>
            <wp:effectExtent l="0" t="0" r="0" b="0"/>
            <wp:docPr id="1" name="Picture 1" descr="Figure 1. Box-whisker plots of HF payment RSPs within each quartile of the Medicare Savings Per Beneficiary (MSPB) measure score&#10;&#10;Figure 1 shows the box-whisker plots of the HF risk-standardized payment (RSP) within each quartile of the MSPB measure score. The correlation between HF RSPs and the MSPB score is 0.543, which suggests that hospitals with higher RSPs are more likely to have higher MSPB measure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Figure 1. Box-whisker plots of HF payment RSPs within each quartile of the Medicare Savings Per Beneficiary (MSPB) measure score&#10;&#10;Figure 1 shows the box-whisker plots of the HF risk-standardized payment (RSP) within each quartile of the MSPB measure score. The correlation between HF RSPs and the MSPB score is 0.543, which suggests that hospitals with higher RSPs are more likely to have higher MSPB measure score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4459605"/>
                    </a:xfrm>
                    <a:prstGeom prst="rect">
                      <a:avLst/>
                    </a:prstGeom>
                    <a:noFill/>
                    <a:ln>
                      <a:noFill/>
                    </a:ln>
                  </pic:spPr>
                </pic:pic>
              </a:graphicData>
            </a:graphic>
          </wp:inline>
        </w:drawing>
      </w:r>
    </w:p>
    <w:p w14:paraId="3629A7B5" w14:textId="77777777" w:rsidR="004672A6" w:rsidRDefault="004672A6" w:rsidP="004672A6">
      <w:pPr>
        <w:adjustRightInd w:val="0"/>
        <w:rPr>
          <w:rFonts w:cstheme="minorHAnsi"/>
          <w:bCs/>
          <w:color w:val="C00000"/>
          <w:u w:val="single"/>
        </w:rPr>
      </w:pPr>
      <w:r>
        <w:rPr>
          <w:rFonts w:cstheme="minorHAnsi"/>
          <w:bCs/>
          <w:color w:val="C00000"/>
          <w:u w:val="single"/>
        </w:rPr>
        <w:t>Disposition of Payments</w:t>
      </w:r>
    </w:p>
    <w:p w14:paraId="1159323F" w14:textId="0B419AD4" w:rsidR="00042BAD" w:rsidRPr="00ED4030" w:rsidRDefault="00042BAD" w:rsidP="00ED4030">
      <w:pPr>
        <w:adjustRightInd w:val="0"/>
        <w:rPr>
          <w:rFonts w:cstheme="minorHAnsi"/>
          <w:bCs/>
          <w:color w:val="C00000"/>
        </w:rPr>
      </w:pPr>
      <w:r>
        <w:rPr>
          <w:rFonts w:cstheme="minorHAnsi"/>
          <w:bCs/>
          <w:color w:val="C00000"/>
        </w:rPr>
        <w:t>Below</w:t>
      </w:r>
      <w:r w:rsidR="004672A6">
        <w:rPr>
          <w:rFonts w:cstheme="minorHAnsi"/>
          <w:bCs/>
          <w:color w:val="C00000"/>
        </w:rPr>
        <w:t xml:space="preserve"> we show the disposition of payments for the observed outcomes (inpatient and post-acute care), within quartiles of the provider RSP</w:t>
      </w:r>
      <w:r>
        <w:rPr>
          <w:rFonts w:cstheme="minorHAnsi"/>
          <w:bCs/>
          <w:color w:val="C00000"/>
        </w:rPr>
        <w:t xml:space="preserve"> (Table 2).</w:t>
      </w:r>
    </w:p>
    <w:p w14:paraId="6423378B" w14:textId="065B4A53" w:rsidR="00042BAD" w:rsidRPr="00042BAD" w:rsidRDefault="004672A6" w:rsidP="00042BAD">
      <w:pPr>
        <w:pStyle w:val="Caption"/>
        <w:keepNext/>
        <w:rPr>
          <w:color w:val="C00000"/>
          <w:sz w:val="22"/>
        </w:rPr>
      </w:pPr>
      <w:r w:rsidRPr="00333FB0">
        <w:rPr>
          <w:color w:val="C00000"/>
          <w:sz w:val="22"/>
        </w:rPr>
        <w:t xml:space="preserve">Table </w:t>
      </w:r>
      <w:r w:rsidRPr="00333FB0">
        <w:rPr>
          <w:color w:val="C00000"/>
          <w:sz w:val="22"/>
        </w:rPr>
        <w:fldChar w:fldCharType="begin"/>
      </w:r>
      <w:r w:rsidRPr="00333FB0">
        <w:rPr>
          <w:color w:val="C00000"/>
          <w:sz w:val="22"/>
        </w:rPr>
        <w:instrText xml:space="preserve"> SEQ Table \* ARABIC </w:instrText>
      </w:r>
      <w:r w:rsidRPr="00333FB0">
        <w:rPr>
          <w:color w:val="C00000"/>
          <w:sz w:val="22"/>
        </w:rPr>
        <w:fldChar w:fldCharType="separate"/>
      </w:r>
      <w:r w:rsidR="00632EF4">
        <w:rPr>
          <w:noProof/>
          <w:color w:val="C00000"/>
          <w:sz w:val="22"/>
        </w:rPr>
        <w:t>2</w:t>
      </w:r>
      <w:r w:rsidRPr="00333FB0">
        <w:rPr>
          <w:color w:val="C00000"/>
          <w:sz w:val="22"/>
        </w:rPr>
        <w:fldChar w:fldCharType="end"/>
      </w:r>
      <w:r w:rsidRPr="00333FB0">
        <w:rPr>
          <w:color w:val="C00000"/>
          <w:sz w:val="22"/>
        </w:rPr>
        <w:t>. Subcategories of observed payments within the HF Payment Quartiles of Provider RSPs</w:t>
      </w:r>
    </w:p>
    <w:tbl>
      <w:tblPr>
        <w:tblW w:w="0" w:type="auto"/>
        <w:tblLayout w:type="fixed"/>
        <w:tblCellMar>
          <w:left w:w="0" w:type="dxa"/>
          <w:right w:w="0" w:type="dxa"/>
        </w:tblCellMar>
        <w:tblLook w:val="0000" w:firstRow="0" w:lastRow="0" w:firstColumn="0" w:lastColumn="0" w:noHBand="0" w:noVBand="0"/>
      </w:tblPr>
      <w:tblGrid>
        <w:gridCol w:w="3597"/>
        <w:gridCol w:w="1170"/>
        <w:gridCol w:w="1101"/>
        <w:gridCol w:w="935"/>
        <w:gridCol w:w="935"/>
      </w:tblGrid>
      <w:tr w:rsidR="00042BAD" w:rsidRPr="00042BAD" w14:paraId="4E759347" w14:textId="77777777" w:rsidTr="00042BAD">
        <w:trPr>
          <w:cantSplit/>
          <w:tblHeader/>
        </w:trPr>
        <w:tc>
          <w:tcPr>
            <w:tcW w:w="3597"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7ED59DF7" w14:textId="77777777" w:rsidR="00042BAD" w:rsidRPr="00042BAD" w:rsidRDefault="00042BAD" w:rsidP="001161A1">
            <w:pPr>
              <w:keepNext/>
              <w:adjustRightInd w:val="0"/>
              <w:spacing w:before="60" w:after="60"/>
              <w:rPr>
                <w:rFonts w:cstheme="minorHAnsi"/>
                <w:bCs/>
                <w:color w:val="C00000"/>
              </w:rPr>
            </w:pPr>
            <w:r w:rsidRPr="00042BAD">
              <w:rPr>
                <w:rFonts w:cstheme="minorHAnsi"/>
                <w:bCs/>
                <w:color w:val="C00000"/>
              </w:rPr>
              <w:t>Description</w:t>
            </w:r>
          </w:p>
        </w:tc>
        <w:tc>
          <w:tcPr>
            <w:tcW w:w="1170"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641A140D" w14:textId="77777777" w:rsidR="00042BAD" w:rsidRPr="00042BAD" w:rsidRDefault="00042BAD" w:rsidP="00042BAD">
            <w:pPr>
              <w:keepNext/>
              <w:adjustRightInd w:val="0"/>
              <w:spacing w:before="60" w:after="60"/>
              <w:jc w:val="center"/>
              <w:rPr>
                <w:rFonts w:cstheme="minorHAnsi"/>
                <w:bCs/>
                <w:color w:val="C00000"/>
              </w:rPr>
            </w:pPr>
            <w:r w:rsidRPr="00042BAD">
              <w:rPr>
                <w:rFonts w:cstheme="minorHAnsi"/>
                <w:bCs/>
                <w:color w:val="C00000"/>
              </w:rPr>
              <w:t>1st Quartile of RSPs</w:t>
            </w:r>
          </w:p>
        </w:tc>
        <w:tc>
          <w:tcPr>
            <w:tcW w:w="1101"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5780125C" w14:textId="77777777" w:rsidR="00042BAD" w:rsidRPr="00042BAD" w:rsidRDefault="00042BAD" w:rsidP="00042BAD">
            <w:pPr>
              <w:keepNext/>
              <w:adjustRightInd w:val="0"/>
              <w:spacing w:before="60" w:after="60"/>
              <w:jc w:val="center"/>
              <w:rPr>
                <w:rFonts w:cstheme="minorHAnsi"/>
                <w:bCs/>
                <w:color w:val="C00000"/>
              </w:rPr>
            </w:pPr>
            <w:r w:rsidRPr="00042BAD">
              <w:rPr>
                <w:rFonts w:cstheme="minorHAnsi"/>
                <w:bCs/>
                <w:color w:val="C00000"/>
              </w:rPr>
              <w:t>2nd Quartile of RSPs</w:t>
            </w:r>
          </w:p>
        </w:tc>
        <w:tc>
          <w:tcPr>
            <w:tcW w:w="935"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674D32E1" w14:textId="77777777" w:rsidR="00042BAD" w:rsidRPr="00042BAD" w:rsidRDefault="00042BAD" w:rsidP="00042BAD">
            <w:pPr>
              <w:keepNext/>
              <w:adjustRightInd w:val="0"/>
              <w:spacing w:before="60" w:after="60"/>
              <w:jc w:val="center"/>
              <w:rPr>
                <w:rFonts w:cstheme="minorHAnsi"/>
                <w:bCs/>
                <w:color w:val="C00000"/>
              </w:rPr>
            </w:pPr>
            <w:r w:rsidRPr="00042BAD">
              <w:rPr>
                <w:rFonts w:cstheme="minorHAnsi"/>
                <w:bCs/>
                <w:color w:val="C00000"/>
              </w:rPr>
              <w:t>3rd Quartile of RSPs</w:t>
            </w:r>
          </w:p>
        </w:tc>
        <w:tc>
          <w:tcPr>
            <w:tcW w:w="935" w:type="dxa"/>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17A5CB51" w14:textId="77777777" w:rsidR="00042BAD" w:rsidRPr="00042BAD" w:rsidRDefault="00042BAD" w:rsidP="00042BAD">
            <w:pPr>
              <w:keepNext/>
              <w:adjustRightInd w:val="0"/>
              <w:spacing w:before="60" w:after="60"/>
              <w:jc w:val="center"/>
              <w:rPr>
                <w:rFonts w:cstheme="minorHAnsi"/>
                <w:bCs/>
                <w:color w:val="C00000"/>
              </w:rPr>
            </w:pPr>
            <w:r w:rsidRPr="00042BAD">
              <w:rPr>
                <w:rFonts w:cstheme="minorHAnsi"/>
                <w:bCs/>
                <w:color w:val="C00000"/>
              </w:rPr>
              <w:t>4th Quartile of RSPs</w:t>
            </w:r>
          </w:p>
        </w:tc>
      </w:tr>
      <w:tr w:rsidR="00042BAD" w:rsidRPr="00042BAD" w14:paraId="4235FDFE" w14:textId="77777777" w:rsidTr="00042BAD">
        <w:trPr>
          <w:cantSplit/>
        </w:trPr>
        <w:tc>
          <w:tcPr>
            <w:tcW w:w="3597" w:type="dxa"/>
            <w:tcBorders>
              <w:top w:val="nil"/>
              <w:left w:val="single" w:sz="2" w:space="0" w:color="000000"/>
              <w:bottom w:val="single" w:sz="2" w:space="0" w:color="000000"/>
              <w:right w:val="nil"/>
            </w:tcBorders>
            <w:shd w:val="clear" w:color="auto" w:fill="FFFFFF"/>
            <w:tcMar>
              <w:left w:w="60" w:type="dxa"/>
              <w:right w:w="60" w:type="dxa"/>
            </w:tcMar>
          </w:tcPr>
          <w:p w14:paraId="068B5013" w14:textId="77777777" w:rsidR="00042BAD" w:rsidRPr="00042BAD" w:rsidRDefault="00042BAD" w:rsidP="001161A1">
            <w:pPr>
              <w:adjustRightInd w:val="0"/>
              <w:spacing w:before="60" w:after="60"/>
              <w:rPr>
                <w:rFonts w:cstheme="minorHAnsi"/>
                <w:bCs/>
                <w:color w:val="C00000"/>
              </w:rPr>
            </w:pPr>
            <w:r w:rsidRPr="00042BAD">
              <w:rPr>
                <w:rFonts w:cstheme="minorHAnsi"/>
                <w:bCs/>
                <w:color w:val="C00000"/>
              </w:rPr>
              <w:t>Total Number of Patients in Each RSP Quartile</w:t>
            </w:r>
          </w:p>
        </w:tc>
        <w:tc>
          <w:tcPr>
            <w:tcW w:w="1170" w:type="dxa"/>
            <w:tcBorders>
              <w:top w:val="nil"/>
              <w:left w:val="single" w:sz="2" w:space="0" w:color="000000"/>
              <w:bottom w:val="single" w:sz="2" w:space="0" w:color="000000"/>
              <w:right w:val="nil"/>
            </w:tcBorders>
            <w:shd w:val="clear" w:color="auto" w:fill="FFFFFF"/>
            <w:tcMar>
              <w:left w:w="60" w:type="dxa"/>
              <w:right w:w="60" w:type="dxa"/>
            </w:tcMar>
          </w:tcPr>
          <w:p w14:paraId="298BAA04" w14:textId="77777777"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192,503</w:t>
            </w:r>
          </w:p>
        </w:tc>
        <w:tc>
          <w:tcPr>
            <w:tcW w:w="1101" w:type="dxa"/>
            <w:tcBorders>
              <w:top w:val="nil"/>
              <w:left w:val="single" w:sz="2" w:space="0" w:color="000000"/>
              <w:bottom w:val="single" w:sz="2" w:space="0" w:color="000000"/>
              <w:right w:val="nil"/>
            </w:tcBorders>
            <w:shd w:val="clear" w:color="auto" w:fill="FFFFFF"/>
            <w:tcMar>
              <w:left w:w="60" w:type="dxa"/>
              <w:right w:w="60" w:type="dxa"/>
            </w:tcMar>
          </w:tcPr>
          <w:p w14:paraId="6E062F5F" w14:textId="77777777"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215,538</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7E543A22" w14:textId="77777777"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270,009</w:t>
            </w:r>
          </w:p>
        </w:tc>
        <w:tc>
          <w:tcPr>
            <w:tcW w:w="935"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047167A" w14:textId="77777777"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309,177</w:t>
            </w:r>
          </w:p>
        </w:tc>
      </w:tr>
      <w:tr w:rsidR="00042BAD" w:rsidRPr="00042BAD" w14:paraId="28DA0AC3" w14:textId="77777777" w:rsidTr="00042BAD">
        <w:trPr>
          <w:cantSplit/>
        </w:trPr>
        <w:tc>
          <w:tcPr>
            <w:tcW w:w="3597" w:type="dxa"/>
            <w:tcBorders>
              <w:top w:val="nil"/>
              <w:left w:val="single" w:sz="2" w:space="0" w:color="000000"/>
              <w:bottom w:val="single" w:sz="2" w:space="0" w:color="000000"/>
              <w:right w:val="nil"/>
            </w:tcBorders>
            <w:shd w:val="clear" w:color="auto" w:fill="FFFFFF"/>
            <w:tcMar>
              <w:left w:w="60" w:type="dxa"/>
              <w:right w:w="60" w:type="dxa"/>
            </w:tcMar>
          </w:tcPr>
          <w:p w14:paraId="263C8250" w14:textId="77777777" w:rsidR="00042BAD" w:rsidRPr="00042BAD" w:rsidRDefault="00042BAD" w:rsidP="001161A1">
            <w:pPr>
              <w:adjustRightInd w:val="0"/>
              <w:spacing w:before="60" w:after="60"/>
              <w:rPr>
                <w:rFonts w:cstheme="minorHAnsi"/>
                <w:bCs/>
                <w:color w:val="C00000"/>
              </w:rPr>
            </w:pPr>
            <w:r w:rsidRPr="00042BAD">
              <w:rPr>
                <w:rFonts w:cstheme="minorHAnsi"/>
                <w:bCs/>
                <w:color w:val="C00000"/>
              </w:rPr>
              <w:t>Total Observed Episode Payment per Patient</w:t>
            </w:r>
          </w:p>
        </w:tc>
        <w:tc>
          <w:tcPr>
            <w:tcW w:w="1170" w:type="dxa"/>
            <w:tcBorders>
              <w:top w:val="nil"/>
              <w:left w:val="single" w:sz="2" w:space="0" w:color="000000"/>
              <w:bottom w:val="single" w:sz="2" w:space="0" w:color="000000"/>
              <w:right w:val="nil"/>
            </w:tcBorders>
            <w:shd w:val="clear" w:color="auto" w:fill="FFFFFF"/>
            <w:tcMar>
              <w:left w:w="60" w:type="dxa"/>
              <w:right w:w="60" w:type="dxa"/>
            </w:tcMar>
          </w:tcPr>
          <w:p w14:paraId="7A5FEF1B" w14:textId="44C2A69C"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$15</w:t>
            </w:r>
            <w:r>
              <w:rPr>
                <w:rFonts w:cstheme="minorHAnsi"/>
                <w:bCs/>
                <w:color w:val="C00000"/>
              </w:rPr>
              <w:t>,</w:t>
            </w:r>
            <w:r w:rsidRPr="00042BAD">
              <w:rPr>
                <w:rFonts w:cstheme="minorHAnsi"/>
                <w:bCs/>
                <w:color w:val="C00000"/>
              </w:rPr>
              <w:t>4</w:t>
            </w:r>
            <w:r>
              <w:rPr>
                <w:rFonts w:cstheme="minorHAnsi"/>
                <w:bCs/>
                <w:color w:val="C00000"/>
              </w:rPr>
              <w:t>10</w:t>
            </w:r>
          </w:p>
        </w:tc>
        <w:tc>
          <w:tcPr>
            <w:tcW w:w="1101" w:type="dxa"/>
            <w:tcBorders>
              <w:top w:val="nil"/>
              <w:left w:val="single" w:sz="2" w:space="0" w:color="000000"/>
              <w:bottom w:val="single" w:sz="2" w:space="0" w:color="000000"/>
              <w:right w:val="nil"/>
            </w:tcBorders>
            <w:shd w:val="clear" w:color="auto" w:fill="FFFFFF"/>
            <w:tcMar>
              <w:left w:w="60" w:type="dxa"/>
              <w:right w:w="60" w:type="dxa"/>
            </w:tcMar>
          </w:tcPr>
          <w:p w14:paraId="4D64D9EA" w14:textId="0442CB47"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$16</w:t>
            </w:r>
            <w:r>
              <w:rPr>
                <w:rFonts w:cstheme="minorHAnsi"/>
                <w:bCs/>
                <w:color w:val="C00000"/>
              </w:rPr>
              <w:t>,</w:t>
            </w:r>
            <w:r w:rsidRPr="00042BAD">
              <w:rPr>
                <w:rFonts w:cstheme="minorHAnsi"/>
                <w:bCs/>
                <w:color w:val="C00000"/>
              </w:rPr>
              <w:t>76</w:t>
            </w:r>
            <w:r>
              <w:rPr>
                <w:rFonts w:cstheme="minorHAnsi"/>
                <w:bCs/>
                <w:color w:val="C00000"/>
              </w:rPr>
              <w:t>8</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3108D0A2" w14:textId="1ADA5163"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$17</w:t>
            </w:r>
            <w:r>
              <w:rPr>
                <w:rFonts w:cstheme="minorHAnsi"/>
                <w:bCs/>
                <w:color w:val="C00000"/>
              </w:rPr>
              <w:t>,</w:t>
            </w:r>
            <w:r w:rsidRPr="00042BAD">
              <w:rPr>
                <w:rFonts w:cstheme="minorHAnsi"/>
                <w:bCs/>
                <w:color w:val="C00000"/>
              </w:rPr>
              <w:t>802</w:t>
            </w:r>
          </w:p>
        </w:tc>
        <w:tc>
          <w:tcPr>
            <w:tcW w:w="935"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A389C89" w14:textId="2C52F6FA"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$19</w:t>
            </w:r>
            <w:r>
              <w:rPr>
                <w:rFonts w:cstheme="minorHAnsi"/>
                <w:bCs/>
                <w:color w:val="C00000"/>
              </w:rPr>
              <w:t>,</w:t>
            </w:r>
            <w:r w:rsidRPr="00042BAD">
              <w:rPr>
                <w:rFonts w:cstheme="minorHAnsi"/>
                <w:bCs/>
                <w:color w:val="C00000"/>
              </w:rPr>
              <w:t>592</w:t>
            </w:r>
          </w:p>
        </w:tc>
      </w:tr>
      <w:tr w:rsidR="00042BAD" w:rsidRPr="00042BAD" w14:paraId="23B2C434" w14:textId="77777777" w:rsidTr="00042BAD">
        <w:trPr>
          <w:cantSplit/>
        </w:trPr>
        <w:tc>
          <w:tcPr>
            <w:tcW w:w="3597" w:type="dxa"/>
            <w:tcBorders>
              <w:top w:val="nil"/>
              <w:left w:val="single" w:sz="2" w:space="0" w:color="000000"/>
              <w:bottom w:val="single" w:sz="2" w:space="0" w:color="000000"/>
              <w:right w:val="nil"/>
            </w:tcBorders>
            <w:shd w:val="clear" w:color="auto" w:fill="FFFFFF"/>
            <w:tcMar>
              <w:left w:w="60" w:type="dxa"/>
              <w:right w:w="60" w:type="dxa"/>
            </w:tcMar>
          </w:tcPr>
          <w:p w14:paraId="3A05B084" w14:textId="1E894806" w:rsidR="00042BAD" w:rsidRPr="00042BAD" w:rsidRDefault="00042BAD" w:rsidP="001161A1">
            <w:pPr>
              <w:adjustRightInd w:val="0"/>
              <w:spacing w:before="60" w:after="60"/>
              <w:rPr>
                <w:rFonts w:cstheme="minorHAnsi"/>
                <w:bCs/>
                <w:color w:val="C00000"/>
              </w:rPr>
            </w:pPr>
            <w:r w:rsidRPr="00042BAD">
              <w:rPr>
                <w:rFonts w:cstheme="minorHAnsi"/>
                <w:bCs/>
                <w:color w:val="C00000"/>
              </w:rPr>
              <w:t>Index Inpatient Payment/Patient</w:t>
            </w:r>
          </w:p>
        </w:tc>
        <w:tc>
          <w:tcPr>
            <w:tcW w:w="1170" w:type="dxa"/>
            <w:tcBorders>
              <w:top w:val="nil"/>
              <w:left w:val="single" w:sz="2" w:space="0" w:color="000000"/>
              <w:bottom w:val="single" w:sz="2" w:space="0" w:color="000000"/>
              <w:right w:val="nil"/>
            </w:tcBorders>
            <w:shd w:val="clear" w:color="auto" w:fill="FFFFFF"/>
            <w:tcMar>
              <w:left w:w="60" w:type="dxa"/>
              <w:right w:w="60" w:type="dxa"/>
            </w:tcMar>
          </w:tcPr>
          <w:p w14:paraId="075177F2" w14:textId="7A7E7CE5"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$9</w:t>
            </w:r>
            <w:r>
              <w:rPr>
                <w:rFonts w:cstheme="minorHAnsi"/>
                <w:bCs/>
                <w:color w:val="C00000"/>
              </w:rPr>
              <w:t>,</w:t>
            </w:r>
            <w:r w:rsidRPr="00042BAD">
              <w:rPr>
                <w:rFonts w:cstheme="minorHAnsi"/>
                <w:bCs/>
                <w:color w:val="C00000"/>
              </w:rPr>
              <w:t>688</w:t>
            </w:r>
          </w:p>
        </w:tc>
        <w:tc>
          <w:tcPr>
            <w:tcW w:w="1101" w:type="dxa"/>
            <w:tcBorders>
              <w:top w:val="nil"/>
              <w:left w:val="single" w:sz="2" w:space="0" w:color="000000"/>
              <w:bottom w:val="single" w:sz="2" w:space="0" w:color="000000"/>
              <w:right w:val="nil"/>
            </w:tcBorders>
            <w:shd w:val="clear" w:color="auto" w:fill="FFFFFF"/>
            <w:tcMar>
              <w:left w:w="60" w:type="dxa"/>
              <w:right w:w="60" w:type="dxa"/>
            </w:tcMar>
          </w:tcPr>
          <w:p w14:paraId="5B733709" w14:textId="117D16DF"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$10</w:t>
            </w:r>
            <w:r>
              <w:rPr>
                <w:rFonts w:cstheme="minorHAnsi"/>
                <w:bCs/>
                <w:color w:val="C00000"/>
              </w:rPr>
              <w:t>,</w:t>
            </w:r>
            <w:r w:rsidRPr="00042BAD">
              <w:rPr>
                <w:rFonts w:cstheme="minorHAnsi"/>
                <w:bCs/>
                <w:color w:val="C00000"/>
              </w:rPr>
              <w:t>211</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6E132FFB" w14:textId="4470F4DE"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$10</w:t>
            </w:r>
            <w:r>
              <w:rPr>
                <w:rFonts w:cstheme="minorHAnsi"/>
                <w:bCs/>
                <w:color w:val="C00000"/>
              </w:rPr>
              <w:t>,</w:t>
            </w:r>
            <w:r w:rsidRPr="00042BAD">
              <w:rPr>
                <w:rFonts w:cstheme="minorHAnsi"/>
                <w:bCs/>
                <w:color w:val="C00000"/>
              </w:rPr>
              <w:t>75</w:t>
            </w:r>
            <w:r>
              <w:rPr>
                <w:rFonts w:cstheme="minorHAnsi"/>
                <w:bCs/>
                <w:color w:val="C00000"/>
              </w:rPr>
              <w:t>5</w:t>
            </w:r>
          </w:p>
        </w:tc>
        <w:tc>
          <w:tcPr>
            <w:tcW w:w="935"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124969C" w14:textId="6BAE9826"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$11</w:t>
            </w:r>
            <w:r>
              <w:rPr>
                <w:rFonts w:cstheme="minorHAnsi"/>
                <w:bCs/>
                <w:color w:val="C00000"/>
              </w:rPr>
              <w:t>,</w:t>
            </w:r>
            <w:r w:rsidRPr="00042BAD">
              <w:rPr>
                <w:rFonts w:cstheme="minorHAnsi"/>
                <w:bCs/>
                <w:color w:val="C00000"/>
              </w:rPr>
              <w:t>60</w:t>
            </w:r>
            <w:r>
              <w:rPr>
                <w:rFonts w:cstheme="minorHAnsi"/>
                <w:bCs/>
                <w:color w:val="C00000"/>
              </w:rPr>
              <w:t>9</w:t>
            </w:r>
          </w:p>
        </w:tc>
      </w:tr>
      <w:tr w:rsidR="00042BAD" w:rsidRPr="00042BAD" w14:paraId="63ABDD75" w14:textId="77777777" w:rsidTr="00042BAD">
        <w:trPr>
          <w:cantSplit/>
        </w:trPr>
        <w:tc>
          <w:tcPr>
            <w:tcW w:w="3597" w:type="dxa"/>
            <w:tcBorders>
              <w:top w:val="nil"/>
              <w:left w:val="single" w:sz="2" w:space="0" w:color="000000"/>
              <w:bottom w:val="single" w:sz="2" w:space="0" w:color="000000"/>
              <w:right w:val="nil"/>
            </w:tcBorders>
            <w:shd w:val="clear" w:color="auto" w:fill="FFFFFF"/>
            <w:tcMar>
              <w:left w:w="60" w:type="dxa"/>
              <w:right w:w="60" w:type="dxa"/>
            </w:tcMar>
          </w:tcPr>
          <w:p w14:paraId="3B08898B" w14:textId="77777777" w:rsidR="00042BAD" w:rsidRPr="00042BAD" w:rsidRDefault="00042BAD" w:rsidP="001161A1">
            <w:pPr>
              <w:adjustRightInd w:val="0"/>
              <w:spacing w:before="60" w:after="60"/>
              <w:rPr>
                <w:rFonts w:cstheme="minorHAnsi"/>
                <w:bCs/>
                <w:color w:val="C00000"/>
              </w:rPr>
            </w:pPr>
            <w:r w:rsidRPr="00042BAD">
              <w:rPr>
                <w:rFonts w:cstheme="minorHAnsi"/>
                <w:bCs/>
                <w:color w:val="C00000"/>
              </w:rPr>
              <w:lastRenderedPageBreak/>
              <w:t>Index Inpatient Facility Payment/Patient</w:t>
            </w:r>
          </w:p>
        </w:tc>
        <w:tc>
          <w:tcPr>
            <w:tcW w:w="1170" w:type="dxa"/>
            <w:tcBorders>
              <w:top w:val="nil"/>
              <w:left w:val="single" w:sz="2" w:space="0" w:color="000000"/>
              <w:bottom w:val="single" w:sz="2" w:space="0" w:color="000000"/>
              <w:right w:val="nil"/>
            </w:tcBorders>
            <w:shd w:val="clear" w:color="auto" w:fill="FFFFFF"/>
            <w:tcMar>
              <w:left w:w="60" w:type="dxa"/>
              <w:right w:w="60" w:type="dxa"/>
            </w:tcMar>
          </w:tcPr>
          <w:p w14:paraId="519177AE" w14:textId="618A4F4E"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$8</w:t>
            </w:r>
            <w:r>
              <w:rPr>
                <w:rFonts w:cstheme="minorHAnsi"/>
                <w:bCs/>
                <w:color w:val="C00000"/>
              </w:rPr>
              <w:t>,</w:t>
            </w:r>
            <w:r w:rsidRPr="00042BAD">
              <w:rPr>
                <w:rFonts w:cstheme="minorHAnsi"/>
                <w:bCs/>
                <w:color w:val="C00000"/>
              </w:rPr>
              <w:t>58</w:t>
            </w:r>
            <w:r>
              <w:rPr>
                <w:rFonts w:cstheme="minorHAnsi"/>
                <w:bCs/>
                <w:color w:val="C00000"/>
              </w:rPr>
              <w:t>6</w:t>
            </w:r>
          </w:p>
        </w:tc>
        <w:tc>
          <w:tcPr>
            <w:tcW w:w="1101" w:type="dxa"/>
            <w:tcBorders>
              <w:top w:val="nil"/>
              <w:left w:val="single" w:sz="2" w:space="0" w:color="000000"/>
              <w:bottom w:val="single" w:sz="2" w:space="0" w:color="000000"/>
              <w:right w:val="nil"/>
            </w:tcBorders>
            <w:shd w:val="clear" w:color="auto" w:fill="FFFFFF"/>
            <w:tcMar>
              <w:left w:w="60" w:type="dxa"/>
              <w:right w:w="60" w:type="dxa"/>
            </w:tcMar>
          </w:tcPr>
          <w:p w14:paraId="54A9346A" w14:textId="06E325B5"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$8</w:t>
            </w:r>
            <w:r>
              <w:rPr>
                <w:rFonts w:cstheme="minorHAnsi"/>
                <w:bCs/>
                <w:color w:val="C00000"/>
              </w:rPr>
              <w:t>,</w:t>
            </w:r>
            <w:r w:rsidRPr="00042BAD">
              <w:rPr>
                <w:rFonts w:cstheme="minorHAnsi"/>
                <w:bCs/>
                <w:color w:val="C00000"/>
              </w:rPr>
              <w:t>943</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7A4C970D" w14:textId="3C6EC170"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$9</w:t>
            </w:r>
            <w:r>
              <w:rPr>
                <w:rFonts w:cstheme="minorHAnsi"/>
                <w:bCs/>
                <w:color w:val="C00000"/>
              </w:rPr>
              <w:t>,</w:t>
            </w:r>
            <w:r w:rsidRPr="00042BAD">
              <w:rPr>
                <w:rFonts w:cstheme="minorHAnsi"/>
                <w:bCs/>
                <w:color w:val="C00000"/>
              </w:rPr>
              <w:t>28</w:t>
            </w:r>
            <w:r>
              <w:rPr>
                <w:rFonts w:cstheme="minorHAnsi"/>
                <w:bCs/>
                <w:color w:val="C00000"/>
              </w:rPr>
              <w:t>7</w:t>
            </w:r>
          </w:p>
        </w:tc>
        <w:tc>
          <w:tcPr>
            <w:tcW w:w="935"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74BD80A" w14:textId="3C08AFA5"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$9</w:t>
            </w:r>
            <w:r>
              <w:rPr>
                <w:rFonts w:cstheme="minorHAnsi"/>
                <w:bCs/>
                <w:color w:val="C00000"/>
              </w:rPr>
              <w:t>,</w:t>
            </w:r>
            <w:r w:rsidRPr="00042BAD">
              <w:rPr>
                <w:rFonts w:cstheme="minorHAnsi"/>
                <w:bCs/>
                <w:color w:val="C00000"/>
              </w:rPr>
              <w:t>84</w:t>
            </w:r>
            <w:r>
              <w:rPr>
                <w:rFonts w:cstheme="minorHAnsi"/>
                <w:bCs/>
                <w:color w:val="C00000"/>
              </w:rPr>
              <w:t>4</w:t>
            </w:r>
          </w:p>
        </w:tc>
      </w:tr>
      <w:tr w:rsidR="00042BAD" w:rsidRPr="00042BAD" w14:paraId="13F8C708" w14:textId="77777777" w:rsidTr="00042BAD">
        <w:trPr>
          <w:cantSplit/>
        </w:trPr>
        <w:tc>
          <w:tcPr>
            <w:tcW w:w="3597" w:type="dxa"/>
            <w:tcBorders>
              <w:top w:val="nil"/>
              <w:left w:val="single" w:sz="2" w:space="0" w:color="000000"/>
              <w:bottom w:val="single" w:sz="2" w:space="0" w:color="000000"/>
              <w:right w:val="nil"/>
            </w:tcBorders>
            <w:shd w:val="clear" w:color="auto" w:fill="FFFFFF"/>
            <w:tcMar>
              <w:left w:w="60" w:type="dxa"/>
              <w:right w:w="60" w:type="dxa"/>
            </w:tcMar>
          </w:tcPr>
          <w:p w14:paraId="03AB8863" w14:textId="3ED27332" w:rsidR="00042BAD" w:rsidRPr="00042BAD" w:rsidRDefault="00042BAD" w:rsidP="00985431">
            <w:pPr>
              <w:adjustRightInd w:val="0"/>
              <w:spacing w:before="60" w:after="60"/>
              <w:ind w:left="720"/>
              <w:rPr>
                <w:rFonts w:cstheme="minorHAnsi"/>
                <w:bCs/>
                <w:color w:val="C00000"/>
              </w:rPr>
            </w:pPr>
            <w:r w:rsidRPr="00042BAD">
              <w:rPr>
                <w:rFonts w:cstheme="minorHAnsi"/>
                <w:bCs/>
                <w:color w:val="C00000"/>
              </w:rPr>
              <w:t xml:space="preserve">Index Inpatient Physician </w:t>
            </w:r>
            <w:r w:rsidR="00985431">
              <w:rPr>
                <w:rFonts w:cstheme="minorHAnsi"/>
                <w:bCs/>
                <w:color w:val="C00000"/>
              </w:rPr>
              <w:t xml:space="preserve">  </w:t>
            </w:r>
            <w:r w:rsidRPr="00042BAD">
              <w:rPr>
                <w:rFonts w:cstheme="minorHAnsi"/>
                <w:bCs/>
                <w:color w:val="C00000"/>
              </w:rPr>
              <w:t>Payment/Patient</w:t>
            </w:r>
          </w:p>
        </w:tc>
        <w:tc>
          <w:tcPr>
            <w:tcW w:w="1170" w:type="dxa"/>
            <w:tcBorders>
              <w:top w:val="nil"/>
              <w:left w:val="single" w:sz="2" w:space="0" w:color="000000"/>
              <w:bottom w:val="single" w:sz="2" w:space="0" w:color="000000"/>
              <w:right w:val="nil"/>
            </w:tcBorders>
            <w:shd w:val="clear" w:color="auto" w:fill="FFFFFF"/>
            <w:tcMar>
              <w:left w:w="60" w:type="dxa"/>
              <w:right w:w="60" w:type="dxa"/>
            </w:tcMar>
          </w:tcPr>
          <w:p w14:paraId="669BFB67" w14:textId="121155C1"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$1</w:t>
            </w:r>
            <w:r>
              <w:rPr>
                <w:rFonts w:cstheme="minorHAnsi"/>
                <w:bCs/>
                <w:color w:val="C00000"/>
              </w:rPr>
              <w:t>,</w:t>
            </w:r>
            <w:r w:rsidRPr="00042BAD">
              <w:rPr>
                <w:rFonts w:cstheme="minorHAnsi"/>
                <w:bCs/>
                <w:color w:val="C00000"/>
              </w:rPr>
              <w:t>10</w:t>
            </w:r>
            <w:r>
              <w:rPr>
                <w:rFonts w:cstheme="minorHAnsi"/>
                <w:bCs/>
                <w:color w:val="C00000"/>
              </w:rPr>
              <w:t>3</w:t>
            </w:r>
          </w:p>
        </w:tc>
        <w:tc>
          <w:tcPr>
            <w:tcW w:w="1101" w:type="dxa"/>
            <w:tcBorders>
              <w:top w:val="nil"/>
              <w:left w:val="single" w:sz="2" w:space="0" w:color="000000"/>
              <w:bottom w:val="single" w:sz="2" w:space="0" w:color="000000"/>
              <w:right w:val="nil"/>
            </w:tcBorders>
            <w:shd w:val="clear" w:color="auto" w:fill="FFFFFF"/>
            <w:tcMar>
              <w:left w:w="60" w:type="dxa"/>
              <w:right w:w="60" w:type="dxa"/>
            </w:tcMar>
          </w:tcPr>
          <w:p w14:paraId="09089C87" w14:textId="532A492D"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$1</w:t>
            </w:r>
            <w:r>
              <w:rPr>
                <w:rFonts w:cstheme="minorHAnsi"/>
                <w:bCs/>
                <w:color w:val="C00000"/>
              </w:rPr>
              <w:t>,</w:t>
            </w:r>
            <w:r w:rsidRPr="00042BAD">
              <w:rPr>
                <w:rFonts w:cstheme="minorHAnsi"/>
                <w:bCs/>
                <w:color w:val="C00000"/>
              </w:rPr>
              <w:t>26</w:t>
            </w:r>
            <w:r>
              <w:rPr>
                <w:rFonts w:cstheme="minorHAnsi"/>
                <w:bCs/>
                <w:color w:val="C00000"/>
              </w:rPr>
              <w:t>8</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2A698F0E" w14:textId="7FFFC8E4"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$1</w:t>
            </w:r>
            <w:r>
              <w:rPr>
                <w:rFonts w:cstheme="minorHAnsi"/>
                <w:bCs/>
                <w:color w:val="C00000"/>
              </w:rPr>
              <w:t>,</w:t>
            </w:r>
            <w:r w:rsidRPr="00042BAD">
              <w:rPr>
                <w:rFonts w:cstheme="minorHAnsi"/>
                <w:bCs/>
                <w:color w:val="C00000"/>
              </w:rPr>
              <w:t>46</w:t>
            </w:r>
            <w:r>
              <w:rPr>
                <w:rFonts w:cstheme="minorHAnsi"/>
                <w:bCs/>
                <w:color w:val="C00000"/>
              </w:rPr>
              <w:t>8</w:t>
            </w:r>
          </w:p>
        </w:tc>
        <w:tc>
          <w:tcPr>
            <w:tcW w:w="935"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EA1E5C7" w14:textId="159C088A"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$1</w:t>
            </w:r>
            <w:r>
              <w:rPr>
                <w:rFonts w:cstheme="minorHAnsi"/>
                <w:bCs/>
                <w:color w:val="C00000"/>
              </w:rPr>
              <w:t>,</w:t>
            </w:r>
            <w:r w:rsidRPr="00042BAD">
              <w:rPr>
                <w:rFonts w:cstheme="minorHAnsi"/>
                <w:bCs/>
                <w:color w:val="C00000"/>
              </w:rPr>
              <w:t>765</w:t>
            </w:r>
          </w:p>
        </w:tc>
      </w:tr>
      <w:tr w:rsidR="00042BAD" w:rsidRPr="00042BAD" w14:paraId="26995BE5" w14:textId="77777777" w:rsidTr="00042BAD">
        <w:trPr>
          <w:cantSplit/>
        </w:trPr>
        <w:tc>
          <w:tcPr>
            <w:tcW w:w="3597" w:type="dxa"/>
            <w:tcBorders>
              <w:top w:val="nil"/>
              <w:left w:val="single" w:sz="2" w:space="0" w:color="000000"/>
              <w:bottom w:val="single" w:sz="2" w:space="0" w:color="000000"/>
              <w:right w:val="nil"/>
            </w:tcBorders>
            <w:shd w:val="clear" w:color="auto" w:fill="FFFFFF"/>
            <w:tcMar>
              <w:left w:w="60" w:type="dxa"/>
              <w:right w:w="60" w:type="dxa"/>
            </w:tcMar>
          </w:tcPr>
          <w:p w14:paraId="4B9EBDE7" w14:textId="77777777" w:rsidR="00042BAD" w:rsidRPr="00042BAD" w:rsidRDefault="00042BAD" w:rsidP="001161A1">
            <w:pPr>
              <w:keepNext/>
              <w:adjustRightInd w:val="0"/>
              <w:spacing w:before="60" w:after="60"/>
              <w:rPr>
                <w:rFonts w:cstheme="minorHAnsi"/>
                <w:bCs/>
                <w:color w:val="C00000"/>
              </w:rPr>
            </w:pPr>
            <w:r w:rsidRPr="00042BAD">
              <w:rPr>
                <w:rFonts w:cstheme="minorHAnsi"/>
                <w:bCs/>
                <w:color w:val="C00000"/>
              </w:rPr>
              <w:t>Patient with PAC%</w:t>
            </w:r>
          </w:p>
        </w:tc>
        <w:tc>
          <w:tcPr>
            <w:tcW w:w="1170" w:type="dxa"/>
            <w:tcBorders>
              <w:top w:val="nil"/>
              <w:left w:val="single" w:sz="2" w:space="0" w:color="000000"/>
              <w:bottom w:val="single" w:sz="2" w:space="0" w:color="000000"/>
              <w:right w:val="nil"/>
            </w:tcBorders>
            <w:shd w:val="clear" w:color="auto" w:fill="FFFFFF"/>
            <w:tcMar>
              <w:left w:w="60" w:type="dxa"/>
              <w:right w:w="60" w:type="dxa"/>
            </w:tcMar>
          </w:tcPr>
          <w:p w14:paraId="23E81CDD" w14:textId="77777777" w:rsidR="00042BAD" w:rsidRPr="00042BAD" w:rsidRDefault="00042BAD" w:rsidP="00042BAD">
            <w:pPr>
              <w:keepNext/>
              <w:adjustRightInd w:val="0"/>
              <w:spacing w:before="60" w:after="60"/>
              <w:jc w:val="center"/>
              <w:rPr>
                <w:rFonts w:cstheme="minorHAnsi"/>
                <w:bCs/>
                <w:color w:val="C00000"/>
              </w:rPr>
            </w:pPr>
            <w:r w:rsidRPr="00042BAD">
              <w:rPr>
                <w:rFonts w:cstheme="minorHAnsi"/>
                <w:bCs/>
                <w:color w:val="C00000"/>
              </w:rPr>
              <w:t>95.9</w:t>
            </w:r>
          </w:p>
        </w:tc>
        <w:tc>
          <w:tcPr>
            <w:tcW w:w="1101" w:type="dxa"/>
            <w:tcBorders>
              <w:top w:val="nil"/>
              <w:left w:val="single" w:sz="2" w:space="0" w:color="000000"/>
              <w:bottom w:val="single" w:sz="2" w:space="0" w:color="000000"/>
              <w:right w:val="nil"/>
            </w:tcBorders>
            <w:shd w:val="clear" w:color="auto" w:fill="FFFFFF"/>
            <w:tcMar>
              <w:left w:w="60" w:type="dxa"/>
              <w:right w:w="60" w:type="dxa"/>
            </w:tcMar>
          </w:tcPr>
          <w:p w14:paraId="1AA80AE0" w14:textId="77777777" w:rsidR="00042BAD" w:rsidRPr="00042BAD" w:rsidRDefault="00042BAD" w:rsidP="00042BAD">
            <w:pPr>
              <w:keepNext/>
              <w:adjustRightInd w:val="0"/>
              <w:spacing w:before="60" w:after="60"/>
              <w:jc w:val="center"/>
              <w:rPr>
                <w:rFonts w:cstheme="minorHAnsi"/>
                <w:bCs/>
                <w:color w:val="C00000"/>
              </w:rPr>
            </w:pPr>
            <w:r w:rsidRPr="00042BAD">
              <w:rPr>
                <w:rFonts w:cstheme="minorHAnsi"/>
                <w:bCs/>
                <w:color w:val="C00000"/>
              </w:rPr>
              <w:t>96.3</w:t>
            </w:r>
          </w:p>
        </w:tc>
        <w:tc>
          <w:tcPr>
            <w:tcW w:w="935" w:type="dxa"/>
            <w:tcBorders>
              <w:top w:val="nil"/>
              <w:left w:val="single" w:sz="2" w:space="0" w:color="000000"/>
              <w:bottom w:val="single" w:sz="2" w:space="0" w:color="000000"/>
              <w:right w:val="nil"/>
            </w:tcBorders>
            <w:shd w:val="clear" w:color="auto" w:fill="FFFFFF"/>
            <w:tcMar>
              <w:left w:w="60" w:type="dxa"/>
              <w:right w:w="60" w:type="dxa"/>
            </w:tcMar>
          </w:tcPr>
          <w:p w14:paraId="3BB5FCE1" w14:textId="77777777" w:rsidR="00042BAD" w:rsidRPr="00042BAD" w:rsidRDefault="00042BAD" w:rsidP="00042BAD">
            <w:pPr>
              <w:keepNext/>
              <w:adjustRightInd w:val="0"/>
              <w:spacing w:before="60" w:after="60"/>
              <w:jc w:val="center"/>
              <w:rPr>
                <w:rFonts w:cstheme="minorHAnsi"/>
                <w:bCs/>
                <w:color w:val="C00000"/>
              </w:rPr>
            </w:pPr>
            <w:r w:rsidRPr="00042BAD">
              <w:rPr>
                <w:rFonts w:cstheme="minorHAnsi"/>
                <w:bCs/>
                <w:color w:val="C00000"/>
              </w:rPr>
              <w:t>96.4</w:t>
            </w:r>
          </w:p>
        </w:tc>
        <w:tc>
          <w:tcPr>
            <w:tcW w:w="935"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FB324D8" w14:textId="77777777" w:rsidR="00042BAD" w:rsidRPr="00042BAD" w:rsidRDefault="00042BAD" w:rsidP="00042BAD">
            <w:pPr>
              <w:keepNext/>
              <w:adjustRightInd w:val="0"/>
              <w:spacing w:before="60" w:after="60"/>
              <w:jc w:val="center"/>
              <w:rPr>
                <w:rFonts w:cstheme="minorHAnsi"/>
                <w:bCs/>
                <w:color w:val="C00000"/>
              </w:rPr>
            </w:pPr>
            <w:r w:rsidRPr="00042BAD">
              <w:rPr>
                <w:rFonts w:cstheme="minorHAnsi"/>
                <w:bCs/>
                <w:color w:val="C00000"/>
              </w:rPr>
              <w:t>96.3</w:t>
            </w:r>
          </w:p>
        </w:tc>
      </w:tr>
      <w:tr w:rsidR="00042BAD" w:rsidRPr="00042BAD" w14:paraId="1E4C50F8" w14:textId="77777777" w:rsidTr="00042BAD">
        <w:trPr>
          <w:cantSplit/>
        </w:trPr>
        <w:tc>
          <w:tcPr>
            <w:tcW w:w="3597" w:type="dxa"/>
            <w:tcBorders>
              <w:top w:val="nil"/>
              <w:left w:val="single" w:sz="2" w:space="0" w:color="000000"/>
              <w:bottom w:val="single" w:sz="6" w:space="0" w:color="000000"/>
              <w:right w:val="nil"/>
            </w:tcBorders>
            <w:shd w:val="clear" w:color="auto" w:fill="FFFFFF"/>
            <w:tcMar>
              <w:left w:w="60" w:type="dxa"/>
              <w:right w:w="60" w:type="dxa"/>
            </w:tcMar>
          </w:tcPr>
          <w:p w14:paraId="64AED328" w14:textId="77777777" w:rsidR="00042BAD" w:rsidRPr="00042BAD" w:rsidRDefault="00042BAD" w:rsidP="00985431">
            <w:pPr>
              <w:adjustRightInd w:val="0"/>
              <w:spacing w:before="60" w:after="60"/>
              <w:ind w:left="720"/>
              <w:rPr>
                <w:rFonts w:cstheme="minorHAnsi"/>
                <w:bCs/>
                <w:color w:val="C00000"/>
              </w:rPr>
            </w:pPr>
            <w:r w:rsidRPr="00042BAD">
              <w:rPr>
                <w:rFonts w:cstheme="minorHAnsi"/>
                <w:bCs/>
                <w:color w:val="C00000"/>
              </w:rPr>
              <w:t>PAC Payment/Patient</w:t>
            </w:r>
          </w:p>
        </w:tc>
        <w:tc>
          <w:tcPr>
            <w:tcW w:w="1170" w:type="dxa"/>
            <w:tcBorders>
              <w:top w:val="nil"/>
              <w:left w:val="single" w:sz="2" w:space="0" w:color="000000"/>
              <w:bottom w:val="single" w:sz="6" w:space="0" w:color="000000"/>
              <w:right w:val="nil"/>
            </w:tcBorders>
            <w:shd w:val="clear" w:color="auto" w:fill="FFFFFF"/>
            <w:tcMar>
              <w:left w:w="60" w:type="dxa"/>
              <w:right w:w="60" w:type="dxa"/>
            </w:tcMar>
          </w:tcPr>
          <w:p w14:paraId="21E79B52" w14:textId="3E138E9A"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$6</w:t>
            </w:r>
            <w:r>
              <w:rPr>
                <w:rFonts w:cstheme="minorHAnsi"/>
                <w:bCs/>
                <w:color w:val="C00000"/>
              </w:rPr>
              <w:t>,</w:t>
            </w:r>
            <w:r w:rsidRPr="00042BAD">
              <w:rPr>
                <w:rFonts w:cstheme="minorHAnsi"/>
                <w:bCs/>
                <w:color w:val="C00000"/>
              </w:rPr>
              <w:t>036</w:t>
            </w:r>
          </w:p>
        </w:tc>
        <w:tc>
          <w:tcPr>
            <w:tcW w:w="1101" w:type="dxa"/>
            <w:tcBorders>
              <w:top w:val="nil"/>
              <w:left w:val="single" w:sz="2" w:space="0" w:color="000000"/>
              <w:bottom w:val="single" w:sz="6" w:space="0" w:color="000000"/>
              <w:right w:val="nil"/>
            </w:tcBorders>
            <w:shd w:val="clear" w:color="auto" w:fill="FFFFFF"/>
            <w:tcMar>
              <w:left w:w="60" w:type="dxa"/>
              <w:right w:w="60" w:type="dxa"/>
            </w:tcMar>
          </w:tcPr>
          <w:p w14:paraId="4D3E60F2" w14:textId="18461493"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$6</w:t>
            </w:r>
            <w:r>
              <w:rPr>
                <w:rFonts w:cstheme="minorHAnsi"/>
                <w:bCs/>
                <w:color w:val="C00000"/>
              </w:rPr>
              <w:t>,</w:t>
            </w:r>
            <w:r w:rsidRPr="00042BAD">
              <w:rPr>
                <w:rFonts w:cstheme="minorHAnsi"/>
                <w:bCs/>
                <w:color w:val="C00000"/>
              </w:rPr>
              <w:t>9</w:t>
            </w:r>
            <w:r>
              <w:rPr>
                <w:rFonts w:cstheme="minorHAnsi"/>
                <w:bCs/>
                <w:color w:val="C00000"/>
              </w:rPr>
              <w:t>10</w:t>
            </w:r>
          </w:p>
        </w:tc>
        <w:tc>
          <w:tcPr>
            <w:tcW w:w="935" w:type="dxa"/>
            <w:tcBorders>
              <w:top w:val="nil"/>
              <w:left w:val="single" w:sz="2" w:space="0" w:color="000000"/>
              <w:bottom w:val="single" w:sz="6" w:space="0" w:color="000000"/>
              <w:right w:val="nil"/>
            </w:tcBorders>
            <w:shd w:val="clear" w:color="auto" w:fill="FFFFFF"/>
            <w:tcMar>
              <w:left w:w="60" w:type="dxa"/>
              <w:right w:w="60" w:type="dxa"/>
            </w:tcMar>
          </w:tcPr>
          <w:p w14:paraId="6D19FAAE" w14:textId="70587A73"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$7</w:t>
            </w:r>
            <w:r>
              <w:rPr>
                <w:rFonts w:cstheme="minorHAnsi"/>
                <w:bCs/>
                <w:color w:val="C00000"/>
              </w:rPr>
              <w:t>,</w:t>
            </w:r>
            <w:r w:rsidRPr="00042BAD">
              <w:rPr>
                <w:rFonts w:cstheme="minorHAnsi"/>
                <w:bCs/>
                <w:color w:val="C00000"/>
              </w:rPr>
              <w:t>42</w:t>
            </w:r>
            <w:r>
              <w:rPr>
                <w:rFonts w:cstheme="minorHAnsi"/>
                <w:bCs/>
                <w:color w:val="C00000"/>
              </w:rPr>
              <w:t>6</w:t>
            </w:r>
          </w:p>
        </w:tc>
        <w:tc>
          <w:tcPr>
            <w:tcW w:w="935" w:type="dxa"/>
            <w:tcBorders>
              <w:top w:val="nil"/>
              <w:left w:val="single" w:sz="2" w:space="0" w:color="000000"/>
              <w:bottom w:val="single" w:sz="6" w:space="0" w:color="000000"/>
              <w:right w:val="single" w:sz="6" w:space="0" w:color="000000"/>
            </w:tcBorders>
            <w:shd w:val="clear" w:color="auto" w:fill="FFFFFF"/>
            <w:tcMar>
              <w:left w:w="60" w:type="dxa"/>
              <w:right w:w="60" w:type="dxa"/>
            </w:tcMar>
          </w:tcPr>
          <w:p w14:paraId="18B2CC17" w14:textId="1CF5A288" w:rsidR="00042BAD" w:rsidRPr="00042BAD" w:rsidRDefault="00042BAD" w:rsidP="00042BAD">
            <w:pPr>
              <w:adjustRightInd w:val="0"/>
              <w:spacing w:before="60" w:after="60"/>
              <w:jc w:val="center"/>
              <w:rPr>
                <w:rFonts w:cstheme="minorHAnsi"/>
                <w:bCs/>
                <w:color w:val="C00000"/>
              </w:rPr>
            </w:pPr>
            <w:r w:rsidRPr="00042BAD">
              <w:rPr>
                <w:rFonts w:cstheme="minorHAnsi"/>
                <w:bCs/>
                <w:color w:val="C00000"/>
              </w:rPr>
              <w:t>$8</w:t>
            </w:r>
            <w:r>
              <w:rPr>
                <w:rFonts w:cstheme="minorHAnsi"/>
                <w:bCs/>
                <w:color w:val="C00000"/>
              </w:rPr>
              <w:t>,</w:t>
            </w:r>
            <w:r w:rsidRPr="00042BAD">
              <w:rPr>
                <w:rFonts w:cstheme="minorHAnsi"/>
                <w:bCs/>
                <w:color w:val="C00000"/>
              </w:rPr>
              <w:t>497</w:t>
            </w:r>
          </w:p>
        </w:tc>
      </w:tr>
    </w:tbl>
    <w:p w14:paraId="6FC168DF" w14:textId="77777777" w:rsidR="00042BAD" w:rsidRPr="00042BAD" w:rsidRDefault="00042BAD" w:rsidP="00042BAD"/>
    <w:p w14:paraId="776D462A" w14:textId="77777777" w:rsidR="004672A6" w:rsidRDefault="004672A6" w:rsidP="00DB3627">
      <w:pPr>
        <w:autoSpaceDE w:val="0"/>
        <w:autoSpaceDN w:val="0"/>
        <w:adjustRightInd w:val="0"/>
        <w:spacing w:after="0" w:line="240" w:lineRule="auto"/>
        <w:rPr>
          <w:rFonts w:cstheme="minorHAnsi"/>
          <w:b/>
          <w:bCs/>
        </w:rPr>
      </w:pPr>
    </w:p>
    <w:p w14:paraId="4788BD20" w14:textId="77777777" w:rsidR="00981B25" w:rsidRDefault="009C7513" w:rsidP="004672A6">
      <w:pPr>
        <w:autoSpaceDE w:val="0"/>
        <w:autoSpaceDN w:val="0"/>
        <w:adjustRightInd w:val="0"/>
        <w:spacing w:before="120" w:after="120" w:line="240" w:lineRule="auto"/>
        <w:rPr>
          <w:color w:val="C00000"/>
        </w:rPr>
      </w:pPr>
      <w:r w:rsidRPr="00131D3E">
        <w:rPr>
          <w:rFonts w:cstheme="minorHAnsi"/>
          <w:b/>
          <w:bCs/>
        </w:rPr>
        <w:t>2b1</w:t>
      </w:r>
      <w:r w:rsidR="00092566" w:rsidRPr="00131D3E">
        <w:rPr>
          <w:rFonts w:cstheme="minorHAnsi"/>
          <w:b/>
          <w:bCs/>
        </w:rPr>
        <w:t>.</w:t>
      </w:r>
      <w:r w:rsidR="007757CE" w:rsidRPr="00131D3E">
        <w:rPr>
          <w:rFonts w:cstheme="minorHAnsi"/>
          <w:b/>
          <w:bCs/>
        </w:rPr>
        <w:t xml:space="preserve">4. </w:t>
      </w:r>
      <w:r w:rsidR="000B2DF7" w:rsidRPr="00131D3E">
        <w:rPr>
          <w:rFonts w:cstheme="minorHAnsi"/>
          <w:b/>
          <w:bCs/>
        </w:rPr>
        <w:t xml:space="preserve">What is your interpretation of the results </w:t>
      </w:r>
      <w:r w:rsidR="007422FD" w:rsidRPr="00131D3E">
        <w:rPr>
          <w:rFonts w:cstheme="minorHAnsi"/>
          <w:b/>
          <w:bCs/>
        </w:rPr>
        <w:t>in terms of demonstrating validity</w:t>
      </w:r>
      <w:r w:rsidR="007422FD" w:rsidRPr="00131D3E">
        <w:rPr>
          <w:rFonts w:cstheme="minorHAnsi"/>
          <w:bCs/>
        </w:rPr>
        <w:t xml:space="preserve">? </w:t>
      </w:r>
      <w:r w:rsidR="000B2DF7" w:rsidRPr="00131D3E">
        <w:rPr>
          <w:rFonts w:cstheme="minorHAnsi"/>
          <w:bCs/>
        </w:rPr>
        <w:t>(i</w:t>
      </w:r>
      <w:r w:rsidR="000B2DF7" w:rsidRPr="00131D3E">
        <w:rPr>
          <w:rFonts w:cstheme="minorHAnsi"/>
          <w:bCs/>
          <w:i/>
        </w:rPr>
        <w:t>.e., what do the results mean and what are the norms for the test conducted</w:t>
      </w:r>
      <w:r w:rsidR="00A25024" w:rsidRPr="00131D3E">
        <w:rPr>
          <w:rFonts w:cstheme="minorHAnsi"/>
          <w:bCs/>
          <w:i/>
        </w:rPr>
        <w:t>?</w:t>
      </w:r>
      <w:r w:rsidR="000B2DF7" w:rsidRPr="00131D3E">
        <w:rPr>
          <w:rFonts w:cstheme="minorHAnsi"/>
          <w:bCs/>
        </w:rPr>
        <w:t>)</w:t>
      </w:r>
      <w:r w:rsidR="007422FD" w:rsidRPr="00131D3E">
        <w:rPr>
          <w:rFonts w:cstheme="minorHAnsi"/>
          <w:bCs/>
        </w:rPr>
        <w:br/>
      </w:r>
    </w:p>
    <w:p w14:paraId="21FD2D29" w14:textId="53335C7E" w:rsidR="00981B25" w:rsidRDefault="00981B25" w:rsidP="004672A6">
      <w:pPr>
        <w:autoSpaceDE w:val="0"/>
        <w:autoSpaceDN w:val="0"/>
        <w:adjustRightInd w:val="0"/>
        <w:spacing w:before="120" w:after="120" w:line="240" w:lineRule="auto"/>
        <w:rPr>
          <w:color w:val="C00000"/>
        </w:rPr>
      </w:pPr>
      <w:bookmarkStart w:id="16" w:name="_Hlk58536045"/>
      <w:r>
        <w:rPr>
          <w:color w:val="C00000"/>
        </w:rPr>
        <w:t>The validity of the HF Payment measure is supported by three types of evidence:  face validity results derived from a systematic survey of a Technical Expert Panel (TEP), empiric validity demonstrated by correlations, and internal consistency.</w:t>
      </w:r>
    </w:p>
    <w:bookmarkEnd w:id="16"/>
    <w:p w14:paraId="3A7F50E0" w14:textId="427CCB7E" w:rsidR="004672A6" w:rsidRDefault="004672A6" w:rsidP="004672A6">
      <w:pPr>
        <w:autoSpaceDE w:val="0"/>
        <w:autoSpaceDN w:val="0"/>
        <w:adjustRightInd w:val="0"/>
        <w:spacing w:before="120" w:after="120" w:line="240" w:lineRule="auto"/>
        <w:rPr>
          <w:color w:val="C00000"/>
        </w:rPr>
      </w:pPr>
      <w:r>
        <w:rPr>
          <w:color w:val="C00000"/>
        </w:rPr>
        <w:t xml:space="preserve">The validity of the HF Payment measure is supported by face validity as indicated by the Technical Expert Panel (TEP) vote. There was unanimous TEP support for the face validity of the measure: 8 of 8 TEP members </w:t>
      </w:r>
      <w:r w:rsidR="00C84098">
        <w:rPr>
          <w:color w:val="C00000"/>
        </w:rPr>
        <w:t xml:space="preserve">strongly, </w:t>
      </w:r>
      <w:r>
        <w:rPr>
          <w:color w:val="C00000"/>
        </w:rPr>
        <w:t>mostly</w:t>
      </w:r>
      <w:r w:rsidR="00C84098">
        <w:rPr>
          <w:color w:val="C00000"/>
        </w:rPr>
        <w:t>,</w:t>
      </w:r>
      <w:r>
        <w:rPr>
          <w:color w:val="C00000"/>
        </w:rPr>
        <w:t xml:space="preserve"> or somewhat </w:t>
      </w:r>
      <w:r w:rsidR="00C84098">
        <w:rPr>
          <w:color w:val="C00000"/>
        </w:rPr>
        <w:t>agreed with</w:t>
      </w:r>
      <w:r>
        <w:rPr>
          <w:color w:val="C00000"/>
        </w:rPr>
        <w:t xml:space="preserve"> the validity statement. </w:t>
      </w:r>
    </w:p>
    <w:p w14:paraId="414E766B" w14:textId="53B434F2" w:rsidR="004672A6" w:rsidRDefault="004672A6" w:rsidP="004672A6">
      <w:pPr>
        <w:autoSpaceDE w:val="0"/>
        <w:autoSpaceDN w:val="0"/>
        <w:adjustRightInd w:val="0"/>
        <w:spacing w:before="120" w:after="120" w:line="240" w:lineRule="auto"/>
        <w:rPr>
          <w:color w:val="C00000"/>
        </w:rPr>
      </w:pPr>
      <w:r>
        <w:rPr>
          <w:color w:val="C00000"/>
        </w:rPr>
        <w:t xml:space="preserve">The validity of the measure is further supported by the empiric evidence that shows a correlation in the expected strength and direction with a related and valid </w:t>
      </w:r>
      <w:r w:rsidR="00C84098">
        <w:rPr>
          <w:color w:val="C00000"/>
        </w:rPr>
        <w:t>payment</w:t>
      </w:r>
      <w:r>
        <w:rPr>
          <w:color w:val="C00000"/>
        </w:rPr>
        <w:t xml:space="preserve"> measure.  </w:t>
      </w:r>
    </w:p>
    <w:p w14:paraId="0CABCFDF" w14:textId="760C3473" w:rsidR="007422FD" w:rsidRPr="004672A6" w:rsidRDefault="004672A6" w:rsidP="004672A6">
      <w:pPr>
        <w:autoSpaceDE w:val="0"/>
        <w:autoSpaceDN w:val="0"/>
        <w:adjustRightInd w:val="0"/>
        <w:spacing w:before="120" w:after="120" w:line="240" w:lineRule="auto"/>
        <w:rPr>
          <w:color w:val="C00000"/>
        </w:rPr>
      </w:pPr>
      <w:r>
        <w:rPr>
          <w:color w:val="C00000"/>
        </w:rPr>
        <w:t>Finally, the observed payment breakdowns appropriately align with the distribution of the provider-level risk-standardized payments.</w:t>
      </w:r>
    </w:p>
    <w:p w14:paraId="0CABCFE0" w14:textId="77777777" w:rsidR="008A403A" w:rsidRPr="00131D3E" w:rsidRDefault="00483E94" w:rsidP="00DB3627">
      <w:pPr>
        <w:autoSpaceDE w:val="0"/>
        <w:autoSpaceDN w:val="0"/>
        <w:adjustRightInd w:val="0"/>
        <w:spacing w:after="0" w:line="240" w:lineRule="auto"/>
        <w:rPr>
          <w:rFonts w:cstheme="minorHAnsi"/>
          <w:bCs/>
        </w:rPr>
      </w:pPr>
      <w:r w:rsidRPr="00131D3E">
        <w:rPr>
          <w:rFonts w:cstheme="minorHAnsi"/>
          <w:bCs/>
        </w:rPr>
        <w:t>_________________________</w:t>
      </w:r>
    </w:p>
    <w:p w14:paraId="0CABCFE1" w14:textId="5D7F87B5" w:rsidR="00097012" w:rsidRPr="00131D3E" w:rsidRDefault="00021170" w:rsidP="00DB3627">
      <w:pPr>
        <w:autoSpaceDE w:val="0"/>
        <w:autoSpaceDN w:val="0"/>
        <w:adjustRightInd w:val="0"/>
        <w:spacing w:after="0" w:line="240" w:lineRule="auto"/>
        <w:rPr>
          <w:rFonts w:cstheme="minorHAnsi"/>
          <w:b/>
          <w:bCs/>
        </w:rPr>
      </w:pPr>
      <w:r w:rsidRPr="00131D3E">
        <w:rPr>
          <w:rFonts w:cstheme="minorHAnsi"/>
          <w:b/>
          <w:bCs/>
        </w:rPr>
        <w:t>2</w:t>
      </w:r>
      <w:r w:rsidR="00EA5F47" w:rsidRPr="00131D3E">
        <w:rPr>
          <w:rFonts w:cstheme="minorHAnsi"/>
          <w:b/>
          <w:bCs/>
        </w:rPr>
        <w:t>b</w:t>
      </w:r>
      <w:r w:rsidR="009C7513" w:rsidRPr="00131D3E">
        <w:rPr>
          <w:rFonts w:cstheme="minorHAnsi"/>
          <w:b/>
          <w:bCs/>
        </w:rPr>
        <w:t>2.</w:t>
      </w:r>
      <w:r w:rsidRPr="00131D3E">
        <w:rPr>
          <w:rFonts w:cstheme="minorHAnsi"/>
          <w:b/>
          <w:bCs/>
        </w:rPr>
        <w:t xml:space="preserve"> EXCLUSIONS</w:t>
      </w:r>
      <w:r w:rsidR="005333CC" w:rsidRPr="00131D3E">
        <w:rPr>
          <w:rFonts w:cstheme="minorHAnsi"/>
          <w:b/>
          <w:bCs/>
        </w:rPr>
        <w:t xml:space="preserve"> </w:t>
      </w:r>
      <w:r w:rsidR="00356BAD" w:rsidRPr="00131D3E">
        <w:rPr>
          <w:rFonts w:cstheme="minorHAnsi"/>
          <w:b/>
          <w:bCs/>
        </w:rPr>
        <w:t>ANALYSIS</w:t>
      </w:r>
    </w:p>
    <w:p w14:paraId="0CABCFE2" w14:textId="77777777" w:rsidR="00B037BA" w:rsidRPr="00131D3E" w:rsidRDefault="001E4DD4" w:rsidP="00DB3627">
      <w:pPr>
        <w:autoSpaceDE w:val="0"/>
        <w:autoSpaceDN w:val="0"/>
        <w:adjustRightInd w:val="0"/>
        <w:spacing w:after="0" w:line="240" w:lineRule="auto"/>
        <w:rPr>
          <w:rFonts w:cstheme="minorHAnsi"/>
          <w:b/>
          <w:bCs/>
        </w:rPr>
      </w:pPr>
      <w:r w:rsidRPr="00131D3E">
        <w:rPr>
          <w:rFonts w:eastAsia="MS Gothic" w:cstheme="minorHAnsi"/>
          <w:b/>
          <w:bCs/>
        </w:rPr>
        <w:t>NA</w:t>
      </w:r>
      <w:r w:rsidRPr="00131D3E">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131D3E">
            <w:rPr>
              <w:rFonts w:ascii="MS Gothic" w:eastAsia="MS Gothic" w:cstheme="minorHAnsi" w:hint="eastAsia"/>
              <w:bCs/>
              <w:color w:val="0000FF"/>
            </w:rPr>
            <w:t>☐</w:t>
          </w:r>
        </w:sdtContent>
      </w:sdt>
      <w:r w:rsidRPr="00131D3E">
        <w:rPr>
          <w:rFonts w:eastAsia="MS Gothic" w:cstheme="minorHAnsi"/>
          <w:b/>
          <w:bCs/>
          <w:color w:val="0000FF"/>
        </w:rPr>
        <w:t xml:space="preserve"> </w:t>
      </w:r>
      <w:r w:rsidR="00484120" w:rsidRPr="00131D3E">
        <w:rPr>
          <w:rFonts w:cstheme="minorHAnsi"/>
          <w:b/>
          <w:bCs/>
        </w:rPr>
        <w:t>no exclusions</w:t>
      </w:r>
      <w:r w:rsidRPr="00131D3E">
        <w:rPr>
          <w:rFonts w:cstheme="minorHAnsi"/>
          <w:b/>
          <w:bCs/>
        </w:rPr>
        <w:t xml:space="preserve"> </w:t>
      </w:r>
      <w:r w:rsidRPr="00131D3E">
        <w:rPr>
          <w:rFonts w:eastAsia="MS Gothic" w:cstheme="minorHAnsi"/>
          <w:b/>
          <w:bCs/>
          <w:color w:val="0000FF"/>
        </w:rPr>
        <w:t>—</w:t>
      </w:r>
      <w:r w:rsidRPr="00131D3E">
        <w:rPr>
          <w:rFonts w:cstheme="minorHAnsi"/>
          <w:b/>
          <w:bCs/>
          <w:i/>
        </w:rPr>
        <w:t xml:space="preserve"> </w:t>
      </w:r>
      <w:r w:rsidR="00B037BA" w:rsidRPr="00131D3E">
        <w:rPr>
          <w:rFonts w:cstheme="minorHAnsi"/>
          <w:b/>
          <w:bCs/>
          <w:i/>
        </w:rPr>
        <w:t xml:space="preserve">skip </w:t>
      </w:r>
      <w:r w:rsidR="008A4C13" w:rsidRPr="00131D3E">
        <w:rPr>
          <w:rFonts w:cstheme="minorHAnsi"/>
          <w:b/>
          <w:bCs/>
          <w:i/>
        </w:rPr>
        <w:t xml:space="preserve">to </w:t>
      </w:r>
      <w:r w:rsidR="00BE592D" w:rsidRPr="00131D3E">
        <w:rPr>
          <w:rFonts w:cstheme="minorHAnsi"/>
          <w:b/>
          <w:bCs/>
          <w:i/>
        </w:rPr>
        <w:t xml:space="preserve">section </w:t>
      </w:r>
      <w:hyperlink w:anchor="section2b4" w:history="1">
        <w:r w:rsidR="00483E94" w:rsidRPr="00131D3E">
          <w:rPr>
            <w:rStyle w:val="Hyperlink"/>
            <w:rFonts w:cstheme="minorHAnsi"/>
            <w:b/>
            <w:bCs/>
            <w:i/>
          </w:rPr>
          <w:t>2b</w:t>
        </w:r>
        <w:r w:rsidR="00AC1D8E" w:rsidRPr="00131D3E">
          <w:rPr>
            <w:rStyle w:val="Hyperlink"/>
            <w:rFonts w:cstheme="minorHAnsi"/>
            <w:b/>
            <w:bCs/>
            <w:i/>
          </w:rPr>
          <w:t>4</w:t>
        </w:r>
      </w:hyperlink>
    </w:p>
    <w:p w14:paraId="0CABCFE3" w14:textId="77777777" w:rsidR="00001D73" w:rsidRPr="00131D3E" w:rsidRDefault="00001D73" w:rsidP="00DB3627">
      <w:pPr>
        <w:autoSpaceDE w:val="0"/>
        <w:autoSpaceDN w:val="0"/>
        <w:adjustRightInd w:val="0"/>
        <w:spacing w:after="0" w:line="240" w:lineRule="auto"/>
        <w:rPr>
          <w:rFonts w:cstheme="minorHAnsi"/>
          <w:b/>
          <w:bCs/>
        </w:rPr>
      </w:pPr>
    </w:p>
    <w:p w14:paraId="0CABCFE4" w14:textId="1835D458" w:rsidR="00833325" w:rsidRPr="00131D3E" w:rsidRDefault="00092566" w:rsidP="00DB3627">
      <w:pPr>
        <w:autoSpaceDE w:val="0"/>
        <w:autoSpaceDN w:val="0"/>
        <w:adjustRightInd w:val="0"/>
        <w:spacing w:after="0" w:line="240" w:lineRule="auto"/>
        <w:rPr>
          <w:rFonts w:cstheme="minorHAnsi"/>
          <w:bCs/>
          <w:sz w:val="12"/>
        </w:rPr>
      </w:pPr>
      <w:r w:rsidRPr="00131D3E">
        <w:rPr>
          <w:rFonts w:cstheme="minorHAnsi"/>
          <w:b/>
          <w:bCs/>
        </w:rPr>
        <w:t>2b</w:t>
      </w:r>
      <w:r w:rsidR="009C7513" w:rsidRPr="00131D3E">
        <w:rPr>
          <w:rFonts w:cstheme="minorHAnsi"/>
          <w:b/>
          <w:bCs/>
        </w:rPr>
        <w:t>2</w:t>
      </w:r>
      <w:r w:rsidRPr="00131D3E">
        <w:rPr>
          <w:rFonts w:cstheme="minorHAnsi"/>
          <w:b/>
          <w:bCs/>
        </w:rPr>
        <w:t>.</w:t>
      </w:r>
      <w:r w:rsidR="00A25024" w:rsidRPr="00131D3E">
        <w:rPr>
          <w:rFonts w:cstheme="minorHAnsi"/>
          <w:b/>
          <w:bCs/>
        </w:rPr>
        <w:t>1. Describe the method of</w:t>
      </w:r>
      <w:r w:rsidR="00E672D6" w:rsidRPr="00131D3E">
        <w:rPr>
          <w:rFonts w:cstheme="minorHAnsi"/>
          <w:b/>
          <w:bCs/>
        </w:rPr>
        <w:t xml:space="preserve"> </w:t>
      </w:r>
      <w:r w:rsidR="005333CC" w:rsidRPr="00131D3E">
        <w:rPr>
          <w:rFonts w:cstheme="minorHAnsi"/>
          <w:b/>
          <w:bCs/>
        </w:rPr>
        <w:t>testing</w:t>
      </w:r>
      <w:r w:rsidR="00833325" w:rsidRPr="00131D3E">
        <w:rPr>
          <w:rFonts w:cstheme="minorHAnsi"/>
          <w:b/>
          <w:bCs/>
        </w:rPr>
        <w:t xml:space="preserve"> </w:t>
      </w:r>
      <w:r w:rsidR="004B6CEE" w:rsidRPr="00131D3E">
        <w:rPr>
          <w:rFonts w:cstheme="minorHAnsi"/>
          <w:b/>
          <w:bCs/>
        </w:rPr>
        <w:t xml:space="preserve">exclusions </w:t>
      </w:r>
      <w:r w:rsidR="00A25024" w:rsidRPr="00131D3E">
        <w:rPr>
          <w:rFonts w:cstheme="minorHAnsi"/>
          <w:b/>
          <w:bCs/>
        </w:rPr>
        <w:t>and what it tests</w:t>
      </w:r>
      <w:r w:rsidR="00833325" w:rsidRPr="00131D3E">
        <w:rPr>
          <w:rFonts w:cstheme="minorHAnsi"/>
          <w:bCs/>
        </w:rPr>
        <w:t xml:space="preserve"> (</w:t>
      </w:r>
      <w:r w:rsidR="00A25024" w:rsidRPr="00131D3E">
        <w:rPr>
          <w:rFonts w:cstheme="minorHAnsi"/>
          <w:bCs/>
          <w:i/>
        </w:rPr>
        <w:t>describe the steps―do not just name a method; what was tested, e.g., whether exclusions affect overall performance scores</w:t>
      </w:r>
      <w:r w:rsidR="0022691B" w:rsidRPr="00131D3E">
        <w:rPr>
          <w:rFonts w:cstheme="minorHAnsi"/>
          <w:bCs/>
          <w:i/>
        </w:rPr>
        <w:t>; what statistical analysis was used</w:t>
      </w:r>
      <w:r w:rsidR="009458E6">
        <w:rPr>
          <w:rFonts w:cstheme="minorHAnsi"/>
          <w:bCs/>
        </w:rPr>
        <w:t>)</w:t>
      </w:r>
      <w:r w:rsidR="009458E6">
        <w:rPr>
          <w:rFonts w:cstheme="minorHAnsi"/>
          <w:bCs/>
        </w:rPr>
        <w:br/>
      </w:r>
      <w:r w:rsidR="009458E6" w:rsidRPr="00B763C3">
        <w:rPr>
          <w:rFonts w:cstheme="minorHAnsi"/>
          <w:bCs/>
          <w:color w:val="7030A0"/>
        </w:rPr>
        <w:t>All exclusions were determined by careful clinical review and have been made based on clinically relevant decisions to ensure accurate calculation of the measure. To ascertain impact of exclusions on the cohort, we examined overall frequencies and proportions of the total cohort excluded for each exclusion criterion (</w:t>
      </w:r>
      <w:r w:rsidR="009458E6" w:rsidRPr="00040975">
        <w:rPr>
          <w:rFonts w:cstheme="minorHAnsi"/>
          <w:bCs/>
          <w:color w:val="C00000"/>
        </w:rPr>
        <w:t>EM Testing Dataset</w:t>
      </w:r>
      <w:r w:rsidR="009458E6" w:rsidRPr="00B763C3">
        <w:rPr>
          <w:rFonts w:cstheme="minorHAnsi"/>
          <w:bCs/>
          <w:color w:val="7030A0"/>
        </w:rPr>
        <w:t>). These exclusions are consistent with similar NQF-endor</w:t>
      </w:r>
      <w:r w:rsidR="009458E6">
        <w:rPr>
          <w:rFonts w:cstheme="minorHAnsi"/>
          <w:bCs/>
          <w:color w:val="7030A0"/>
        </w:rPr>
        <w:t>sed outcome measures. Rationales</w:t>
      </w:r>
      <w:r w:rsidR="009458E6" w:rsidRPr="00B763C3">
        <w:rPr>
          <w:rFonts w:cstheme="minorHAnsi"/>
          <w:bCs/>
          <w:color w:val="7030A0"/>
        </w:rPr>
        <w:t xml:space="preserve"> for the exclusions</w:t>
      </w:r>
      <w:r w:rsidR="009458E6">
        <w:rPr>
          <w:rFonts w:cstheme="minorHAnsi"/>
          <w:bCs/>
          <w:color w:val="7030A0"/>
        </w:rPr>
        <w:t xml:space="preserve"> are detailed in data field S.9</w:t>
      </w:r>
      <w:r w:rsidR="009458E6" w:rsidRPr="00B763C3">
        <w:rPr>
          <w:rFonts w:cstheme="minorHAnsi"/>
          <w:bCs/>
          <w:color w:val="7030A0"/>
        </w:rPr>
        <w:t xml:space="preserve"> (Denominator Exclusions).</w:t>
      </w:r>
    </w:p>
    <w:p w14:paraId="0CABCFE5" w14:textId="77777777" w:rsidR="00833325" w:rsidRPr="00131D3E" w:rsidRDefault="00833325" w:rsidP="00DB3627">
      <w:pPr>
        <w:autoSpaceDE w:val="0"/>
        <w:autoSpaceDN w:val="0"/>
        <w:adjustRightInd w:val="0"/>
        <w:spacing w:after="0" w:line="240" w:lineRule="auto"/>
        <w:rPr>
          <w:rFonts w:cstheme="minorHAnsi"/>
          <w:bCs/>
        </w:rPr>
      </w:pPr>
    </w:p>
    <w:p w14:paraId="57F8FAB6" w14:textId="77777777" w:rsidR="00C84098" w:rsidRDefault="00092566" w:rsidP="00092566">
      <w:pPr>
        <w:autoSpaceDE w:val="0"/>
        <w:autoSpaceDN w:val="0"/>
        <w:adjustRightInd w:val="0"/>
        <w:spacing w:after="0" w:line="240" w:lineRule="auto"/>
        <w:rPr>
          <w:rFonts w:cstheme="minorHAnsi"/>
          <w:bCs/>
          <w:color w:val="7030A0"/>
        </w:rPr>
      </w:pPr>
      <w:r w:rsidRPr="00131D3E">
        <w:rPr>
          <w:rFonts w:cstheme="minorHAnsi"/>
          <w:b/>
          <w:bCs/>
        </w:rPr>
        <w:t>2b</w:t>
      </w:r>
      <w:r w:rsidR="009C7513" w:rsidRPr="00131D3E">
        <w:rPr>
          <w:rFonts w:cstheme="minorHAnsi"/>
          <w:b/>
          <w:bCs/>
        </w:rPr>
        <w:t>2</w:t>
      </w:r>
      <w:r w:rsidRPr="00131D3E">
        <w:rPr>
          <w:rFonts w:cstheme="minorHAnsi"/>
          <w:b/>
          <w:bCs/>
        </w:rPr>
        <w:t>.</w:t>
      </w:r>
      <w:r w:rsidR="00A25024" w:rsidRPr="00131D3E">
        <w:rPr>
          <w:rFonts w:cstheme="minorHAnsi"/>
          <w:b/>
          <w:bCs/>
        </w:rPr>
        <w:t xml:space="preserve">2. </w:t>
      </w:r>
      <w:r w:rsidR="00833325" w:rsidRPr="00131D3E">
        <w:rPr>
          <w:rFonts w:cstheme="minorHAnsi"/>
          <w:b/>
          <w:bCs/>
        </w:rPr>
        <w:t xml:space="preserve">What were the statistical results </w:t>
      </w:r>
      <w:r w:rsidR="007422FD" w:rsidRPr="00131D3E">
        <w:rPr>
          <w:rFonts w:cstheme="minorHAnsi"/>
          <w:b/>
          <w:bCs/>
        </w:rPr>
        <w:t>from testing exclusions</w:t>
      </w:r>
      <w:r w:rsidR="00833325" w:rsidRPr="00131D3E">
        <w:rPr>
          <w:rFonts w:cstheme="minorHAnsi"/>
          <w:bCs/>
        </w:rPr>
        <w:t>?</w:t>
      </w:r>
      <w:r w:rsidR="000B2DF7" w:rsidRPr="00131D3E">
        <w:rPr>
          <w:rFonts w:cstheme="minorHAnsi"/>
          <w:bCs/>
        </w:rPr>
        <w:t xml:space="preserve"> (</w:t>
      </w:r>
      <w:r w:rsidR="000B2DF7" w:rsidRPr="00131D3E">
        <w:rPr>
          <w:rFonts w:cstheme="minorHAnsi"/>
          <w:bCs/>
          <w:i/>
        </w:rPr>
        <w:t xml:space="preserve">include </w:t>
      </w:r>
      <w:r w:rsidR="00356BAD" w:rsidRPr="00131D3E">
        <w:rPr>
          <w:rFonts w:cstheme="minorHAnsi"/>
          <w:bCs/>
          <w:i/>
        </w:rPr>
        <w:t xml:space="preserve">overall </w:t>
      </w:r>
      <w:r w:rsidR="000B2DF7" w:rsidRPr="00131D3E">
        <w:rPr>
          <w:rFonts w:cstheme="minorHAnsi"/>
          <w:bCs/>
          <w:i/>
        </w:rPr>
        <w:t>number and percentage of individuals excluded</w:t>
      </w:r>
      <w:r w:rsidR="0025762F" w:rsidRPr="00131D3E">
        <w:rPr>
          <w:rFonts w:cstheme="minorHAnsi"/>
          <w:bCs/>
          <w:i/>
        </w:rPr>
        <w:t>, frequency distribution of exclusions across measured entities,</w:t>
      </w:r>
      <w:r w:rsidR="000B2DF7" w:rsidRPr="00131D3E">
        <w:rPr>
          <w:rFonts w:cstheme="minorHAnsi"/>
          <w:bCs/>
          <w:i/>
        </w:rPr>
        <w:t xml:space="preserve"> and </w:t>
      </w:r>
      <w:r w:rsidR="000B2DF7" w:rsidRPr="00131D3E">
        <w:rPr>
          <w:rFonts w:cstheme="minorHAnsi"/>
          <w:bCs/>
          <w:i/>
        </w:rPr>
        <w:lastRenderedPageBreak/>
        <w:t>impact on performance measure scores</w:t>
      </w:r>
      <w:r w:rsidR="000B2DF7" w:rsidRPr="00131D3E">
        <w:rPr>
          <w:rFonts w:cstheme="minorHAnsi"/>
          <w:bCs/>
        </w:rPr>
        <w:t>)</w:t>
      </w:r>
      <w:r w:rsidR="00833325" w:rsidRPr="00131D3E">
        <w:rPr>
          <w:rFonts w:cstheme="minorHAnsi"/>
          <w:bCs/>
        </w:rPr>
        <w:br/>
      </w:r>
    </w:p>
    <w:p w14:paraId="4346AB1C" w14:textId="052B52BE" w:rsidR="009458E6" w:rsidRDefault="00C84098" w:rsidP="00C84098">
      <w:pPr>
        <w:autoSpaceDE w:val="0"/>
        <w:autoSpaceDN w:val="0"/>
        <w:adjustRightInd w:val="0"/>
        <w:spacing w:before="120" w:after="120" w:line="240" w:lineRule="auto"/>
        <w:rPr>
          <w:rFonts w:cstheme="minorHAnsi"/>
          <w:bCs/>
        </w:rPr>
      </w:pPr>
      <w:r w:rsidRPr="00CB2A51">
        <w:rPr>
          <w:rFonts w:cstheme="minorHAnsi"/>
          <w:bCs/>
          <w:color w:val="C00000"/>
        </w:rPr>
        <w:t>Table 3</w:t>
      </w:r>
      <w:r>
        <w:rPr>
          <w:rFonts w:cstheme="minorHAnsi"/>
          <w:bCs/>
          <w:color w:val="7030A0"/>
        </w:rPr>
        <w:t xml:space="preserve"> shows the distribution of exclusions </w:t>
      </w:r>
      <w:r w:rsidRPr="00CB2A51">
        <w:rPr>
          <w:rFonts w:cstheme="minorHAnsi"/>
          <w:bCs/>
          <w:color w:val="C00000"/>
        </w:rPr>
        <w:t xml:space="preserve">(based on the </w:t>
      </w:r>
      <w:r w:rsidRPr="00A30A25">
        <w:rPr>
          <w:rFonts w:cstheme="minorHAnsi"/>
          <w:bCs/>
          <w:color w:val="C00000"/>
        </w:rPr>
        <w:t>EM Testing Dataset</w:t>
      </w:r>
      <w:r>
        <w:rPr>
          <w:rFonts w:cstheme="minorHAnsi"/>
          <w:bCs/>
          <w:color w:val="C00000"/>
        </w:rPr>
        <w:t>)</w:t>
      </w:r>
      <w:r w:rsidRPr="00A30A25">
        <w:rPr>
          <w:rFonts w:cstheme="minorHAnsi"/>
          <w:bCs/>
          <w:color w:val="7030A0"/>
        </w:rPr>
        <w:t>, among hospitals with 25 or more admissions</w:t>
      </w:r>
      <w:r>
        <w:rPr>
          <w:rFonts w:cstheme="minorHAnsi"/>
          <w:bCs/>
          <w:color w:val="7030A0"/>
        </w:rPr>
        <w:t>.</w:t>
      </w:r>
    </w:p>
    <w:p w14:paraId="559A8043" w14:textId="3554F05A" w:rsidR="009458E6" w:rsidRPr="00436669" w:rsidRDefault="009458E6" w:rsidP="009458E6">
      <w:pPr>
        <w:pStyle w:val="Caption"/>
        <w:keepNext/>
        <w:rPr>
          <w:color w:val="C00000"/>
          <w:sz w:val="22"/>
        </w:rPr>
      </w:pPr>
      <w:r w:rsidRPr="00436669">
        <w:rPr>
          <w:color w:val="C00000"/>
          <w:sz w:val="22"/>
        </w:rPr>
        <w:t xml:space="preserve">Table </w:t>
      </w:r>
      <w:r w:rsidRPr="00436669">
        <w:rPr>
          <w:color w:val="C00000"/>
          <w:sz w:val="22"/>
        </w:rPr>
        <w:fldChar w:fldCharType="begin"/>
      </w:r>
      <w:r w:rsidRPr="00436669">
        <w:rPr>
          <w:color w:val="C00000"/>
          <w:sz w:val="22"/>
        </w:rPr>
        <w:instrText xml:space="preserve"> SEQ Table \* ARABIC </w:instrText>
      </w:r>
      <w:r w:rsidRPr="00436669">
        <w:rPr>
          <w:color w:val="C00000"/>
          <w:sz w:val="22"/>
        </w:rPr>
        <w:fldChar w:fldCharType="separate"/>
      </w:r>
      <w:r w:rsidR="00632EF4">
        <w:rPr>
          <w:noProof/>
          <w:color w:val="C00000"/>
          <w:sz w:val="22"/>
        </w:rPr>
        <w:t>3</w:t>
      </w:r>
      <w:r w:rsidRPr="00436669">
        <w:rPr>
          <w:color w:val="C00000"/>
          <w:sz w:val="22"/>
        </w:rPr>
        <w:fldChar w:fldCharType="end"/>
      </w:r>
      <w:r w:rsidRPr="00436669">
        <w:rPr>
          <w:color w:val="C00000"/>
          <w:sz w:val="22"/>
        </w:rPr>
        <w:t>. HF Payment: Number, percent, and distribution of exclusions among hospitals with 25 or more admissions.</w:t>
      </w:r>
    </w:p>
    <w:tbl>
      <w:tblPr>
        <w:tblW w:w="5000" w:type="pct"/>
        <w:jc w:val="center"/>
        <w:tblCellMar>
          <w:left w:w="0" w:type="dxa"/>
          <w:right w:w="0" w:type="dxa"/>
        </w:tblCellMar>
        <w:tblLook w:val="0000" w:firstRow="0" w:lastRow="0" w:firstColumn="0" w:lastColumn="0" w:noHBand="0" w:noVBand="0"/>
      </w:tblPr>
      <w:tblGrid>
        <w:gridCol w:w="4681"/>
        <w:gridCol w:w="949"/>
        <w:gridCol w:w="733"/>
        <w:gridCol w:w="2981"/>
      </w:tblGrid>
      <w:tr w:rsidR="009458E6" w14:paraId="516195D8" w14:textId="77777777" w:rsidTr="009458E6">
        <w:trPr>
          <w:cantSplit/>
          <w:tblHeader/>
          <w:jc w:val="center"/>
        </w:trPr>
        <w:tc>
          <w:tcPr>
            <w:tcW w:w="2505" w:type="pct"/>
            <w:tcBorders>
              <w:top w:val="single" w:sz="6" w:space="0" w:color="000000"/>
              <w:left w:val="single" w:sz="6" w:space="0" w:color="000000"/>
              <w:bottom w:val="single" w:sz="2" w:space="0" w:color="000000"/>
              <w:right w:val="nil"/>
            </w:tcBorders>
            <w:shd w:val="clear" w:color="auto" w:fill="BBBBBB"/>
            <w:tcMar>
              <w:left w:w="60" w:type="dxa"/>
              <w:right w:w="60" w:type="dxa"/>
            </w:tcMar>
            <w:vAlign w:val="bottom"/>
          </w:tcPr>
          <w:p w14:paraId="23375C2A" w14:textId="77777777" w:rsidR="009458E6" w:rsidRDefault="009458E6" w:rsidP="00C84098">
            <w:pPr>
              <w:keepNext/>
              <w:adjustRightInd w:val="0"/>
              <w:spacing w:before="60" w:after="60"/>
              <w:jc w:val="center"/>
              <w:rPr>
                <w:b/>
                <w:bCs/>
                <w:color w:val="000000"/>
              </w:rPr>
            </w:pPr>
            <w:r>
              <w:rPr>
                <w:b/>
                <w:bCs/>
                <w:color w:val="000000"/>
              </w:rPr>
              <w:t>Exclusion</w:t>
            </w:r>
          </w:p>
        </w:tc>
        <w:tc>
          <w:tcPr>
            <w:tcW w:w="508" w:type="pct"/>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1DD77839" w14:textId="77777777" w:rsidR="009458E6" w:rsidRDefault="009458E6" w:rsidP="00C84098">
            <w:pPr>
              <w:keepNext/>
              <w:adjustRightInd w:val="0"/>
              <w:spacing w:before="60" w:after="60"/>
              <w:jc w:val="center"/>
              <w:rPr>
                <w:b/>
                <w:bCs/>
                <w:color w:val="000000"/>
              </w:rPr>
            </w:pPr>
            <w:r>
              <w:rPr>
                <w:b/>
                <w:bCs/>
                <w:color w:val="000000"/>
              </w:rPr>
              <w:t>N</w:t>
            </w:r>
          </w:p>
        </w:tc>
        <w:tc>
          <w:tcPr>
            <w:tcW w:w="392" w:type="pct"/>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6E2BE8B0" w14:textId="77777777" w:rsidR="009458E6" w:rsidRDefault="009458E6" w:rsidP="00C84098">
            <w:pPr>
              <w:keepNext/>
              <w:adjustRightInd w:val="0"/>
              <w:spacing w:before="60" w:after="60"/>
              <w:jc w:val="center"/>
              <w:rPr>
                <w:b/>
                <w:bCs/>
                <w:color w:val="000000"/>
              </w:rPr>
            </w:pPr>
            <w:r>
              <w:rPr>
                <w:b/>
                <w:bCs/>
                <w:color w:val="000000"/>
              </w:rPr>
              <w:t>%</w:t>
            </w:r>
          </w:p>
        </w:tc>
        <w:tc>
          <w:tcPr>
            <w:tcW w:w="1595" w:type="pct"/>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258A9ACE" w14:textId="77777777" w:rsidR="009458E6" w:rsidRDefault="009458E6" w:rsidP="00C84098">
            <w:pPr>
              <w:keepNext/>
              <w:adjustRightInd w:val="0"/>
              <w:spacing w:before="60" w:after="60"/>
              <w:jc w:val="center"/>
              <w:rPr>
                <w:b/>
                <w:bCs/>
                <w:color w:val="000000"/>
              </w:rPr>
            </w:pPr>
            <w:r>
              <w:rPr>
                <w:b/>
                <w:bCs/>
                <w:color w:val="000000"/>
              </w:rPr>
              <w:t>Distribution across hospitals (N=2,311 prior to applying exclusion criteria: Min, 25th, 50th, 75th percentile, Max)</w:t>
            </w:r>
          </w:p>
        </w:tc>
      </w:tr>
      <w:tr w:rsidR="009458E6" w:rsidRPr="00166FA2" w14:paraId="3DA75B40" w14:textId="77777777" w:rsidTr="009458E6">
        <w:trPr>
          <w:cantSplit/>
          <w:jc w:val="center"/>
        </w:trPr>
        <w:tc>
          <w:tcPr>
            <w:tcW w:w="2505" w:type="pct"/>
            <w:tcBorders>
              <w:top w:val="nil"/>
              <w:left w:val="single" w:sz="6" w:space="0" w:color="000000"/>
              <w:bottom w:val="single" w:sz="2" w:space="0" w:color="000000"/>
              <w:right w:val="nil"/>
            </w:tcBorders>
            <w:shd w:val="clear" w:color="auto" w:fill="FFFFFF"/>
            <w:tcMar>
              <w:left w:w="60" w:type="dxa"/>
              <w:right w:w="60" w:type="dxa"/>
            </w:tcMar>
          </w:tcPr>
          <w:p w14:paraId="27BE6479" w14:textId="4740C580" w:rsidR="009458E6" w:rsidRPr="00190D38" w:rsidRDefault="009458E6" w:rsidP="009458E6">
            <w:pPr>
              <w:adjustRightInd w:val="0"/>
              <w:spacing w:before="60" w:after="60"/>
              <w:rPr>
                <w:rFonts w:cstheme="minorHAnsi"/>
                <w:bCs/>
                <w:color w:val="7030A0"/>
              </w:rPr>
            </w:pPr>
            <w:r w:rsidRPr="00190D38">
              <w:rPr>
                <w:color w:val="7030A0"/>
              </w:rPr>
              <w:t xml:space="preserve">1. Discharged alive on the day of admission or the following day who were not </w:t>
            </w:r>
            <w:r w:rsidR="008876A2" w:rsidRPr="00190D38">
              <w:rPr>
                <w:color w:val="7030A0"/>
              </w:rPr>
              <w:t>transferred</w:t>
            </w:r>
            <w:r w:rsidRPr="00190D38">
              <w:rPr>
                <w:color w:val="7030A0"/>
              </w:rPr>
              <w:t xml:space="preserve"> to another</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4E214A1A" w14:textId="4385CD46" w:rsidR="009458E6" w:rsidRPr="004B1FE3" w:rsidRDefault="009458E6" w:rsidP="008876A2">
            <w:pPr>
              <w:adjustRightInd w:val="0"/>
              <w:spacing w:before="60" w:after="60"/>
              <w:jc w:val="center"/>
              <w:rPr>
                <w:rFonts w:cstheme="minorHAnsi"/>
                <w:bCs/>
                <w:color w:val="C00000"/>
              </w:rPr>
            </w:pPr>
            <w:r w:rsidRPr="004B1FE3">
              <w:rPr>
                <w:color w:val="C00000"/>
              </w:rPr>
              <w:t>59</w:t>
            </w:r>
            <w:r w:rsidR="00C84098">
              <w:rPr>
                <w:color w:val="C00000"/>
              </w:rPr>
              <w:t>,</w:t>
            </w:r>
            <w:r w:rsidRPr="004B1FE3">
              <w:rPr>
                <w:color w:val="C00000"/>
              </w:rPr>
              <w:t>929</w:t>
            </w:r>
          </w:p>
        </w:tc>
        <w:tc>
          <w:tcPr>
            <w:tcW w:w="392" w:type="pct"/>
            <w:tcBorders>
              <w:top w:val="nil"/>
              <w:left w:val="single" w:sz="2" w:space="0" w:color="000000"/>
              <w:bottom w:val="single" w:sz="2" w:space="0" w:color="000000"/>
              <w:right w:val="nil"/>
            </w:tcBorders>
            <w:shd w:val="clear" w:color="auto" w:fill="FFFFFF"/>
            <w:tcMar>
              <w:left w:w="60" w:type="dxa"/>
              <w:right w:w="60" w:type="dxa"/>
            </w:tcMar>
          </w:tcPr>
          <w:p w14:paraId="6E24A09C" w14:textId="77777777" w:rsidR="009458E6" w:rsidRPr="004B1FE3" w:rsidRDefault="009458E6" w:rsidP="008876A2">
            <w:pPr>
              <w:adjustRightInd w:val="0"/>
              <w:spacing w:before="60" w:after="60"/>
              <w:jc w:val="center"/>
              <w:rPr>
                <w:rFonts w:cstheme="minorHAnsi"/>
                <w:bCs/>
                <w:color w:val="C00000"/>
              </w:rPr>
            </w:pPr>
            <w:r w:rsidRPr="004B1FE3">
              <w:rPr>
                <w:color w:val="C00000"/>
              </w:rPr>
              <w:t>4.24</w:t>
            </w:r>
          </w:p>
        </w:tc>
        <w:tc>
          <w:tcPr>
            <w:tcW w:w="1595"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E32605C" w14:textId="77777777" w:rsidR="009458E6" w:rsidRPr="004B1FE3" w:rsidRDefault="009458E6" w:rsidP="008876A2">
            <w:pPr>
              <w:adjustRightInd w:val="0"/>
              <w:spacing w:before="60" w:after="60"/>
              <w:jc w:val="center"/>
              <w:rPr>
                <w:rFonts w:cstheme="minorHAnsi"/>
                <w:bCs/>
                <w:color w:val="C00000"/>
              </w:rPr>
            </w:pPr>
            <w:r w:rsidRPr="004B1FE3">
              <w:rPr>
                <w:color w:val="C00000"/>
              </w:rPr>
              <w:t>(0.00,2.38,4.30,7.35,35.0)</w:t>
            </w:r>
          </w:p>
        </w:tc>
      </w:tr>
      <w:tr w:rsidR="009458E6" w:rsidRPr="00166FA2" w14:paraId="2B101DFF" w14:textId="77777777" w:rsidTr="009458E6">
        <w:trPr>
          <w:cantSplit/>
          <w:jc w:val="center"/>
        </w:trPr>
        <w:tc>
          <w:tcPr>
            <w:tcW w:w="2505" w:type="pct"/>
            <w:tcBorders>
              <w:top w:val="nil"/>
              <w:left w:val="single" w:sz="6" w:space="0" w:color="000000"/>
              <w:bottom w:val="single" w:sz="2" w:space="0" w:color="000000"/>
              <w:right w:val="nil"/>
            </w:tcBorders>
            <w:shd w:val="clear" w:color="auto" w:fill="FFFFFF"/>
            <w:tcMar>
              <w:left w:w="60" w:type="dxa"/>
              <w:right w:w="60" w:type="dxa"/>
            </w:tcMar>
          </w:tcPr>
          <w:p w14:paraId="58647812" w14:textId="77777777" w:rsidR="009458E6" w:rsidRPr="00190D38" w:rsidRDefault="009458E6" w:rsidP="009458E6">
            <w:pPr>
              <w:adjustRightInd w:val="0"/>
              <w:spacing w:before="60" w:after="60"/>
              <w:rPr>
                <w:rFonts w:cstheme="minorHAnsi"/>
                <w:bCs/>
                <w:color w:val="7030A0"/>
              </w:rPr>
            </w:pPr>
            <w:r w:rsidRPr="00190D38">
              <w:rPr>
                <w:color w:val="7030A0"/>
              </w:rPr>
              <w:t>2. Unreliable data</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215F31DE" w14:textId="77777777" w:rsidR="009458E6" w:rsidRPr="004B1FE3" w:rsidRDefault="009458E6" w:rsidP="008876A2">
            <w:pPr>
              <w:adjustRightInd w:val="0"/>
              <w:spacing w:before="60" w:after="60"/>
              <w:jc w:val="center"/>
              <w:rPr>
                <w:rFonts w:cstheme="minorHAnsi"/>
                <w:bCs/>
                <w:color w:val="C00000"/>
              </w:rPr>
            </w:pPr>
            <w:r w:rsidRPr="004B1FE3">
              <w:rPr>
                <w:color w:val="C00000"/>
              </w:rPr>
              <w:t>25</w:t>
            </w:r>
          </w:p>
        </w:tc>
        <w:tc>
          <w:tcPr>
            <w:tcW w:w="392" w:type="pct"/>
            <w:tcBorders>
              <w:top w:val="nil"/>
              <w:left w:val="single" w:sz="2" w:space="0" w:color="000000"/>
              <w:bottom w:val="single" w:sz="2" w:space="0" w:color="000000"/>
              <w:right w:val="nil"/>
            </w:tcBorders>
            <w:shd w:val="clear" w:color="auto" w:fill="FFFFFF"/>
            <w:tcMar>
              <w:left w:w="60" w:type="dxa"/>
              <w:right w:w="60" w:type="dxa"/>
            </w:tcMar>
          </w:tcPr>
          <w:p w14:paraId="5C08D7A1" w14:textId="45E26FCE" w:rsidR="009458E6" w:rsidRPr="004B1FE3" w:rsidRDefault="002C0065" w:rsidP="008876A2">
            <w:pPr>
              <w:adjustRightInd w:val="0"/>
              <w:spacing w:before="60" w:after="60"/>
              <w:jc w:val="center"/>
              <w:rPr>
                <w:rFonts w:cstheme="minorHAnsi"/>
                <w:bCs/>
                <w:color w:val="C00000"/>
              </w:rPr>
            </w:pPr>
            <w:r>
              <w:rPr>
                <w:color w:val="C00000"/>
              </w:rPr>
              <w:t>&lt;</w:t>
            </w:r>
            <w:r w:rsidR="009458E6" w:rsidRPr="004B1FE3">
              <w:rPr>
                <w:color w:val="C00000"/>
              </w:rPr>
              <w:t>0.0</w:t>
            </w:r>
            <w:r>
              <w:rPr>
                <w:color w:val="C00000"/>
              </w:rPr>
              <w:t>1</w:t>
            </w:r>
          </w:p>
        </w:tc>
        <w:tc>
          <w:tcPr>
            <w:tcW w:w="1595"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A452E5A" w14:textId="77777777" w:rsidR="009458E6" w:rsidRPr="004B1FE3" w:rsidRDefault="009458E6" w:rsidP="008876A2">
            <w:pPr>
              <w:adjustRightInd w:val="0"/>
              <w:spacing w:before="60" w:after="60"/>
              <w:jc w:val="center"/>
              <w:rPr>
                <w:rFonts w:cstheme="minorHAnsi"/>
                <w:bCs/>
                <w:color w:val="C00000"/>
              </w:rPr>
            </w:pPr>
            <w:r w:rsidRPr="004B1FE3">
              <w:rPr>
                <w:color w:val="C00000"/>
              </w:rPr>
              <w:t>(0.00,0.00,0.00,0.00,3.13)</w:t>
            </w:r>
          </w:p>
        </w:tc>
      </w:tr>
      <w:tr w:rsidR="009458E6" w:rsidRPr="00166FA2" w14:paraId="379D110A" w14:textId="77777777" w:rsidTr="009458E6">
        <w:trPr>
          <w:cantSplit/>
          <w:jc w:val="center"/>
        </w:trPr>
        <w:tc>
          <w:tcPr>
            <w:tcW w:w="2505" w:type="pct"/>
            <w:tcBorders>
              <w:top w:val="nil"/>
              <w:left w:val="single" w:sz="6" w:space="0" w:color="000000"/>
              <w:bottom w:val="single" w:sz="2" w:space="0" w:color="000000"/>
              <w:right w:val="nil"/>
            </w:tcBorders>
            <w:shd w:val="clear" w:color="auto" w:fill="FFFFFF"/>
            <w:tcMar>
              <w:left w:w="60" w:type="dxa"/>
              <w:right w:w="60" w:type="dxa"/>
            </w:tcMar>
          </w:tcPr>
          <w:p w14:paraId="245B774F" w14:textId="178E2749" w:rsidR="009458E6" w:rsidRPr="00190D38" w:rsidRDefault="009458E6" w:rsidP="009458E6">
            <w:pPr>
              <w:adjustRightInd w:val="0"/>
              <w:spacing w:before="60" w:after="60"/>
              <w:rPr>
                <w:rFonts w:cstheme="minorHAnsi"/>
                <w:bCs/>
                <w:color w:val="7030A0"/>
              </w:rPr>
            </w:pPr>
            <w:r w:rsidRPr="00190D38">
              <w:rPr>
                <w:color w:val="7030A0"/>
              </w:rPr>
              <w:t>3. Incomplete administrative data in the 30 days following the start of the index admission if disch</w:t>
            </w:r>
            <w:r w:rsidR="00C84098">
              <w:rPr>
                <w:color w:val="7030A0"/>
              </w:rPr>
              <w:t>arged alive</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63FCE9F6" w14:textId="7F20C148" w:rsidR="009458E6" w:rsidRPr="004B1FE3" w:rsidRDefault="009458E6" w:rsidP="008876A2">
            <w:pPr>
              <w:adjustRightInd w:val="0"/>
              <w:spacing w:before="60" w:after="60"/>
              <w:jc w:val="center"/>
              <w:rPr>
                <w:rFonts w:cstheme="minorHAnsi"/>
                <w:bCs/>
                <w:color w:val="C00000"/>
              </w:rPr>
            </w:pPr>
            <w:r w:rsidRPr="004B1FE3">
              <w:rPr>
                <w:color w:val="C00000"/>
              </w:rPr>
              <w:t>58</w:t>
            </w:r>
            <w:r w:rsidR="00C84098">
              <w:rPr>
                <w:color w:val="C00000"/>
              </w:rPr>
              <w:t>,</w:t>
            </w:r>
            <w:r w:rsidRPr="004B1FE3">
              <w:rPr>
                <w:color w:val="C00000"/>
              </w:rPr>
              <w:t>127</w:t>
            </w:r>
          </w:p>
        </w:tc>
        <w:tc>
          <w:tcPr>
            <w:tcW w:w="392" w:type="pct"/>
            <w:tcBorders>
              <w:top w:val="nil"/>
              <w:left w:val="single" w:sz="2" w:space="0" w:color="000000"/>
              <w:bottom w:val="single" w:sz="2" w:space="0" w:color="000000"/>
              <w:right w:val="nil"/>
            </w:tcBorders>
            <w:shd w:val="clear" w:color="auto" w:fill="FFFFFF"/>
            <w:tcMar>
              <w:left w:w="60" w:type="dxa"/>
              <w:right w:w="60" w:type="dxa"/>
            </w:tcMar>
          </w:tcPr>
          <w:p w14:paraId="78A88184" w14:textId="77777777" w:rsidR="009458E6" w:rsidRPr="004B1FE3" w:rsidRDefault="009458E6" w:rsidP="008876A2">
            <w:pPr>
              <w:adjustRightInd w:val="0"/>
              <w:spacing w:before="60" w:after="60"/>
              <w:jc w:val="center"/>
              <w:rPr>
                <w:rFonts w:cstheme="minorHAnsi"/>
                <w:bCs/>
                <w:color w:val="C00000"/>
              </w:rPr>
            </w:pPr>
            <w:r w:rsidRPr="004B1FE3">
              <w:rPr>
                <w:color w:val="C00000"/>
              </w:rPr>
              <w:t>4.11</w:t>
            </w:r>
          </w:p>
        </w:tc>
        <w:tc>
          <w:tcPr>
            <w:tcW w:w="1595"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37DAE85" w14:textId="77777777" w:rsidR="009458E6" w:rsidRPr="004B1FE3" w:rsidRDefault="009458E6" w:rsidP="008876A2">
            <w:pPr>
              <w:adjustRightInd w:val="0"/>
              <w:spacing w:before="60" w:after="60"/>
              <w:jc w:val="center"/>
              <w:rPr>
                <w:rFonts w:cstheme="minorHAnsi"/>
                <w:bCs/>
                <w:color w:val="C00000"/>
              </w:rPr>
            </w:pPr>
            <w:r w:rsidRPr="004B1FE3">
              <w:rPr>
                <w:color w:val="C00000"/>
              </w:rPr>
              <w:t>(0.00,3.07,4.17,5.63,24.0)</w:t>
            </w:r>
          </w:p>
        </w:tc>
      </w:tr>
      <w:tr w:rsidR="009458E6" w:rsidRPr="00166FA2" w14:paraId="56D353D4" w14:textId="77777777" w:rsidTr="009458E6">
        <w:trPr>
          <w:cantSplit/>
          <w:jc w:val="center"/>
        </w:trPr>
        <w:tc>
          <w:tcPr>
            <w:tcW w:w="2505" w:type="pct"/>
            <w:tcBorders>
              <w:top w:val="nil"/>
              <w:left w:val="single" w:sz="6" w:space="0" w:color="000000"/>
              <w:bottom w:val="single" w:sz="2" w:space="0" w:color="000000"/>
              <w:right w:val="nil"/>
            </w:tcBorders>
            <w:shd w:val="clear" w:color="auto" w:fill="FFFFFF"/>
            <w:tcMar>
              <w:left w:w="60" w:type="dxa"/>
              <w:right w:w="60" w:type="dxa"/>
            </w:tcMar>
          </w:tcPr>
          <w:p w14:paraId="1FA375B1" w14:textId="77777777" w:rsidR="009458E6" w:rsidRPr="00190D38" w:rsidRDefault="009458E6" w:rsidP="009458E6">
            <w:pPr>
              <w:adjustRightInd w:val="0"/>
              <w:spacing w:before="60" w:after="60"/>
              <w:rPr>
                <w:rFonts w:cstheme="minorHAnsi"/>
                <w:bCs/>
                <w:color w:val="7030A0"/>
              </w:rPr>
            </w:pPr>
            <w:r w:rsidRPr="00190D38">
              <w:rPr>
                <w:color w:val="7030A0"/>
              </w:rPr>
              <w:t>4. Enrolled in the Medicare hospice program any time in the 12 months prior to the index</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5CE6BE99" w14:textId="26A3D29B" w:rsidR="009458E6" w:rsidRPr="004B1FE3" w:rsidRDefault="009458E6" w:rsidP="008876A2">
            <w:pPr>
              <w:adjustRightInd w:val="0"/>
              <w:spacing w:before="60" w:after="60"/>
              <w:jc w:val="center"/>
              <w:rPr>
                <w:rFonts w:cstheme="minorHAnsi"/>
                <w:bCs/>
                <w:color w:val="C00000"/>
              </w:rPr>
            </w:pPr>
            <w:r w:rsidRPr="004B1FE3">
              <w:rPr>
                <w:color w:val="C00000"/>
              </w:rPr>
              <w:t>17</w:t>
            </w:r>
            <w:r w:rsidR="00C84098">
              <w:rPr>
                <w:color w:val="C00000"/>
              </w:rPr>
              <w:t>,</w:t>
            </w:r>
            <w:r w:rsidRPr="004B1FE3">
              <w:rPr>
                <w:color w:val="C00000"/>
              </w:rPr>
              <w:t>779</w:t>
            </w:r>
          </w:p>
        </w:tc>
        <w:tc>
          <w:tcPr>
            <w:tcW w:w="392" w:type="pct"/>
            <w:tcBorders>
              <w:top w:val="nil"/>
              <w:left w:val="single" w:sz="2" w:space="0" w:color="000000"/>
              <w:bottom w:val="single" w:sz="2" w:space="0" w:color="000000"/>
              <w:right w:val="nil"/>
            </w:tcBorders>
            <w:shd w:val="clear" w:color="auto" w:fill="FFFFFF"/>
            <w:tcMar>
              <w:left w:w="60" w:type="dxa"/>
              <w:right w:w="60" w:type="dxa"/>
            </w:tcMar>
          </w:tcPr>
          <w:p w14:paraId="1B2ACF5F" w14:textId="77777777" w:rsidR="009458E6" w:rsidRPr="004B1FE3" w:rsidRDefault="009458E6" w:rsidP="008876A2">
            <w:pPr>
              <w:adjustRightInd w:val="0"/>
              <w:spacing w:before="60" w:after="60"/>
              <w:jc w:val="center"/>
              <w:rPr>
                <w:rFonts w:cstheme="minorHAnsi"/>
                <w:bCs/>
                <w:color w:val="C00000"/>
              </w:rPr>
            </w:pPr>
            <w:r w:rsidRPr="004B1FE3">
              <w:rPr>
                <w:color w:val="C00000"/>
              </w:rPr>
              <w:t>1.26</w:t>
            </w:r>
          </w:p>
        </w:tc>
        <w:tc>
          <w:tcPr>
            <w:tcW w:w="1595"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462368B" w14:textId="77777777" w:rsidR="009458E6" w:rsidRPr="004B1FE3" w:rsidRDefault="009458E6" w:rsidP="008876A2">
            <w:pPr>
              <w:adjustRightInd w:val="0"/>
              <w:spacing w:before="60" w:after="60"/>
              <w:jc w:val="center"/>
              <w:rPr>
                <w:rFonts w:cstheme="minorHAnsi"/>
                <w:bCs/>
                <w:color w:val="C00000"/>
              </w:rPr>
            </w:pPr>
            <w:r w:rsidRPr="004B1FE3">
              <w:rPr>
                <w:color w:val="C00000"/>
              </w:rPr>
              <w:t>(0.00,0.22,1.01,1.89,18.8)</w:t>
            </w:r>
          </w:p>
        </w:tc>
      </w:tr>
      <w:tr w:rsidR="009458E6" w:rsidRPr="00166FA2" w14:paraId="6B6EEB43" w14:textId="77777777" w:rsidTr="009458E6">
        <w:trPr>
          <w:cantSplit/>
          <w:jc w:val="center"/>
        </w:trPr>
        <w:tc>
          <w:tcPr>
            <w:tcW w:w="2505" w:type="pct"/>
            <w:tcBorders>
              <w:top w:val="nil"/>
              <w:left w:val="single" w:sz="6" w:space="0" w:color="000000"/>
              <w:bottom w:val="single" w:sz="2" w:space="0" w:color="000000"/>
              <w:right w:val="nil"/>
            </w:tcBorders>
            <w:shd w:val="clear" w:color="auto" w:fill="FFFFFF"/>
            <w:tcMar>
              <w:left w:w="60" w:type="dxa"/>
              <w:right w:w="60" w:type="dxa"/>
            </w:tcMar>
          </w:tcPr>
          <w:p w14:paraId="0443C3FC" w14:textId="77777777" w:rsidR="009458E6" w:rsidRPr="00190D38" w:rsidRDefault="009458E6" w:rsidP="009458E6">
            <w:pPr>
              <w:adjustRightInd w:val="0"/>
              <w:spacing w:before="60" w:after="60"/>
              <w:rPr>
                <w:rFonts w:cstheme="minorHAnsi"/>
                <w:bCs/>
                <w:color w:val="7030A0"/>
              </w:rPr>
            </w:pPr>
            <w:r w:rsidRPr="00190D38">
              <w:rPr>
                <w:color w:val="7030A0"/>
              </w:rPr>
              <w:t>5. Discharged against medical advice (AMA)</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36C25777" w14:textId="75D34A10" w:rsidR="009458E6" w:rsidRPr="004B1FE3" w:rsidRDefault="009458E6" w:rsidP="008876A2">
            <w:pPr>
              <w:adjustRightInd w:val="0"/>
              <w:spacing w:before="60" w:after="60"/>
              <w:jc w:val="center"/>
              <w:rPr>
                <w:rFonts w:cstheme="minorHAnsi"/>
                <w:bCs/>
                <w:color w:val="C00000"/>
              </w:rPr>
            </w:pPr>
            <w:r w:rsidRPr="004B1FE3">
              <w:rPr>
                <w:color w:val="C00000"/>
              </w:rPr>
              <w:t>7</w:t>
            </w:r>
            <w:r w:rsidR="00C84098">
              <w:rPr>
                <w:color w:val="C00000"/>
              </w:rPr>
              <w:t>,</w:t>
            </w:r>
            <w:r w:rsidRPr="004B1FE3">
              <w:rPr>
                <w:color w:val="C00000"/>
              </w:rPr>
              <w:t>686</w:t>
            </w:r>
          </w:p>
        </w:tc>
        <w:tc>
          <w:tcPr>
            <w:tcW w:w="392" w:type="pct"/>
            <w:tcBorders>
              <w:top w:val="nil"/>
              <w:left w:val="single" w:sz="2" w:space="0" w:color="000000"/>
              <w:bottom w:val="single" w:sz="2" w:space="0" w:color="000000"/>
              <w:right w:val="nil"/>
            </w:tcBorders>
            <w:shd w:val="clear" w:color="auto" w:fill="FFFFFF"/>
            <w:tcMar>
              <w:left w:w="60" w:type="dxa"/>
              <w:right w:w="60" w:type="dxa"/>
            </w:tcMar>
          </w:tcPr>
          <w:p w14:paraId="58A23D8E" w14:textId="77777777" w:rsidR="009458E6" w:rsidRPr="004B1FE3" w:rsidRDefault="009458E6" w:rsidP="008876A2">
            <w:pPr>
              <w:adjustRightInd w:val="0"/>
              <w:spacing w:before="60" w:after="60"/>
              <w:jc w:val="center"/>
              <w:rPr>
                <w:rFonts w:cstheme="minorHAnsi"/>
                <w:bCs/>
                <w:color w:val="C00000"/>
              </w:rPr>
            </w:pPr>
            <w:r w:rsidRPr="004B1FE3">
              <w:rPr>
                <w:color w:val="C00000"/>
              </w:rPr>
              <w:t>0.54</w:t>
            </w:r>
          </w:p>
        </w:tc>
        <w:tc>
          <w:tcPr>
            <w:tcW w:w="1595"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3205BCE" w14:textId="77777777" w:rsidR="009458E6" w:rsidRPr="004B1FE3" w:rsidRDefault="009458E6" w:rsidP="008876A2">
            <w:pPr>
              <w:adjustRightInd w:val="0"/>
              <w:spacing w:before="60" w:after="60"/>
              <w:jc w:val="center"/>
              <w:rPr>
                <w:rFonts w:cstheme="minorHAnsi"/>
                <w:bCs/>
                <w:color w:val="C00000"/>
              </w:rPr>
            </w:pPr>
            <w:r w:rsidRPr="004B1FE3">
              <w:rPr>
                <w:color w:val="C00000"/>
              </w:rPr>
              <w:t>(0.00,0.00,0.25,0.77,9.42)</w:t>
            </w:r>
          </w:p>
        </w:tc>
      </w:tr>
      <w:tr w:rsidR="009458E6" w:rsidRPr="00166FA2" w14:paraId="2B2E50EE" w14:textId="77777777" w:rsidTr="009458E6">
        <w:trPr>
          <w:cantSplit/>
          <w:jc w:val="center"/>
        </w:trPr>
        <w:tc>
          <w:tcPr>
            <w:tcW w:w="2505" w:type="pct"/>
            <w:tcBorders>
              <w:top w:val="nil"/>
              <w:left w:val="single" w:sz="6" w:space="0" w:color="000000"/>
              <w:bottom w:val="single" w:sz="2" w:space="0" w:color="000000"/>
              <w:right w:val="nil"/>
            </w:tcBorders>
            <w:shd w:val="clear" w:color="auto" w:fill="FFFFFF"/>
            <w:tcMar>
              <w:left w:w="60" w:type="dxa"/>
              <w:right w:w="60" w:type="dxa"/>
            </w:tcMar>
          </w:tcPr>
          <w:p w14:paraId="19446C18" w14:textId="77777777" w:rsidR="009458E6" w:rsidRPr="00190D38" w:rsidRDefault="009458E6" w:rsidP="009458E6">
            <w:pPr>
              <w:adjustRightInd w:val="0"/>
              <w:spacing w:before="60" w:after="60"/>
              <w:rPr>
                <w:rFonts w:cstheme="minorHAnsi"/>
                <w:bCs/>
                <w:color w:val="7030A0"/>
              </w:rPr>
            </w:pPr>
            <w:r w:rsidRPr="00190D38">
              <w:rPr>
                <w:color w:val="7030A0"/>
              </w:rPr>
              <w:t>6. Transferred to a federal hospital</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70F386D8" w14:textId="77777777" w:rsidR="009458E6" w:rsidRPr="004B1FE3" w:rsidRDefault="009458E6" w:rsidP="008876A2">
            <w:pPr>
              <w:adjustRightInd w:val="0"/>
              <w:spacing w:before="60" w:after="60"/>
              <w:jc w:val="center"/>
              <w:rPr>
                <w:rFonts w:cstheme="minorHAnsi"/>
                <w:bCs/>
                <w:color w:val="C00000"/>
              </w:rPr>
            </w:pPr>
            <w:r w:rsidRPr="004B1FE3">
              <w:rPr>
                <w:color w:val="C00000"/>
              </w:rPr>
              <w:t>610</w:t>
            </w:r>
          </w:p>
        </w:tc>
        <w:tc>
          <w:tcPr>
            <w:tcW w:w="392" w:type="pct"/>
            <w:tcBorders>
              <w:top w:val="nil"/>
              <w:left w:val="single" w:sz="2" w:space="0" w:color="000000"/>
              <w:bottom w:val="single" w:sz="2" w:space="0" w:color="000000"/>
              <w:right w:val="nil"/>
            </w:tcBorders>
            <w:shd w:val="clear" w:color="auto" w:fill="FFFFFF"/>
            <w:tcMar>
              <w:left w:w="60" w:type="dxa"/>
              <w:right w:w="60" w:type="dxa"/>
            </w:tcMar>
          </w:tcPr>
          <w:p w14:paraId="4988FA2A" w14:textId="77777777" w:rsidR="009458E6" w:rsidRPr="004B1FE3" w:rsidRDefault="009458E6" w:rsidP="008876A2">
            <w:pPr>
              <w:adjustRightInd w:val="0"/>
              <w:spacing w:before="60" w:after="60"/>
              <w:jc w:val="center"/>
              <w:rPr>
                <w:rFonts w:cstheme="minorHAnsi"/>
                <w:bCs/>
                <w:color w:val="C00000"/>
              </w:rPr>
            </w:pPr>
            <w:r w:rsidRPr="004B1FE3">
              <w:rPr>
                <w:color w:val="C00000"/>
              </w:rPr>
              <w:t>0.04</w:t>
            </w:r>
          </w:p>
        </w:tc>
        <w:tc>
          <w:tcPr>
            <w:tcW w:w="1595"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6F1F41A" w14:textId="77777777" w:rsidR="009458E6" w:rsidRPr="004B1FE3" w:rsidRDefault="009458E6" w:rsidP="008876A2">
            <w:pPr>
              <w:adjustRightInd w:val="0"/>
              <w:spacing w:before="60" w:after="60"/>
              <w:jc w:val="center"/>
              <w:rPr>
                <w:rFonts w:cstheme="minorHAnsi"/>
                <w:bCs/>
                <w:color w:val="C00000"/>
              </w:rPr>
            </w:pPr>
            <w:r w:rsidRPr="004B1FE3">
              <w:rPr>
                <w:color w:val="C00000"/>
              </w:rPr>
              <w:t>(0.00,0.00,0.00,0.00,17.0)</w:t>
            </w:r>
          </w:p>
        </w:tc>
      </w:tr>
      <w:tr w:rsidR="009458E6" w:rsidRPr="00166FA2" w14:paraId="22FA5362" w14:textId="77777777" w:rsidTr="009458E6">
        <w:trPr>
          <w:cantSplit/>
          <w:jc w:val="center"/>
        </w:trPr>
        <w:tc>
          <w:tcPr>
            <w:tcW w:w="2505" w:type="pct"/>
            <w:tcBorders>
              <w:top w:val="nil"/>
              <w:left w:val="single" w:sz="6" w:space="0" w:color="000000"/>
              <w:bottom w:val="single" w:sz="2" w:space="0" w:color="000000"/>
              <w:right w:val="nil"/>
            </w:tcBorders>
            <w:shd w:val="clear" w:color="auto" w:fill="FFFFFF"/>
            <w:tcMar>
              <w:left w:w="60" w:type="dxa"/>
              <w:right w:w="60" w:type="dxa"/>
            </w:tcMar>
          </w:tcPr>
          <w:p w14:paraId="2AE378E1" w14:textId="77777777" w:rsidR="009458E6" w:rsidRPr="00190D38" w:rsidRDefault="009458E6" w:rsidP="009458E6">
            <w:pPr>
              <w:adjustRightInd w:val="0"/>
              <w:spacing w:before="60" w:after="60"/>
              <w:rPr>
                <w:rFonts w:cstheme="minorHAnsi"/>
                <w:bCs/>
                <w:color w:val="7030A0"/>
              </w:rPr>
            </w:pPr>
            <w:r w:rsidRPr="00190D38">
              <w:rPr>
                <w:color w:val="7030A0"/>
              </w:rPr>
              <w:t>7. not matched to admission in the HF mortality measure</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73A10EFA" w14:textId="45CD4C23" w:rsidR="009458E6" w:rsidRPr="004B1FE3" w:rsidRDefault="009458E6" w:rsidP="008876A2">
            <w:pPr>
              <w:adjustRightInd w:val="0"/>
              <w:spacing w:before="60" w:after="60"/>
              <w:jc w:val="center"/>
              <w:rPr>
                <w:rFonts w:cstheme="minorHAnsi"/>
                <w:bCs/>
                <w:color w:val="C00000"/>
              </w:rPr>
            </w:pPr>
            <w:r w:rsidRPr="004B1FE3">
              <w:rPr>
                <w:color w:val="C00000"/>
              </w:rPr>
              <w:t>18</w:t>
            </w:r>
            <w:r w:rsidR="00C84098">
              <w:rPr>
                <w:color w:val="C00000"/>
              </w:rPr>
              <w:t>,</w:t>
            </w:r>
            <w:r w:rsidRPr="004B1FE3">
              <w:rPr>
                <w:color w:val="C00000"/>
              </w:rPr>
              <w:t>064</w:t>
            </w:r>
          </w:p>
        </w:tc>
        <w:tc>
          <w:tcPr>
            <w:tcW w:w="392" w:type="pct"/>
            <w:tcBorders>
              <w:top w:val="nil"/>
              <w:left w:val="single" w:sz="2" w:space="0" w:color="000000"/>
              <w:bottom w:val="single" w:sz="2" w:space="0" w:color="000000"/>
              <w:right w:val="nil"/>
            </w:tcBorders>
            <w:shd w:val="clear" w:color="auto" w:fill="FFFFFF"/>
            <w:tcMar>
              <w:left w:w="60" w:type="dxa"/>
              <w:right w:w="60" w:type="dxa"/>
            </w:tcMar>
          </w:tcPr>
          <w:p w14:paraId="04C8725A" w14:textId="77777777" w:rsidR="009458E6" w:rsidRPr="004B1FE3" w:rsidRDefault="009458E6" w:rsidP="008876A2">
            <w:pPr>
              <w:adjustRightInd w:val="0"/>
              <w:spacing w:before="60" w:after="60"/>
              <w:jc w:val="center"/>
              <w:rPr>
                <w:rFonts w:cstheme="minorHAnsi"/>
                <w:bCs/>
                <w:color w:val="C00000"/>
              </w:rPr>
            </w:pPr>
            <w:r w:rsidRPr="004B1FE3">
              <w:rPr>
                <w:color w:val="C00000"/>
              </w:rPr>
              <w:t>1.28</w:t>
            </w:r>
          </w:p>
        </w:tc>
        <w:tc>
          <w:tcPr>
            <w:tcW w:w="1595"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8D79EF8" w14:textId="77777777" w:rsidR="009458E6" w:rsidRPr="004B1FE3" w:rsidRDefault="009458E6" w:rsidP="008876A2">
            <w:pPr>
              <w:adjustRightInd w:val="0"/>
              <w:spacing w:before="60" w:after="60"/>
              <w:jc w:val="center"/>
              <w:rPr>
                <w:rFonts w:cstheme="minorHAnsi"/>
                <w:bCs/>
                <w:color w:val="C00000"/>
              </w:rPr>
            </w:pPr>
            <w:r w:rsidRPr="004B1FE3">
              <w:rPr>
                <w:color w:val="C00000"/>
              </w:rPr>
              <w:t>(0.00,0.00,0.78,1.77,93.0)</w:t>
            </w:r>
          </w:p>
        </w:tc>
      </w:tr>
      <w:tr w:rsidR="00711269" w:rsidRPr="00166FA2" w14:paraId="636D27C5" w14:textId="77777777" w:rsidTr="009458E6">
        <w:trPr>
          <w:cantSplit/>
          <w:jc w:val="center"/>
        </w:trPr>
        <w:tc>
          <w:tcPr>
            <w:tcW w:w="2505" w:type="pct"/>
            <w:tcBorders>
              <w:top w:val="nil"/>
              <w:left w:val="single" w:sz="6" w:space="0" w:color="000000"/>
              <w:bottom w:val="single" w:sz="2" w:space="0" w:color="000000"/>
              <w:right w:val="nil"/>
            </w:tcBorders>
            <w:shd w:val="clear" w:color="auto" w:fill="FFFFFF"/>
            <w:tcMar>
              <w:left w:w="60" w:type="dxa"/>
              <w:right w:w="60" w:type="dxa"/>
            </w:tcMar>
          </w:tcPr>
          <w:p w14:paraId="5E954D4B" w14:textId="12E55F63" w:rsidR="00711269" w:rsidRPr="00190D38" w:rsidRDefault="00711269" w:rsidP="00711269">
            <w:pPr>
              <w:adjustRightInd w:val="0"/>
              <w:spacing w:before="60" w:after="60"/>
              <w:rPr>
                <w:color w:val="7030A0"/>
              </w:rPr>
            </w:pPr>
            <w:r>
              <w:rPr>
                <w:rFonts w:cstheme="minorHAnsi"/>
                <w:bCs/>
                <w:color w:val="7030A0"/>
              </w:rPr>
              <w:t>8.  Missing index DRG weight where provider received no payment</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20C30E84" w14:textId="388C0A44" w:rsidR="00711269" w:rsidRPr="004B1FE3" w:rsidRDefault="00711269" w:rsidP="008876A2">
            <w:pPr>
              <w:adjustRightInd w:val="0"/>
              <w:spacing w:before="60" w:after="60"/>
              <w:jc w:val="center"/>
              <w:rPr>
                <w:color w:val="C00000"/>
              </w:rPr>
            </w:pPr>
            <w:r>
              <w:rPr>
                <w:rFonts w:cstheme="minorHAnsi"/>
                <w:bCs/>
                <w:color w:val="C00000"/>
              </w:rPr>
              <w:t>0</w:t>
            </w:r>
          </w:p>
        </w:tc>
        <w:tc>
          <w:tcPr>
            <w:tcW w:w="392" w:type="pct"/>
            <w:tcBorders>
              <w:top w:val="nil"/>
              <w:left w:val="single" w:sz="2" w:space="0" w:color="000000"/>
              <w:bottom w:val="single" w:sz="2" w:space="0" w:color="000000"/>
              <w:right w:val="nil"/>
            </w:tcBorders>
            <w:shd w:val="clear" w:color="auto" w:fill="FFFFFF"/>
            <w:tcMar>
              <w:left w:w="60" w:type="dxa"/>
              <w:right w:w="60" w:type="dxa"/>
            </w:tcMar>
          </w:tcPr>
          <w:p w14:paraId="76109060" w14:textId="6F729875" w:rsidR="00711269" w:rsidRPr="004B1FE3" w:rsidRDefault="00711269" w:rsidP="008876A2">
            <w:pPr>
              <w:adjustRightInd w:val="0"/>
              <w:spacing w:before="60" w:after="60"/>
              <w:jc w:val="center"/>
              <w:rPr>
                <w:color w:val="C00000"/>
              </w:rPr>
            </w:pPr>
            <w:r>
              <w:rPr>
                <w:rFonts w:cstheme="minorHAnsi"/>
                <w:bCs/>
                <w:color w:val="C00000"/>
              </w:rPr>
              <w:t>0</w:t>
            </w:r>
          </w:p>
        </w:tc>
        <w:tc>
          <w:tcPr>
            <w:tcW w:w="1595"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47FBC71" w14:textId="02117C22" w:rsidR="00711269" w:rsidRPr="004B1FE3" w:rsidRDefault="00554D8E" w:rsidP="008876A2">
            <w:pPr>
              <w:adjustRightInd w:val="0"/>
              <w:spacing w:before="60" w:after="60"/>
              <w:jc w:val="center"/>
              <w:rPr>
                <w:color w:val="C00000"/>
              </w:rPr>
            </w:pPr>
            <w:r>
              <w:rPr>
                <w:rFonts w:cstheme="minorHAnsi"/>
                <w:bCs/>
                <w:color w:val="C00000"/>
              </w:rPr>
              <w:t>n/a</w:t>
            </w:r>
          </w:p>
        </w:tc>
      </w:tr>
      <w:tr w:rsidR="009458E6" w14:paraId="3430E06E" w14:textId="77777777" w:rsidTr="009458E6">
        <w:trPr>
          <w:cantSplit/>
          <w:jc w:val="center"/>
        </w:trPr>
        <w:tc>
          <w:tcPr>
            <w:tcW w:w="2505" w:type="pct"/>
            <w:tcBorders>
              <w:top w:val="nil"/>
              <w:left w:val="single" w:sz="6" w:space="0" w:color="000000"/>
              <w:bottom w:val="single" w:sz="2" w:space="0" w:color="000000"/>
              <w:right w:val="nil"/>
            </w:tcBorders>
            <w:shd w:val="clear" w:color="auto" w:fill="FFFFFF"/>
            <w:tcMar>
              <w:left w:w="60" w:type="dxa"/>
              <w:right w:w="60" w:type="dxa"/>
            </w:tcMar>
          </w:tcPr>
          <w:p w14:paraId="785D8E6C" w14:textId="77777777" w:rsidR="009458E6" w:rsidRPr="00190D38" w:rsidRDefault="009458E6" w:rsidP="009458E6">
            <w:pPr>
              <w:adjustRightInd w:val="0"/>
              <w:spacing w:before="60" w:after="60"/>
              <w:rPr>
                <w:rFonts w:cstheme="minorHAnsi"/>
                <w:bCs/>
                <w:color w:val="7030A0"/>
              </w:rPr>
            </w:pPr>
            <w:r w:rsidRPr="00190D38">
              <w:rPr>
                <w:color w:val="7030A0"/>
              </w:rPr>
              <w:t>9. LVAD or transplant</w:t>
            </w:r>
          </w:p>
        </w:tc>
        <w:tc>
          <w:tcPr>
            <w:tcW w:w="508" w:type="pct"/>
            <w:tcBorders>
              <w:top w:val="nil"/>
              <w:left w:val="single" w:sz="2" w:space="0" w:color="000000"/>
              <w:bottom w:val="single" w:sz="2" w:space="0" w:color="000000"/>
              <w:right w:val="nil"/>
            </w:tcBorders>
            <w:shd w:val="clear" w:color="auto" w:fill="FFFFFF"/>
            <w:tcMar>
              <w:left w:w="60" w:type="dxa"/>
              <w:right w:w="60" w:type="dxa"/>
            </w:tcMar>
          </w:tcPr>
          <w:p w14:paraId="382DAB70" w14:textId="6FEEAC29" w:rsidR="009458E6" w:rsidRPr="004B1FE3" w:rsidRDefault="009458E6" w:rsidP="008876A2">
            <w:pPr>
              <w:adjustRightInd w:val="0"/>
              <w:spacing w:before="60" w:after="60"/>
              <w:jc w:val="center"/>
              <w:rPr>
                <w:color w:val="C00000"/>
              </w:rPr>
            </w:pPr>
            <w:r w:rsidRPr="004B1FE3">
              <w:rPr>
                <w:color w:val="C00000"/>
              </w:rPr>
              <w:t>4</w:t>
            </w:r>
            <w:r w:rsidR="00C84098">
              <w:rPr>
                <w:color w:val="C00000"/>
              </w:rPr>
              <w:t>,</w:t>
            </w:r>
            <w:r w:rsidRPr="004B1FE3">
              <w:rPr>
                <w:color w:val="C00000"/>
              </w:rPr>
              <w:t>625</w:t>
            </w:r>
          </w:p>
        </w:tc>
        <w:tc>
          <w:tcPr>
            <w:tcW w:w="392" w:type="pct"/>
            <w:tcBorders>
              <w:top w:val="nil"/>
              <w:left w:val="single" w:sz="2" w:space="0" w:color="000000"/>
              <w:bottom w:val="single" w:sz="2" w:space="0" w:color="000000"/>
              <w:right w:val="nil"/>
            </w:tcBorders>
            <w:shd w:val="clear" w:color="auto" w:fill="FFFFFF"/>
            <w:tcMar>
              <w:left w:w="60" w:type="dxa"/>
              <w:right w:w="60" w:type="dxa"/>
            </w:tcMar>
          </w:tcPr>
          <w:p w14:paraId="4B16B83C" w14:textId="77777777" w:rsidR="009458E6" w:rsidRPr="004B1FE3" w:rsidRDefault="009458E6" w:rsidP="008876A2">
            <w:pPr>
              <w:adjustRightInd w:val="0"/>
              <w:spacing w:before="60" w:after="60"/>
              <w:jc w:val="center"/>
              <w:rPr>
                <w:color w:val="C00000"/>
              </w:rPr>
            </w:pPr>
            <w:r w:rsidRPr="004B1FE3">
              <w:rPr>
                <w:color w:val="C00000"/>
              </w:rPr>
              <w:t>0.33</w:t>
            </w:r>
          </w:p>
        </w:tc>
        <w:tc>
          <w:tcPr>
            <w:tcW w:w="1595" w:type="pct"/>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1A6B9C0" w14:textId="77777777" w:rsidR="009458E6" w:rsidRPr="004B1FE3" w:rsidRDefault="009458E6" w:rsidP="008876A2">
            <w:pPr>
              <w:adjustRightInd w:val="0"/>
              <w:spacing w:before="60" w:after="60"/>
              <w:jc w:val="center"/>
              <w:rPr>
                <w:color w:val="C00000"/>
              </w:rPr>
            </w:pPr>
            <w:r w:rsidRPr="004B1FE3">
              <w:rPr>
                <w:color w:val="C00000"/>
              </w:rPr>
              <w:t>(0.00,0.00,0.00,0.14,8.50)</w:t>
            </w:r>
          </w:p>
        </w:tc>
      </w:tr>
    </w:tbl>
    <w:p w14:paraId="0FB0E1F7" w14:textId="17FD735C" w:rsidR="009458E6" w:rsidRPr="004B1FE3" w:rsidRDefault="009458E6" w:rsidP="009458E6">
      <w:pPr>
        <w:autoSpaceDE w:val="0"/>
        <w:autoSpaceDN w:val="0"/>
        <w:adjustRightInd w:val="0"/>
        <w:spacing w:before="120" w:after="120" w:line="240" w:lineRule="auto"/>
        <w:rPr>
          <w:color w:val="C00000"/>
        </w:rPr>
      </w:pPr>
      <w:r w:rsidRPr="006F1E48">
        <w:rPr>
          <w:color w:val="C00000"/>
        </w:rPr>
        <w:t>After exclusions #1-</w:t>
      </w:r>
      <w:r w:rsidR="00981B25">
        <w:rPr>
          <w:color w:val="C00000"/>
        </w:rPr>
        <w:t>9</w:t>
      </w:r>
      <w:r w:rsidRPr="006F1E48">
        <w:rPr>
          <w:color w:val="C00000"/>
        </w:rPr>
        <w:t xml:space="preserve"> are applied, the measure randomly selects one index admission per patient per year for inclusion in the cohort so that each episode of care is mutually independent. Additional admissions within that year are excluded</w:t>
      </w:r>
      <w:r>
        <w:rPr>
          <w:color w:val="C00000"/>
        </w:rPr>
        <w:t>; 267,798 admissions, or 18.95% of the cohort, were excluded in this step</w:t>
      </w:r>
      <w:r w:rsidRPr="006F1E48">
        <w:rPr>
          <w:color w:val="C00000"/>
        </w:rPr>
        <w:t>. For the three-year combined data, when index admissions occur during the transition between measure reporting periods (June and July of each year) and both are randomly selected for inclusion in the measure, the measure includes only the June admission. July admissions within the 30-day outcome window of the June admission are excluded to avoid assigning payments for the same claims to two admissions.</w:t>
      </w:r>
      <w:r>
        <w:rPr>
          <w:color w:val="C00000"/>
        </w:rPr>
        <w:t xml:space="preserve">  There were 1</w:t>
      </w:r>
      <w:r w:rsidR="008876A2">
        <w:rPr>
          <w:color w:val="C00000"/>
        </w:rPr>
        <w:t>,</w:t>
      </w:r>
      <w:r>
        <w:rPr>
          <w:color w:val="C00000"/>
        </w:rPr>
        <w:t>707 admissions in July, representing 0.12% of the cohort.</w:t>
      </w:r>
    </w:p>
    <w:p w14:paraId="0CABCFE7" w14:textId="77777777" w:rsidR="00092566" w:rsidRPr="00131D3E" w:rsidRDefault="00092566" w:rsidP="00092566">
      <w:pPr>
        <w:autoSpaceDE w:val="0"/>
        <w:autoSpaceDN w:val="0"/>
        <w:adjustRightInd w:val="0"/>
        <w:spacing w:after="0" w:line="240" w:lineRule="auto"/>
        <w:rPr>
          <w:rFonts w:cstheme="minorHAnsi"/>
          <w:bCs/>
          <w:sz w:val="12"/>
        </w:rPr>
      </w:pPr>
    </w:p>
    <w:p w14:paraId="767D1034" w14:textId="77777777" w:rsidR="00711269" w:rsidRPr="008F55E7" w:rsidRDefault="00092566" w:rsidP="00711269">
      <w:pPr>
        <w:autoSpaceDE w:val="0"/>
        <w:autoSpaceDN w:val="0"/>
        <w:adjustRightInd w:val="0"/>
        <w:spacing w:before="120" w:after="120" w:line="240" w:lineRule="auto"/>
        <w:rPr>
          <w:rFonts w:cstheme="minorHAnsi"/>
          <w:bCs/>
          <w:color w:val="7030A0"/>
        </w:rPr>
      </w:pPr>
      <w:r w:rsidRPr="00131D3E">
        <w:rPr>
          <w:rFonts w:cstheme="minorHAnsi"/>
          <w:b/>
          <w:bCs/>
        </w:rPr>
        <w:t>2b</w:t>
      </w:r>
      <w:r w:rsidR="009C7513" w:rsidRPr="00131D3E">
        <w:rPr>
          <w:rFonts w:cstheme="minorHAnsi"/>
          <w:b/>
          <w:bCs/>
        </w:rPr>
        <w:t>2</w:t>
      </w:r>
      <w:r w:rsidRPr="00131D3E">
        <w:rPr>
          <w:rFonts w:cstheme="minorHAnsi"/>
          <w:b/>
          <w:bCs/>
        </w:rPr>
        <w:t>.</w:t>
      </w:r>
      <w:r w:rsidR="00A25024" w:rsidRPr="00131D3E">
        <w:rPr>
          <w:rFonts w:cstheme="minorHAnsi"/>
          <w:b/>
          <w:bCs/>
        </w:rPr>
        <w:t xml:space="preserve">3. </w:t>
      </w:r>
      <w:r w:rsidR="000B2DF7" w:rsidRPr="00131D3E">
        <w:rPr>
          <w:rFonts w:cstheme="minorHAnsi"/>
          <w:b/>
          <w:bCs/>
        </w:rPr>
        <w:t xml:space="preserve">What is your interpretation of the results </w:t>
      </w:r>
      <w:r w:rsidR="007422FD" w:rsidRPr="00131D3E">
        <w:rPr>
          <w:rFonts w:cstheme="minorHAnsi"/>
          <w:b/>
          <w:bCs/>
        </w:rPr>
        <w:t xml:space="preserve">in terms of </w:t>
      </w:r>
      <w:r w:rsidR="00713394" w:rsidRPr="00131D3E">
        <w:rPr>
          <w:rFonts w:cstheme="minorHAnsi"/>
          <w:b/>
          <w:bCs/>
        </w:rPr>
        <w:t>demonstrating</w:t>
      </w:r>
      <w:r w:rsidR="007422FD" w:rsidRPr="00131D3E">
        <w:rPr>
          <w:rFonts w:cstheme="minorHAnsi"/>
          <w:b/>
          <w:bCs/>
        </w:rPr>
        <w:t xml:space="preserve"> </w:t>
      </w:r>
      <w:r w:rsidR="00713394" w:rsidRPr="00131D3E">
        <w:rPr>
          <w:rFonts w:cstheme="minorHAnsi"/>
          <w:b/>
          <w:bCs/>
        </w:rPr>
        <w:t>that exclusions are needed to prevent unfair distortion of performance results</w:t>
      </w:r>
      <w:r w:rsidR="007422FD" w:rsidRPr="00131D3E">
        <w:rPr>
          <w:rFonts w:cstheme="minorHAnsi"/>
          <w:b/>
          <w:bCs/>
        </w:rPr>
        <w:t>?</w:t>
      </w:r>
      <w:r w:rsidR="007422FD" w:rsidRPr="00131D3E">
        <w:rPr>
          <w:rFonts w:cstheme="minorHAnsi"/>
          <w:bCs/>
        </w:rPr>
        <w:t xml:space="preserve"> </w:t>
      </w:r>
      <w:r w:rsidR="000B2DF7" w:rsidRPr="00131D3E">
        <w:rPr>
          <w:rFonts w:cstheme="minorHAnsi"/>
          <w:bCs/>
        </w:rPr>
        <w:t>(</w:t>
      </w:r>
      <w:r w:rsidR="00713394" w:rsidRPr="00131D3E">
        <w:rPr>
          <w:rFonts w:cstheme="minorHAnsi"/>
          <w:bCs/>
          <w:i/>
        </w:rPr>
        <w:t>i.e.,</w:t>
      </w:r>
      <w:r w:rsidR="000B2DF7" w:rsidRPr="00131D3E">
        <w:rPr>
          <w:rFonts w:cstheme="minorHAnsi"/>
          <w:bCs/>
          <w:i/>
        </w:rPr>
        <w:t xml:space="preserve"> the value </w:t>
      </w:r>
      <w:r w:rsidR="00713394" w:rsidRPr="00131D3E">
        <w:rPr>
          <w:rFonts w:cstheme="minorHAnsi"/>
          <w:bCs/>
          <w:i/>
        </w:rPr>
        <w:t>outweighs the</w:t>
      </w:r>
      <w:r w:rsidR="000B2DF7" w:rsidRPr="00131D3E">
        <w:rPr>
          <w:rFonts w:cstheme="minorHAnsi"/>
          <w:bCs/>
          <w:i/>
        </w:rPr>
        <w:t xml:space="preserve"> burden of increased data collection and analysi</w:t>
      </w:r>
      <w:r w:rsidR="00CC086A" w:rsidRPr="00131D3E">
        <w:rPr>
          <w:rFonts w:cstheme="minorHAnsi"/>
          <w:bCs/>
          <w:i/>
        </w:rPr>
        <w:t xml:space="preserve">s. </w:t>
      </w:r>
      <w:r w:rsidR="00713394" w:rsidRPr="00131D3E">
        <w:rPr>
          <w:rFonts w:cstheme="minorHAnsi"/>
          <w:bCs/>
        </w:rPr>
        <w:t xml:space="preserve"> </w:t>
      </w:r>
      <w:r w:rsidR="00713394" w:rsidRPr="00131D3E">
        <w:rPr>
          <w:rFonts w:cstheme="minorHAnsi"/>
          <w:bCs/>
          <w:i/>
          <w:u w:val="single"/>
        </w:rPr>
        <w:t>Note</w:t>
      </w:r>
      <w:r w:rsidR="00713394" w:rsidRPr="00131D3E">
        <w:rPr>
          <w:rFonts w:cstheme="minorHAnsi"/>
          <w:bCs/>
          <w:i/>
        </w:rPr>
        <w:t xml:space="preserve">: </w:t>
      </w:r>
      <w:r w:rsidR="00713394" w:rsidRPr="00131D3E">
        <w:rPr>
          <w:rFonts w:cstheme="minorHAnsi"/>
          <w:b/>
          <w:bCs/>
          <w:i/>
        </w:rPr>
        <w:t>If patient preference is an exclusion</w:t>
      </w:r>
      <w:r w:rsidR="00713394" w:rsidRPr="00131D3E">
        <w:rPr>
          <w:rFonts w:cstheme="minorHAnsi"/>
          <w:bCs/>
          <w:i/>
        </w:rPr>
        <w:t>, the measure must be specified so that the effect on the performance score is transparent, e.g., scores with and without exclusion</w:t>
      </w:r>
      <w:r w:rsidR="00713394" w:rsidRPr="00131D3E">
        <w:rPr>
          <w:rFonts w:cstheme="minorHAnsi"/>
          <w:bCs/>
        </w:rPr>
        <w:t>)</w:t>
      </w:r>
      <w:r w:rsidR="007422FD" w:rsidRPr="00131D3E">
        <w:rPr>
          <w:rFonts w:cstheme="minorHAnsi"/>
          <w:bCs/>
        </w:rPr>
        <w:br/>
      </w:r>
      <w:r w:rsidR="00711269" w:rsidRPr="008F55E7">
        <w:rPr>
          <w:rFonts w:cstheme="minorHAnsi"/>
          <w:b/>
          <w:bCs/>
          <w:color w:val="7030A0"/>
          <w:u w:val="single"/>
        </w:rPr>
        <w:lastRenderedPageBreak/>
        <w:t>Exclusion 1</w:t>
      </w:r>
      <w:r w:rsidR="00711269">
        <w:rPr>
          <w:rFonts w:cstheme="minorHAnsi"/>
          <w:bCs/>
          <w:color w:val="7030A0"/>
        </w:rPr>
        <w:t>: P</w:t>
      </w:r>
      <w:r w:rsidR="00711269" w:rsidRPr="008F55E7">
        <w:rPr>
          <w:rFonts w:cstheme="minorHAnsi"/>
          <w:bCs/>
          <w:color w:val="7030A0"/>
        </w:rPr>
        <w:t>atients who were discharged alive on the day of admission or the following day who were not transferred</w:t>
      </w:r>
      <w:r w:rsidR="00711269">
        <w:rPr>
          <w:rFonts w:cstheme="minorHAnsi"/>
          <w:bCs/>
          <w:color w:val="7030A0"/>
        </w:rPr>
        <w:t xml:space="preserve"> to another acute care facility. This exclusion</w:t>
      </w:r>
      <w:r w:rsidR="00711269" w:rsidRPr="008F55E7">
        <w:rPr>
          <w:rFonts w:cstheme="minorHAnsi"/>
          <w:bCs/>
          <w:color w:val="7030A0"/>
        </w:rPr>
        <w:t xml:space="preserve"> accounts for </w:t>
      </w:r>
      <w:r w:rsidR="00711269">
        <w:rPr>
          <w:rFonts w:cstheme="minorHAnsi"/>
          <w:bCs/>
          <w:color w:val="C00000"/>
        </w:rPr>
        <w:t>4.24</w:t>
      </w:r>
      <w:r w:rsidR="00711269" w:rsidRPr="008F55E7">
        <w:rPr>
          <w:rFonts w:cstheme="minorHAnsi"/>
          <w:bCs/>
          <w:color w:val="7030A0"/>
        </w:rPr>
        <w:t xml:space="preserve">% of all index admissions excluded from the initial index cohort. This exclusion represents the majority of all </w:t>
      </w:r>
      <w:proofErr w:type="gramStart"/>
      <w:r w:rsidR="00711269" w:rsidRPr="008F55E7">
        <w:rPr>
          <w:rFonts w:cstheme="minorHAnsi"/>
          <w:bCs/>
          <w:color w:val="7030A0"/>
        </w:rPr>
        <w:t>exclusions, and</w:t>
      </w:r>
      <w:proofErr w:type="gramEnd"/>
      <w:r w:rsidR="00711269" w:rsidRPr="008F55E7">
        <w:rPr>
          <w:rFonts w:cstheme="minorHAnsi"/>
          <w:bCs/>
          <w:color w:val="7030A0"/>
        </w:rPr>
        <w:t xml:space="preserve"> is meant to ensure a clinically coherent cohort. This exclusion prevents inclusion of patients who likely did not</w:t>
      </w:r>
      <w:r w:rsidR="00711269">
        <w:rPr>
          <w:rFonts w:cstheme="minorHAnsi"/>
          <w:bCs/>
          <w:color w:val="7030A0"/>
        </w:rPr>
        <w:t xml:space="preserve"> have clinically significant HF</w:t>
      </w:r>
      <w:r w:rsidR="00711269" w:rsidRPr="008F55E7">
        <w:rPr>
          <w:rFonts w:cstheme="minorHAnsi"/>
          <w:bCs/>
          <w:color w:val="7030A0"/>
        </w:rPr>
        <w:t>.</w:t>
      </w:r>
    </w:p>
    <w:p w14:paraId="36E3A1B0" w14:textId="77777777" w:rsidR="00711269" w:rsidRDefault="00711269" w:rsidP="00711269">
      <w:pPr>
        <w:autoSpaceDE w:val="0"/>
        <w:autoSpaceDN w:val="0"/>
        <w:adjustRightInd w:val="0"/>
        <w:spacing w:before="120" w:after="120" w:line="240" w:lineRule="auto"/>
        <w:rPr>
          <w:rFonts w:cstheme="minorHAnsi"/>
          <w:bCs/>
          <w:color w:val="7030A0"/>
        </w:rPr>
      </w:pPr>
      <w:r w:rsidRPr="008F55E7">
        <w:rPr>
          <w:rFonts w:cstheme="minorHAnsi"/>
          <w:b/>
          <w:bCs/>
          <w:color w:val="7030A0"/>
          <w:u w:val="single"/>
        </w:rPr>
        <w:t>Exclusion 2</w:t>
      </w:r>
      <w:r>
        <w:rPr>
          <w:rFonts w:cstheme="minorHAnsi"/>
          <w:bCs/>
          <w:color w:val="7030A0"/>
        </w:rPr>
        <w:t>: P</w:t>
      </w:r>
      <w:r w:rsidRPr="008F55E7">
        <w:rPr>
          <w:rFonts w:cstheme="minorHAnsi"/>
          <w:bCs/>
          <w:color w:val="7030A0"/>
        </w:rPr>
        <w:t>atients with inconsistent or unknown vital status or other unrelia</w:t>
      </w:r>
      <w:r>
        <w:rPr>
          <w:rFonts w:cstheme="minorHAnsi"/>
          <w:bCs/>
          <w:color w:val="7030A0"/>
        </w:rPr>
        <w:t xml:space="preserve">ble demographic [age and gender] data.  This exclusion </w:t>
      </w:r>
      <w:r w:rsidRPr="008F55E7">
        <w:rPr>
          <w:rFonts w:cstheme="minorHAnsi"/>
          <w:bCs/>
          <w:color w:val="7030A0"/>
        </w:rPr>
        <w:t xml:space="preserve">accounts for </w:t>
      </w:r>
      <w:r>
        <w:rPr>
          <w:rFonts w:cstheme="minorHAnsi"/>
          <w:bCs/>
          <w:color w:val="C00000"/>
        </w:rPr>
        <w:t>&lt;0.01</w:t>
      </w:r>
      <w:r w:rsidRPr="008F55E7">
        <w:rPr>
          <w:rFonts w:cstheme="minorHAnsi"/>
          <w:bCs/>
          <w:color w:val="7030A0"/>
        </w:rPr>
        <w:t xml:space="preserve">% of all index admissions excluded from the initial index cohort. We do not include stays for patients where the age is greater than 115, where the gender is neither male nor female, where the admission date is after the date of death in the Medicare Enrollment Database, or where the date of death occurs before the date of </w:t>
      </w:r>
      <w:proofErr w:type="gramStart"/>
      <w:r w:rsidRPr="008F55E7">
        <w:rPr>
          <w:rFonts w:cstheme="minorHAnsi"/>
          <w:bCs/>
          <w:color w:val="7030A0"/>
        </w:rPr>
        <w:t>discharge</w:t>
      </w:r>
      <w:proofErr w:type="gramEnd"/>
      <w:r w:rsidRPr="008F55E7">
        <w:rPr>
          <w:rFonts w:cstheme="minorHAnsi"/>
          <w:bCs/>
          <w:color w:val="7030A0"/>
        </w:rPr>
        <w:t xml:space="preserve"> but the patient was discharged alive.</w:t>
      </w:r>
    </w:p>
    <w:p w14:paraId="55BEAE15" w14:textId="77777777" w:rsidR="00711269" w:rsidRPr="008F55E7" w:rsidRDefault="00711269" w:rsidP="00711269">
      <w:pPr>
        <w:autoSpaceDE w:val="0"/>
        <w:autoSpaceDN w:val="0"/>
        <w:adjustRightInd w:val="0"/>
        <w:spacing w:before="120" w:after="120" w:line="240" w:lineRule="auto"/>
        <w:rPr>
          <w:rFonts w:cstheme="minorHAnsi"/>
          <w:bCs/>
          <w:color w:val="7030A0"/>
        </w:rPr>
      </w:pPr>
      <w:r w:rsidRPr="00190D38">
        <w:rPr>
          <w:rFonts w:cstheme="minorHAnsi"/>
          <w:b/>
          <w:bCs/>
          <w:color w:val="7030A0"/>
          <w:u w:val="single"/>
        </w:rPr>
        <w:t>Exclusion 3</w:t>
      </w:r>
      <w:r>
        <w:rPr>
          <w:rFonts w:cstheme="minorHAnsi"/>
          <w:b/>
          <w:bCs/>
          <w:color w:val="7030A0"/>
        </w:rPr>
        <w:t xml:space="preserve">: </w:t>
      </w:r>
      <w:r>
        <w:rPr>
          <w:rFonts w:cstheme="minorHAnsi"/>
          <w:bCs/>
          <w:color w:val="7030A0"/>
        </w:rPr>
        <w:t xml:space="preserve"> Patients with </w:t>
      </w:r>
      <w:r>
        <w:rPr>
          <w:rFonts w:cs="Arial"/>
          <w:color w:val="7030A0"/>
        </w:rPr>
        <w:t>incomplete administrative data in the 30 days following start of index admission if discharged alive</w:t>
      </w:r>
      <w:r>
        <w:rPr>
          <w:rFonts w:cstheme="minorHAnsi"/>
          <w:bCs/>
          <w:color w:val="7030A0"/>
        </w:rPr>
        <w:t xml:space="preserve">. This exclusion accounts for </w:t>
      </w:r>
      <w:r>
        <w:rPr>
          <w:rFonts w:cstheme="minorHAnsi"/>
          <w:bCs/>
          <w:color w:val="C00000"/>
        </w:rPr>
        <w:t>4.11</w:t>
      </w:r>
      <w:r w:rsidRPr="00F15C59">
        <w:rPr>
          <w:rFonts w:cstheme="minorHAnsi"/>
          <w:bCs/>
          <w:color w:val="C00000"/>
        </w:rPr>
        <w:t xml:space="preserve">% </w:t>
      </w:r>
      <w:r>
        <w:rPr>
          <w:rFonts w:cstheme="minorHAnsi"/>
          <w:bCs/>
          <w:color w:val="7030A0"/>
        </w:rPr>
        <w:t xml:space="preserve">of all index admissions excluded from the initial index cohort. </w:t>
      </w:r>
      <w:r w:rsidRPr="003B59C4">
        <w:rPr>
          <w:rFonts w:cstheme="minorHAnsi"/>
          <w:bCs/>
          <w:color w:val="7030A0"/>
        </w:rPr>
        <w:t xml:space="preserve">This is necessary </w:t>
      </w:r>
      <w:proofErr w:type="gramStart"/>
      <w:r w:rsidRPr="003B59C4">
        <w:rPr>
          <w:rFonts w:cstheme="minorHAnsi"/>
          <w:bCs/>
          <w:color w:val="7030A0"/>
        </w:rPr>
        <w:t>in order to</w:t>
      </w:r>
      <w:proofErr w:type="gramEnd"/>
      <w:r w:rsidRPr="003B59C4">
        <w:rPr>
          <w:rFonts w:cstheme="minorHAnsi"/>
          <w:bCs/>
          <w:color w:val="7030A0"/>
        </w:rPr>
        <w:t xml:space="preserve"> identify the outcome (payments) in the sample over our analytic period.</w:t>
      </w:r>
    </w:p>
    <w:p w14:paraId="0F2950F8" w14:textId="77777777" w:rsidR="00711269" w:rsidRPr="008F55E7" w:rsidRDefault="00711269" w:rsidP="00711269">
      <w:pPr>
        <w:autoSpaceDE w:val="0"/>
        <w:autoSpaceDN w:val="0"/>
        <w:adjustRightInd w:val="0"/>
        <w:spacing w:before="120" w:after="120" w:line="240" w:lineRule="auto"/>
        <w:rPr>
          <w:rFonts w:cstheme="minorHAnsi"/>
          <w:bCs/>
          <w:color w:val="7030A0"/>
        </w:rPr>
      </w:pPr>
      <w:r>
        <w:rPr>
          <w:rFonts w:cstheme="minorHAnsi"/>
          <w:b/>
          <w:bCs/>
          <w:color w:val="7030A0"/>
          <w:u w:val="single"/>
        </w:rPr>
        <w:t>Exclusion 4</w:t>
      </w:r>
      <w:r>
        <w:rPr>
          <w:rFonts w:cstheme="minorHAnsi"/>
          <w:bCs/>
          <w:color w:val="7030A0"/>
        </w:rPr>
        <w:t>: P</w:t>
      </w:r>
      <w:r w:rsidRPr="008F55E7">
        <w:rPr>
          <w:rFonts w:cstheme="minorHAnsi"/>
          <w:bCs/>
          <w:color w:val="7030A0"/>
        </w:rPr>
        <w:t>atients enrolled in the Medicare hospice program or used VA hospice services any time in the 12 months prior to the index admission, including the f</w:t>
      </w:r>
      <w:r>
        <w:rPr>
          <w:rFonts w:cstheme="minorHAnsi"/>
          <w:bCs/>
          <w:color w:val="7030A0"/>
        </w:rPr>
        <w:t>irst day of the index admission. This exclusion</w:t>
      </w:r>
      <w:r w:rsidRPr="008F55E7">
        <w:rPr>
          <w:rFonts w:cstheme="minorHAnsi"/>
          <w:bCs/>
          <w:color w:val="7030A0"/>
        </w:rPr>
        <w:t xml:space="preserve"> accounts for </w:t>
      </w:r>
      <w:r>
        <w:rPr>
          <w:rFonts w:cstheme="minorHAnsi"/>
          <w:bCs/>
          <w:color w:val="C00000"/>
        </w:rPr>
        <w:t>1.26</w:t>
      </w:r>
      <w:r w:rsidRPr="008F55E7">
        <w:rPr>
          <w:rFonts w:cstheme="minorHAnsi"/>
          <w:bCs/>
          <w:color w:val="7030A0"/>
        </w:rPr>
        <w:t xml:space="preserve">% of all index admissions excluded from the initial index cohort. These patients are likely continuing to seek comfort measures only; thus, mortality is not necessarily an adverse outcome or signal of </w:t>
      </w:r>
      <w:proofErr w:type="gramStart"/>
      <w:r w:rsidRPr="008F55E7">
        <w:rPr>
          <w:rFonts w:cstheme="minorHAnsi"/>
          <w:bCs/>
          <w:color w:val="7030A0"/>
        </w:rPr>
        <w:t>poor quality</w:t>
      </w:r>
      <w:proofErr w:type="gramEnd"/>
      <w:r w:rsidRPr="008F55E7">
        <w:rPr>
          <w:rFonts w:cstheme="minorHAnsi"/>
          <w:bCs/>
          <w:color w:val="7030A0"/>
        </w:rPr>
        <w:t xml:space="preserve"> care. </w:t>
      </w:r>
    </w:p>
    <w:p w14:paraId="3F13FECE" w14:textId="77777777" w:rsidR="00711269" w:rsidRPr="008F55E7" w:rsidRDefault="00711269" w:rsidP="00711269">
      <w:pPr>
        <w:autoSpaceDE w:val="0"/>
        <w:autoSpaceDN w:val="0"/>
        <w:adjustRightInd w:val="0"/>
        <w:spacing w:before="120" w:after="120" w:line="240" w:lineRule="auto"/>
        <w:rPr>
          <w:rFonts w:cstheme="minorHAnsi"/>
          <w:bCs/>
          <w:color w:val="7030A0"/>
        </w:rPr>
      </w:pPr>
      <w:r>
        <w:rPr>
          <w:rFonts w:cstheme="minorHAnsi"/>
          <w:b/>
          <w:bCs/>
          <w:color w:val="7030A0"/>
          <w:u w:val="single"/>
        </w:rPr>
        <w:t>Exclusion 5</w:t>
      </w:r>
      <w:r>
        <w:rPr>
          <w:rFonts w:cstheme="minorHAnsi"/>
          <w:bCs/>
          <w:color w:val="7030A0"/>
        </w:rPr>
        <w:t>: Patients who are discharged AMA. This exclusion</w:t>
      </w:r>
      <w:r w:rsidRPr="008F55E7">
        <w:rPr>
          <w:rFonts w:cstheme="minorHAnsi"/>
          <w:bCs/>
          <w:color w:val="7030A0"/>
        </w:rPr>
        <w:t xml:space="preserve"> accounts for </w:t>
      </w:r>
      <w:r>
        <w:rPr>
          <w:rFonts w:cstheme="minorHAnsi"/>
          <w:bCs/>
          <w:color w:val="C00000"/>
        </w:rPr>
        <w:t>0.6</w:t>
      </w:r>
      <w:r w:rsidRPr="008F55E7">
        <w:rPr>
          <w:rFonts w:cstheme="minorHAnsi"/>
          <w:bCs/>
          <w:color w:val="7030A0"/>
        </w:rPr>
        <w:t>% of all index admissions excluded from the initial index cohort. This exclusion is needed for acceptability of the measure to hospitals, who do not have the opportunity to deliver full care and prepare the patient for discharge. Given that a very small percentage of patients are being excluded, it is unlikely this exclusion affects the measure score.</w:t>
      </w:r>
    </w:p>
    <w:p w14:paraId="7D22EDF6" w14:textId="77777777" w:rsidR="00711269" w:rsidRDefault="00711269" w:rsidP="00711269">
      <w:pPr>
        <w:autoSpaceDE w:val="0"/>
        <w:autoSpaceDN w:val="0"/>
        <w:adjustRightInd w:val="0"/>
        <w:spacing w:before="120" w:after="120" w:line="240" w:lineRule="auto"/>
        <w:rPr>
          <w:rFonts w:cstheme="minorHAnsi"/>
          <w:bCs/>
          <w:color w:val="7030A0"/>
        </w:rPr>
      </w:pPr>
      <w:r>
        <w:rPr>
          <w:rFonts w:cstheme="minorHAnsi"/>
          <w:b/>
          <w:bCs/>
          <w:color w:val="7030A0"/>
          <w:u w:val="single"/>
        </w:rPr>
        <w:t>Exclusion 6</w:t>
      </w:r>
      <w:r>
        <w:rPr>
          <w:rFonts w:cstheme="minorHAnsi"/>
          <w:bCs/>
          <w:color w:val="7030A0"/>
        </w:rPr>
        <w:t xml:space="preserve">: Patients </w:t>
      </w:r>
      <w:r>
        <w:rPr>
          <w:rFonts w:cs="Arial"/>
          <w:color w:val="7030A0"/>
        </w:rPr>
        <w:t xml:space="preserve">transferred to a federal hospital. This exclusion accounts for </w:t>
      </w:r>
      <w:r>
        <w:rPr>
          <w:rFonts w:cs="Arial"/>
          <w:color w:val="C00000"/>
        </w:rPr>
        <w:t>0.04</w:t>
      </w:r>
      <w:r w:rsidRPr="00F15C59">
        <w:rPr>
          <w:rFonts w:cs="Arial"/>
          <w:color w:val="C00000"/>
        </w:rPr>
        <w:t xml:space="preserve">% </w:t>
      </w:r>
      <w:r>
        <w:rPr>
          <w:rFonts w:cs="Arial"/>
          <w:color w:val="7030A0"/>
        </w:rPr>
        <w:t xml:space="preserve">of </w:t>
      </w:r>
      <w:r w:rsidRPr="008F55E7">
        <w:rPr>
          <w:rFonts w:cstheme="minorHAnsi"/>
          <w:bCs/>
          <w:color w:val="7030A0"/>
        </w:rPr>
        <w:t>all index admissions excluded from the initial index cohort.</w:t>
      </w:r>
      <w:r>
        <w:rPr>
          <w:rFonts w:cstheme="minorHAnsi"/>
          <w:bCs/>
          <w:color w:val="7030A0"/>
        </w:rPr>
        <w:t xml:space="preserve"> </w:t>
      </w:r>
      <w:r w:rsidRPr="003B59C4">
        <w:rPr>
          <w:rFonts w:ascii="Calibri" w:hAnsi="Calibri" w:cs="Calibri"/>
          <w:color w:val="7030A0"/>
        </w:rPr>
        <w:t>We do not have claims data for these hospitals; therefore, including these patients would systematically underestimate payments.</w:t>
      </w:r>
    </w:p>
    <w:p w14:paraId="4010015C" w14:textId="01083F03" w:rsidR="00711269" w:rsidRPr="00F15C59" w:rsidRDefault="00711269" w:rsidP="00711269">
      <w:pPr>
        <w:autoSpaceDE w:val="0"/>
        <w:autoSpaceDN w:val="0"/>
        <w:adjustRightInd w:val="0"/>
        <w:spacing w:before="120" w:after="120" w:line="240" w:lineRule="auto"/>
        <w:rPr>
          <w:rFonts w:cstheme="minorHAnsi"/>
          <w:bCs/>
        </w:rPr>
      </w:pPr>
      <w:r>
        <w:rPr>
          <w:rFonts w:cstheme="minorHAnsi"/>
          <w:b/>
          <w:bCs/>
          <w:color w:val="7030A0"/>
          <w:u w:val="single"/>
        </w:rPr>
        <w:t>Exclusion 7</w:t>
      </w:r>
      <w:r>
        <w:rPr>
          <w:rFonts w:cstheme="minorHAnsi"/>
          <w:bCs/>
          <w:color w:val="7030A0"/>
        </w:rPr>
        <w:t xml:space="preserve">: Patients whose claims </w:t>
      </w:r>
      <w:r>
        <w:rPr>
          <w:rFonts w:cs="Arial"/>
          <w:color w:val="7030A0"/>
        </w:rPr>
        <w:t>are not</w:t>
      </w:r>
      <w:r w:rsidRPr="00F15C59">
        <w:rPr>
          <w:rFonts w:cs="Arial"/>
          <w:color w:val="7030A0"/>
        </w:rPr>
        <w:t xml:space="preserve"> matched to admission in the </w:t>
      </w:r>
      <w:r w:rsidR="00606440">
        <w:rPr>
          <w:rFonts w:cs="Arial"/>
          <w:color w:val="7030A0"/>
        </w:rPr>
        <w:t xml:space="preserve">HF </w:t>
      </w:r>
      <w:r w:rsidRPr="00F15C59">
        <w:rPr>
          <w:rFonts w:cs="Arial"/>
          <w:color w:val="7030A0"/>
        </w:rPr>
        <w:t>mortality measure</w:t>
      </w:r>
      <w:r>
        <w:rPr>
          <w:rFonts w:cs="Arial"/>
          <w:color w:val="7030A0"/>
        </w:rPr>
        <w:t xml:space="preserve">. This exclusion accounts for </w:t>
      </w:r>
      <w:r>
        <w:rPr>
          <w:rFonts w:cs="Arial"/>
          <w:color w:val="C00000"/>
        </w:rPr>
        <w:t>1.2</w:t>
      </w:r>
      <w:r w:rsidRPr="00F15C59">
        <w:rPr>
          <w:rFonts w:cs="Arial"/>
          <w:color w:val="C00000"/>
        </w:rPr>
        <w:t xml:space="preserve">% </w:t>
      </w:r>
      <w:r>
        <w:rPr>
          <w:rFonts w:cs="Arial"/>
          <w:color w:val="7030A0"/>
        </w:rPr>
        <w:t xml:space="preserve">of </w:t>
      </w:r>
      <w:r w:rsidRPr="008F55E7">
        <w:rPr>
          <w:rFonts w:cstheme="minorHAnsi"/>
          <w:bCs/>
          <w:color w:val="7030A0"/>
        </w:rPr>
        <w:t>all index admissions excluded from the initial index cohort.</w:t>
      </w:r>
      <w:r>
        <w:rPr>
          <w:rFonts w:cstheme="minorHAnsi"/>
          <w:bCs/>
          <w:color w:val="7030A0"/>
        </w:rPr>
        <w:t xml:space="preserve"> </w:t>
      </w:r>
      <w:r w:rsidRPr="003B59C4">
        <w:rPr>
          <w:rFonts w:cstheme="minorHAnsi"/>
          <w:bCs/>
          <w:color w:val="7030A0"/>
        </w:rPr>
        <w:t xml:space="preserve">As part of the current data processing, we match our index </w:t>
      </w:r>
      <w:r w:rsidR="00606440">
        <w:rPr>
          <w:rFonts w:cstheme="minorHAnsi"/>
          <w:bCs/>
          <w:color w:val="7030A0"/>
        </w:rPr>
        <w:t>HF</w:t>
      </w:r>
      <w:r w:rsidRPr="003B59C4">
        <w:rPr>
          <w:rFonts w:cstheme="minorHAnsi"/>
          <w:bCs/>
          <w:color w:val="7030A0"/>
        </w:rPr>
        <w:t xml:space="preserve"> admissions to the </w:t>
      </w:r>
      <w:r w:rsidR="00606440">
        <w:rPr>
          <w:rFonts w:cstheme="minorHAnsi"/>
          <w:bCs/>
          <w:color w:val="7030A0"/>
        </w:rPr>
        <w:t>HF</w:t>
      </w:r>
      <w:r w:rsidRPr="003B59C4">
        <w:rPr>
          <w:rFonts w:cstheme="minorHAnsi"/>
          <w:bCs/>
          <w:color w:val="7030A0"/>
        </w:rPr>
        <w:t xml:space="preserve"> mortality cohort to obtain the risk-adjustment variables. Patients are excluded if they cannot be matched between the </w:t>
      </w:r>
      <w:r w:rsidR="00606440">
        <w:rPr>
          <w:rFonts w:cstheme="minorHAnsi"/>
          <w:bCs/>
          <w:color w:val="7030A0"/>
        </w:rPr>
        <w:t>HF</w:t>
      </w:r>
      <w:r w:rsidRPr="003B59C4">
        <w:rPr>
          <w:rFonts w:cstheme="minorHAnsi"/>
          <w:bCs/>
          <w:color w:val="7030A0"/>
        </w:rPr>
        <w:t xml:space="preserve"> payment and </w:t>
      </w:r>
      <w:r w:rsidR="00606440">
        <w:rPr>
          <w:rFonts w:cstheme="minorHAnsi"/>
          <w:bCs/>
          <w:color w:val="7030A0"/>
        </w:rPr>
        <w:t>HF</w:t>
      </w:r>
      <w:r w:rsidRPr="003B59C4">
        <w:rPr>
          <w:rFonts w:cstheme="minorHAnsi"/>
          <w:bCs/>
          <w:color w:val="7030A0"/>
        </w:rPr>
        <w:t xml:space="preserve"> mortality cohorts.</w:t>
      </w:r>
    </w:p>
    <w:p w14:paraId="4110FE2A" w14:textId="42E943D2" w:rsidR="00711269" w:rsidRDefault="00711269" w:rsidP="00711269">
      <w:pPr>
        <w:autoSpaceDE w:val="0"/>
        <w:autoSpaceDN w:val="0"/>
        <w:adjustRightInd w:val="0"/>
        <w:spacing w:before="120" w:after="120" w:line="240" w:lineRule="auto"/>
        <w:rPr>
          <w:color w:val="7030A0"/>
        </w:rPr>
      </w:pPr>
      <w:r>
        <w:rPr>
          <w:rFonts w:cstheme="minorHAnsi"/>
          <w:b/>
          <w:bCs/>
          <w:color w:val="7030A0"/>
          <w:u w:val="single"/>
        </w:rPr>
        <w:t>Exclusion 8:</w:t>
      </w:r>
      <w:r>
        <w:rPr>
          <w:rFonts w:cstheme="minorHAnsi"/>
          <w:bCs/>
          <w:color w:val="7030A0"/>
        </w:rPr>
        <w:t xml:space="preserve"> (patients whose claims are m</w:t>
      </w:r>
      <w:r w:rsidRPr="00F15C59">
        <w:rPr>
          <w:rFonts w:cstheme="minorHAnsi"/>
          <w:bCs/>
          <w:color w:val="7030A0"/>
        </w:rPr>
        <w:t>issing index DRG weight where provider received no payment</w:t>
      </w:r>
      <w:r>
        <w:rPr>
          <w:rFonts w:cstheme="minorHAnsi"/>
          <w:bCs/>
          <w:color w:val="7030A0"/>
        </w:rPr>
        <w:t>)</w:t>
      </w:r>
      <w:r w:rsidRPr="00F15C59">
        <w:rPr>
          <w:rFonts w:cs="Arial"/>
          <w:color w:val="7030A0"/>
        </w:rPr>
        <w:t xml:space="preserve"> </w:t>
      </w:r>
      <w:r>
        <w:rPr>
          <w:rFonts w:cs="Arial"/>
          <w:color w:val="7030A0"/>
        </w:rPr>
        <w:t xml:space="preserve">accounts for </w:t>
      </w:r>
      <w:r w:rsidR="00C1624E">
        <w:rPr>
          <w:rFonts w:cs="Arial"/>
          <w:color w:val="C00000"/>
        </w:rPr>
        <w:t>0.00</w:t>
      </w:r>
      <w:r w:rsidRPr="00F15C59">
        <w:rPr>
          <w:rFonts w:cs="Arial"/>
          <w:color w:val="C00000"/>
        </w:rPr>
        <w:t xml:space="preserve">% </w:t>
      </w:r>
      <w:r>
        <w:rPr>
          <w:rFonts w:cs="Arial"/>
          <w:color w:val="7030A0"/>
        </w:rPr>
        <w:t xml:space="preserve">of </w:t>
      </w:r>
      <w:r w:rsidRPr="008F55E7">
        <w:rPr>
          <w:rFonts w:cstheme="minorHAnsi"/>
          <w:bCs/>
          <w:color w:val="7030A0"/>
        </w:rPr>
        <w:t>all index admissions excluded from the initial index cohort.</w:t>
      </w:r>
      <w:r>
        <w:rPr>
          <w:rFonts w:cstheme="minorHAnsi"/>
          <w:bCs/>
          <w:color w:val="7030A0"/>
        </w:rPr>
        <w:t xml:space="preserve"> </w:t>
      </w:r>
      <w:r w:rsidRPr="003B59C4">
        <w:rPr>
          <w:color w:val="7030A0"/>
        </w:rPr>
        <w:t xml:space="preserve">With neither DRG weight </w:t>
      </w:r>
      <w:proofErr w:type="gramStart"/>
      <w:r w:rsidRPr="003B59C4">
        <w:rPr>
          <w:color w:val="7030A0"/>
        </w:rPr>
        <w:t>or</w:t>
      </w:r>
      <w:proofErr w:type="gramEnd"/>
      <w:r w:rsidRPr="003B59C4">
        <w:rPr>
          <w:color w:val="7030A0"/>
        </w:rPr>
        <w:t xml:space="preserve"> payment data, we cannot calculate a payment for the patient’s index admission; this would make the entire episode of care appear significantly less expensive.</w:t>
      </w:r>
    </w:p>
    <w:p w14:paraId="5BA515A6" w14:textId="0981E5F5" w:rsidR="00711269" w:rsidRPr="00981B25" w:rsidRDefault="00711269" w:rsidP="00711269">
      <w:pPr>
        <w:autoSpaceDE w:val="0"/>
        <w:autoSpaceDN w:val="0"/>
        <w:adjustRightInd w:val="0"/>
        <w:spacing w:after="0" w:line="240" w:lineRule="auto"/>
        <w:rPr>
          <w:color w:val="7030A0"/>
        </w:rPr>
      </w:pPr>
      <w:r w:rsidRPr="00981B25">
        <w:rPr>
          <w:rFonts w:cstheme="minorHAnsi"/>
          <w:b/>
          <w:bCs/>
          <w:color w:val="7030A0"/>
          <w:u w:val="single"/>
        </w:rPr>
        <w:t>Exclusion 9</w:t>
      </w:r>
      <w:r w:rsidRPr="00981B25">
        <w:rPr>
          <w:color w:val="7030A0"/>
        </w:rPr>
        <w:t xml:space="preserve">: </w:t>
      </w:r>
      <w:r w:rsidR="00687D4F" w:rsidRPr="00981B25">
        <w:rPr>
          <w:color w:val="7030A0"/>
        </w:rPr>
        <w:t xml:space="preserve">Patients with a procedure code for left ventricular assist device (LVAD) implementation or heart transplant either during the index admission or in the 12 months prior to the index admission. This exclusion accounts for </w:t>
      </w:r>
      <w:r w:rsidR="00687D4F" w:rsidRPr="00981B25">
        <w:rPr>
          <w:rFonts w:cs="Arial"/>
          <w:color w:val="C00000"/>
        </w:rPr>
        <w:t>0.33%</w:t>
      </w:r>
      <w:r w:rsidR="00687D4F" w:rsidRPr="00981B25">
        <w:rPr>
          <w:color w:val="7030A0"/>
        </w:rPr>
        <w:t xml:space="preserve"> of all index admission excluded from the initial index cohort. These patients are excluded since they represent a clinically distinct group.</w:t>
      </w:r>
    </w:p>
    <w:p w14:paraId="0CABCFE8" w14:textId="06255C2C" w:rsidR="007422FD" w:rsidRPr="00131D3E" w:rsidRDefault="007422FD" w:rsidP="00DB3627">
      <w:pPr>
        <w:autoSpaceDE w:val="0"/>
        <w:autoSpaceDN w:val="0"/>
        <w:adjustRightInd w:val="0"/>
        <w:spacing w:after="0" w:line="240" w:lineRule="auto"/>
        <w:rPr>
          <w:rFonts w:cstheme="minorHAnsi"/>
          <w:bCs/>
        </w:rPr>
      </w:pPr>
    </w:p>
    <w:p w14:paraId="0CABCFE9" w14:textId="77777777" w:rsidR="001202E9" w:rsidRPr="00131D3E" w:rsidRDefault="0086464B" w:rsidP="00DB3627">
      <w:pPr>
        <w:autoSpaceDE w:val="0"/>
        <w:autoSpaceDN w:val="0"/>
        <w:adjustRightInd w:val="0"/>
        <w:spacing w:after="0" w:line="240" w:lineRule="auto"/>
        <w:rPr>
          <w:rFonts w:cstheme="minorHAnsi"/>
          <w:bCs/>
        </w:rPr>
      </w:pPr>
      <w:r w:rsidRPr="00131D3E">
        <w:rPr>
          <w:rFonts w:cstheme="minorHAnsi"/>
          <w:bCs/>
        </w:rPr>
        <w:t>____________________________</w:t>
      </w:r>
    </w:p>
    <w:p w14:paraId="0CABCFEA" w14:textId="149BD120" w:rsidR="00AC1D8E" w:rsidRPr="00131D3E" w:rsidRDefault="00092566" w:rsidP="00AC1D8E">
      <w:pPr>
        <w:autoSpaceDE w:val="0"/>
        <w:autoSpaceDN w:val="0"/>
        <w:adjustRightInd w:val="0"/>
        <w:spacing w:after="0" w:line="240" w:lineRule="auto"/>
        <w:rPr>
          <w:rFonts w:cstheme="minorHAnsi"/>
          <w:b/>
          <w:bCs/>
          <w:i/>
        </w:rPr>
      </w:pPr>
      <w:bookmarkStart w:id="17" w:name="section2b4"/>
      <w:bookmarkEnd w:id="17"/>
      <w:r w:rsidRPr="00131D3E">
        <w:rPr>
          <w:rFonts w:cstheme="minorHAnsi"/>
          <w:b/>
          <w:bCs/>
        </w:rPr>
        <w:lastRenderedPageBreak/>
        <w:t>2b</w:t>
      </w:r>
      <w:r w:rsidR="009C7513" w:rsidRPr="00131D3E">
        <w:rPr>
          <w:rFonts w:cstheme="minorHAnsi"/>
          <w:b/>
          <w:bCs/>
        </w:rPr>
        <w:t>3</w:t>
      </w:r>
      <w:r w:rsidRPr="00131D3E">
        <w:rPr>
          <w:rFonts w:cstheme="minorHAnsi"/>
          <w:b/>
          <w:bCs/>
        </w:rPr>
        <w:t>. RISK ADJUSTMENT/STRATIFICATION FOR OUTCOME OR RESOURCE USE MEASURES</w:t>
      </w:r>
      <w:r w:rsidRPr="00131D3E">
        <w:rPr>
          <w:rFonts w:cstheme="minorHAnsi"/>
          <w:bCs/>
        </w:rPr>
        <w:br/>
      </w:r>
      <w:r w:rsidR="00AC1D8E" w:rsidRPr="00131D3E">
        <w:rPr>
          <w:rFonts w:cstheme="minorHAnsi"/>
          <w:b/>
          <w:bCs/>
          <w:i/>
        </w:rPr>
        <w:t>If not an intermediate or health outcome</w:t>
      </w:r>
      <w:r w:rsidR="00127C06" w:rsidRPr="00131D3E">
        <w:rPr>
          <w:rFonts w:cstheme="minorHAnsi"/>
          <w:b/>
          <w:bCs/>
          <w:i/>
        </w:rPr>
        <w:t>,</w:t>
      </w:r>
      <w:r w:rsidR="00AC1D8E" w:rsidRPr="00131D3E">
        <w:rPr>
          <w:rFonts w:cstheme="minorHAnsi"/>
          <w:b/>
          <w:bCs/>
          <w:i/>
        </w:rPr>
        <w:t xml:space="preserve"> </w:t>
      </w:r>
      <w:r w:rsidR="00127C06" w:rsidRPr="00131D3E">
        <w:rPr>
          <w:rFonts w:cstheme="minorHAnsi"/>
          <w:b/>
          <w:bCs/>
          <w:i/>
        </w:rPr>
        <w:t xml:space="preserve">or PRO-PM, </w:t>
      </w:r>
      <w:r w:rsidR="00AC1D8E" w:rsidRPr="00131D3E">
        <w:rPr>
          <w:rFonts w:cstheme="minorHAnsi"/>
          <w:b/>
          <w:bCs/>
          <w:i/>
        </w:rPr>
        <w:t xml:space="preserve">or resource use measure, </w:t>
      </w:r>
      <w:r w:rsidR="00BE592D" w:rsidRPr="00131D3E">
        <w:rPr>
          <w:rFonts w:cstheme="minorHAnsi"/>
          <w:b/>
          <w:bCs/>
          <w:i/>
        </w:rPr>
        <w:t xml:space="preserve">skip to section </w:t>
      </w:r>
      <w:hyperlink w:anchor="section2b5" w:history="1">
        <w:r w:rsidR="00BE592D" w:rsidRPr="00131D3E">
          <w:rPr>
            <w:rStyle w:val="Hyperlink"/>
            <w:rFonts w:cstheme="minorHAnsi"/>
            <w:b/>
            <w:bCs/>
            <w:i/>
          </w:rPr>
          <w:t>2b5</w:t>
        </w:r>
      </w:hyperlink>
      <w:r w:rsidR="00BE592D" w:rsidRPr="00131D3E">
        <w:rPr>
          <w:rFonts w:cstheme="minorHAnsi"/>
          <w:b/>
          <w:bCs/>
          <w:i/>
        </w:rPr>
        <w:t>.</w:t>
      </w:r>
    </w:p>
    <w:p w14:paraId="0CABCFEB" w14:textId="77777777" w:rsidR="008871A9" w:rsidRPr="00131D3E" w:rsidRDefault="008871A9" w:rsidP="00092566">
      <w:pPr>
        <w:autoSpaceDE w:val="0"/>
        <w:autoSpaceDN w:val="0"/>
        <w:adjustRightInd w:val="0"/>
        <w:spacing w:after="0" w:line="240" w:lineRule="auto"/>
        <w:rPr>
          <w:rFonts w:cstheme="minorHAnsi"/>
          <w:b/>
          <w:bCs/>
        </w:rPr>
      </w:pPr>
    </w:p>
    <w:p w14:paraId="0CABCFEC" w14:textId="166E6E8B" w:rsidR="00743E46" w:rsidRPr="00131D3E" w:rsidRDefault="00092566" w:rsidP="00092566">
      <w:pPr>
        <w:autoSpaceDE w:val="0"/>
        <w:autoSpaceDN w:val="0"/>
        <w:adjustRightInd w:val="0"/>
        <w:spacing w:after="0" w:line="240" w:lineRule="auto"/>
        <w:rPr>
          <w:rFonts w:cstheme="minorHAnsi"/>
          <w:b/>
          <w:bCs/>
        </w:rPr>
      </w:pPr>
      <w:r w:rsidRPr="00131D3E">
        <w:rPr>
          <w:rFonts w:cstheme="minorHAnsi"/>
          <w:b/>
          <w:bCs/>
        </w:rPr>
        <w:t>2b</w:t>
      </w:r>
      <w:r w:rsidR="009C7513" w:rsidRPr="00131D3E">
        <w:rPr>
          <w:rFonts w:cstheme="minorHAnsi"/>
          <w:b/>
          <w:bCs/>
        </w:rPr>
        <w:t>3</w:t>
      </w:r>
      <w:r w:rsidRPr="00131D3E">
        <w:rPr>
          <w:rFonts w:cstheme="minorHAnsi"/>
          <w:b/>
          <w:bCs/>
        </w:rPr>
        <w:t xml:space="preserve">.1. </w:t>
      </w:r>
      <w:r w:rsidR="00743E46" w:rsidRPr="00131D3E">
        <w:rPr>
          <w:rFonts w:cstheme="minorHAnsi"/>
          <w:b/>
          <w:bCs/>
        </w:rPr>
        <w:t>What method of controlling for differences in case mix is used?</w:t>
      </w:r>
    </w:p>
    <w:p w14:paraId="0CABCFED" w14:textId="77777777" w:rsidR="00033038" w:rsidRPr="00131D3E" w:rsidRDefault="00DD317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131D3E">
            <w:rPr>
              <w:rFonts w:ascii="MS Gothic" w:eastAsia="MS Gothic" w:hAnsi="MS Gothic" w:cstheme="minorHAnsi" w:hint="eastAsia"/>
              <w:bCs/>
              <w:color w:val="0000FF"/>
            </w:rPr>
            <w:t>☐</w:t>
          </w:r>
        </w:sdtContent>
      </w:sdt>
      <w:r w:rsidR="00033038" w:rsidRPr="00131D3E">
        <w:rPr>
          <w:rFonts w:eastAsia="MS Mincho" w:cstheme="minorHAnsi"/>
          <w:b/>
          <w:bCs/>
          <w:color w:val="0000FF"/>
        </w:rPr>
        <w:t xml:space="preserve"> </w:t>
      </w:r>
      <w:r w:rsidR="00033038" w:rsidRPr="00131D3E">
        <w:rPr>
          <w:rFonts w:cstheme="minorHAnsi"/>
          <w:b/>
          <w:bCs/>
        </w:rPr>
        <w:t>No risk adjustment or stratification</w:t>
      </w:r>
    </w:p>
    <w:p w14:paraId="0CABCFEE" w14:textId="015CF7D8" w:rsidR="00743E46" w:rsidRPr="00131D3E" w:rsidRDefault="00DD317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711269">
            <w:rPr>
              <w:rFonts w:ascii="MS Gothic" w:eastAsia="MS Gothic" w:hAnsi="MS Gothic" w:cstheme="minorHAnsi" w:hint="eastAsia"/>
              <w:bCs/>
              <w:color w:val="0000FF"/>
            </w:rPr>
            <w:t>☒</w:t>
          </w:r>
        </w:sdtContent>
      </w:sdt>
      <w:r w:rsidR="006574D2" w:rsidRPr="00131D3E">
        <w:rPr>
          <w:rFonts w:cstheme="minorHAnsi"/>
          <w:bCs/>
          <w:color w:val="0000FF"/>
        </w:rPr>
        <w:t xml:space="preserve"> </w:t>
      </w:r>
      <w:r w:rsidR="00743E46" w:rsidRPr="00131D3E">
        <w:rPr>
          <w:rFonts w:cstheme="minorHAnsi"/>
          <w:b/>
          <w:bCs/>
        </w:rPr>
        <w:t xml:space="preserve">Statistical risk model with </w:t>
      </w:r>
      <w:sdt>
        <w:sdtPr>
          <w:rPr>
            <w:rStyle w:val="Style4"/>
            <w:color w:val="7030A0"/>
            <w:u w:val="none"/>
          </w:rPr>
          <w:id w:val="309760327"/>
          <w:text/>
        </w:sdtPr>
        <w:sdtEndPr>
          <w:rPr>
            <w:rStyle w:val="DefaultParagraphFont"/>
            <w:rFonts w:asciiTheme="minorHAnsi" w:hAnsiTheme="minorHAnsi" w:cstheme="minorHAnsi"/>
            <w:b w:val="0"/>
            <w:bCs/>
          </w:rPr>
        </w:sdtEndPr>
        <w:sdtContent>
          <w:r w:rsidR="00711269" w:rsidRPr="00711269">
            <w:rPr>
              <w:rStyle w:val="Style4"/>
              <w:color w:val="7030A0"/>
              <w:u w:val="none"/>
            </w:rPr>
            <w:t>3</w:t>
          </w:r>
          <w:r w:rsidR="0037549C">
            <w:rPr>
              <w:rStyle w:val="Style4"/>
              <w:color w:val="7030A0"/>
              <w:u w:val="none"/>
            </w:rPr>
            <w:t>0</w:t>
          </w:r>
        </w:sdtContent>
      </w:sdt>
      <w:r w:rsidR="00E562C0" w:rsidRPr="00131D3E">
        <w:rPr>
          <w:rStyle w:val="Style4"/>
          <w:u w:val="none"/>
        </w:rPr>
        <w:t xml:space="preserve"> </w:t>
      </w:r>
      <w:r w:rsidR="00743E46" w:rsidRPr="00131D3E">
        <w:rPr>
          <w:rFonts w:cstheme="minorHAnsi"/>
          <w:b/>
          <w:bCs/>
        </w:rPr>
        <w:t>risk factors</w:t>
      </w:r>
    </w:p>
    <w:p w14:paraId="0CABCFEF" w14:textId="77777777" w:rsidR="00743E46" w:rsidRPr="00131D3E" w:rsidRDefault="00DD317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131D3E">
            <w:rPr>
              <w:rFonts w:ascii="MS Gothic" w:eastAsia="MS Gothic" w:cstheme="minorHAnsi" w:hint="eastAsia"/>
              <w:bCs/>
              <w:color w:val="0000FF"/>
            </w:rPr>
            <w:t>☐</w:t>
          </w:r>
        </w:sdtContent>
      </w:sdt>
      <w:r w:rsidR="000414E8" w:rsidRPr="00131D3E">
        <w:rPr>
          <w:rFonts w:eastAsia="MS Mincho" w:cstheme="minorHAnsi"/>
          <w:b/>
          <w:bCs/>
          <w:color w:val="0000FF"/>
        </w:rPr>
        <w:t xml:space="preserve"> </w:t>
      </w:r>
      <w:r w:rsidR="00743E46" w:rsidRPr="00131D3E">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131D3E">
            <w:rPr>
              <w:rStyle w:val="PlaceholderText"/>
            </w:rPr>
            <w:t>Click here to enter number of categories</w:t>
          </w:r>
        </w:sdtContent>
      </w:sdt>
      <w:r w:rsidR="00E562C0" w:rsidRPr="00131D3E">
        <w:rPr>
          <w:rStyle w:val="Style4"/>
          <w:u w:val="none"/>
        </w:rPr>
        <w:t xml:space="preserve"> </w:t>
      </w:r>
      <w:r w:rsidR="00C33F2E" w:rsidRPr="00131D3E">
        <w:rPr>
          <w:rFonts w:cstheme="minorHAnsi"/>
          <w:b/>
          <w:bCs/>
        </w:rPr>
        <w:t xml:space="preserve">risk </w:t>
      </w:r>
      <w:r w:rsidR="00743E46" w:rsidRPr="00131D3E">
        <w:rPr>
          <w:rFonts w:cstheme="minorHAnsi"/>
          <w:b/>
          <w:bCs/>
        </w:rPr>
        <w:t>categories</w:t>
      </w:r>
    </w:p>
    <w:p w14:paraId="0CABCFF0" w14:textId="77777777" w:rsidR="00743E46" w:rsidRPr="00131D3E" w:rsidRDefault="00DD317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131D3E">
            <w:rPr>
              <w:rFonts w:ascii="MS Gothic" w:eastAsia="MS Gothic" w:cstheme="minorHAnsi" w:hint="eastAsia"/>
              <w:bCs/>
              <w:color w:val="0000FF"/>
            </w:rPr>
            <w:t>☐</w:t>
          </w:r>
        </w:sdtContent>
      </w:sdt>
      <w:r w:rsidR="000414E8" w:rsidRPr="00131D3E">
        <w:rPr>
          <w:rFonts w:eastAsia="MS Mincho" w:cstheme="minorHAnsi"/>
          <w:b/>
          <w:bCs/>
          <w:color w:val="0000FF"/>
        </w:rPr>
        <w:t xml:space="preserve"> </w:t>
      </w:r>
      <w:r w:rsidR="00743E46" w:rsidRPr="00131D3E">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131D3E">
            <w:rPr>
              <w:rStyle w:val="PlaceholderText"/>
            </w:rPr>
            <w:t>Click here to enter description</w:t>
          </w:r>
        </w:sdtContent>
      </w:sdt>
    </w:p>
    <w:p w14:paraId="0CABCFF1" w14:textId="77777777" w:rsidR="00743E46" w:rsidRPr="00131D3E" w:rsidRDefault="00743E46" w:rsidP="00092566">
      <w:pPr>
        <w:autoSpaceDE w:val="0"/>
        <w:autoSpaceDN w:val="0"/>
        <w:adjustRightInd w:val="0"/>
        <w:spacing w:after="0" w:line="240" w:lineRule="auto"/>
        <w:rPr>
          <w:rFonts w:cstheme="minorHAnsi"/>
          <w:b/>
          <w:bCs/>
        </w:rPr>
      </w:pPr>
    </w:p>
    <w:p w14:paraId="0CABCFF2" w14:textId="7B192693" w:rsidR="00092566" w:rsidRPr="00131D3E" w:rsidRDefault="000B7D57" w:rsidP="00F34FAB">
      <w:pPr>
        <w:autoSpaceDE w:val="0"/>
        <w:autoSpaceDN w:val="0"/>
        <w:adjustRightInd w:val="0"/>
        <w:spacing w:after="0" w:line="240" w:lineRule="auto"/>
        <w:rPr>
          <w:rFonts w:cstheme="minorHAnsi"/>
          <w:bCs/>
        </w:rPr>
      </w:pPr>
      <w:r w:rsidRPr="00131D3E">
        <w:rPr>
          <w:rFonts w:cstheme="minorHAnsi"/>
          <w:b/>
          <w:bCs/>
        </w:rPr>
        <w:t>2b</w:t>
      </w:r>
      <w:r w:rsidR="009C7513" w:rsidRPr="00131D3E">
        <w:rPr>
          <w:rFonts w:cstheme="minorHAnsi"/>
          <w:b/>
          <w:bCs/>
        </w:rPr>
        <w:t>3</w:t>
      </w:r>
      <w:r w:rsidRPr="00131D3E">
        <w:rPr>
          <w:rFonts w:cstheme="minorHAnsi"/>
          <w:b/>
          <w:bCs/>
        </w:rPr>
        <w:t xml:space="preserve">.1.1 </w:t>
      </w:r>
      <w:r w:rsidR="00F34FAB" w:rsidRPr="00131D3E">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5E220BE2" w:rsidR="00AF2D68" w:rsidRPr="00711269" w:rsidRDefault="00711269" w:rsidP="00711269">
      <w:pPr>
        <w:autoSpaceDE w:val="0"/>
        <w:autoSpaceDN w:val="0"/>
        <w:adjustRightInd w:val="0"/>
        <w:spacing w:before="120" w:after="120" w:line="240" w:lineRule="auto"/>
        <w:rPr>
          <w:rFonts w:cstheme="minorHAnsi"/>
          <w:bCs/>
          <w:color w:val="7030A0"/>
        </w:rPr>
      </w:pPr>
      <w:r>
        <w:rPr>
          <w:rFonts w:cstheme="minorHAnsi"/>
          <w:bCs/>
          <w:color w:val="7030A0"/>
        </w:rPr>
        <w:t>See risk model specifications in Section 2b3.4a and the attached data dictionary.</w:t>
      </w:r>
    </w:p>
    <w:p w14:paraId="0CABCFF4" w14:textId="30F54F42" w:rsidR="009D3882" w:rsidRPr="00711269" w:rsidRDefault="009C7513" w:rsidP="00711269">
      <w:pPr>
        <w:spacing w:before="120" w:after="120"/>
        <w:rPr>
          <w:rFonts w:cs="Calibri"/>
          <w:bCs/>
        </w:rPr>
      </w:pPr>
      <w:r w:rsidRPr="00131D3E">
        <w:rPr>
          <w:rFonts w:cs="Calibri"/>
          <w:b/>
          <w:bCs/>
        </w:rPr>
        <w:t>2b3</w:t>
      </w:r>
      <w:r w:rsidR="009D3882" w:rsidRPr="00131D3E">
        <w:rPr>
          <w:rFonts w:cs="Calibri"/>
          <w:b/>
          <w:bCs/>
        </w:rPr>
        <w:t xml:space="preserve">.2. If an outcome or resource use component measure is </w:t>
      </w:r>
      <w:r w:rsidR="009D3882" w:rsidRPr="00131D3E">
        <w:rPr>
          <w:rFonts w:cs="Calibri"/>
          <w:b/>
          <w:bCs/>
          <w:u w:val="single"/>
        </w:rPr>
        <w:t>not risk adjusted or stratified</w:t>
      </w:r>
      <w:r w:rsidR="009D3882" w:rsidRPr="00131D3E">
        <w:rPr>
          <w:rFonts w:cs="Calibri"/>
          <w:b/>
          <w:bCs/>
        </w:rPr>
        <w:t xml:space="preserve">, provide </w:t>
      </w:r>
      <w:r w:rsidR="009D3882" w:rsidRPr="00131D3E">
        <w:rPr>
          <w:rFonts w:cs="Calibri"/>
          <w:b/>
          <w:bCs/>
          <w:u w:val="single"/>
        </w:rPr>
        <w:t>rationale and analyses</w:t>
      </w:r>
      <w:r w:rsidR="009D3882" w:rsidRPr="00131D3E">
        <w:rPr>
          <w:rFonts w:cs="Calibri"/>
          <w:b/>
          <w:bCs/>
        </w:rPr>
        <w:t xml:space="preserve"> to demonstrate that controlling for differences in patient characteristics (case mix) is not needed to achieve fair comparisons across measured entities</w:t>
      </w:r>
      <w:r w:rsidR="009D3882" w:rsidRPr="00131D3E">
        <w:rPr>
          <w:rFonts w:cs="Calibri"/>
          <w:bCs/>
        </w:rPr>
        <w:t xml:space="preserve">. </w:t>
      </w:r>
      <w:r w:rsidR="009D3882" w:rsidRPr="00131D3E">
        <w:rPr>
          <w:rFonts w:cs="Calibri"/>
          <w:bCs/>
        </w:rPr>
        <w:br/>
      </w:r>
      <w:r w:rsidR="00711269">
        <w:rPr>
          <w:rFonts w:cs="Calibri"/>
          <w:bCs/>
          <w:color w:val="7030A0"/>
        </w:rPr>
        <w:t>N/A. This measure is risk adjusted</w:t>
      </w:r>
      <w:r w:rsidR="00711269">
        <w:rPr>
          <w:rFonts w:cs="Calibri"/>
          <w:bCs/>
        </w:rPr>
        <w:t>.</w:t>
      </w:r>
    </w:p>
    <w:p w14:paraId="17B06CC1" w14:textId="77777777" w:rsidR="00711269" w:rsidRDefault="009C7513" w:rsidP="00711269">
      <w:pPr>
        <w:spacing w:before="120" w:after="120"/>
        <w:rPr>
          <w:rFonts w:cstheme="minorHAnsi"/>
          <w:bCs/>
          <w:color w:val="7030A0"/>
        </w:rPr>
      </w:pPr>
      <w:r w:rsidRPr="00131D3E">
        <w:rPr>
          <w:rFonts w:cstheme="minorHAnsi"/>
          <w:b/>
          <w:bCs/>
        </w:rPr>
        <w:t>2b3</w:t>
      </w:r>
      <w:r w:rsidR="00092566" w:rsidRPr="00131D3E">
        <w:rPr>
          <w:rFonts w:cstheme="minorHAnsi"/>
          <w:b/>
          <w:bCs/>
        </w:rPr>
        <w:t>.3</w:t>
      </w:r>
      <w:r w:rsidR="00275563" w:rsidRPr="00131D3E">
        <w:rPr>
          <w:rFonts w:cstheme="minorHAnsi"/>
          <w:b/>
          <w:bCs/>
        </w:rPr>
        <w:t>a</w:t>
      </w:r>
      <w:r w:rsidR="00092566" w:rsidRPr="00131D3E">
        <w:rPr>
          <w:rFonts w:cstheme="minorHAnsi"/>
          <w:b/>
          <w:bCs/>
        </w:rPr>
        <w:t xml:space="preserve">. </w:t>
      </w:r>
      <w:r w:rsidR="00927027" w:rsidRPr="00131D3E">
        <w:rPr>
          <w:rFonts w:cstheme="minorHAnsi"/>
          <w:b/>
          <w:bCs/>
        </w:rPr>
        <w:t>Describe</w:t>
      </w:r>
      <w:r w:rsidR="00092566" w:rsidRPr="00131D3E">
        <w:rPr>
          <w:rFonts w:cstheme="minorHAnsi"/>
          <w:b/>
          <w:bCs/>
        </w:rPr>
        <w:t xml:space="preserve"> the conceptual/clinical </w:t>
      </w:r>
      <w:r w:rsidR="00092566" w:rsidRPr="00131D3E">
        <w:rPr>
          <w:rFonts w:cstheme="minorHAnsi"/>
          <w:b/>
          <w:bCs/>
          <w:u w:val="single"/>
        </w:rPr>
        <w:t>and</w:t>
      </w:r>
      <w:r w:rsidR="00092566" w:rsidRPr="00131D3E">
        <w:rPr>
          <w:rFonts w:cstheme="minorHAnsi"/>
          <w:b/>
          <w:bCs/>
        </w:rPr>
        <w:t xml:space="preserve"> statistical methods and criteria used to select </w:t>
      </w:r>
      <w:r w:rsidR="005363F1" w:rsidRPr="00131D3E">
        <w:rPr>
          <w:rFonts w:cstheme="minorHAnsi"/>
          <w:b/>
          <w:bCs/>
        </w:rPr>
        <w:t xml:space="preserve">patient </w:t>
      </w:r>
      <w:r w:rsidR="00092566" w:rsidRPr="00131D3E">
        <w:rPr>
          <w:rFonts w:cstheme="minorHAnsi"/>
          <w:b/>
          <w:bCs/>
        </w:rPr>
        <w:t xml:space="preserve">factors </w:t>
      </w:r>
      <w:r w:rsidR="0021054A" w:rsidRPr="00131D3E">
        <w:rPr>
          <w:rFonts w:cstheme="minorHAnsi"/>
          <w:b/>
          <w:bCs/>
        </w:rPr>
        <w:t>(</w:t>
      </w:r>
      <w:r w:rsidR="00E967AD" w:rsidRPr="00131D3E">
        <w:rPr>
          <w:rFonts w:cstheme="minorHAnsi"/>
          <w:b/>
          <w:bCs/>
        </w:rPr>
        <w:t xml:space="preserve">clinical factors or </w:t>
      </w:r>
      <w:r w:rsidR="00AF2D68" w:rsidRPr="00131D3E">
        <w:rPr>
          <w:rFonts w:cstheme="minorHAnsi"/>
          <w:b/>
          <w:bCs/>
        </w:rPr>
        <w:t xml:space="preserve">social risk </w:t>
      </w:r>
      <w:r w:rsidR="0021054A" w:rsidRPr="00131D3E">
        <w:rPr>
          <w:rFonts w:cstheme="minorHAnsi"/>
          <w:b/>
          <w:bCs/>
        </w:rPr>
        <w:t xml:space="preserve">factors) </w:t>
      </w:r>
      <w:r w:rsidR="00092566" w:rsidRPr="00131D3E">
        <w:rPr>
          <w:rFonts w:cstheme="minorHAnsi"/>
          <w:b/>
          <w:bCs/>
        </w:rPr>
        <w:t>used in the statistical risk model or for stratification by risk</w:t>
      </w:r>
      <w:r w:rsidR="00927027" w:rsidRPr="00131D3E">
        <w:rPr>
          <w:rFonts w:cstheme="minorHAnsi"/>
          <w:b/>
          <w:bCs/>
        </w:rPr>
        <w:t xml:space="preserve"> </w:t>
      </w:r>
      <w:r w:rsidR="00092566" w:rsidRPr="00131D3E">
        <w:rPr>
          <w:rFonts w:cstheme="minorHAnsi"/>
          <w:bCs/>
        </w:rPr>
        <w:t>(</w:t>
      </w:r>
      <w:r w:rsidR="00092566" w:rsidRPr="00131D3E">
        <w:rPr>
          <w:rFonts w:cstheme="minorHAnsi"/>
          <w:bCs/>
          <w:i/>
        </w:rPr>
        <w:t xml:space="preserve">e.g., potential factors identified in </w:t>
      </w:r>
      <w:r w:rsidR="005363F1" w:rsidRPr="00131D3E">
        <w:rPr>
          <w:rFonts w:cstheme="minorHAnsi"/>
          <w:bCs/>
          <w:i/>
        </w:rPr>
        <w:t xml:space="preserve">the </w:t>
      </w:r>
      <w:r w:rsidR="00092566" w:rsidRPr="00131D3E">
        <w:rPr>
          <w:rFonts w:cstheme="minorHAnsi"/>
          <w:bCs/>
          <w:i/>
        </w:rPr>
        <w:t>literature and/or expert panel; regression analysis; statistical significance of p&lt;0.10; correlation of x or higher</w:t>
      </w:r>
      <w:r w:rsidR="005363F1" w:rsidRPr="00131D3E">
        <w:rPr>
          <w:rFonts w:cstheme="minorHAnsi"/>
          <w:bCs/>
          <w:i/>
        </w:rPr>
        <w:t>; patient factors should be present at the start of care</w:t>
      </w:r>
      <w:r w:rsidR="00092566" w:rsidRPr="00131D3E">
        <w:rPr>
          <w:rFonts w:cstheme="minorHAnsi"/>
          <w:bCs/>
        </w:rPr>
        <w:t>)</w:t>
      </w:r>
      <w:r w:rsidR="00AF2D68" w:rsidRPr="00131D3E">
        <w:rPr>
          <w:rFonts w:cstheme="minorHAnsi"/>
          <w:bCs/>
        </w:rPr>
        <w:t xml:space="preserve">  </w:t>
      </w:r>
      <w:r w:rsidR="00AF2D68" w:rsidRPr="00131D3E">
        <w:rPr>
          <w:rFonts w:cstheme="minorHAnsi"/>
          <w:b/>
          <w:bCs/>
        </w:rPr>
        <w:t>Also discuss any “ordering” of risk factor inclusion</w:t>
      </w:r>
      <w:r w:rsidR="00CE284E" w:rsidRPr="00131D3E">
        <w:rPr>
          <w:rFonts w:cstheme="minorHAnsi"/>
          <w:bCs/>
        </w:rPr>
        <w:t>; for example, a</w:t>
      </w:r>
      <w:r w:rsidR="00AF2D68" w:rsidRPr="00131D3E">
        <w:rPr>
          <w:rFonts w:cstheme="minorHAnsi"/>
          <w:bCs/>
        </w:rPr>
        <w:t>re social risk factors added after all clinical factors?</w:t>
      </w:r>
      <w:r w:rsidR="00092566" w:rsidRPr="00131D3E">
        <w:rPr>
          <w:rFonts w:cstheme="minorHAnsi"/>
          <w:bCs/>
        </w:rPr>
        <w:br/>
      </w:r>
    </w:p>
    <w:p w14:paraId="4999B680" w14:textId="77777777" w:rsidR="00FE0738" w:rsidRPr="00FE0738" w:rsidRDefault="00FE0738" w:rsidP="00FE0738">
      <w:pPr>
        <w:pStyle w:val="Default"/>
        <w:spacing w:before="0"/>
        <w:rPr>
          <w:rFonts w:asciiTheme="minorHAnsi" w:eastAsiaTheme="minorEastAsia" w:hAnsiTheme="minorHAnsi" w:cstheme="minorBidi"/>
          <w:color w:val="7030A0"/>
          <w:sz w:val="22"/>
          <w:szCs w:val="22"/>
        </w:rPr>
      </w:pPr>
      <w:r w:rsidRPr="00FE0738">
        <w:rPr>
          <w:rFonts w:asciiTheme="minorHAnsi" w:eastAsiaTheme="minorEastAsia" w:hAnsiTheme="minorHAnsi" w:cstheme="minorBidi"/>
          <w:color w:val="7030A0"/>
          <w:sz w:val="22"/>
          <w:szCs w:val="22"/>
        </w:rPr>
        <w:t>The goal of risk adjustment for this measure is to account for patient age and comorbid conditions that are clinically relevant and have strong relationships with the outcome while illuminating important payment differences between hospitals. The measure adjusts for case-mix differences based on the comorbidities of the patient at the time of index admission. Conditions that may represent adverse outcomes due to care received during the index admission are not considered for inclusion in risk adjustment. Although they may increase the risk of mortality and complications, including them as covariates in risk adjustment could attenuate the measure’s ability to characterize payments influenced by care delivered by hospitals.</w:t>
      </w:r>
    </w:p>
    <w:p w14:paraId="28FB3148" w14:textId="77777777" w:rsidR="00FE0738" w:rsidRPr="00FE0738" w:rsidRDefault="00FE0738" w:rsidP="00FE0738">
      <w:pPr>
        <w:pStyle w:val="Default"/>
        <w:spacing w:before="0"/>
        <w:rPr>
          <w:rFonts w:asciiTheme="minorHAnsi" w:eastAsiaTheme="minorEastAsia" w:hAnsiTheme="minorHAnsi" w:cstheme="minorBidi"/>
          <w:color w:val="7030A0"/>
          <w:sz w:val="22"/>
          <w:szCs w:val="22"/>
        </w:rPr>
      </w:pPr>
    </w:p>
    <w:p w14:paraId="479E5665" w14:textId="77777777" w:rsidR="00FE0738" w:rsidRPr="00FE0738" w:rsidRDefault="00FE0738" w:rsidP="00FE0738">
      <w:pPr>
        <w:pStyle w:val="Default"/>
        <w:spacing w:before="0"/>
        <w:rPr>
          <w:rFonts w:asciiTheme="minorHAnsi" w:eastAsiaTheme="minorEastAsia" w:hAnsiTheme="minorHAnsi" w:cstheme="minorBidi"/>
          <w:color w:val="7030A0"/>
          <w:sz w:val="22"/>
          <w:szCs w:val="22"/>
        </w:rPr>
      </w:pPr>
      <w:r w:rsidRPr="00FE0738">
        <w:rPr>
          <w:rFonts w:asciiTheme="minorHAnsi" w:eastAsiaTheme="minorEastAsia" w:hAnsiTheme="minorHAnsi" w:cstheme="minorBidi"/>
          <w:color w:val="7030A0"/>
          <w:sz w:val="22"/>
          <w:szCs w:val="22"/>
        </w:rPr>
        <w:t xml:space="preserve">The candidate variables for the model are derived from secondary diagnoses of the index hospital stay (excluding potential complications), inpatient Part A data, outpatient hospital data, and Part B carrier files for physician, </w:t>
      </w:r>
      <w:proofErr w:type="gramStart"/>
      <w:r w:rsidRPr="00FE0738">
        <w:rPr>
          <w:rFonts w:asciiTheme="minorHAnsi" w:eastAsiaTheme="minorEastAsia" w:hAnsiTheme="minorHAnsi" w:cstheme="minorBidi"/>
          <w:color w:val="7030A0"/>
          <w:sz w:val="22"/>
          <w:szCs w:val="22"/>
        </w:rPr>
        <w:t>radiology</w:t>
      </w:r>
      <w:proofErr w:type="gramEnd"/>
      <w:r w:rsidRPr="00FE0738">
        <w:rPr>
          <w:rFonts w:asciiTheme="minorHAnsi" w:eastAsiaTheme="minorEastAsia" w:hAnsiTheme="minorHAnsi" w:cstheme="minorBidi"/>
          <w:color w:val="7030A0"/>
          <w:sz w:val="22"/>
          <w:szCs w:val="22"/>
        </w:rPr>
        <w:t xml:space="preserve"> and laboratory services during the 12 months prior to the index hospital stay. </w:t>
      </w:r>
    </w:p>
    <w:p w14:paraId="20654639" w14:textId="77777777" w:rsidR="00FE0738" w:rsidRPr="00FE0738" w:rsidRDefault="00FE0738" w:rsidP="00FE0738">
      <w:pPr>
        <w:pStyle w:val="Default"/>
        <w:spacing w:before="0"/>
        <w:rPr>
          <w:rFonts w:asciiTheme="minorHAnsi" w:eastAsiaTheme="minorEastAsia" w:hAnsiTheme="minorHAnsi" w:cstheme="minorBidi"/>
          <w:color w:val="7030A0"/>
          <w:sz w:val="22"/>
          <w:szCs w:val="22"/>
        </w:rPr>
      </w:pPr>
    </w:p>
    <w:p w14:paraId="6843B0E7" w14:textId="77777777" w:rsidR="00FE0738" w:rsidRPr="00FE0738" w:rsidRDefault="00FE0738" w:rsidP="00FE0738">
      <w:pPr>
        <w:pStyle w:val="Default"/>
        <w:spacing w:before="0"/>
        <w:rPr>
          <w:rFonts w:asciiTheme="minorHAnsi" w:eastAsiaTheme="minorEastAsia" w:hAnsiTheme="minorHAnsi" w:cstheme="minorBidi"/>
          <w:color w:val="7030A0"/>
          <w:sz w:val="22"/>
          <w:szCs w:val="22"/>
        </w:rPr>
      </w:pPr>
      <w:r w:rsidRPr="00FE0738">
        <w:rPr>
          <w:rFonts w:asciiTheme="minorHAnsi" w:eastAsiaTheme="minorEastAsia" w:hAnsiTheme="minorHAnsi" w:cstheme="minorBidi"/>
          <w:color w:val="7030A0"/>
          <w:sz w:val="22"/>
          <w:szCs w:val="22"/>
        </w:rPr>
        <w:t>For candidate variable selection using the development sample (A1; random 50% of 2009 data), we started with the 189 Condition Categories (CCs). We used the ICD-9-to-CC assignment map, which is maintained by CMS and posted at www.qualitynet.org. To select candidate variables, a team of clinicians reviewed all 189 CCs and excluded those that were not relevant to the Medicare population or that were not clinically relevant to the HF payment outcome (e.g., attention deficit disorder, female infertility). Clinically relevant CCs were selected as candidate variables; some of these CCs were combined into clinically coherent groups. We also adjusted for age.</w:t>
      </w:r>
    </w:p>
    <w:p w14:paraId="07E6709A" w14:textId="77777777" w:rsidR="00FE0738" w:rsidRPr="00FE0738" w:rsidRDefault="00FE0738" w:rsidP="00FE0738">
      <w:pPr>
        <w:pStyle w:val="Default"/>
        <w:spacing w:before="0"/>
        <w:rPr>
          <w:rFonts w:asciiTheme="minorHAnsi" w:eastAsiaTheme="minorEastAsia" w:hAnsiTheme="minorHAnsi" w:cstheme="minorBidi"/>
          <w:color w:val="7030A0"/>
          <w:sz w:val="22"/>
          <w:szCs w:val="22"/>
        </w:rPr>
      </w:pPr>
    </w:p>
    <w:p w14:paraId="2E7A7FE4" w14:textId="23B0B0A2" w:rsidR="00FE0738" w:rsidRPr="00FE0738" w:rsidRDefault="00FE0738" w:rsidP="00FE0738">
      <w:pPr>
        <w:pStyle w:val="Default"/>
        <w:spacing w:before="0"/>
        <w:rPr>
          <w:rFonts w:asciiTheme="minorHAnsi" w:eastAsiaTheme="minorEastAsia" w:hAnsiTheme="minorHAnsi" w:cstheme="minorBidi"/>
          <w:color w:val="7030A0"/>
          <w:sz w:val="22"/>
          <w:szCs w:val="22"/>
        </w:rPr>
      </w:pPr>
      <w:r w:rsidRPr="00FE0738">
        <w:rPr>
          <w:rFonts w:asciiTheme="minorHAnsi" w:eastAsiaTheme="minorEastAsia" w:hAnsiTheme="minorHAnsi" w:cstheme="minorBidi"/>
          <w:color w:val="7030A0"/>
          <w:sz w:val="22"/>
          <w:szCs w:val="22"/>
        </w:rPr>
        <w:t>To inform variable selection, we performed a modified approach to stepwise generalized linear model regression. We used sample A1 to create 1,000 bootstrap samples. For each sample, we ran a generalized linear model that included all candidate variables. The results were summarized to show the percentage of times that each of the candidate variables was significantly associated with HF payment (at the p&lt;0.05 level) in the 1,000 bootstrap samples (e.g., 70% would mean that the candidate variable was significant at p&lt;0.05 in 70% of the bootstrap</w:t>
      </w:r>
      <w:r w:rsidR="005F25D4">
        <w:rPr>
          <w:rFonts w:asciiTheme="minorHAnsi" w:eastAsiaTheme="minorEastAsia" w:hAnsiTheme="minorHAnsi" w:cstheme="minorBidi"/>
          <w:color w:val="7030A0"/>
          <w:sz w:val="22"/>
          <w:szCs w:val="22"/>
        </w:rPr>
        <w:t>).</w:t>
      </w:r>
    </w:p>
    <w:p w14:paraId="2C890D4B" w14:textId="77777777" w:rsidR="00FE0738" w:rsidRPr="00FE0738" w:rsidRDefault="00FE0738" w:rsidP="00FE0738">
      <w:pPr>
        <w:pStyle w:val="Default"/>
        <w:spacing w:before="0"/>
        <w:rPr>
          <w:rFonts w:asciiTheme="minorHAnsi" w:eastAsiaTheme="minorEastAsia" w:hAnsiTheme="minorHAnsi" w:cstheme="minorBidi"/>
          <w:color w:val="7030A0"/>
          <w:sz w:val="22"/>
          <w:szCs w:val="22"/>
        </w:rPr>
      </w:pPr>
    </w:p>
    <w:p w14:paraId="20CFCA51" w14:textId="304F2549" w:rsidR="00FE0738" w:rsidRDefault="00FE0738" w:rsidP="00FE0738">
      <w:pPr>
        <w:spacing w:line="240" w:lineRule="auto"/>
        <w:rPr>
          <w:color w:val="7030A0"/>
        </w:rPr>
      </w:pPr>
      <w:r w:rsidRPr="00FE0738">
        <w:rPr>
          <w:color w:val="7030A0"/>
        </w:rPr>
        <w:t>The working group reviewed these results and decided to retain all risk-adjustment variables above a 90% cutoff (i.e., to retain variables that were significant at the p&lt;0.05 level in at least 90% of the bootstrap samples). We chose the 90% cutoff because variables above this threshold demonstrated a relatively strong association with HF payment and were clinically relevant.</w:t>
      </w:r>
    </w:p>
    <w:p w14:paraId="49672566" w14:textId="77777777" w:rsidR="00D2353D" w:rsidRDefault="00D2353D" w:rsidP="00D2353D">
      <w:pPr>
        <w:spacing w:before="120" w:line="240" w:lineRule="auto"/>
        <w:rPr>
          <w:rFonts w:cstheme="minorHAnsi"/>
          <w:b/>
          <w:bCs/>
          <w:noProof/>
          <w:color w:val="C00000"/>
        </w:rPr>
      </w:pPr>
      <w:r>
        <w:rPr>
          <w:rFonts w:cstheme="minorHAnsi"/>
          <w:b/>
          <w:bCs/>
          <w:noProof/>
          <w:color w:val="C00000"/>
          <w:u w:val="single"/>
        </w:rPr>
        <w:t>Causal Pathways for Social Risk Variable Selection</w:t>
      </w:r>
    </w:p>
    <w:p w14:paraId="15129459" w14:textId="77777777" w:rsidR="00D2353D" w:rsidRDefault="00D2353D" w:rsidP="00D2353D">
      <w:pPr>
        <w:spacing w:before="120" w:line="240" w:lineRule="auto"/>
        <w:rPr>
          <w:rFonts w:cstheme="minorHAnsi"/>
          <w:noProof/>
          <w:color w:val="C00000"/>
        </w:rPr>
      </w:pPr>
      <w:r>
        <w:rPr>
          <w:rFonts w:cstheme="minorHAnsi"/>
          <w:noProof/>
          <w:color w:val="C00000"/>
        </w:rPr>
        <w:t>The social risk factors that have been examined in the literature can be categorized into three domains: (1) patient-level variables, (2) neighborhood/community-level variables, (3) hospital-level variables.</w:t>
      </w:r>
    </w:p>
    <w:p w14:paraId="04D1C917" w14:textId="77777777" w:rsidR="00D2353D" w:rsidRDefault="00D2353D" w:rsidP="00D2353D">
      <w:pPr>
        <w:spacing w:before="120" w:after="120" w:line="240" w:lineRule="auto"/>
        <w:rPr>
          <w:rFonts w:cstheme="minorHAnsi"/>
          <w:bCs/>
          <w:color w:val="7030A0"/>
        </w:rPr>
      </w:pPr>
      <w:r>
        <w:rPr>
          <w:rFonts w:cstheme="minorHAnsi"/>
          <w:noProof/>
          <w:color w:val="C00000"/>
        </w:rPr>
        <w:t>Patient-level variables describe characteristics of individual patients, and include the patient’s income or education level (Eapen et al., 2015) as well as race.</w:t>
      </w:r>
      <w:r>
        <w:rPr>
          <w:rFonts w:cstheme="minorHAnsi"/>
          <w:bCs/>
          <w:color w:val="7030A0"/>
        </w:rPr>
        <w:t xml:space="preserve"> </w:t>
      </w:r>
      <w:r>
        <w:rPr>
          <w:rFonts w:cstheme="minorHAnsi"/>
          <w:noProof/>
          <w:color w:val="C00000"/>
        </w:rPr>
        <w:t>Neighborhood/community-level variables use information from sources such as the American Community Survey as either a proxy for individual patient-level data or to measure environmental factors. Studies using these variables use one dimensional measures such as median household income or composite measures such as the AHRQ-validated SES index score (Blum et al., 2014). Some of these variables may include the local availability of clinical providers (Herrin et al., 2015; Herrin et al., 2016). Hospital-level variables measure attributes of the hospital which may be related to patient risk (</w:t>
      </w:r>
      <w:proofErr w:type="spellStart"/>
      <w:r>
        <w:rPr>
          <w:rFonts w:cstheme="minorHAnsi"/>
          <w:color w:val="C00000"/>
          <w:shd w:val="clear" w:color="auto" w:fill="FFFFFF"/>
        </w:rPr>
        <w:t>Roshanghalb</w:t>
      </w:r>
      <w:proofErr w:type="spellEnd"/>
      <w:r>
        <w:rPr>
          <w:rFonts w:cstheme="minorHAnsi"/>
          <w:color w:val="C00000"/>
          <w:shd w:val="clear" w:color="auto" w:fill="FFFFFF"/>
        </w:rPr>
        <w:t xml:space="preserve"> et al., 2019; </w:t>
      </w:r>
      <w:proofErr w:type="spellStart"/>
      <w:r>
        <w:rPr>
          <w:rFonts w:cstheme="minorHAnsi"/>
          <w:color w:val="C00000"/>
          <w:shd w:val="clear" w:color="auto" w:fill="FFFFFF"/>
        </w:rPr>
        <w:t>Alghanem</w:t>
      </w:r>
      <w:proofErr w:type="spellEnd"/>
      <w:r>
        <w:rPr>
          <w:rFonts w:cstheme="minorHAnsi"/>
          <w:color w:val="C00000"/>
          <w:shd w:val="clear" w:color="auto" w:fill="FFFFFF"/>
        </w:rPr>
        <w:t xml:space="preserve"> et al., 2020)</w:t>
      </w:r>
      <w:r>
        <w:rPr>
          <w:rFonts w:cstheme="minorHAnsi"/>
          <w:noProof/>
          <w:color w:val="C00000"/>
        </w:rPr>
        <w:t xml:space="preserve">. Examples of hospital-level variables used in studies are ZIP code characteristics aggregated to the hospital level or the proportion of Medicaid patients served in the hospital (Gilman et al., 2014; Jha et al., 2013). </w:t>
      </w:r>
    </w:p>
    <w:p w14:paraId="7F1C3804" w14:textId="77777777" w:rsidR="00D2353D" w:rsidRDefault="00D2353D" w:rsidP="00D2353D">
      <w:pPr>
        <w:spacing w:before="120" w:after="120" w:line="240" w:lineRule="auto"/>
        <w:rPr>
          <w:rFonts w:cstheme="minorHAnsi"/>
          <w:noProof/>
          <w:color w:val="C00000"/>
          <w:u w:val="single"/>
        </w:rPr>
      </w:pPr>
      <w:r>
        <w:rPr>
          <w:rFonts w:cstheme="minorHAnsi"/>
          <w:noProof/>
          <w:color w:val="C00000"/>
          <w:u w:val="single"/>
        </w:rPr>
        <w:t>Conceptual Framework</w:t>
      </w:r>
    </w:p>
    <w:p w14:paraId="789DE849" w14:textId="77777777" w:rsidR="00D2353D" w:rsidRDefault="00D2353D" w:rsidP="00D2353D">
      <w:pPr>
        <w:spacing w:before="120" w:after="120" w:line="240" w:lineRule="auto"/>
        <w:rPr>
          <w:rFonts w:cstheme="minorHAnsi"/>
          <w:noProof/>
          <w:color w:val="C00000"/>
        </w:rPr>
      </w:pPr>
      <w:r>
        <w:rPr>
          <w:rFonts w:cstheme="minorHAnsi"/>
          <w:noProof/>
          <w:color w:val="C00000"/>
        </w:rPr>
        <w:t xml:space="preserve">The relationship between social risk factors and episode-of-care payment is complex and not well understood. While patients with social risk factors might have have lower utilization because of reduced access to care, they may also have higher overall utilization of care due to worse outcomes. </w:t>
      </w:r>
    </w:p>
    <w:p w14:paraId="7F453B83" w14:textId="77777777" w:rsidR="004269E2" w:rsidRPr="00A30A25" w:rsidRDefault="004269E2" w:rsidP="004269E2">
      <w:pPr>
        <w:spacing w:before="120" w:after="120" w:line="240" w:lineRule="auto"/>
        <w:rPr>
          <w:rFonts w:cstheme="minorHAnsi"/>
          <w:noProof/>
          <w:color w:val="C00000"/>
        </w:rPr>
      </w:pPr>
      <w:r w:rsidRPr="00A30A25">
        <w:rPr>
          <w:rFonts w:cstheme="minorHAnsi"/>
          <w:noProof/>
          <w:color w:val="C00000"/>
        </w:rPr>
        <w:t xml:space="preserve">Additionally, it is important to consider whether costs associated with patients with social risk factors </w:t>
      </w:r>
      <w:r>
        <w:rPr>
          <w:rFonts w:cstheme="minorHAnsi"/>
          <w:noProof/>
          <w:color w:val="C00000"/>
        </w:rPr>
        <w:t>i</w:t>
      </w:r>
      <w:r w:rsidRPr="00A30A25">
        <w:rPr>
          <w:rFonts w:cstheme="minorHAnsi"/>
          <w:noProof/>
          <w:color w:val="C00000"/>
        </w:rPr>
        <w:t xml:space="preserve">nfluences outcomes. For example, if there is a pattern showing that increased spending results in better outcomes, it might be appropriate to risk adjust. However, given </w:t>
      </w:r>
      <w:r>
        <w:rPr>
          <w:rFonts w:cstheme="minorHAnsi"/>
          <w:noProof/>
          <w:color w:val="C00000"/>
        </w:rPr>
        <w:t>the complex</w:t>
      </w:r>
      <w:r w:rsidRPr="00A30A25">
        <w:rPr>
          <w:rFonts w:cstheme="minorHAnsi"/>
          <w:noProof/>
          <w:color w:val="C00000"/>
        </w:rPr>
        <w:t xml:space="preserve"> relationship</w:t>
      </w:r>
      <w:r>
        <w:rPr>
          <w:rFonts w:cstheme="minorHAnsi"/>
          <w:noProof/>
          <w:color w:val="C00000"/>
        </w:rPr>
        <w:t xml:space="preserve">s between </w:t>
      </w:r>
      <w:r w:rsidRPr="00A30A25">
        <w:rPr>
          <w:rFonts w:cstheme="minorHAnsi"/>
          <w:noProof/>
          <w:color w:val="C00000"/>
        </w:rPr>
        <w:t xml:space="preserve">social risk, costs, and outcomes, if there </w:t>
      </w:r>
      <w:r>
        <w:rPr>
          <w:rFonts w:cstheme="minorHAnsi"/>
          <w:noProof/>
          <w:color w:val="C00000"/>
        </w:rPr>
        <w:t>is no</w:t>
      </w:r>
      <w:r w:rsidRPr="00A30A25">
        <w:rPr>
          <w:rFonts w:cstheme="minorHAnsi"/>
          <w:noProof/>
          <w:color w:val="C00000"/>
        </w:rPr>
        <w:t xml:space="preserve"> consistent association between payment and quality</w:t>
      </w:r>
      <w:r>
        <w:rPr>
          <w:rFonts w:cstheme="minorHAnsi"/>
          <w:noProof/>
          <w:color w:val="C00000"/>
        </w:rPr>
        <w:t xml:space="preserve"> then </w:t>
      </w:r>
      <w:r w:rsidRPr="00A30A25">
        <w:rPr>
          <w:rFonts w:cstheme="minorHAnsi"/>
          <w:noProof/>
          <w:color w:val="C00000"/>
        </w:rPr>
        <w:t>it may not be appropriate to risk adjust.</w:t>
      </w:r>
    </w:p>
    <w:p w14:paraId="613C5D43" w14:textId="77777777" w:rsidR="00D2353D" w:rsidRDefault="00D2353D" w:rsidP="00D2353D">
      <w:pPr>
        <w:spacing w:before="120" w:after="120" w:line="240" w:lineRule="auto"/>
        <w:rPr>
          <w:rFonts w:cstheme="minorHAnsi"/>
          <w:i/>
          <w:iCs/>
          <w:noProof/>
          <w:color w:val="C00000"/>
        </w:rPr>
      </w:pPr>
      <w:r>
        <w:rPr>
          <w:rFonts w:cstheme="minorHAnsi"/>
          <w:i/>
          <w:iCs/>
          <w:noProof/>
          <w:color w:val="C00000"/>
        </w:rPr>
        <w:t xml:space="preserve">Potential Mechanisms by which Social Risk Factors Affect Costs  </w:t>
      </w:r>
    </w:p>
    <w:p w14:paraId="26D71207" w14:textId="6896FE3D" w:rsidR="00D2353D" w:rsidRDefault="00D2353D" w:rsidP="00D2353D">
      <w:pPr>
        <w:spacing w:before="120" w:after="120" w:line="240" w:lineRule="auto"/>
        <w:rPr>
          <w:rFonts w:cstheme="minorHAnsi"/>
          <w:noProof/>
          <w:color w:val="C00000"/>
        </w:rPr>
      </w:pPr>
      <w:r>
        <w:rPr>
          <w:rFonts w:cstheme="minorHAnsi"/>
          <w:noProof/>
          <w:color w:val="C00000"/>
        </w:rPr>
        <w:t xml:space="preserve">Potential causal mechanisms by which social risk factors influence costs following an admission for </w:t>
      </w:r>
      <w:r w:rsidR="00BF512E">
        <w:rPr>
          <w:rFonts w:cstheme="minorHAnsi"/>
          <w:noProof/>
          <w:color w:val="C00000"/>
        </w:rPr>
        <w:t>heart failure</w:t>
      </w:r>
      <w:r>
        <w:rPr>
          <w:rFonts w:cstheme="minorHAnsi"/>
          <w:noProof/>
          <w:color w:val="C00000"/>
        </w:rPr>
        <w:t xml:space="preserve"> are varied and complex. Few studies have assesed the relationship between patient social risk factors (e.g., gender, SES and race) and </w:t>
      </w:r>
      <w:r w:rsidR="00BF512E">
        <w:rPr>
          <w:rFonts w:cstheme="minorHAnsi"/>
          <w:noProof/>
          <w:color w:val="C00000"/>
        </w:rPr>
        <w:t>payment</w:t>
      </w:r>
      <w:r>
        <w:rPr>
          <w:rFonts w:cstheme="minorHAnsi"/>
          <w:noProof/>
          <w:color w:val="C00000"/>
        </w:rPr>
        <w:t xml:space="preserve"> associated with </w:t>
      </w:r>
      <w:r w:rsidR="00BF512E">
        <w:rPr>
          <w:rFonts w:cstheme="minorHAnsi"/>
          <w:noProof/>
          <w:color w:val="C00000"/>
        </w:rPr>
        <w:t>heart failure</w:t>
      </w:r>
      <w:r>
        <w:rPr>
          <w:rFonts w:cstheme="minorHAnsi"/>
          <w:noProof/>
          <w:color w:val="C00000"/>
        </w:rPr>
        <w:t xml:space="preserve">, and few studies directly address the complex causal pathways. Our literature review has identified four potential mechanisms at the patient- and hospital-level: (1) Health at admission and other patient characteristics, (2) selection of patients into different quality hospitals, (3) care within </w:t>
      </w:r>
      <w:r w:rsidR="004269E2">
        <w:rPr>
          <w:rFonts w:cstheme="minorHAnsi"/>
          <w:noProof/>
          <w:color w:val="C00000"/>
        </w:rPr>
        <w:t xml:space="preserve">the </w:t>
      </w:r>
      <w:r>
        <w:rPr>
          <w:rFonts w:cstheme="minorHAnsi"/>
          <w:noProof/>
          <w:color w:val="C00000"/>
        </w:rPr>
        <w:t>hospital, and (4) post-discharge care.</w:t>
      </w:r>
    </w:p>
    <w:p w14:paraId="23DB612C" w14:textId="77777777" w:rsidR="00D2353D" w:rsidRDefault="00D2353D" w:rsidP="00D2353D">
      <w:pPr>
        <w:pStyle w:val="ListParagraph"/>
        <w:numPr>
          <w:ilvl w:val="0"/>
          <w:numId w:val="36"/>
        </w:numPr>
        <w:spacing w:before="120" w:after="120" w:line="240" w:lineRule="auto"/>
        <w:rPr>
          <w:rFonts w:cstheme="minorHAnsi"/>
          <w:b/>
          <w:bCs/>
          <w:noProof/>
          <w:color w:val="C00000"/>
        </w:rPr>
      </w:pPr>
      <w:r>
        <w:rPr>
          <w:rFonts w:cstheme="minorHAnsi"/>
          <w:b/>
          <w:bCs/>
          <w:noProof/>
          <w:color w:val="C00000"/>
        </w:rPr>
        <w:t xml:space="preserve">Health at admission and other patient characteristics </w:t>
      </w:r>
    </w:p>
    <w:p w14:paraId="50602C04" w14:textId="3084079D" w:rsidR="00D2353D" w:rsidRDefault="00D2353D" w:rsidP="00D2353D">
      <w:pPr>
        <w:spacing w:before="120" w:after="120" w:line="240" w:lineRule="auto"/>
        <w:rPr>
          <w:rFonts w:cstheme="minorHAnsi"/>
          <w:noProof/>
          <w:color w:val="C00000"/>
        </w:rPr>
      </w:pPr>
      <w:r>
        <w:rPr>
          <w:rFonts w:cstheme="minorHAnsi"/>
          <w:noProof/>
          <w:color w:val="C00000"/>
        </w:rPr>
        <w:lastRenderedPageBreak/>
        <w:t xml:space="preserve">Patients with social risk factors such as low SES may have more comorbid conditions at the time of admission related to historical or lifelong social disadvantage. For example, research shows that patients with social risk factors can have worse health overall, and </w:t>
      </w:r>
      <w:r w:rsidRPr="00544F97">
        <w:rPr>
          <w:rFonts w:cstheme="minorHAnsi"/>
          <w:noProof/>
          <w:color w:val="C00000"/>
        </w:rPr>
        <w:t xml:space="preserve">therefore at the time of admission. For </w:t>
      </w:r>
      <w:r w:rsidR="00544F97" w:rsidRPr="00544F97">
        <w:rPr>
          <w:rFonts w:cstheme="minorHAnsi"/>
          <w:noProof/>
          <w:color w:val="C00000"/>
        </w:rPr>
        <w:t>heart failure</w:t>
      </w:r>
      <w:r w:rsidRPr="00544F97">
        <w:rPr>
          <w:rFonts w:cstheme="minorHAnsi"/>
          <w:noProof/>
          <w:color w:val="C00000"/>
        </w:rPr>
        <w:t xml:space="preserve"> specifically, Medicare patients with more comorbidities have higher rates of follow-up visits and readmission, and there are known differences in comorbidities between different races </w:t>
      </w:r>
      <w:r w:rsidR="00544F97" w:rsidRPr="00544F97">
        <w:rPr>
          <w:rFonts w:cstheme="minorHAnsi"/>
          <w:noProof/>
          <w:color w:val="C00000"/>
        </w:rPr>
        <w:t xml:space="preserve">(Grahm, 2015). </w:t>
      </w:r>
      <w:r w:rsidRPr="00544F97">
        <w:rPr>
          <w:rFonts w:cstheme="minorHAnsi"/>
          <w:noProof/>
          <w:color w:val="C00000"/>
        </w:rPr>
        <w:t>However this measure risk adjusts for comorbidities to account for health at admission.</w:t>
      </w:r>
    </w:p>
    <w:p w14:paraId="1485645B" w14:textId="77777777" w:rsidR="00D2353D" w:rsidRDefault="00D2353D" w:rsidP="00D2353D">
      <w:pPr>
        <w:pStyle w:val="ListParagraph"/>
        <w:numPr>
          <w:ilvl w:val="0"/>
          <w:numId w:val="36"/>
        </w:numPr>
        <w:spacing w:before="120" w:after="120" w:line="240" w:lineRule="auto"/>
        <w:rPr>
          <w:rFonts w:cstheme="minorHAnsi"/>
          <w:b/>
          <w:bCs/>
          <w:noProof/>
          <w:color w:val="C00000"/>
        </w:rPr>
      </w:pPr>
      <w:r>
        <w:rPr>
          <w:rFonts w:cstheme="minorHAnsi"/>
          <w:b/>
          <w:bCs/>
          <w:noProof/>
          <w:color w:val="C00000"/>
        </w:rPr>
        <w:t>Selection of patients into different quality hospitals</w:t>
      </w:r>
    </w:p>
    <w:p w14:paraId="5C67B4CC" w14:textId="3D52DCFD" w:rsidR="00D2353D" w:rsidRDefault="00D2353D" w:rsidP="004269E2">
      <w:pPr>
        <w:spacing w:before="120" w:after="120" w:line="240" w:lineRule="auto"/>
        <w:rPr>
          <w:rFonts w:cstheme="minorHAnsi"/>
          <w:noProof/>
          <w:color w:val="C00000"/>
        </w:rPr>
      </w:pPr>
      <w:r>
        <w:rPr>
          <w:rFonts w:cstheme="minorHAnsi"/>
          <w:noProof/>
          <w:color w:val="C00000"/>
        </w:rPr>
        <w:t>Some studies examining the link between social risk factors and costs suggest that the relationship can be mediated by hospital quality. Patients with social risk factors may be more likely to live near to and be admitted to lower quality hospitals</w:t>
      </w:r>
      <w:r w:rsidRPr="00544F97">
        <w:rPr>
          <w:rFonts w:cstheme="minorHAnsi"/>
          <w:noProof/>
          <w:color w:val="C00000"/>
        </w:rPr>
        <w:t xml:space="preserve">.  For </w:t>
      </w:r>
      <w:r w:rsidR="00544F97" w:rsidRPr="00544F97">
        <w:rPr>
          <w:rFonts w:cstheme="minorHAnsi"/>
          <w:noProof/>
          <w:color w:val="C00000"/>
        </w:rPr>
        <w:t>heart failure</w:t>
      </w:r>
      <w:r w:rsidRPr="00544F97">
        <w:rPr>
          <w:rFonts w:cstheme="minorHAnsi"/>
          <w:noProof/>
          <w:color w:val="C00000"/>
        </w:rPr>
        <w:t>, however</w:t>
      </w:r>
      <w:bookmarkStart w:id="18" w:name="_Hlk60632190"/>
      <w:r w:rsidRPr="00544F97">
        <w:rPr>
          <w:rFonts w:cstheme="minorHAnsi"/>
          <w:noProof/>
          <w:color w:val="C00000"/>
        </w:rPr>
        <w:t>, a recent study found that between-hospital differences readmission rates</w:t>
      </w:r>
      <w:r w:rsidR="00544F97" w:rsidRPr="00544F97">
        <w:rPr>
          <w:rFonts w:cstheme="minorHAnsi"/>
          <w:noProof/>
          <w:color w:val="C00000"/>
        </w:rPr>
        <w:t xml:space="preserve"> </w:t>
      </w:r>
      <w:r w:rsidRPr="00544F97">
        <w:rPr>
          <w:rFonts w:cstheme="minorHAnsi"/>
          <w:noProof/>
          <w:color w:val="C00000"/>
        </w:rPr>
        <w:t xml:space="preserve">were small at hospitals treating a minimum volume of patients </w:t>
      </w:r>
      <w:r w:rsidR="006D04FA">
        <w:rPr>
          <w:rFonts w:cstheme="minorHAnsi"/>
          <w:noProof/>
          <w:color w:val="C00000"/>
        </w:rPr>
        <w:t xml:space="preserve">within </w:t>
      </w:r>
      <w:r w:rsidRPr="00544F97">
        <w:rPr>
          <w:rFonts w:cstheme="minorHAnsi"/>
          <w:noProof/>
          <w:color w:val="C00000"/>
        </w:rPr>
        <w:t>different race and neighborhood-income subgroups (Downing et al., 2018).</w:t>
      </w:r>
      <w:r w:rsidR="004269E2" w:rsidRPr="004269E2">
        <w:t xml:space="preserve"> </w:t>
      </w:r>
      <w:bookmarkEnd w:id="18"/>
    </w:p>
    <w:p w14:paraId="71EBA35F" w14:textId="77777777" w:rsidR="006D04FA" w:rsidRDefault="00D2353D" w:rsidP="00D2353D">
      <w:pPr>
        <w:spacing w:before="120" w:after="120" w:line="240" w:lineRule="auto"/>
        <w:rPr>
          <w:rFonts w:cstheme="minorHAnsi"/>
          <w:noProof/>
          <w:color w:val="C00000"/>
        </w:rPr>
      </w:pPr>
      <w:r>
        <w:rPr>
          <w:rFonts w:cstheme="minorHAnsi"/>
          <w:noProof/>
          <w:color w:val="C00000"/>
        </w:rPr>
        <w:t xml:space="preserve">Low- and high-quality hospitals can both contribute to increased episode-based costs. </w:t>
      </w:r>
      <w:r w:rsidR="004269E2" w:rsidRPr="004269E2">
        <w:rPr>
          <w:rFonts w:cstheme="minorHAnsi"/>
          <w:noProof/>
          <w:color w:val="C00000"/>
        </w:rPr>
        <w:t>For example, care at low-quality hospitals may be associated with higher costs because lower-quality of care may require more frequent and intense follow-up care (such as a readmission).</w:t>
      </w:r>
      <w:r w:rsidR="004269E2" w:rsidRPr="00A30A25">
        <w:rPr>
          <w:rFonts w:cstheme="minorHAnsi"/>
          <w:noProof/>
          <w:color w:val="C00000"/>
        </w:rPr>
        <w:t xml:space="preserve"> </w:t>
      </w:r>
      <w:r>
        <w:rPr>
          <w:rFonts w:cstheme="minorHAnsi"/>
          <w:noProof/>
          <w:color w:val="C00000"/>
        </w:rPr>
        <w:t>But care delivered at high-quality hospitals could be more costly, for example when high-quality, evidence-based care involves expensive treatments or procedures. In addition, both high- and low-quality hospitals also have the potential to deliver higher-cost but low-value care.  In general the relationship between care quality and cost has been show to be inconsistent (Hussey, 2013</w:t>
      </w:r>
      <w:r w:rsidRPr="0044496A">
        <w:rPr>
          <w:rFonts w:cstheme="minorHAnsi"/>
          <w:noProof/>
          <w:color w:val="C00000"/>
        </w:rPr>
        <w:t xml:space="preserve">), and in the case of </w:t>
      </w:r>
      <w:r w:rsidR="0044496A" w:rsidRPr="0044496A">
        <w:rPr>
          <w:rFonts w:cstheme="minorHAnsi"/>
          <w:noProof/>
          <w:color w:val="C00000"/>
        </w:rPr>
        <w:t>heart failure</w:t>
      </w:r>
      <w:r w:rsidRPr="0044496A">
        <w:rPr>
          <w:rFonts w:cstheme="minorHAnsi"/>
          <w:noProof/>
          <w:color w:val="C00000"/>
        </w:rPr>
        <w:t xml:space="preserve"> more recent sudies have shown either a weak inverse association or no relationship between cost and quality (Desai et al., 2018; Krumholz et al., 2019). </w:t>
      </w:r>
    </w:p>
    <w:p w14:paraId="3BE78FAC" w14:textId="0AC93265" w:rsidR="004269E2" w:rsidRDefault="00D2353D" w:rsidP="004269E2">
      <w:pPr>
        <w:spacing w:before="120" w:after="120" w:line="240" w:lineRule="auto"/>
        <w:rPr>
          <w:rFonts w:cstheme="minorHAnsi"/>
          <w:noProof/>
          <w:color w:val="C00000"/>
        </w:rPr>
      </w:pPr>
      <w:r w:rsidRPr="0044496A">
        <w:rPr>
          <w:rFonts w:cstheme="minorHAnsi"/>
          <w:noProof/>
          <w:color w:val="C00000"/>
        </w:rPr>
        <w:t xml:space="preserve">It has been demonstrated, however, that hospital performance </w:t>
      </w:r>
      <w:r w:rsidR="006D04FA">
        <w:rPr>
          <w:rFonts w:cstheme="minorHAnsi"/>
          <w:noProof/>
          <w:color w:val="C00000"/>
        </w:rPr>
        <w:t>related to</w:t>
      </w:r>
      <w:r w:rsidRPr="0044496A">
        <w:rPr>
          <w:rFonts w:cstheme="minorHAnsi"/>
          <w:noProof/>
          <w:color w:val="C00000"/>
        </w:rPr>
        <w:t xml:space="preserve"> adverse events was associated with hospital-specific risk-standardized 30-day episode-of-care expenditures for patients with </w:t>
      </w:r>
      <w:r w:rsidR="0044496A" w:rsidRPr="0044496A">
        <w:rPr>
          <w:rFonts w:cstheme="minorHAnsi"/>
          <w:noProof/>
          <w:color w:val="C00000"/>
        </w:rPr>
        <w:t>heart failure</w:t>
      </w:r>
      <w:r w:rsidRPr="0044496A">
        <w:rPr>
          <w:rFonts w:cstheme="minorHAnsi"/>
          <w:noProof/>
          <w:color w:val="C00000"/>
        </w:rPr>
        <w:t xml:space="preserve"> (Wang et al., 2020).</w:t>
      </w:r>
      <w:r w:rsidR="006D04FA">
        <w:rPr>
          <w:rFonts w:cstheme="minorHAnsi"/>
          <w:noProof/>
          <w:color w:val="C00000"/>
        </w:rPr>
        <w:t xml:space="preserve"> </w:t>
      </w:r>
      <w:r w:rsidRPr="0044496A">
        <w:rPr>
          <w:rFonts w:cstheme="minorHAnsi"/>
          <w:noProof/>
          <w:color w:val="C00000"/>
        </w:rPr>
        <w:t xml:space="preserve">In addition, a 2019 study authored by the developer showed that differences in hospital-level payments for </w:t>
      </w:r>
      <w:r w:rsidR="0044496A" w:rsidRPr="0044496A">
        <w:rPr>
          <w:rFonts w:cstheme="minorHAnsi"/>
          <w:noProof/>
          <w:color w:val="C00000"/>
        </w:rPr>
        <w:t>heart failure</w:t>
      </w:r>
      <w:r w:rsidRPr="0044496A">
        <w:rPr>
          <w:rFonts w:cstheme="minorHAnsi"/>
          <w:noProof/>
          <w:color w:val="C00000"/>
        </w:rPr>
        <w:t xml:space="preserve"> were associated with hospital characteristics independently from patient characteristics (Krumholz et al., 2019</w:t>
      </w:r>
      <w:r w:rsidRPr="004269E2">
        <w:rPr>
          <w:rFonts w:cstheme="minorHAnsi"/>
          <w:noProof/>
          <w:color w:val="C00000"/>
        </w:rPr>
        <w:t xml:space="preserve">). </w:t>
      </w:r>
      <w:r w:rsidR="004269E2" w:rsidRPr="004269E2">
        <w:rPr>
          <w:rFonts w:cstheme="minorHAnsi"/>
          <w:noProof/>
          <w:color w:val="C00000"/>
        </w:rPr>
        <w:t>In this study the authors compared payments for the same Medicare patient for two admissions for the same condition – one admission to a low-payment hospital and one admission to a high-payment hospital and found that patients who were admitted to hospitals with the highest payment profiles incurred higher costs than when they were admitted to hospitals with the lowest payment profiles. The findings suggest that that variations in payments to hospitals are, at least in part, associated with the hospitals independently of non–time-varying patient characteristics.</w:t>
      </w:r>
      <w:r w:rsidR="004269E2" w:rsidRPr="00A30A25">
        <w:rPr>
          <w:rFonts w:cstheme="minorHAnsi"/>
          <w:noProof/>
          <w:color w:val="C00000"/>
        </w:rPr>
        <w:t xml:space="preserve"> </w:t>
      </w:r>
    </w:p>
    <w:p w14:paraId="639EFDB2" w14:textId="77777777" w:rsidR="006D04FA" w:rsidRPr="00A30A25" w:rsidRDefault="006D04FA" w:rsidP="004269E2">
      <w:pPr>
        <w:spacing w:before="120" w:after="120" w:line="240" w:lineRule="auto"/>
        <w:rPr>
          <w:rFonts w:cstheme="minorHAnsi"/>
          <w:noProof/>
          <w:color w:val="C00000"/>
        </w:rPr>
      </w:pPr>
    </w:p>
    <w:p w14:paraId="6030840E" w14:textId="7FF568A9" w:rsidR="00D2353D" w:rsidRPr="004269E2" w:rsidRDefault="00D2353D" w:rsidP="004269E2">
      <w:pPr>
        <w:pStyle w:val="ListParagraph"/>
        <w:numPr>
          <w:ilvl w:val="0"/>
          <w:numId w:val="36"/>
        </w:numPr>
        <w:spacing w:before="120" w:after="120" w:line="240" w:lineRule="auto"/>
        <w:rPr>
          <w:rFonts w:cstheme="minorHAnsi"/>
          <w:b/>
          <w:bCs/>
          <w:noProof/>
          <w:color w:val="C00000"/>
        </w:rPr>
      </w:pPr>
      <w:r w:rsidRPr="004269E2">
        <w:rPr>
          <w:rFonts w:cstheme="minorHAnsi"/>
          <w:b/>
          <w:bCs/>
          <w:noProof/>
          <w:color w:val="C00000"/>
        </w:rPr>
        <w:t xml:space="preserve">Care within </w:t>
      </w:r>
      <w:r w:rsidR="004269E2" w:rsidRPr="004269E2">
        <w:rPr>
          <w:rFonts w:cstheme="minorHAnsi"/>
          <w:b/>
          <w:bCs/>
          <w:noProof/>
          <w:color w:val="C00000"/>
        </w:rPr>
        <w:t xml:space="preserve">the </w:t>
      </w:r>
      <w:r w:rsidRPr="004269E2">
        <w:rPr>
          <w:rFonts w:cstheme="minorHAnsi"/>
          <w:b/>
          <w:bCs/>
          <w:noProof/>
          <w:color w:val="C00000"/>
        </w:rPr>
        <w:t>hospital</w:t>
      </w:r>
    </w:p>
    <w:p w14:paraId="4046E919" w14:textId="77777777" w:rsidR="00D2353D" w:rsidRDefault="00D2353D" w:rsidP="00D2353D">
      <w:pPr>
        <w:spacing w:before="120" w:after="120" w:line="240" w:lineRule="auto"/>
        <w:rPr>
          <w:rFonts w:cstheme="minorHAnsi"/>
          <w:noProof/>
          <w:color w:val="C00000"/>
        </w:rPr>
      </w:pPr>
      <w:r>
        <w:rPr>
          <w:rFonts w:cstheme="minorHAnsi"/>
          <w:noProof/>
          <w:color w:val="C00000"/>
        </w:rPr>
        <w:t xml:space="preserve">Social risk factors can contribute to costs if patients do not receive equivalent or patient-centered care within a facility. For example, a study using linked hospital and census data found that low income or minority patients may experience differential, lower quality, or discriminatory care within a given facility (Trivedi 2014). Alternatively, patients with social risk factors may require and not necessarily receive differentiated care, such as provision of lower literacy information. For example, hospitals may provide the same care for all patients (e.g. the same discharge instructions) but this care might be insufficient for patients with social risk factors (e.g. due to low literacy). Failure to meet the needs of socially disadvantaged patients can lead to costly complications requiring readmission. </w:t>
      </w:r>
    </w:p>
    <w:p w14:paraId="0FC9D4CA" w14:textId="5424D5FF" w:rsidR="00D2353D" w:rsidRDefault="00D2353D" w:rsidP="00D2353D">
      <w:pPr>
        <w:spacing w:before="120" w:after="120" w:line="240" w:lineRule="auto"/>
        <w:rPr>
          <w:rFonts w:cstheme="minorHAnsi"/>
          <w:noProof/>
          <w:color w:val="C00000"/>
        </w:rPr>
      </w:pPr>
      <w:r w:rsidRPr="00471E95">
        <w:rPr>
          <w:rFonts w:cstheme="minorHAnsi"/>
          <w:noProof/>
          <w:color w:val="C00000"/>
        </w:rPr>
        <w:t xml:space="preserve">Specifically for </w:t>
      </w:r>
      <w:r w:rsidR="00471E95" w:rsidRPr="00471E95">
        <w:rPr>
          <w:rFonts w:cstheme="minorHAnsi"/>
          <w:noProof/>
          <w:color w:val="C00000"/>
        </w:rPr>
        <w:t>heart failure</w:t>
      </w:r>
      <w:r w:rsidRPr="00471E95">
        <w:rPr>
          <w:rFonts w:cstheme="minorHAnsi"/>
          <w:noProof/>
          <w:color w:val="C00000"/>
        </w:rPr>
        <w:t xml:space="preserve">, a recent study found no evidence of significant within-hospital differences in in utilization as measured by readmission rates for patients from lower-income neighborhoods </w:t>
      </w:r>
      <w:r w:rsidRPr="00471E95">
        <w:rPr>
          <w:rFonts w:cstheme="minorHAnsi"/>
          <w:noProof/>
          <w:color w:val="C00000"/>
        </w:rPr>
        <w:lastRenderedPageBreak/>
        <w:t>compared with those from higher-income neighborhoods (Downing et al., 2018). This study suggests that any differences in readmission rates by race and neighborhood income may be systemic, rather than localized within particular hospitals.</w:t>
      </w:r>
    </w:p>
    <w:p w14:paraId="4CF4FC42" w14:textId="77777777" w:rsidR="00D2353D" w:rsidRDefault="00D2353D" w:rsidP="00D2353D">
      <w:pPr>
        <w:pStyle w:val="ListParagraph"/>
        <w:numPr>
          <w:ilvl w:val="0"/>
          <w:numId w:val="36"/>
        </w:numPr>
        <w:spacing w:before="120" w:after="120" w:line="240" w:lineRule="auto"/>
        <w:rPr>
          <w:rFonts w:cstheme="minorHAnsi"/>
          <w:b/>
          <w:bCs/>
          <w:noProof/>
          <w:color w:val="C00000"/>
        </w:rPr>
      </w:pPr>
      <w:r>
        <w:rPr>
          <w:rFonts w:cstheme="minorHAnsi"/>
          <w:b/>
          <w:bCs/>
          <w:noProof/>
          <w:color w:val="C00000"/>
        </w:rPr>
        <w:t>Post-discharge care</w:t>
      </w:r>
    </w:p>
    <w:p w14:paraId="6D7E56A0" w14:textId="1A433A5F" w:rsidR="00D2353D" w:rsidRDefault="00D2353D" w:rsidP="00D2353D">
      <w:pPr>
        <w:autoSpaceDE w:val="0"/>
        <w:autoSpaceDN w:val="0"/>
        <w:adjustRightInd w:val="0"/>
        <w:spacing w:before="120" w:after="0" w:line="240" w:lineRule="auto"/>
        <w:rPr>
          <w:rFonts w:cstheme="minorHAnsi"/>
          <w:bCs/>
          <w:color w:val="C00000"/>
        </w:rPr>
      </w:pPr>
      <w:r>
        <w:rPr>
          <w:rFonts w:cstheme="minorHAnsi"/>
          <w:noProof/>
          <w:color w:val="C00000"/>
        </w:rPr>
        <w:t>Social risk factors can contribute to costs if patients receive or have access to more or less high-value post-discharge care</w:t>
      </w:r>
      <w:r w:rsidR="00471E95">
        <w:rPr>
          <w:rFonts w:cstheme="minorHAnsi"/>
          <w:noProof/>
          <w:color w:val="C00000"/>
        </w:rPr>
        <w:t xml:space="preserve">. </w:t>
      </w:r>
      <w:r>
        <w:rPr>
          <w:rFonts w:cstheme="minorHAnsi"/>
          <w:noProof/>
          <w:color w:val="C00000"/>
        </w:rPr>
        <w:t xml:space="preserve">As mentioned in section 1.8 above, </w:t>
      </w:r>
      <w:r>
        <w:rPr>
          <w:rFonts w:cstheme="minorHAnsi"/>
          <w:bCs/>
          <w:color w:val="C00000"/>
        </w:rPr>
        <w:t xml:space="preserve">studies have shown that black and Hispanic Medicare patients with </w:t>
      </w:r>
      <w:r w:rsidR="00471E95">
        <w:rPr>
          <w:rFonts w:cstheme="minorHAnsi"/>
          <w:bCs/>
          <w:color w:val="C00000"/>
        </w:rPr>
        <w:t xml:space="preserve">heart failure </w:t>
      </w:r>
      <w:r>
        <w:rPr>
          <w:rFonts w:cstheme="minorHAnsi"/>
          <w:bCs/>
          <w:color w:val="C00000"/>
        </w:rPr>
        <w:t>were less likely to have a follow-up clinic visit but more likely to experience a readmission within 30 days of hospital discharge, compared with white patients (</w:t>
      </w:r>
      <w:proofErr w:type="spellStart"/>
      <w:r>
        <w:rPr>
          <w:rFonts w:cstheme="minorHAnsi"/>
          <w:bCs/>
          <w:color w:val="C00000"/>
        </w:rPr>
        <w:t>DeLia</w:t>
      </w:r>
      <w:proofErr w:type="spellEnd"/>
      <w:r>
        <w:rPr>
          <w:rFonts w:cstheme="minorHAnsi"/>
          <w:bCs/>
          <w:color w:val="C00000"/>
        </w:rPr>
        <w:t xml:space="preserve"> et al., 2014). In addition, patients with Medicare Advantage plans (considered by the </w:t>
      </w:r>
      <w:r w:rsidR="006D04FA">
        <w:rPr>
          <w:rFonts w:cstheme="minorHAnsi"/>
          <w:bCs/>
          <w:color w:val="C00000"/>
        </w:rPr>
        <w:t xml:space="preserve">study </w:t>
      </w:r>
      <w:r>
        <w:rPr>
          <w:rFonts w:cstheme="minorHAnsi"/>
          <w:bCs/>
          <w:color w:val="C00000"/>
        </w:rPr>
        <w:t xml:space="preserve">authors as a possible proxy for income) were much less likely to have a follow-up visit </w:t>
      </w:r>
      <w:proofErr w:type="gramStart"/>
      <w:r>
        <w:rPr>
          <w:rFonts w:cstheme="minorHAnsi"/>
          <w:bCs/>
          <w:color w:val="C00000"/>
        </w:rPr>
        <w:t>and also</w:t>
      </w:r>
      <w:proofErr w:type="gramEnd"/>
      <w:r>
        <w:rPr>
          <w:rFonts w:cstheme="minorHAnsi"/>
          <w:bCs/>
          <w:color w:val="C00000"/>
        </w:rPr>
        <w:t xml:space="preserve"> more likely to experience a readmission within 30 days; the inverse was true for patients with commercial insurance. Medicare patients with additional Medicaid coverage were much less likely to have a follow-up visit but also less likely to experience a </w:t>
      </w:r>
      <w:r w:rsidRPr="00154056">
        <w:rPr>
          <w:rFonts w:cstheme="minorHAnsi"/>
          <w:bCs/>
          <w:color w:val="C00000"/>
        </w:rPr>
        <w:t>readmission.</w:t>
      </w:r>
      <w:r w:rsidR="00471E95" w:rsidRPr="00154056">
        <w:rPr>
          <w:rFonts w:cstheme="minorHAnsi"/>
          <w:noProof/>
          <w:color w:val="C00000"/>
        </w:rPr>
        <w:t xml:space="preserve"> However, a recent study found that readmission rates </w:t>
      </w:r>
      <w:r w:rsidR="00154056">
        <w:rPr>
          <w:rFonts w:cstheme="minorHAnsi"/>
          <w:noProof/>
          <w:color w:val="C00000"/>
        </w:rPr>
        <w:t xml:space="preserve">within hospitals </w:t>
      </w:r>
      <w:r w:rsidR="00471E95" w:rsidRPr="00154056">
        <w:rPr>
          <w:rFonts w:cstheme="minorHAnsi"/>
          <w:noProof/>
          <w:color w:val="C00000"/>
        </w:rPr>
        <w:t>were only slightly higher for patients in lower-income neighborhoods compared with higher-income neighborhoods (Downing et al., 2018).</w:t>
      </w:r>
    </w:p>
    <w:p w14:paraId="5B738A59" w14:textId="77777777" w:rsidR="00D2353D" w:rsidRDefault="00D2353D" w:rsidP="00D2353D">
      <w:pPr>
        <w:spacing w:before="120" w:line="240" w:lineRule="auto"/>
        <w:rPr>
          <w:rFonts w:cstheme="minorHAnsi"/>
          <w:noProof/>
          <w:color w:val="C00000"/>
        </w:rPr>
      </w:pPr>
      <w:r>
        <w:rPr>
          <w:rFonts w:cstheme="minorHAnsi"/>
          <w:noProof/>
          <w:color w:val="C00000"/>
        </w:rPr>
        <w:t>Although we analytically aim to separate these pathways to the extent possible</w:t>
      </w:r>
      <w:r>
        <w:rPr>
          <w:rFonts w:cstheme="minorHAnsi"/>
          <w:noProof/>
          <w:color w:val="7030A0"/>
        </w:rPr>
        <w:t xml:space="preserve">, </w:t>
      </w:r>
      <w:r>
        <w:rPr>
          <w:rFonts w:cstheme="minorHAnsi"/>
          <w:noProof/>
          <w:color w:val="C00000"/>
        </w:rPr>
        <w:t xml:space="preserve">we acknowledge that risk factors often act on multiple pathways, and as such, individual pathways are complex to distinguish analytically. Further, some social risk factors, despite having a strong conceptual relationship with worse outcomes, may not have statistically meaningful effects on the risk model. They also have different implications on the decision to risk adjust or not. </w:t>
      </w:r>
    </w:p>
    <w:p w14:paraId="7A8F6739" w14:textId="6EC766B1" w:rsidR="00D2353D" w:rsidRDefault="00D2353D" w:rsidP="00D2353D">
      <w:pPr>
        <w:spacing w:before="120" w:after="120" w:line="240" w:lineRule="auto"/>
        <w:rPr>
          <w:rFonts w:cstheme="minorHAnsi"/>
          <w:noProof/>
          <w:color w:val="C00000"/>
        </w:rPr>
      </w:pPr>
      <w:r>
        <w:rPr>
          <w:rFonts w:cstheme="minorHAnsi"/>
          <w:noProof/>
          <w:color w:val="C00000"/>
        </w:rPr>
        <w:t xml:space="preserve">Note that while race has been used in studies of </w:t>
      </w:r>
      <w:r w:rsidR="00B576FC">
        <w:rPr>
          <w:rFonts w:cstheme="minorHAnsi"/>
          <w:noProof/>
          <w:color w:val="C00000"/>
        </w:rPr>
        <w:t>heart failure</w:t>
      </w:r>
      <w:r>
        <w:rPr>
          <w:rFonts w:cstheme="minorHAnsi"/>
          <w:noProof/>
          <w:color w:val="C00000"/>
        </w:rPr>
        <w:t xml:space="preserve"> outcomes and utilization, NQF has discouraged the use of race variables in social risk factor testing.  Therefore, we do not present those results.</w:t>
      </w:r>
    </w:p>
    <w:p w14:paraId="6A77EF50" w14:textId="051F2448" w:rsidR="00D2353D" w:rsidRDefault="00D2353D" w:rsidP="00D2353D">
      <w:pPr>
        <w:spacing w:before="120" w:line="240" w:lineRule="auto"/>
        <w:rPr>
          <w:rFonts w:cstheme="minorHAnsi"/>
          <w:noProof/>
          <w:color w:val="7030A0"/>
        </w:rPr>
      </w:pPr>
      <w:r>
        <w:rPr>
          <w:rFonts w:cstheme="minorHAnsi"/>
          <w:noProof/>
          <w:color w:val="7030A0"/>
        </w:rPr>
        <w:t xml:space="preserve">Based on this model and the considerations outlined </w:t>
      </w:r>
      <w:r>
        <w:rPr>
          <w:rFonts w:cstheme="minorHAnsi"/>
          <w:noProof/>
          <w:color w:val="C00000"/>
        </w:rPr>
        <w:t>above and in</w:t>
      </w:r>
      <w:r>
        <w:rPr>
          <w:rFonts w:cstheme="minorHAnsi"/>
          <w:noProof/>
          <w:color w:val="7030A0"/>
        </w:rPr>
        <w:t xml:space="preserve"> section 1.8 – </w:t>
      </w:r>
      <w:r>
        <w:rPr>
          <w:rFonts w:cstheme="minorHAnsi"/>
          <w:noProof/>
          <w:color w:val="C00000"/>
        </w:rPr>
        <w:t>namely, that the AHRQ SES index and dual eligibility variables aim to capture the SRFs that are likely to influence these pathways (income, education, housing, and community factors</w:t>
      </w:r>
      <w:r w:rsidR="006D04FA">
        <w:rPr>
          <w:rFonts w:cstheme="minorHAnsi"/>
          <w:noProof/>
          <w:color w:val="C00000"/>
        </w:rPr>
        <w:t>)</w:t>
      </w:r>
      <w:r>
        <w:rPr>
          <w:rFonts w:cstheme="minorHAnsi"/>
          <w:noProof/>
          <w:color w:val="C00000"/>
        </w:rPr>
        <w:t xml:space="preserve"> </w:t>
      </w:r>
      <w:r w:rsidR="006D04FA">
        <w:rPr>
          <w:rFonts w:cstheme="minorHAnsi"/>
          <w:noProof/>
          <w:color w:val="7030A0"/>
        </w:rPr>
        <w:t>–</w:t>
      </w:r>
      <w:r>
        <w:rPr>
          <w:rFonts w:cstheme="minorHAnsi"/>
          <w:noProof/>
          <w:color w:val="C00000"/>
        </w:rPr>
        <w:t xml:space="preserve"> </w:t>
      </w:r>
      <w:r>
        <w:rPr>
          <w:rFonts w:cstheme="minorHAnsi"/>
          <w:noProof/>
          <w:color w:val="7030A0"/>
        </w:rPr>
        <w:t>the following social risk variables were considered for risk-adjustment:</w:t>
      </w:r>
    </w:p>
    <w:p w14:paraId="1624C8C6" w14:textId="77777777" w:rsidR="00D2353D" w:rsidRDefault="00D2353D" w:rsidP="00D2353D">
      <w:pPr>
        <w:pStyle w:val="ListParagraph"/>
        <w:numPr>
          <w:ilvl w:val="0"/>
          <w:numId w:val="37"/>
        </w:numPr>
        <w:spacing w:before="120" w:line="240" w:lineRule="auto"/>
        <w:rPr>
          <w:rFonts w:cstheme="minorHAnsi"/>
          <w:noProof/>
          <w:color w:val="7030A0"/>
        </w:rPr>
      </w:pPr>
      <w:r>
        <w:rPr>
          <w:rFonts w:cstheme="minorHAnsi"/>
          <w:noProof/>
          <w:color w:val="7030A0"/>
        </w:rPr>
        <w:t>Dual eligible status</w:t>
      </w:r>
    </w:p>
    <w:p w14:paraId="5BA0BE0A" w14:textId="0D023028" w:rsidR="00722E3C" w:rsidRPr="00CB3DDB" w:rsidRDefault="00D2353D" w:rsidP="00722E3C">
      <w:pPr>
        <w:pStyle w:val="ListParagraph"/>
        <w:numPr>
          <w:ilvl w:val="0"/>
          <w:numId w:val="37"/>
        </w:numPr>
        <w:spacing w:before="120" w:line="240" w:lineRule="auto"/>
        <w:rPr>
          <w:rFonts w:cstheme="minorHAnsi"/>
          <w:noProof/>
          <w:color w:val="7030A0"/>
        </w:rPr>
      </w:pPr>
      <w:r>
        <w:rPr>
          <w:rFonts w:cstheme="minorHAnsi"/>
          <w:noProof/>
          <w:color w:val="7030A0"/>
        </w:rPr>
        <w:t>AHRQ SES index</w:t>
      </w:r>
    </w:p>
    <w:p w14:paraId="15D718A8" w14:textId="77777777" w:rsidR="00D2353D" w:rsidRPr="00DC463A" w:rsidRDefault="00D2353D" w:rsidP="00D2353D">
      <w:pPr>
        <w:spacing w:before="120" w:after="120" w:line="240" w:lineRule="auto"/>
        <w:rPr>
          <w:rFonts w:cstheme="minorHAnsi"/>
          <w:noProof/>
          <w:color w:val="C00000"/>
          <w:u w:val="single"/>
        </w:rPr>
      </w:pPr>
      <w:r w:rsidRPr="00DC463A">
        <w:rPr>
          <w:rFonts w:cstheme="minorHAnsi"/>
          <w:noProof/>
          <w:color w:val="C00000"/>
          <w:u w:val="single"/>
        </w:rPr>
        <w:t>References</w:t>
      </w:r>
    </w:p>
    <w:p w14:paraId="114E533D" w14:textId="77777777" w:rsidR="005F25D4" w:rsidRDefault="005F25D4" w:rsidP="005F25D4">
      <w:pPr>
        <w:autoSpaceDE w:val="0"/>
        <w:autoSpaceDN w:val="0"/>
        <w:adjustRightInd w:val="0"/>
        <w:spacing w:before="120" w:after="0" w:line="240" w:lineRule="auto"/>
        <w:rPr>
          <w:rFonts w:cstheme="minorHAnsi"/>
          <w:color w:val="C00000"/>
          <w:shd w:val="clear" w:color="auto" w:fill="FFFFFF"/>
        </w:rPr>
      </w:pPr>
      <w:bookmarkStart w:id="19" w:name="_Hlk59952539"/>
      <w:bookmarkStart w:id="20" w:name="_Hlk59952557"/>
      <w:proofErr w:type="spellStart"/>
      <w:r w:rsidRPr="006C6A88">
        <w:rPr>
          <w:rFonts w:cstheme="minorHAnsi"/>
          <w:color w:val="C00000"/>
          <w:shd w:val="clear" w:color="auto" w:fill="FFFFFF"/>
        </w:rPr>
        <w:t>Alghanem</w:t>
      </w:r>
      <w:proofErr w:type="spellEnd"/>
      <w:r w:rsidRPr="006C6A88">
        <w:rPr>
          <w:rFonts w:cstheme="minorHAnsi"/>
          <w:color w:val="C00000"/>
          <w:shd w:val="clear" w:color="auto" w:fill="FFFFFF"/>
        </w:rPr>
        <w:t xml:space="preserve"> F, Clements JM. Narrowing performance gap between rural and urban hospitals for acute myocardial infarction care. Am J </w:t>
      </w:r>
      <w:proofErr w:type="spellStart"/>
      <w:r w:rsidRPr="006C6A88">
        <w:rPr>
          <w:rFonts w:cstheme="minorHAnsi"/>
          <w:color w:val="C00000"/>
          <w:shd w:val="clear" w:color="auto" w:fill="FFFFFF"/>
        </w:rPr>
        <w:t>Emerg</w:t>
      </w:r>
      <w:proofErr w:type="spellEnd"/>
      <w:r w:rsidRPr="006C6A88">
        <w:rPr>
          <w:rFonts w:cstheme="minorHAnsi"/>
          <w:color w:val="C00000"/>
          <w:shd w:val="clear" w:color="auto" w:fill="FFFFFF"/>
        </w:rPr>
        <w:t xml:space="preserve"> Med. 2020 Jan;38(1):89-94. </w:t>
      </w:r>
    </w:p>
    <w:bookmarkEnd w:id="19"/>
    <w:bookmarkEnd w:id="20"/>
    <w:p w14:paraId="77D99150" w14:textId="77777777" w:rsidR="00D2353D" w:rsidRDefault="00D2353D" w:rsidP="00D2353D">
      <w:pPr>
        <w:spacing w:before="120" w:after="120" w:line="240" w:lineRule="auto"/>
        <w:rPr>
          <w:rFonts w:cstheme="minorHAnsi"/>
          <w:bCs/>
          <w:color w:val="7030A0"/>
        </w:rPr>
      </w:pPr>
      <w:r>
        <w:rPr>
          <w:rFonts w:cstheme="minorHAnsi"/>
          <w:bCs/>
          <w:color w:val="7030A0"/>
        </w:rPr>
        <w:t xml:space="preserve">Blum AB, </w:t>
      </w:r>
      <w:proofErr w:type="spellStart"/>
      <w:r>
        <w:rPr>
          <w:rFonts w:cstheme="minorHAnsi"/>
          <w:bCs/>
          <w:color w:val="7030A0"/>
        </w:rPr>
        <w:t>Egorova</w:t>
      </w:r>
      <w:proofErr w:type="spellEnd"/>
      <w:r>
        <w:rPr>
          <w:rFonts w:cstheme="minorHAnsi"/>
          <w:bCs/>
          <w:color w:val="7030A0"/>
        </w:rPr>
        <w:t xml:space="preserve"> NN, </w:t>
      </w:r>
      <w:proofErr w:type="spellStart"/>
      <w:r>
        <w:rPr>
          <w:rFonts w:cstheme="minorHAnsi"/>
          <w:bCs/>
          <w:color w:val="7030A0"/>
        </w:rPr>
        <w:t>Sosunov</w:t>
      </w:r>
      <w:proofErr w:type="spellEnd"/>
      <w:r>
        <w:rPr>
          <w:rFonts w:cstheme="minorHAnsi"/>
          <w:bCs/>
          <w:color w:val="7030A0"/>
        </w:rPr>
        <w:t xml:space="preserve"> EA, et al. Impact of socioeconomic status measures on hospital profiling in New York City. Circulation Cardiovascular quality and outcomes 2014; 7:391-7.</w:t>
      </w:r>
    </w:p>
    <w:p w14:paraId="70A89150" w14:textId="77777777" w:rsidR="00D2353D" w:rsidRDefault="00D2353D" w:rsidP="00D2353D">
      <w:pPr>
        <w:spacing w:before="120" w:after="120" w:line="240" w:lineRule="auto"/>
        <w:rPr>
          <w:rFonts w:cstheme="minorHAnsi"/>
          <w:color w:val="7030A0"/>
        </w:rPr>
      </w:pPr>
      <w:r>
        <w:rPr>
          <w:rFonts w:cstheme="minorHAnsi"/>
          <w:color w:val="7030A0"/>
        </w:rPr>
        <w:t xml:space="preserve">Chang W-C, Kaul P, </w:t>
      </w:r>
      <w:proofErr w:type="spellStart"/>
      <w:r>
        <w:rPr>
          <w:rFonts w:cstheme="minorHAnsi"/>
          <w:color w:val="7030A0"/>
        </w:rPr>
        <w:t>Westerhout</w:t>
      </w:r>
      <w:proofErr w:type="spellEnd"/>
      <w:r>
        <w:rPr>
          <w:rFonts w:cstheme="minorHAnsi"/>
          <w:color w:val="7030A0"/>
        </w:rPr>
        <w:t xml:space="preserve"> C M, Graham M. M., Armstrong Paul W., “Effects of Socioeconomic Status on Mortality after Acute Myocardial Infarction.” The American Journal of Medicine. 2007; 120(1): 33-39.</w:t>
      </w:r>
    </w:p>
    <w:p w14:paraId="0DDB8F98" w14:textId="77777777" w:rsidR="00D2353D" w:rsidRDefault="00D2353D" w:rsidP="00D2353D">
      <w:pPr>
        <w:spacing w:before="120" w:after="120" w:line="240" w:lineRule="auto"/>
        <w:rPr>
          <w:rFonts w:cstheme="minorHAnsi"/>
          <w:bCs/>
          <w:color w:val="C00000"/>
        </w:rPr>
      </w:pPr>
      <w:r>
        <w:rPr>
          <w:rFonts w:cstheme="minorHAnsi"/>
          <w:bCs/>
          <w:color w:val="C00000"/>
        </w:rPr>
        <w:t>Committee on Accounting for Socioeconomic Status in Medicare Payment Programs; Board on Population Health and Public Health Practice; Board on Health Care Services; Institute of Medicine; National Academies of Sciences, Engineering, and Medicine. Accounting for Social Risk Factors in Medicare Payment: Identifying Social Risk Factors. Washington (DC): National Academies Press (US); 2016 Jan 12. (</w:t>
      </w:r>
      <w:hyperlink r:id="rId19" w:history="1">
        <w:r>
          <w:rPr>
            <w:rStyle w:val="Hyperlink"/>
            <w:rFonts w:cstheme="minorHAnsi"/>
            <w:bCs/>
          </w:rPr>
          <w:t>https://www.ncbi.nlm.nih.gov/books/NBK338754/doi:10.17226/21858</w:t>
        </w:r>
      </w:hyperlink>
      <w:r>
        <w:rPr>
          <w:rFonts w:cstheme="minorHAnsi"/>
          <w:bCs/>
          <w:color w:val="C00000"/>
        </w:rPr>
        <w:t>)</w:t>
      </w:r>
    </w:p>
    <w:p w14:paraId="3B20727E" w14:textId="77777777" w:rsidR="00D2353D" w:rsidRDefault="00D2353D" w:rsidP="00D2353D">
      <w:pPr>
        <w:spacing w:before="120" w:after="120" w:line="240" w:lineRule="auto"/>
        <w:rPr>
          <w:rFonts w:cstheme="minorHAnsi"/>
          <w:bCs/>
          <w:color w:val="C00000"/>
        </w:rPr>
      </w:pPr>
      <w:proofErr w:type="spellStart"/>
      <w:r>
        <w:rPr>
          <w:rFonts w:cstheme="minorHAnsi"/>
          <w:bCs/>
          <w:color w:val="C00000"/>
        </w:rPr>
        <w:lastRenderedPageBreak/>
        <w:t>DeLia</w:t>
      </w:r>
      <w:proofErr w:type="spellEnd"/>
      <w:r>
        <w:rPr>
          <w:rFonts w:cstheme="minorHAnsi"/>
          <w:bCs/>
          <w:color w:val="C00000"/>
        </w:rPr>
        <w:t xml:space="preserve">, D., Tong, J., </w:t>
      </w:r>
      <w:proofErr w:type="spellStart"/>
      <w:r>
        <w:rPr>
          <w:rFonts w:cstheme="minorHAnsi"/>
          <w:bCs/>
          <w:color w:val="C00000"/>
        </w:rPr>
        <w:t>Gaboda</w:t>
      </w:r>
      <w:proofErr w:type="spellEnd"/>
      <w:r>
        <w:rPr>
          <w:rFonts w:cstheme="minorHAnsi"/>
          <w:bCs/>
          <w:color w:val="C00000"/>
        </w:rPr>
        <w:t xml:space="preserve">, D., &amp; </w:t>
      </w:r>
      <w:proofErr w:type="spellStart"/>
      <w:r>
        <w:rPr>
          <w:rFonts w:cstheme="minorHAnsi"/>
          <w:bCs/>
          <w:color w:val="C00000"/>
        </w:rPr>
        <w:t>Casalino</w:t>
      </w:r>
      <w:proofErr w:type="spellEnd"/>
      <w:r>
        <w:rPr>
          <w:rFonts w:cstheme="minorHAnsi"/>
          <w:bCs/>
          <w:color w:val="C00000"/>
        </w:rPr>
        <w:t xml:space="preserve">, L. P. 2014. Post-discharge follow-up visits and hospital utilization by Medicare patients, 2007-2010. Medicare &amp; Medicaid research review, 4(2). </w:t>
      </w:r>
    </w:p>
    <w:p w14:paraId="66D50F0F" w14:textId="77777777" w:rsidR="00D2353D" w:rsidRDefault="00D2353D" w:rsidP="00D2353D">
      <w:pPr>
        <w:spacing w:after="120" w:line="240" w:lineRule="auto"/>
        <w:rPr>
          <w:rFonts w:cstheme="minorHAnsi"/>
          <w:bCs/>
          <w:color w:val="C00000"/>
        </w:rPr>
      </w:pPr>
      <w:r>
        <w:rPr>
          <w:rFonts w:cstheme="minorHAnsi"/>
          <w:bCs/>
          <w:color w:val="C00000"/>
        </w:rPr>
        <w:t>Department of Health and Human Services, Office of the Assistant Secretary of Planning and Evaluation. Report to Congress: Social Risk Factors and Performance under Medicare’s Value-based Payment Programs. December 21, 2016. (</w:t>
      </w:r>
      <w:hyperlink r:id="rId20" w:history="1">
        <w:r>
          <w:rPr>
            <w:rStyle w:val="Hyperlink"/>
            <w:rFonts w:cstheme="minorHAnsi"/>
          </w:rPr>
          <w:t>https://aspe.hhs.gov/pdf-report/report-congress-social-risk-factors-and-performance-under-medicares-value-based-purchasing-programs</w:t>
        </w:r>
      </w:hyperlink>
      <w:r>
        <w:rPr>
          <w:rFonts w:cstheme="minorHAnsi"/>
          <w:bCs/>
          <w:color w:val="C00000"/>
        </w:rPr>
        <w:t>).</w:t>
      </w:r>
    </w:p>
    <w:p w14:paraId="56EF02D9" w14:textId="77777777" w:rsidR="0011504A" w:rsidRPr="000A6F1B" w:rsidRDefault="0011504A" w:rsidP="0011504A">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1" w:history="1">
        <w:r w:rsidRPr="00C72A25">
          <w:rPr>
            <w:rStyle w:val="Hyperlink"/>
            <w:rFonts w:cstheme="minorHAnsi"/>
            <w:iCs/>
            <w:noProof/>
          </w:rPr>
          <w:t>https://aspe.hhs.gov/pdf-report/second-impact-report-to-congress</w:t>
        </w:r>
      </w:hyperlink>
      <w:r>
        <w:rPr>
          <w:rFonts w:cstheme="minorHAnsi"/>
          <w:iCs/>
          <w:noProof/>
          <w:color w:val="C00000"/>
        </w:rPr>
        <w:t>. Accessed January 4, 2021</w:t>
      </w:r>
      <w:r w:rsidRPr="000A6F1B">
        <w:rPr>
          <w:rFonts w:cstheme="minorHAnsi"/>
          <w:iCs/>
          <w:noProof/>
          <w:color w:val="C00000"/>
        </w:rPr>
        <w:t>.</w:t>
      </w:r>
    </w:p>
    <w:p w14:paraId="684C7D0D" w14:textId="77777777" w:rsidR="00D2353D" w:rsidRDefault="00D2353D" w:rsidP="00D2353D">
      <w:pPr>
        <w:autoSpaceDE w:val="0"/>
        <w:autoSpaceDN w:val="0"/>
        <w:adjustRightInd w:val="0"/>
        <w:spacing w:before="120" w:after="120" w:line="240" w:lineRule="auto"/>
        <w:rPr>
          <w:rFonts w:cstheme="minorHAnsi"/>
          <w:bCs/>
          <w:color w:val="C00000"/>
        </w:rPr>
      </w:pPr>
      <w:r>
        <w:rPr>
          <w:rFonts w:cstheme="minorHAnsi"/>
          <w:bCs/>
          <w:color w:val="C00000"/>
        </w:rPr>
        <w:t xml:space="preserve">Desai, N. R., Ott, L. S., George, E. J., Xu, X., Kim, N., Zhou, S., Hsieh, A., </w:t>
      </w:r>
      <w:proofErr w:type="spellStart"/>
      <w:r>
        <w:rPr>
          <w:rFonts w:cstheme="minorHAnsi"/>
          <w:bCs/>
          <w:color w:val="C00000"/>
        </w:rPr>
        <w:t>Nuti</w:t>
      </w:r>
      <w:proofErr w:type="spellEnd"/>
      <w:r>
        <w:rPr>
          <w:rFonts w:cstheme="minorHAnsi"/>
          <w:bCs/>
          <w:color w:val="C00000"/>
        </w:rPr>
        <w:t xml:space="preserve">, S. V., Lin, Z., Bernheim, S. M., &amp; Krumholz, H. M. (2018). Variation in and Hospital Characteristics Associated </w:t>
      </w:r>
      <w:proofErr w:type="gramStart"/>
      <w:r>
        <w:rPr>
          <w:rFonts w:cstheme="minorHAnsi"/>
          <w:bCs/>
          <w:color w:val="C00000"/>
        </w:rPr>
        <w:t>With</w:t>
      </w:r>
      <w:proofErr w:type="gramEnd"/>
      <w:r>
        <w:rPr>
          <w:rFonts w:cstheme="minorHAnsi"/>
          <w:bCs/>
          <w:color w:val="C00000"/>
        </w:rPr>
        <w:t xml:space="preserve"> the Value of Care for Medicare Beneficiaries With Acute Myocardial Infarction, Heart Failure, and Pneumonia. JAMA network open, 1(6), e183519. </w:t>
      </w:r>
    </w:p>
    <w:p w14:paraId="596652A2" w14:textId="353038D0" w:rsidR="00D2353D" w:rsidRDefault="00D2353D" w:rsidP="00D2353D">
      <w:pPr>
        <w:spacing w:before="120" w:after="120" w:line="240" w:lineRule="auto"/>
        <w:rPr>
          <w:rFonts w:cstheme="minorHAnsi"/>
          <w:bCs/>
          <w:color w:val="C00000"/>
        </w:rPr>
      </w:pPr>
      <w:r>
        <w:rPr>
          <w:rFonts w:cstheme="minorHAnsi"/>
          <w:bCs/>
          <w:color w:val="C00000"/>
        </w:rPr>
        <w:t xml:space="preserve">Downing, N. S., Wang, C., Gupta, A., Wang, Y., </w:t>
      </w:r>
      <w:proofErr w:type="spellStart"/>
      <w:r>
        <w:rPr>
          <w:rFonts w:cstheme="minorHAnsi"/>
          <w:bCs/>
          <w:color w:val="C00000"/>
        </w:rPr>
        <w:t>Nuti</w:t>
      </w:r>
      <w:proofErr w:type="spellEnd"/>
      <w:r>
        <w:rPr>
          <w:rFonts w:cstheme="minorHAnsi"/>
          <w:bCs/>
          <w:color w:val="C00000"/>
        </w:rPr>
        <w:t xml:space="preserve">, S. V., Ross, J. S., Bernheim, S. M., Lin, Z., Normand, S. T., &amp; Krumholz, H. M. (2018). Association of Racial and Socioeconomic Disparities </w:t>
      </w:r>
      <w:proofErr w:type="gramStart"/>
      <w:r>
        <w:rPr>
          <w:rFonts w:cstheme="minorHAnsi"/>
          <w:bCs/>
          <w:color w:val="C00000"/>
        </w:rPr>
        <w:t>With</w:t>
      </w:r>
      <w:proofErr w:type="gramEnd"/>
      <w:r>
        <w:rPr>
          <w:rFonts w:cstheme="minorHAnsi"/>
          <w:bCs/>
          <w:color w:val="C00000"/>
        </w:rPr>
        <w:t xml:space="preserve"> Outcomes Among Patients Hospitalized With Acute Myocardial Infarction, Heart Failure, and Pneumonia: An Analysis of Within- and Between-Hospital Variation. JAMA network open, 1(5), e182044. </w:t>
      </w:r>
    </w:p>
    <w:p w14:paraId="25DB57CD" w14:textId="77777777" w:rsidR="005F25D4" w:rsidRDefault="005F25D4" w:rsidP="005F25D4">
      <w:pPr>
        <w:autoSpaceDE w:val="0"/>
        <w:autoSpaceDN w:val="0"/>
        <w:adjustRightInd w:val="0"/>
        <w:spacing w:before="120" w:after="0" w:line="240" w:lineRule="auto"/>
        <w:rPr>
          <w:rFonts w:cstheme="minorHAnsi"/>
          <w:bCs/>
          <w:iCs/>
          <w:color w:val="C00000"/>
        </w:rPr>
      </w:pPr>
      <w:proofErr w:type="spellStart"/>
      <w:r>
        <w:rPr>
          <w:rFonts w:cstheme="minorHAnsi"/>
          <w:bCs/>
          <w:iCs/>
          <w:color w:val="C00000"/>
        </w:rPr>
        <w:t>Eapen</w:t>
      </w:r>
      <w:proofErr w:type="spellEnd"/>
      <w:r>
        <w:rPr>
          <w:rFonts w:cstheme="minorHAnsi"/>
          <w:bCs/>
          <w:iCs/>
          <w:color w:val="C00000"/>
        </w:rPr>
        <w:t xml:space="preserve"> ZJ, McCoy LA, </w:t>
      </w:r>
      <w:proofErr w:type="spellStart"/>
      <w:r>
        <w:rPr>
          <w:rFonts w:cstheme="minorHAnsi"/>
          <w:bCs/>
          <w:iCs/>
          <w:color w:val="C00000"/>
        </w:rPr>
        <w:t>Fonarow</w:t>
      </w:r>
      <w:proofErr w:type="spellEnd"/>
      <w:r>
        <w:rPr>
          <w:rFonts w:cstheme="minorHAnsi"/>
          <w:bCs/>
          <w:iCs/>
          <w:color w:val="C00000"/>
        </w:rPr>
        <w:t xml:space="preserve"> GC, Yancy CW, Miranda ML, Peterson ED, </w:t>
      </w:r>
      <w:proofErr w:type="spellStart"/>
      <w:r>
        <w:rPr>
          <w:rFonts w:cstheme="minorHAnsi"/>
          <w:bCs/>
          <w:iCs/>
          <w:color w:val="C00000"/>
        </w:rPr>
        <w:t>Califf</w:t>
      </w:r>
      <w:proofErr w:type="spellEnd"/>
      <w:r>
        <w:rPr>
          <w:rFonts w:cstheme="minorHAnsi"/>
          <w:bCs/>
          <w:iCs/>
          <w:color w:val="C00000"/>
        </w:rPr>
        <w:t xml:space="preserve"> RM, Hernandez AF. Utility of socioeconomic status in predicting 30-day outcomes after heart failure hospitalization. Circ Heart Fail. May 2015; 8(3):473-80.</w:t>
      </w:r>
    </w:p>
    <w:p w14:paraId="64FC7FFE" w14:textId="4A0729E0" w:rsidR="00544F97" w:rsidRDefault="00544F97" w:rsidP="00544F97">
      <w:pPr>
        <w:spacing w:before="120" w:after="120" w:line="240" w:lineRule="auto"/>
        <w:rPr>
          <w:rFonts w:cstheme="minorHAnsi"/>
          <w:noProof/>
          <w:color w:val="C00000"/>
        </w:rPr>
      </w:pPr>
      <w:r w:rsidRPr="00544F97">
        <w:rPr>
          <w:rFonts w:cstheme="minorHAnsi"/>
          <w:noProof/>
          <w:color w:val="C00000"/>
        </w:rPr>
        <w:t xml:space="preserve">Graham, Garth. “Disparities in cardiovascular disease risk in the United States.” Current cardiology reviews vol. 11,3 (2015): 238-45. </w:t>
      </w:r>
    </w:p>
    <w:p w14:paraId="0FDE43A1" w14:textId="7A6DA56C" w:rsidR="005F25D4" w:rsidRPr="005F25D4" w:rsidRDefault="005F25D4" w:rsidP="00544F97">
      <w:pPr>
        <w:spacing w:before="120" w:after="120" w:line="240" w:lineRule="auto"/>
        <w:rPr>
          <w:rFonts w:cstheme="minorHAnsi"/>
          <w:color w:val="7030A0"/>
        </w:rPr>
      </w:pPr>
      <w:r w:rsidRPr="000E112B">
        <w:rPr>
          <w:rFonts w:cstheme="minorHAnsi"/>
          <w:color w:val="7030A0"/>
        </w:rPr>
        <w:t xml:space="preserve">Gilman M, Adams EK, Hockenberry JM, et al. California safety-net hospitals likely to be penalized by ACA value, readmission, and meaningful-use programs. Health </w:t>
      </w:r>
      <w:proofErr w:type="spellStart"/>
      <w:r w:rsidRPr="000E112B">
        <w:rPr>
          <w:rFonts w:cstheme="minorHAnsi"/>
          <w:color w:val="7030A0"/>
        </w:rPr>
        <w:t>Aff</w:t>
      </w:r>
      <w:proofErr w:type="spellEnd"/>
      <w:r w:rsidRPr="000E112B">
        <w:rPr>
          <w:rFonts w:cstheme="minorHAnsi"/>
          <w:color w:val="7030A0"/>
        </w:rPr>
        <w:t xml:space="preserve"> (Millwood). Aug 2014; 33(8):1314-22.</w:t>
      </w:r>
    </w:p>
    <w:p w14:paraId="457CF4CE" w14:textId="77777777" w:rsidR="00D2353D" w:rsidRDefault="00D2353D" w:rsidP="00D2353D">
      <w:pPr>
        <w:spacing w:before="120" w:after="120" w:line="240" w:lineRule="auto"/>
        <w:rPr>
          <w:rFonts w:cstheme="minorHAnsi"/>
          <w:bCs/>
          <w:color w:val="C00000"/>
        </w:rPr>
      </w:pPr>
      <w:r>
        <w:rPr>
          <w:rFonts w:cstheme="minorHAnsi"/>
          <w:bCs/>
          <w:color w:val="C00000"/>
        </w:rPr>
        <w:t xml:space="preserve">Hayes, B. H., </w:t>
      </w:r>
      <w:proofErr w:type="spellStart"/>
      <w:r>
        <w:rPr>
          <w:rFonts w:cstheme="minorHAnsi"/>
          <w:bCs/>
          <w:color w:val="C00000"/>
        </w:rPr>
        <w:t>Haberling</w:t>
      </w:r>
      <w:proofErr w:type="spellEnd"/>
      <w:r>
        <w:rPr>
          <w:rFonts w:cstheme="minorHAnsi"/>
          <w:bCs/>
          <w:color w:val="C00000"/>
        </w:rPr>
        <w:t xml:space="preserve">, D. L., Kennedy, J. L., Varma, J. K., Fry, A. M., &amp; Vora, N. M. (2018). Burden of Pneumonia-Associated Hospitalizations: United States, 2001-2014. Chest, 153(2), 427–437. </w:t>
      </w:r>
    </w:p>
    <w:p w14:paraId="65C86883" w14:textId="77777777" w:rsidR="00D2353D" w:rsidRDefault="00D2353D" w:rsidP="00D2353D">
      <w:pPr>
        <w:spacing w:before="120" w:after="120" w:line="240" w:lineRule="auto"/>
        <w:rPr>
          <w:rFonts w:cstheme="minorHAnsi"/>
          <w:bCs/>
          <w:color w:val="C00000"/>
        </w:rPr>
      </w:pPr>
      <w:r>
        <w:rPr>
          <w:rFonts w:cstheme="minorHAnsi"/>
          <w:bCs/>
          <w:color w:val="C00000"/>
        </w:rPr>
        <w:t xml:space="preserve">Herrin J, Kenward K, Joshi MS, </w:t>
      </w:r>
      <w:proofErr w:type="spellStart"/>
      <w:r>
        <w:rPr>
          <w:rFonts w:cstheme="minorHAnsi"/>
          <w:bCs/>
          <w:color w:val="C00000"/>
        </w:rPr>
        <w:t>Audet</w:t>
      </w:r>
      <w:proofErr w:type="spellEnd"/>
      <w:r>
        <w:rPr>
          <w:rFonts w:cstheme="minorHAnsi"/>
          <w:bCs/>
          <w:color w:val="C00000"/>
        </w:rPr>
        <w:t xml:space="preserve"> AM, Hines SJ. Assessing Community Quality of Health Care. Health Serv Res. 2016 Feb;51(1):98-116. </w:t>
      </w:r>
      <w:proofErr w:type="spellStart"/>
      <w:r>
        <w:rPr>
          <w:rFonts w:cstheme="minorHAnsi"/>
          <w:bCs/>
          <w:color w:val="C00000"/>
        </w:rPr>
        <w:t>doi</w:t>
      </w:r>
      <w:proofErr w:type="spellEnd"/>
      <w:r>
        <w:rPr>
          <w:rFonts w:cstheme="minorHAnsi"/>
          <w:bCs/>
          <w:color w:val="C00000"/>
        </w:rPr>
        <w:t xml:space="preserve">: 10.1111/1475-6773.12322. </w:t>
      </w:r>
      <w:proofErr w:type="spellStart"/>
      <w:r>
        <w:rPr>
          <w:rFonts w:cstheme="minorHAnsi"/>
          <w:bCs/>
          <w:color w:val="C00000"/>
        </w:rPr>
        <w:t>Epub</w:t>
      </w:r>
      <w:proofErr w:type="spellEnd"/>
      <w:r>
        <w:rPr>
          <w:rFonts w:cstheme="minorHAnsi"/>
          <w:bCs/>
          <w:color w:val="C00000"/>
        </w:rPr>
        <w:t xml:space="preserve"> 2015 Jun 11. PMID: 26096649; PMCID: PMC4722214.</w:t>
      </w:r>
    </w:p>
    <w:p w14:paraId="545E5616" w14:textId="77777777" w:rsidR="00D2353D" w:rsidRDefault="00D2353D" w:rsidP="00D2353D">
      <w:pPr>
        <w:spacing w:before="120" w:after="120" w:line="240" w:lineRule="auto"/>
        <w:rPr>
          <w:rFonts w:cstheme="minorHAnsi"/>
          <w:bCs/>
          <w:color w:val="C00000"/>
        </w:rPr>
      </w:pPr>
      <w:r>
        <w:rPr>
          <w:rFonts w:cstheme="minorHAnsi"/>
          <w:bCs/>
          <w:color w:val="C00000"/>
        </w:rPr>
        <w:t xml:space="preserve">Herrin J, St Andre J, Kenward K, Joshi MS, </w:t>
      </w:r>
      <w:proofErr w:type="spellStart"/>
      <w:r>
        <w:rPr>
          <w:rFonts w:cstheme="minorHAnsi"/>
          <w:bCs/>
          <w:color w:val="C00000"/>
        </w:rPr>
        <w:t>Audet</w:t>
      </w:r>
      <w:proofErr w:type="spellEnd"/>
      <w:r>
        <w:rPr>
          <w:rFonts w:cstheme="minorHAnsi"/>
          <w:bCs/>
          <w:color w:val="C00000"/>
        </w:rPr>
        <w:t xml:space="preserve"> AM, Hines SC. Community factors and hospital readmission rates. Health Serv Res. 2015 Feb;50(1):20-39. </w:t>
      </w:r>
      <w:proofErr w:type="spellStart"/>
      <w:r>
        <w:rPr>
          <w:rFonts w:cstheme="minorHAnsi"/>
          <w:bCs/>
          <w:color w:val="C00000"/>
        </w:rPr>
        <w:t>doi</w:t>
      </w:r>
      <w:proofErr w:type="spellEnd"/>
      <w:r>
        <w:rPr>
          <w:rFonts w:cstheme="minorHAnsi"/>
          <w:bCs/>
          <w:color w:val="C00000"/>
        </w:rPr>
        <w:t xml:space="preserve">: 10.1111/1475-6773.12177. </w:t>
      </w:r>
      <w:proofErr w:type="spellStart"/>
      <w:r>
        <w:rPr>
          <w:rFonts w:cstheme="minorHAnsi"/>
          <w:bCs/>
          <w:color w:val="C00000"/>
        </w:rPr>
        <w:t>Epub</w:t>
      </w:r>
      <w:proofErr w:type="spellEnd"/>
      <w:r>
        <w:rPr>
          <w:rFonts w:cstheme="minorHAnsi"/>
          <w:bCs/>
          <w:color w:val="C00000"/>
        </w:rPr>
        <w:t xml:space="preserve"> 2014 Apr 9. PMID: 24712374; PMCID: PMC4319869.</w:t>
      </w:r>
    </w:p>
    <w:p w14:paraId="4219646E" w14:textId="77777777" w:rsidR="00D2353D" w:rsidRDefault="00D2353D" w:rsidP="00D2353D">
      <w:pPr>
        <w:spacing w:before="120" w:after="120" w:line="240" w:lineRule="auto"/>
        <w:rPr>
          <w:rFonts w:cstheme="minorHAnsi"/>
          <w:noProof/>
          <w:color w:val="C00000"/>
        </w:rPr>
      </w:pPr>
      <w:r>
        <w:rPr>
          <w:rFonts w:cstheme="minorHAnsi"/>
          <w:noProof/>
          <w:color w:val="C00000"/>
        </w:rPr>
        <w:t xml:space="preserve">Hussey PS, Wertheimer S, Mehrotra A. The association between health care quality and cost: a systematic review. Ann Intern Med. 2013;158(1):27-34. </w:t>
      </w:r>
    </w:p>
    <w:p w14:paraId="632EB304" w14:textId="77777777" w:rsidR="00D2353D" w:rsidRDefault="00D2353D" w:rsidP="00D2353D">
      <w:pPr>
        <w:spacing w:before="120" w:after="120" w:line="240" w:lineRule="auto"/>
        <w:rPr>
          <w:rFonts w:cstheme="minorHAnsi"/>
          <w:noProof/>
          <w:color w:val="C00000"/>
        </w:rPr>
      </w:pPr>
      <w:r>
        <w:rPr>
          <w:rFonts w:cstheme="minorHAnsi"/>
          <w:noProof/>
          <w:color w:val="C00000"/>
        </w:rPr>
        <w:t>Huckfeldt, P. J., Mehrotra, A., &amp; Hussey, P. S. (2016). The Relative Importance of Post-Acute Care and Readmissions for Post-Discharge Spending</w:t>
      </w:r>
      <w:r>
        <w:rPr>
          <w:rFonts w:ascii="Segoe UI" w:hAnsi="Segoe UI" w:cs="Segoe UI"/>
          <w:color w:val="212121"/>
          <w:shd w:val="clear" w:color="auto" w:fill="FFFFFF"/>
        </w:rPr>
        <w:t>. </w:t>
      </w:r>
      <w:r>
        <w:rPr>
          <w:rFonts w:cstheme="minorHAnsi"/>
          <w:noProof/>
          <w:color w:val="C00000"/>
        </w:rPr>
        <w:t xml:space="preserve">Health services research, 51(5), 1919–1938. </w:t>
      </w:r>
    </w:p>
    <w:p w14:paraId="11967F3E" w14:textId="77777777" w:rsidR="00D2353D" w:rsidRDefault="00D2353D" w:rsidP="00D2353D">
      <w:pPr>
        <w:spacing w:before="120" w:after="120" w:line="240" w:lineRule="auto"/>
        <w:rPr>
          <w:rFonts w:cstheme="minorHAnsi"/>
          <w:bCs/>
          <w:color w:val="7030A0"/>
        </w:rPr>
      </w:pPr>
      <w:r>
        <w:rPr>
          <w:rFonts w:cstheme="minorHAnsi"/>
          <w:bCs/>
          <w:color w:val="7030A0"/>
        </w:rPr>
        <w:t xml:space="preserve">Jha AK, </w:t>
      </w:r>
      <w:proofErr w:type="spellStart"/>
      <w:r>
        <w:rPr>
          <w:rFonts w:cstheme="minorHAnsi"/>
          <w:bCs/>
          <w:color w:val="7030A0"/>
        </w:rPr>
        <w:t>Orav</w:t>
      </w:r>
      <w:proofErr w:type="spellEnd"/>
      <w:r>
        <w:rPr>
          <w:rFonts w:cstheme="minorHAnsi"/>
          <w:bCs/>
          <w:color w:val="7030A0"/>
        </w:rPr>
        <w:t xml:space="preserve"> EJ, Epstein AM. Low-quality, high-cost hospitals, mainly in South, care for sharply higher shares of elderly black, Hispanic, and Medicaid patients. Health affairs 2011; 30:1904-11.</w:t>
      </w:r>
    </w:p>
    <w:p w14:paraId="559C1862" w14:textId="77777777" w:rsidR="00D2353D" w:rsidRDefault="00D2353D" w:rsidP="00D2353D">
      <w:pPr>
        <w:spacing w:before="120" w:after="120" w:line="240" w:lineRule="auto"/>
        <w:rPr>
          <w:rFonts w:cstheme="minorHAnsi"/>
          <w:bCs/>
          <w:color w:val="7030A0"/>
        </w:rPr>
      </w:pPr>
      <w:proofErr w:type="spellStart"/>
      <w:r>
        <w:rPr>
          <w:rFonts w:cstheme="minorHAnsi"/>
          <w:bCs/>
          <w:color w:val="7030A0"/>
        </w:rPr>
        <w:lastRenderedPageBreak/>
        <w:t>Krumholz</w:t>
      </w:r>
      <w:proofErr w:type="spellEnd"/>
      <w:r>
        <w:rPr>
          <w:rFonts w:cstheme="minorHAnsi"/>
          <w:bCs/>
          <w:color w:val="7030A0"/>
        </w:rPr>
        <w:t xml:space="preserve"> HM, </w:t>
      </w:r>
      <w:proofErr w:type="spellStart"/>
      <w:r>
        <w:rPr>
          <w:rFonts w:cstheme="minorHAnsi"/>
          <w:bCs/>
          <w:color w:val="7030A0"/>
        </w:rPr>
        <w:t>Brindis</w:t>
      </w:r>
      <w:proofErr w:type="spellEnd"/>
      <w:r>
        <w:rPr>
          <w:rFonts w:cstheme="minorHAnsi"/>
          <w:bCs/>
          <w:color w:val="7030A0"/>
        </w:rPr>
        <w:t xml:space="preserve"> RG, Brush JE, et al. Standards for statistical models used for public reporting of health outcomes. Circulation. 2006; 113: 456-462. Available at: http://circ.ahajournals.org/content/113/3/456.full.pdf+html. Accessed January 14, 2016.</w:t>
      </w:r>
    </w:p>
    <w:p w14:paraId="60603D8B" w14:textId="77777777" w:rsidR="00D2353D" w:rsidRDefault="00D2353D" w:rsidP="00D2353D">
      <w:pPr>
        <w:spacing w:before="120" w:line="240" w:lineRule="auto"/>
        <w:rPr>
          <w:rFonts w:cstheme="minorHAnsi"/>
          <w:bCs/>
          <w:color w:val="C00000"/>
        </w:rPr>
      </w:pPr>
      <w:r>
        <w:rPr>
          <w:rFonts w:cstheme="minorHAnsi"/>
          <w:bCs/>
          <w:color w:val="C00000"/>
        </w:rPr>
        <w:t xml:space="preserve">Krumholz, H. M., Wang, Y., Wang, K., Lin, Z., Bernheim, S. M., Xu, X., Desai, N. R., &amp; Normand, S.T. 2019. Association of Hospital Payment Profiles </w:t>
      </w:r>
      <w:proofErr w:type="gramStart"/>
      <w:r>
        <w:rPr>
          <w:rFonts w:cstheme="minorHAnsi"/>
          <w:bCs/>
          <w:color w:val="C00000"/>
        </w:rPr>
        <w:t>With</w:t>
      </w:r>
      <w:proofErr w:type="gramEnd"/>
      <w:r>
        <w:rPr>
          <w:rFonts w:cstheme="minorHAnsi"/>
          <w:bCs/>
          <w:color w:val="C00000"/>
        </w:rPr>
        <w:t xml:space="preserve"> Variation in 30-Day Medicare Cost for </w:t>
      </w:r>
      <w:proofErr w:type="spellStart"/>
      <w:r>
        <w:rPr>
          <w:rFonts w:cstheme="minorHAnsi"/>
          <w:bCs/>
          <w:color w:val="C00000"/>
        </w:rPr>
        <w:t>Inpatients</w:t>
      </w:r>
      <w:proofErr w:type="spellEnd"/>
      <w:r>
        <w:rPr>
          <w:rFonts w:cstheme="minorHAnsi"/>
          <w:bCs/>
          <w:color w:val="C00000"/>
        </w:rPr>
        <w:t xml:space="preserve"> With Heart Failure or Pneumonia. JAMA network open, 2(11), e1915604. </w:t>
      </w:r>
    </w:p>
    <w:p w14:paraId="6725E472" w14:textId="77777777" w:rsidR="00D2353D" w:rsidRDefault="00D2353D" w:rsidP="00D2353D">
      <w:pPr>
        <w:spacing w:before="120" w:line="240" w:lineRule="auto"/>
        <w:rPr>
          <w:rFonts w:cstheme="minorHAnsi"/>
          <w:bCs/>
          <w:color w:val="7030A0"/>
        </w:rPr>
      </w:pPr>
      <w:proofErr w:type="spellStart"/>
      <w:r>
        <w:rPr>
          <w:rFonts w:cstheme="minorHAnsi"/>
          <w:bCs/>
          <w:color w:val="7030A0"/>
        </w:rPr>
        <w:t>Lindenauer</w:t>
      </w:r>
      <w:proofErr w:type="spellEnd"/>
      <w:r>
        <w:rPr>
          <w:rFonts w:cstheme="minorHAnsi"/>
          <w:bCs/>
          <w:color w:val="7030A0"/>
        </w:rPr>
        <w:t xml:space="preserve"> PK, </w:t>
      </w:r>
      <w:proofErr w:type="spellStart"/>
      <w:r>
        <w:rPr>
          <w:rFonts w:cstheme="minorHAnsi"/>
          <w:bCs/>
          <w:color w:val="7030A0"/>
        </w:rPr>
        <w:t>Lagu</w:t>
      </w:r>
      <w:proofErr w:type="spellEnd"/>
      <w:r>
        <w:rPr>
          <w:rFonts w:cstheme="minorHAnsi"/>
          <w:bCs/>
          <w:color w:val="7030A0"/>
        </w:rPr>
        <w:t xml:space="preserve"> T, Rothberg MB, et al. Income inequality and </w:t>
      </w:r>
      <w:proofErr w:type="gramStart"/>
      <w:r>
        <w:rPr>
          <w:rFonts w:cstheme="minorHAnsi"/>
          <w:bCs/>
          <w:color w:val="7030A0"/>
        </w:rPr>
        <w:t>30 day</w:t>
      </w:r>
      <w:proofErr w:type="gramEnd"/>
      <w:r>
        <w:rPr>
          <w:rFonts w:cstheme="minorHAnsi"/>
          <w:bCs/>
          <w:color w:val="7030A0"/>
        </w:rPr>
        <w:t xml:space="preserve"> outcomes after acute myocardial infarction, heart failure, and pneumonia: retrospective cohort study. BMJ. 2013 Feb 14; </w:t>
      </w:r>
      <w:proofErr w:type="gramStart"/>
      <w:r>
        <w:rPr>
          <w:rFonts w:cstheme="minorHAnsi"/>
          <w:bCs/>
          <w:color w:val="7030A0"/>
        </w:rPr>
        <w:t>346:f</w:t>
      </w:r>
      <w:proofErr w:type="gramEnd"/>
      <w:r>
        <w:rPr>
          <w:rFonts w:cstheme="minorHAnsi"/>
          <w:bCs/>
          <w:color w:val="7030A0"/>
        </w:rPr>
        <w:t xml:space="preserve">521. </w:t>
      </w:r>
      <w:proofErr w:type="spellStart"/>
      <w:r>
        <w:rPr>
          <w:rFonts w:cstheme="minorHAnsi"/>
          <w:bCs/>
          <w:color w:val="7030A0"/>
        </w:rPr>
        <w:t>doi</w:t>
      </w:r>
      <w:proofErr w:type="spellEnd"/>
      <w:r>
        <w:rPr>
          <w:rFonts w:cstheme="minorHAnsi"/>
          <w:bCs/>
          <w:color w:val="7030A0"/>
        </w:rPr>
        <w:t>: 10.1136/</w:t>
      </w:r>
      <w:proofErr w:type="gramStart"/>
      <w:r>
        <w:rPr>
          <w:rFonts w:cstheme="minorHAnsi"/>
          <w:bCs/>
          <w:color w:val="7030A0"/>
        </w:rPr>
        <w:t>bmj.f</w:t>
      </w:r>
      <w:proofErr w:type="gramEnd"/>
      <w:r>
        <w:rPr>
          <w:rFonts w:cstheme="minorHAnsi"/>
          <w:bCs/>
          <w:color w:val="7030A0"/>
        </w:rPr>
        <w:t>521.</w:t>
      </w:r>
    </w:p>
    <w:p w14:paraId="33B9D948" w14:textId="77777777" w:rsidR="00D2353D" w:rsidRDefault="00D2353D" w:rsidP="00D2353D">
      <w:pPr>
        <w:spacing w:before="120" w:after="120" w:line="240" w:lineRule="auto"/>
        <w:rPr>
          <w:rFonts w:cstheme="minorHAnsi"/>
          <w:bCs/>
          <w:color w:val="7030A0"/>
        </w:rPr>
      </w:pPr>
      <w:r>
        <w:rPr>
          <w:rFonts w:cstheme="minorHAnsi"/>
          <w:bCs/>
          <w:color w:val="7030A0"/>
        </w:rPr>
        <w:t>Normand S-LT, Shahian DM. Statistical and Clinical Aspects of Hospital Outcomes Profiling. 2007/05 2007:206-226.</w:t>
      </w:r>
    </w:p>
    <w:p w14:paraId="2F3273C4" w14:textId="77777777" w:rsidR="00D2353D" w:rsidRDefault="00D2353D" w:rsidP="00D2353D">
      <w:pPr>
        <w:spacing w:before="120" w:after="120" w:line="240" w:lineRule="auto"/>
        <w:rPr>
          <w:rFonts w:cstheme="minorHAnsi"/>
          <w:bCs/>
          <w:color w:val="7030A0"/>
        </w:rPr>
      </w:pPr>
      <w:r>
        <w:rPr>
          <w:rFonts w:cstheme="minorHAnsi"/>
          <w:bCs/>
          <w:color w:val="7030A0"/>
        </w:rPr>
        <w:t>Pope GC, Ellis RP, Ash AS, et al. Diagnostic cost group hierarchical condition category models for Medicare risk adjustment. Final Report to the Health Care Financing Administration under Contract Number 500-95-048. 2000; http://www.cms.hhs.gov/Reports/downloads/pope_2000_2.pdf. Accessed February 25, 2020.</w:t>
      </w:r>
    </w:p>
    <w:p w14:paraId="3D8FEF8F" w14:textId="77EC969B" w:rsidR="00D2353D" w:rsidRDefault="00D2353D" w:rsidP="00D2353D">
      <w:pPr>
        <w:spacing w:before="120" w:after="120" w:line="240" w:lineRule="auto"/>
        <w:rPr>
          <w:rFonts w:cstheme="minorHAnsi"/>
          <w:bCs/>
          <w:color w:val="C00000"/>
        </w:rPr>
      </w:pPr>
      <w:r>
        <w:rPr>
          <w:rFonts w:cstheme="minorHAnsi"/>
          <w:bCs/>
          <w:color w:val="C00000"/>
        </w:rPr>
        <w:t xml:space="preserve">Pope GC, </w:t>
      </w:r>
      <w:proofErr w:type="spellStart"/>
      <w:r>
        <w:rPr>
          <w:rFonts w:cstheme="minorHAnsi"/>
          <w:bCs/>
          <w:color w:val="C00000"/>
        </w:rPr>
        <w:t>Kautter</w:t>
      </w:r>
      <w:proofErr w:type="spellEnd"/>
      <w:r>
        <w:rPr>
          <w:rFonts w:cstheme="minorHAnsi"/>
          <w:bCs/>
          <w:color w:val="C00000"/>
        </w:rPr>
        <w:t xml:space="preserve"> J, </w:t>
      </w:r>
      <w:proofErr w:type="spellStart"/>
      <w:r>
        <w:rPr>
          <w:rFonts w:cstheme="minorHAnsi"/>
          <w:bCs/>
          <w:color w:val="C00000"/>
        </w:rPr>
        <w:t>Ingber</w:t>
      </w:r>
      <w:proofErr w:type="spellEnd"/>
      <w:r>
        <w:rPr>
          <w:rFonts w:cstheme="minorHAnsi"/>
          <w:bCs/>
          <w:color w:val="C00000"/>
        </w:rPr>
        <w:t xml:space="preserve"> MJ, et al. Evaluation of the CMS-HCC Risk Adjustment Model: Final Report. 2011; https://www.cms.gov/Medicare/Health-Plans/MedicareAdvtgSpecRateStats/downloads/evaluation_risk_adj_model_2011.pdf. Accessed February 25, 2020.</w:t>
      </w:r>
    </w:p>
    <w:p w14:paraId="683EA4C2" w14:textId="77777777" w:rsidR="005F25D4" w:rsidRDefault="005F25D4" w:rsidP="005F25D4">
      <w:pPr>
        <w:spacing w:before="120" w:after="120" w:line="240" w:lineRule="auto"/>
        <w:rPr>
          <w:rFonts w:cstheme="minorHAnsi"/>
          <w:bCs/>
          <w:color w:val="C00000"/>
        </w:rPr>
      </w:pPr>
      <w:proofErr w:type="spellStart"/>
      <w:r w:rsidRPr="006C6A88">
        <w:rPr>
          <w:rFonts w:cstheme="minorHAnsi"/>
          <w:bCs/>
          <w:color w:val="C00000"/>
        </w:rPr>
        <w:t>Roshanghalb</w:t>
      </w:r>
      <w:proofErr w:type="spellEnd"/>
      <w:r w:rsidRPr="006C6A88">
        <w:rPr>
          <w:rFonts w:cstheme="minorHAnsi"/>
          <w:bCs/>
          <w:color w:val="C00000"/>
        </w:rPr>
        <w:t xml:space="preserve"> A, </w:t>
      </w:r>
      <w:proofErr w:type="spellStart"/>
      <w:r w:rsidRPr="006C6A88">
        <w:rPr>
          <w:rFonts w:cstheme="minorHAnsi"/>
          <w:bCs/>
          <w:color w:val="C00000"/>
        </w:rPr>
        <w:t>Mazzali</w:t>
      </w:r>
      <w:proofErr w:type="spellEnd"/>
      <w:r w:rsidRPr="006C6A88">
        <w:rPr>
          <w:rFonts w:cstheme="minorHAnsi"/>
          <w:bCs/>
          <w:color w:val="C00000"/>
        </w:rPr>
        <w:t xml:space="preserve"> C, </w:t>
      </w:r>
      <w:proofErr w:type="spellStart"/>
      <w:r w:rsidRPr="006C6A88">
        <w:rPr>
          <w:rFonts w:cstheme="minorHAnsi"/>
          <w:bCs/>
          <w:color w:val="C00000"/>
        </w:rPr>
        <w:t>Lettieri</w:t>
      </w:r>
      <w:proofErr w:type="spellEnd"/>
      <w:r w:rsidRPr="006C6A88">
        <w:rPr>
          <w:rFonts w:cstheme="minorHAnsi"/>
          <w:bCs/>
          <w:color w:val="C00000"/>
        </w:rPr>
        <w:t xml:space="preserve"> E. Multi-level models for heart failure patients' 30-day mortality and readmission rates: the relation between patient and hospital factors in administrative data. BMC Health Serv Res. 2019 Dec 30;19(1):1012.  </w:t>
      </w:r>
    </w:p>
    <w:p w14:paraId="769EB490" w14:textId="77777777" w:rsidR="00D2353D" w:rsidRDefault="00D2353D" w:rsidP="00D2353D">
      <w:pPr>
        <w:spacing w:before="120" w:after="120" w:line="240" w:lineRule="auto"/>
        <w:rPr>
          <w:rFonts w:cstheme="minorHAnsi"/>
          <w:noProof/>
          <w:color w:val="C00000"/>
        </w:rPr>
      </w:pPr>
      <w:r>
        <w:rPr>
          <w:rFonts w:cstheme="minorHAnsi"/>
          <w:noProof/>
          <w:color w:val="C00000"/>
        </w:rPr>
        <w:t>Trivedi AN, Nsa W, Hausmann LRM, et al. Quality and Equity of Care in U.S. Hospitals. New England Journal of Medicine. 2014;371(24):2298-2308.</w:t>
      </w:r>
    </w:p>
    <w:p w14:paraId="4181E735" w14:textId="77777777" w:rsidR="00D2353D" w:rsidRDefault="00D2353D" w:rsidP="00D2353D">
      <w:pPr>
        <w:spacing w:before="120" w:after="120" w:line="240" w:lineRule="auto"/>
        <w:rPr>
          <w:rFonts w:cstheme="minorHAnsi"/>
          <w:noProof/>
          <w:color w:val="C00000"/>
        </w:rPr>
      </w:pPr>
      <w:r>
        <w:rPr>
          <w:rFonts w:cstheme="minorHAnsi"/>
          <w:noProof/>
          <w:color w:val="C00000"/>
        </w:rPr>
        <w:t xml:space="preserve">Wang Y, Eldridge N, Metersky ML, Sonnenfeld N, Rodrick D, Fine JM, Eckenrode S, Galusha DH, Tasimi A, Hunt DR, Bernheim SM, Normand ST, Krumholz HM. Association Between Medicare Expenditures and Adverse Events for Patients With Acute Myocardial Infarction, Heart Failure, or Pneumonia in the United States. JAMA Netw Open. 2020 Apr 1;3(4):e202142. </w:t>
      </w:r>
    </w:p>
    <w:p w14:paraId="524E2354" w14:textId="77777777" w:rsidR="00D2353D" w:rsidRPr="00FE0738" w:rsidRDefault="00D2353D" w:rsidP="00FE0738">
      <w:pPr>
        <w:spacing w:line="240" w:lineRule="auto"/>
        <w:rPr>
          <w:color w:val="7030A0"/>
        </w:rPr>
      </w:pPr>
    </w:p>
    <w:p w14:paraId="0CABCFF6" w14:textId="6B194552" w:rsidR="00001D73" w:rsidRPr="00131D3E" w:rsidRDefault="00001D73" w:rsidP="00AF2D68">
      <w:pPr>
        <w:rPr>
          <w:rFonts w:cstheme="minorHAnsi"/>
          <w:bCs/>
          <w:sz w:val="4"/>
        </w:rPr>
      </w:pPr>
    </w:p>
    <w:p w14:paraId="4260792A" w14:textId="019483A8" w:rsidR="00275563" w:rsidRPr="00131D3E" w:rsidRDefault="00275563" w:rsidP="00001D73">
      <w:pPr>
        <w:autoSpaceDE w:val="0"/>
        <w:autoSpaceDN w:val="0"/>
        <w:adjustRightInd w:val="0"/>
        <w:spacing w:after="0" w:line="240" w:lineRule="auto"/>
        <w:rPr>
          <w:rFonts w:cstheme="minorHAnsi"/>
          <w:b/>
          <w:bCs/>
        </w:rPr>
      </w:pPr>
      <w:r w:rsidRPr="00131D3E">
        <w:rPr>
          <w:rFonts w:cstheme="minorHAnsi"/>
          <w:b/>
          <w:bCs/>
        </w:rPr>
        <w:t xml:space="preserve">2b3.3b. How was the conceptual model </w:t>
      </w:r>
      <w:r w:rsidR="00CE284E" w:rsidRPr="00131D3E">
        <w:rPr>
          <w:rFonts w:cstheme="minorHAnsi"/>
          <w:b/>
          <w:bCs/>
        </w:rPr>
        <w:t xml:space="preserve">of how social risk impacts this outcome </w:t>
      </w:r>
      <w:r w:rsidRPr="00131D3E">
        <w:rPr>
          <w:rFonts w:cstheme="minorHAnsi"/>
          <w:b/>
          <w:bCs/>
        </w:rPr>
        <w:t>developed?  Please check all that apply:</w:t>
      </w:r>
    </w:p>
    <w:p w14:paraId="2B47DA83" w14:textId="6EA40692" w:rsidR="00275563" w:rsidRPr="00131D3E" w:rsidRDefault="00DD317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711269">
            <w:rPr>
              <w:rFonts w:ascii="MS Gothic" w:eastAsia="MS Gothic" w:hAnsi="MS Gothic" w:cstheme="minorHAnsi" w:hint="eastAsia"/>
              <w:bCs/>
              <w:color w:val="0000FF"/>
            </w:rPr>
            <w:t>☒</w:t>
          </w:r>
        </w:sdtContent>
      </w:sdt>
      <w:r w:rsidR="00275563" w:rsidRPr="00131D3E">
        <w:rPr>
          <w:rFonts w:eastAsia="MS Mincho" w:cstheme="minorHAnsi"/>
          <w:b/>
          <w:bCs/>
          <w:color w:val="0000FF"/>
        </w:rPr>
        <w:t xml:space="preserve"> </w:t>
      </w:r>
      <w:r w:rsidR="00CE284E" w:rsidRPr="00131D3E">
        <w:rPr>
          <w:rFonts w:cstheme="minorHAnsi"/>
          <w:b/>
          <w:bCs/>
        </w:rPr>
        <w:t>Published l</w:t>
      </w:r>
      <w:r w:rsidR="00275563" w:rsidRPr="00131D3E">
        <w:rPr>
          <w:rFonts w:cstheme="minorHAnsi"/>
          <w:b/>
          <w:bCs/>
        </w:rPr>
        <w:t>iterature</w:t>
      </w:r>
    </w:p>
    <w:p w14:paraId="7E969A3E" w14:textId="6BA683BB" w:rsidR="00275563" w:rsidRPr="00131D3E" w:rsidRDefault="00DD317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sidRPr="00131D3E">
            <w:rPr>
              <w:rFonts w:ascii="MS Gothic" w:eastAsia="MS Gothic" w:hAnsi="MS Gothic" w:cstheme="minorHAnsi" w:hint="eastAsia"/>
              <w:bCs/>
              <w:color w:val="0000FF"/>
            </w:rPr>
            <w:t>☐</w:t>
          </w:r>
        </w:sdtContent>
      </w:sdt>
      <w:r w:rsidR="00275563" w:rsidRPr="00131D3E">
        <w:rPr>
          <w:rFonts w:cstheme="minorHAnsi"/>
          <w:bCs/>
          <w:color w:val="0000FF"/>
        </w:rPr>
        <w:t xml:space="preserve"> </w:t>
      </w:r>
      <w:r w:rsidR="00CE284E" w:rsidRPr="00131D3E">
        <w:rPr>
          <w:rFonts w:cstheme="minorHAnsi"/>
          <w:b/>
          <w:bCs/>
        </w:rPr>
        <w:t>Internal d</w:t>
      </w:r>
      <w:r w:rsidR="00275563" w:rsidRPr="00131D3E">
        <w:rPr>
          <w:rFonts w:cstheme="minorHAnsi"/>
          <w:b/>
          <w:bCs/>
        </w:rPr>
        <w:t>ata</w:t>
      </w:r>
      <w:r w:rsidR="00CE284E" w:rsidRPr="00131D3E">
        <w:rPr>
          <w:rFonts w:cstheme="minorHAnsi"/>
          <w:b/>
          <w:bCs/>
        </w:rPr>
        <w:t xml:space="preserve"> analysis</w:t>
      </w:r>
    </w:p>
    <w:p w14:paraId="72A847BD" w14:textId="1489D6C2" w:rsidR="00275563" w:rsidRPr="00131D3E" w:rsidRDefault="00DD317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131D3E">
            <w:rPr>
              <w:rFonts w:ascii="MS Gothic" w:eastAsia="MS Gothic" w:cstheme="minorHAnsi" w:hint="eastAsia"/>
              <w:bCs/>
              <w:color w:val="0000FF"/>
            </w:rPr>
            <w:t>☐</w:t>
          </w:r>
        </w:sdtContent>
      </w:sdt>
      <w:r w:rsidR="00275563" w:rsidRPr="00131D3E">
        <w:rPr>
          <w:rFonts w:eastAsia="MS Mincho" w:cstheme="minorHAnsi"/>
          <w:b/>
          <w:bCs/>
          <w:color w:val="0000FF"/>
        </w:rPr>
        <w:t xml:space="preserve"> </w:t>
      </w:r>
      <w:r w:rsidR="00275563" w:rsidRPr="00131D3E">
        <w:rPr>
          <w:rFonts w:cstheme="minorHAnsi"/>
          <w:b/>
          <w:bCs/>
        </w:rPr>
        <w:t>Other (please describe)</w:t>
      </w:r>
    </w:p>
    <w:p w14:paraId="7C5644B4" w14:textId="77777777" w:rsidR="00275563" w:rsidRPr="00131D3E" w:rsidRDefault="00275563" w:rsidP="00001D73">
      <w:pPr>
        <w:autoSpaceDE w:val="0"/>
        <w:autoSpaceDN w:val="0"/>
        <w:adjustRightInd w:val="0"/>
        <w:spacing w:after="0" w:line="240" w:lineRule="auto"/>
        <w:rPr>
          <w:rFonts w:cstheme="minorHAnsi"/>
          <w:b/>
          <w:bCs/>
        </w:rPr>
      </w:pPr>
    </w:p>
    <w:p w14:paraId="2D7BFEC9" w14:textId="77777777" w:rsidR="00BB1D7A" w:rsidRDefault="009C7513" w:rsidP="00711269">
      <w:pPr>
        <w:autoSpaceDE w:val="0"/>
        <w:autoSpaceDN w:val="0"/>
        <w:adjustRightInd w:val="0"/>
        <w:spacing w:before="120" w:after="120" w:line="240" w:lineRule="auto"/>
        <w:rPr>
          <w:rFonts w:cstheme="minorHAnsi"/>
          <w:bCs/>
          <w:color w:val="C00000"/>
        </w:rPr>
      </w:pPr>
      <w:r w:rsidRPr="00131D3E">
        <w:rPr>
          <w:rFonts w:cstheme="minorHAnsi"/>
          <w:b/>
          <w:bCs/>
        </w:rPr>
        <w:t>2b3</w:t>
      </w:r>
      <w:r w:rsidR="00092566" w:rsidRPr="00131D3E">
        <w:rPr>
          <w:rFonts w:cstheme="minorHAnsi"/>
          <w:b/>
          <w:bCs/>
        </w:rPr>
        <w:t>.4</w:t>
      </w:r>
      <w:r w:rsidR="00193F21" w:rsidRPr="00131D3E">
        <w:rPr>
          <w:rFonts w:cstheme="minorHAnsi"/>
          <w:b/>
          <w:bCs/>
        </w:rPr>
        <w:t>a</w:t>
      </w:r>
      <w:r w:rsidR="00092566" w:rsidRPr="00131D3E">
        <w:rPr>
          <w:rFonts w:cstheme="minorHAnsi"/>
          <w:b/>
          <w:bCs/>
        </w:rPr>
        <w:t>. What were the statistical results of the analyses used to select risk factors?</w:t>
      </w:r>
      <w:r w:rsidR="00001D73" w:rsidRPr="00131D3E">
        <w:rPr>
          <w:rFonts w:cstheme="minorHAnsi"/>
          <w:b/>
          <w:bCs/>
        </w:rPr>
        <w:br/>
      </w:r>
    </w:p>
    <w:p w14:paraId="77B3E507" w14:textId="46DD2908" w:rsidR="00711269" w:rsidRDefault="00711269" w:rsidP="00711269">
      <w:pPr>
        <w:autoSpaceDE w:val="0"/>
        <w:autoSpaceDN w:val="0"/>
        <w:adjustRightInd w:val="0"/>
        <w:spacing w:before="120" w:after="120" w:line="240" w:lineRule="auto"/>
        <w:rPr>
          <w:rFonts w:cstheme="minorHAnsi"/>
          <w:b/>
          <w:bCs/>
          <w:color w:val="C00000"/>
        </w:rPr>
      </w:pPr>
      <w:r>
        <w:rPr>
          <w:rFonts w:cstheme="minorHAnsi"/>
          <w:bCs/>
          <w:color w:val="C00000"/>
        </w:rPr>
        <w:t>The table below shows the final variables in the model in the testing dataset with associated payment ratios and 95 percent confidence intervals (CI) calculated with the EM Testing Dataset.</w:t>
      </w:r>
    </w:p>
    <w:p w14:paraId="054634B4" w14:textId="7BFD7E24" w:rsidR="00C9293D" w:rsidRPr="00C9293D" w:rsidRDefault="00BB1D7A" w:rsidP="00BB1D7A">
      <w:pPr>
        <w:pStyle w:val="Caption"/>
        <w:keepNext/>
        <w:rPr>
          <w:color w:val="C00000"/>
          <w:sz w:val="22"/>
        </w:rPr>
      </w:pPr>
      <w:r w:rsidRPr="00BB1D7A">
        <w:rPr>
          <w:color w:val="C00000"/>
          <w:sz w:val="22"/>
        </w:rPr>
        <w:lastRenderedPageBreak/>
        <w:t xml:space="preserve">Table 4. Payment Ratios and 95% Confidence intervals for risk variables in the </w:t>
      </w:r>
      <w:r>
        <w:rPr>
          <w:color w:val="C00000"/>
          <w:sz w:val="22"/>
        </w:rPr>
        <w:t xml:space="preserve">HF </w:t>
      </w:r>
      <w:r w:rsidRPr="00BB1D7A">
        <w:rPr>
          <w:color w:val="C00000"/>
          <w:sz w:val="22"/>
        </w:rPr>
        <w:t>Payment measure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54"/>
        <w:gridCol w:w="1670"/>
      </w:tblGrid>
      <w:tr w:rsidR="00446D4B" w14:paraId="40BE863F" w14:textId="77777777" w:rsidTr="00C84098">
        <w:trPr>
          <w:cantSplit/>
          <w:tblHeader/>
          <w:jc w:val="center"/>
        </w:trPr>
        <w:tc>
          <w:tcPr>
            <w:tcW w:w="6754" w:type="dxa"/>
            <w:shd w:val="clear" w:color="auto" w:fill="BBBBBB"/>
            <w:tcMar>
              <w:left w:w="60" w:type="dxa"/>
              <w:right w:w="60" w:type="dxa"/>
            </w:tcMar>
            <w:vAlign w:val="bottom"/>
          </w:tcPr>
          <w:p w14:paraId="0DF4EE89" w14:textId="77777777" w:rsidR="00446D4B" w:rsidRPr="00446D4B" w:rsidRDefault="00446D4B" w:rsidP="00C84098">
            <w:pPr>
              <w:keepNext/>
              <w:adjustRightInd w:val="0"/>
              <w:spacing w:before="60" w:after="60"/>
              <w:rPr>
                <w:rFonts w:cstheme="minorHAnsi"/>
                <w:bCs/>
                <w:color w:val="C00000"/>
              </w:rPr>
            </w:pPr>
            <w:r w:rsidRPr="00446D4B">
              <w:rPr>
                <w:rFonts w:cstheme="minorHAnsi"/>
                <w:bCs/>
                <w:color w:val="C00000"/>
              </w:rPr>
              <w:t>Risk Variable</w:t>
            </w:r>
          </w:p>
        </w:tc>
        <w:tc>
          <w:tcPr>
            <w:tcW w:w="1670" w:type="dxa"/>
            <w:shd w:val="clear" w:color="auto" w:fill="BBBBBB"/>
            <w:tcMar>
              <w:left w:w="60" w:type="dxa"/>
              <w:right w:w="60" w:type="dxa"/>
            </w:tcMar>
            <w:vAlign w:val="bottom"/>
          </w:tcPr>
          <w:p w14:paraId="086FB6A5" w14:textId="3219CEA9" w:rsidR="00446D4B" w:rsidRPr="00446D4B" w:rsidRDefault="00446D4B" w:rsidP="00446D4B">
            <w:pPr>
              <w:keepNext/>
              <w:adjustRightInd w:val="0"/>
              <w:spacing w:before="60" w:after="60"/>
              <w:jc w:val="center"/>
              <w:rPr>
                <w:rFonts w:cstheme="minorHAnsi"/>
                <w:bCs/>
                <w:color w:val="C00000"/>
              </w:rPr>
            </w:pPr>
            <w:r>
              <w:rPr>
                <w:rFonts w:cstheme="minorHAnsi"/>
                <w:bCs/>
                <w:color w:val="C00000"/>
              </w:rPr>
              <w:t xml:space="preserve">Payment Ratios (95% CI) </w:t>
            </w:r>
            <w:r w:rsidRPr="00446D4B">
              <w:rPr>
                <w:rFonts w:cstheme="minorHAnsi"/>
                <w:bCs/>
                <w:color w:val="C00000"/>
              </w:rPr>
              <w:t>07/2016-06/2019</w:t>
            </w:r>
          </w:p>
        </w:tc>
      </w:tr>
      <w:tr w:rsidR="00446D4B" w14:paraId="0070EEB4" w14:textId="77777777" w:rsidTr="00C84098">
        <w:trPr>
          <w:cantSplit/>
          <w:jc w:val="center"/>
        </w:trPr>
        <w:tc>
          <w:tcPr>
            <w:tcW w:w="6754" w:type="dxa"/>
            <w:shd w:val="clear" w:color="auto" w:fill="FFFFFF"/>
            <w:tcMar>
              <w:left w:w="60" w:type="dxa"/>
              <w:right w:w="60" w:type="dxa"/>
            </w:tcMar>
          </w:tcPr>
          <w:p w14:paraId="68310277"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Age (&gt;=85)</w:t>
            </w:r>
          </w:p>
        </w:tc>
        <w:tc>
          <w:tcPr>
            <w:tcW w:w="1670" w:type="dxa"/>
            <w:shd w:val="clear" w:color="auto" w:fill="FFFFFF"/>
            <w:tcMar>
              <w:left w:w="60" w:type="dxa"/>
              <w:right w:w="60" w:type="dxa"/>
            </w:tcMar>
          </w:tcPr>
          <w:p w14:paraId="3B38786E"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Reference</w:t>
            </w:r>
          </w:p>
        </w:tc>
      </w:tr>
      <w:tr w:rsidR="00446D4B" w14:paraId="55B4D68A" w14:textId="77777777" w:rsidTr="00C84098">
        <w:trPr>
          <w:cantSplit/>
          <w:jc w:val="center"/>
        </w:trPr>
        <w:tc>
          <w:tcPr>
            <w:tcW w:w="6754" w:type="dxa"/>
            <w:shd w:val="clear" w:color="auto" w:fill="FFFFFF"/>
            <w:tcMar>
              <w:left w:w="60" w:type="dxa"/>
              <w:right w:w="60" w:type="dxa"/>
            </w:tcMar>
          </w:tcPr>
          <w:p w14:paraId="07822199"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Age (65 - 74)</w:t>
            </w:r>
          </w:p>
        </w:tc>
        <w:tc>
          <w:tcPr>
            <w:tcW w:w="1670" w:type="dxa"/>
            <w:shd w:val="clear" w:color="auto" w:fill="FFFFFF"/>
            <w:tcMar>
              <w:left w:w="60" w:type="dxa"/>
              <w:right w:w="60" w:type="dxa"/>
            </w:tcMar>
          </w:tcPr>
          <w:p w14:paraId="264F9286"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1.06 (1.06 - 1.07)</w:t>
            </w:r>
          </w:p>
        </w:tc>
      </w:tr>
      <w:tr w:rsidR="00446D4B" w14:paraId="5ECE5A2D" w14:textId="77777777" w:rsidTr="00C84098">
        <w:trPr>
          <w:cantSplit/>
          <w:jc w:val="center"/>
        </w:trPr>
        <w:tc>
          <w:tcPr>
            <w:tcW w:w="6754" w:type="dxa"/>
            <w:shd w:val="clear" w:color="auto" w:fill="FFFFFF"/>
            <w:tcMar>
              <w:left w:w="60" w:type="dxa"/>
              <w:right w:w="60" w:type="dxa"/>
            </w:tcMar>
          </w:tcPr>
          <w:p w14:paraId="159742A4"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Age (75 - 84)</w:t>
            </w:r>
          </w:p>
        </w:tc>
        <w:tc>
          <w:tcPr>
            <w:tcW w:w="1670" w:type="dxa"/>
            <w:shd w:val="clear" w:color="auto" w:fill="FFFFFF"/>
            <w:tcMar>
              <w:left w:w="60" w:type="dxa"/>
              <w:right w:w="60" w:type="dxa"/>
            </w:tcMar>
          </w:tcPr>
          <w:p w14:paraId="66E448EB"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1.05 (1.05 - 1.05)</w:t>
            </w:r>
          </w:p>
        </w:tc>
      </w:tr>
      <w:tr w:rsidR="00446D4B" w14:paraId="279262E0" w14:textId="77777777" w:rsidTr="00C84098">
        <w:trPr>
          <w:cantSplit/>
          <w:jc w:val="center"/>
        </w:trPr>
        <w:tc>
          <w:tcPr>
            <w:tcW w:w="6754" w:type="dxa"/>
            <w:shd w:val="clear" w:color="auto" w:fill="FFFFFF"/>
            <w:tcMar>
              <w:left w:w="60" w:type="dxa"/>
              <w:right w:w="60" w:type="dxa"/>
            </w:tcMar>
          </w:tcPr>
          <w:p w14:paraId="2D666563"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Severe infection (CC 1, 3-6)</w:t>
            </w:r>
          </w:p>
        </w:tc>
        <w:tc>
          <w:tcPr>
            <w:tcW w:w="1670" w:type="dxa"/>
            <w:shd w:val="clear" w:color="auto" w:fill="FFFFFF"/>
            <w:tcMar>
              <w:left w:w="60" w:type="dxa"/>
              <w:right w:w="60" w:type="dxa"/>
            </w:tcMar>
          </w:tcPr>
          <w:p w14:paraId="4C4C562A"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1.05 (1.03 - 1.06)</w:t>
            </w:r>
          </w:p>
        </w:tc>
      </w:tr>
      <w:tr w:rsidR="00446D4B" w14:paraId="492AC27B" w14:textId="77777777" w:rsidTr="00C84098">
        <w:trPr>
          <w:cantSplit/>
          <w:jc w:val="center"/>
        </w:trPr>
        <w:tc>
          <w:tcPr>
            <w:tcW w:w="6754" w:type="dxa"/>
            <w:shd w:val="clear" w:color="auto" w:fill="FFFFFF"/>
            <w:tcMar>
              <w:left w:w="60" w:type="dxa"/>
              <w:right w:w="60" w:type="dxa"/>
            </w:tcMar>
          </w:tcPr>
          <w:p w14:paraId="35E7E825"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Other infectious diseases (CC 7)</w:t>
            </w:r>
          </w:p>
        </w:tc>
        <w:tc>
          <w:tcPr>
            <w:tcW w:w="1670" w:type="dxa"/>
            <w:shd w:val="clear" w:color="auto" w:fill="FFFFFF"/>
            <w:tcMar>
              <w:left w:w="60" w:type="dxa"/>
              <w:right w:w="60" w:type="dxa"/>
            </w:tcMar>
          </w:tcPr>
          <w:p w14:paraId="1CC192D5"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1.02 (1.02 - 1.02)</w:t>
            </w:r>
          </w:p>
        </w:tc>
      </w:tr>
      <w:tr w:rsidR="00446D4B" w14:paraId="7061C539" w14:textId="77777777" w:rsidTr="00C84098">
        <w:trPr>
          <w:cantSplit/>
          <w:jc w:val="center"/>
        </w:trPr>
        <w:tc>
          <w:tcPr>
            <w:tcW w:w="6754" w:type="dxa"/>
            <w:shd w:val="clear" w:color="auto" w:fill="FFFFFF"/>
            <w:tcMar>
              <w:left w:w="60" w:type="dxa"/>
              <w:right w:w="60" w:type="dxa"/>
            </w:tcMar>
          </w:tcPr>
          <w:p w14:paraId="0873BF01"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Protein-calorie malnutrition (CC 21)</w:t>
            </w:r>
          </w:p>
        </w:tc>
        <w:tc>
          <w:tcPr>
            <w:tcW w:w="1670" w:type="dxa"/>
            <w:shd w:val="clear" w:color="auto" w:fill="FFFFFF"/>
            <w:tcMar>
              <w:left w:w="60" w:type="dxa"/>
              <w:right w:w="60" w:type="dxa"/>
            </w:tcMar>
          </w:tcPr>
          <w:p w14:paraId="5B73466E"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1.11 (1.10 - 1.11)</w:t>
            </w:r>
          </w:p>
        </w:tc>
      </w:tr>
      <w:tr w:rsidR="00446D4B" w14:paraId="25B20A67" w14:textId="77777777" w:rsidTr="00C84098">
        <w:trPr>
          <w:cantSplit/>
          <w:jc w:val="center"/>
        </w:trPr>
        <w:tc>
          <w:tcPr>
            <w:tcW w:w="6754" w:type="dxa"/>
            <w:shd w:val="clear" w:color="auto" w:fill="FFFFFF"/>
            <w:tcMar>
              <w:left w:w="60" w:type="dxa"/>
              <w:right w:w="60" w:type="dxa"/>
            </w:tcMar>
          </w:tcPr>
          <w:p w14:paraId="71D7FEAF"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Morbid obesity; other endocrine/metabolic/nutritional disorders (CC 22, 25-26)</w:t>
            </w:r>
          </w:p>
        </w:tc>
        <w:tc>
          <w:tcPr>
            <w:tcW w:w="1670" w:type="dxa"/>
            <w:shd w:val="clear" w:color="auto" w:fill="FFFFFF"/>
            <w:tcMar>
              <w:left w:w="60" w:type="dxa"/>
              <w:right w:w="60" w:type="dxa"/>
            </w:tcMar>
          </w:tcPr>
          <w:p w14:paraId="06527DD5"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1.00 (1.00 - 1.01)</w:t>
            </w:r>
          </w:p>
        </w:tc>
      </w:tr>
      <w:tr w:rsidR="00446D4B" w14:paraId="566E21C5" w14:textId="77777777" w:rsidTr="00C84098">
        <w:trPr>
          <w:cantSplit/>
          <w:jc w:val="center"/>
        </w:trPr>
        <w:tc>
          <w:tcPr>
            <w:tcW w:w="6754" w:type="dxa"/>
            <w:shd w:val="clear" w:color="auto" w:fill="FFFFFF"/>
            <w:tcMar>
              <w:left w:w="60" w:type="dxa"/>
              <w:right w:w="60" w:type="dxa"/>
            </w:tcMar>
          </w:tcPr>
          <w:p w14:paraId="3A45E9D6"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Other significant endocrine and metabolic disorders (CC 23)</w:t>
            </w:r>
          </w:p>
        </w:tc>
        <w:tc>
          <w:tcPr>
            <w:tcW w:w="1670" w:type="dxa"/>
            <w:shd w:val="clear" w:color="auto" w:fill="FFFFFF"/>
            <w:tcMar>
              <w:left w:w="60" w:type="dxa"/>
              <w:right w:w="60" w:type="dxa"/>
            </w:tcMar>
          </w:tcPr>
          <w:p w14:paraId="2728771C"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1.05 (1.04 - 1.05)</w:t>
            </w:r>
          </w:p>
        </w:tc>
      </w:tr>
      <w:tr w:rsidR="00446D4B" w14:paraId="722041E2" w14:textId="77777777" w:rsidTr="00C84098">
        <w:trPr>
          <w:cantSplit/>
          <w:jc w:val="center"/>
        </w:trPr>
        <w:tc>
          <w:tcPr>
            <w:tcW w:w="6754" w:type="dxa"/>
            <w:shd w:val="clear" w:color="auto" w:fill="FFFFFF"/>
            <w:tcMar>
              <w:left w:w="60" w:type="dxa"/>
              <w:right w:w="60" w:type="dxa"/>
            </w:tcMar>
          </w:tcPr>
          <w:p w14:paraId="5A127009"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Other gastrointestinal disorders (CC 38)</w:t>
            </w:r>
          </w:p>
        </w:tc>
        <w:tc>
          <w:tcPr>
            <w:tcW w:w="1670" w:type="dxa"/>
            <w:shd w:val="clear" w:color="auto" w:fill="FFFFFF"/>
            <w:tcMar>
              <w:left w:w="60" w:type="dxa"/>
              <w:right w:w="60" w:type="dxa"/>
            </w:tcMar>
          </w:tcPr>
          <w:p w14:paraId="1060F193"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1.01 (1.00 - 1.01)</w:t>
            </w:r>
          </w:p>
        </w:tc>
      </w:tr>
      <w:tr w:rsidR="00446D4B" w14:paraId="0B961A85" w14:textId="77777777" w:rsidTr="00C84098">
        <w:trPr>
          <w:cantSplit/>
          <w:jc w:val="center"/>
        </w:trPr>
        <w:tc>
          <w:tcPr>
            <w:tcW w:w="6754" w:type="dxa"/>
            <w:shd w:val="clear" w:color="auto" w:fill="FFFFFF"/>
            <w:tcMar>
              <w:left w:w="60" w:type="dxa"/>
              <w:right w:w="60" w:type="dxa"/>
            </w:tcMar>
          </w:tcPr>
          <w:p w14:paraId="5A8C5EC1"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Bone/joint/muscle infections/necrosis (CC 39)</w:t>
            </w:r>
          </w:p>
        </w:tc>
        <w:tc>
          <w:tcPr>
            <w:tcW w:w="1670" w:type="dxa"/>
            <w:shd w:val="clear" w:color="auto" w:fill="FFFFFF"/>
            <w:tcMar>
              <w:left w:w="60" w:type="dxa"/>
              <w:right w:w="60" w:type="dxa"/>
            </w:tcMar>
          </w:tcPr>
          <w:p w14:paraId="561C026E"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1.05 (1.04 - 1.06)</w:t>
            </w:r>
          </w:p>
        </w:tc>
      </w:tr>
      <w:tr w:rsidR="00446D4B" w14:paraId="460B7F99" w14:textId="77777777" w:rsidTr="00C84098">
        <w:trPr>
          <w:cantSplit/>
          <w:jc w:val="center"/>
        </w:trPr>
        <w:tc>
          <w:tcPr>
            <w:tcW w:w="6754" w:type="dxa"/>
            <w:shd w:val="clear" w:color="auto" w:fill="FFFFFF"/>
            <w:tcMar>
              <w:left w:w="60" w:type="dxa"/>
              <w:right w:w="60" w:type="dxa"/>
            </w:tcMar>
          </w:tcPr>
          <w:p w14:paraId="18840AA7"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Other musculoskeletal and connective tissue disorders (CC 45)</w:t>
            </w:r>
          </w:p>
        </w:tc>
        <w:tc>
          <w:tcPr>
            <w:tcW w:w="1670" w:type="dxa"/>
            <w:shd w:val="clear" w:color="auto" w:fill="FFFFFF"/>
            <w:tcMar>
              <w:left w:w="60" w:type="dxa"/>
              <w:right w:w="60" w:type="dxa"/>
            </w:tcMar>
          </w:tcPr>
          <w:p w14:paraId="1C997433"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1.00 (1.00 - 1.01)</w:t>
            </w:r>
          </w:p>
        </w:tc>
      </w:tr>
      <w:tr w:rsidR="00446D4B" w14:paraId="0C69795B" w14:textId="77777777" w:rsidTr="00C84098">
        <w:trPr>
          <w:cantSplit/>
          <w:jc w:val="center"/>
        </w:trPr>
        <w:tc>
          <w:tcPr>
            <w:tcW w:w="6754" w:type="dxa"/>
            <w:shd w:val="clear" w:color="auto" w:fill="FFFFFF"/>
            <w:tcMar>
              <w:left w:w="60" w:type="dxa"/>
              <w:right w:w="60" w:type="dxa"/>
            </w:tcMar>
          </w:tcPr>
          <w:p w14:paraId="422AFDD4"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Delirium and encephalopathy (CC 50)</w:t>
            </w:r>
          </w:p>
        </w:tc>
        <w:tc>
          <w:tcPr>
            <w:tcW w:w="1670" w:type="dxa"/>
            <w:shd w:val="clear" w:color="auto" w:fill="FFFFFF"/>
            <w:tcMar>
              <w:left w:w="60" w:type="dxa"/>
              <w:right w:w="60" w:type="dxa"/>
            </w:tcMar>
          </w:tcPr>
          <w:p w14:paraId="0658816A"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1.02 (1.01 - 1.02)</w:t>
            </w:r>
          </w:p>
        </w:tc>
      </w:tr>
      <w:tr w:rsidR="00446D4B" w14:paraId="241BFBC2" w14:textId="77777777" w:rsidTr="00C84098">
        <w:trPr>
          <w:cantSplit/>
          <w:jc w:val="center"/>
        </w:trPr>
        <w:tc>
          <w:tcPr>
            <w:tcW w:w="6754" w:type="dxa"/>
            <w:shd w:val="clear" w:color="auto" w:fill="FFFFFF"/>
            <w:tcMar>
              <w:left w:w="60" w:type="dxa"/>
              <w:right w:w="60" w:type="dxa"/>
            </w:tcMar>
          </w:tcPr>
          <w:p w14:paraId="4561543A"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Dementia or other specified brain disorders (CC 51-53)</w:t>
            </w:r>
          </w:p>
        </w:tc>
        <w:tc>
          <w:tcPr>
            <w:tcW w:w="1670" w:type="dxa"/>
            <w:shd w:val="clear" w:color="auto" w:fill="FFFFFF"/>
            <w:tcMar>
              <w:left w:w="60" w:type="dxa"/>
              <w:right w:w="60" w:type="dxa"/>
            </w:tcMar>
          </w:tcPr>
          <w:p w14:paraId="41E90971"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1.03 (1.03 - 1.03)</w:t>
            </w:r>
          </w:p>
        </w:tc>
      </w:tr>
      <w:tr w:rsidR="00446D4B" w14:paraId="7A5BCFFB" w14:textId="77777777" w:rsidTr="00C84098">
        <w:trPr>
          <w:cantSplit/>
          <w:jc w:val="center"/>
        </w:trPr>
        <w:tc>
          <w:tcPr>
            <w:tcW w:w="6754" w:type="dxa"/>
            <w:shd w:val="clear" w:color="auto" w:fill="FFFFFF"/>
            <w:tcMar>
              <w:left w:w="60" w:type="dxa"/>
              <w:right w:w="60" w:type="dxa"/>
            </w:tcMar>
          </w:tcPr>
          <w:p w14:paraId="609614CC"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Severe mental illness (CC 57-58)</w:t>
            </w:r>
          </w:p>
        </w:tc>
        <w:tc>
          <w:tcPr>
            <w:tcW w:w="1670" w:type="dxa"/>
            <w:shd w:val="clear" w:color="auto" w:fill="FFFFFF"/>
            <w:tcMar>
              <w:left w:w="60" w:type="dxa"/>
              <w:right w:w="60" w:type="dxa"/>
            </w:tcMar>
          </w:tcPr>
          <w:p w14:paraId="78A8AF59"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1.03 (1.02 - 1.03)</w:t>
            </w:r>
          </w:p>
        </w:tc>
      </w:tr>
      <w:tr w:rsidR="00446D4B" w14:paraId="683FB1C8" w14:textId="77777777" w:rsidTr="00C84098">
        <w:trPr>
          <w:cantSplit/>
          <w:jc w:val="center"/>
        </w:trPr>
        <w:tc>
          <w:tcPr>
            <w:tcW w:w="6754" w:type="dxa"/>
            <w:shd w:val="clear" w:color="auto" w:fill="FFFFFF"/>
            <w:tcMar>
              <w:left w:w="60" w:type="dxa"/>
              <w:right w:w="60" w:type="dxa"/>
            </w:tcMar>
          </w:tcPr>
          <w:p w14:paraId="2F46CAB1"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Other psychiatric disorders (CC 63)</w:t>
            </w:r>
          </w:p>
        </w:tc>
        <w:tc>
          <w:tcPr>
            <w:tcW w:w="1670" w:type="dxa"/>
            <w:shd w:val="clear" w:color="auto" w:fill="FFFFFF"/>
            <w:tcMar>
              <w:left w:w="60" w:type="dxa"/>
              <w:right w:w="60" w:type="dxa"/>
            </w:tcMar>
          </w:tcPr>
          <w:p w14:paraId="49DAC18A"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1.01 (1.01 - 1.01)</w:t>
            </w:r>
          </w:p>
        </w:tc>
      </w:tr>
      <w:tr w:rsidR="00446D4B" w14:paraId="71828F22" w14:textId="77777777" w:rsidTr="00C84098">
        <w:trPr>
          <w:cantSplit/>
          <w:jc w:val="center"/>
        </w:trPr>
        <w:tc>
          <w:tcPr>
            <w:tcW w:w="6754" w:type="dxa"/>
            <w:shd w:val="clear" w:color="auto" w:fill="FFFFFF"/>
            <w:tcMar>
              <w:left w:w="60" w:type="dxa"/>
              <w:right w:w="60" w:type="dxa"/>
            </w:tcMar>
          </w:tcPr>
          <w:p w14:paraId="6E944003"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Respiratory arrest/cardiorespiratory failure/respirator dependence (CC 82-84 plus ICD-10-CM codes R09.01 and R09.02, for discharges on or after October 1, 2015; CC 82-84 plus ICD-9-CM diagnosis codes 799.01 and 799.02, for discharges prior to October 1, 2015)</w:t>
            </w:r>
          </w:p>
        </w:tc>
        <w:tc>
          <w:tcPr>
            <w:tcW w:w="1670" w:type="dxa"/>
            <w:shd w:val="clear" w:color="auto" w:fill="FFFFFF"/>
            <w:tcMar>
              <w:left w:w="60" w:type="dxa"/>
              <w:right w:w="60" w:type="dxa"/>
            </w:tcMar>
          </w:tcPr>
          <w:p w14:paraId="4868A4AE"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1.01 (1.01 - 1.02)</w:t>
            </w:r>
          </w:p>
        </w:tc>
      </w:tr>
      <w:tr w:rsidR="00446D4B" w14:paraId="68538EB7" w14:textId="77777777" w:rsidTr="00C84098">
        <w:trPr>
          <w:cantSplit/>
          <w:jc w:val="center"/>
        </w:trPr>
        <w:tc>
          <w:tcPr>
            <w:tcW w:w="6754" w:type="dxa"/>
            <w:shd w:val="clear" w:color="auto" w:fill="FFFFFF"/>
            <w:tcMar>
              <w:left w:w="60" w:type="dxa"/>
              <w:right w:w="60" w:type="dxa"/>
            </w:tcMar>
          </w:tcPr>
          <w:p w14:paraId="38BA0915"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Coronary atherosclerosis or angina (CC 88-89)</w:t>
            </w:r>
          </w:p>
        </w:tc>
        <w:tc>
          <w:tcPr>
            <w:tcW w:w="1670" w:type="dxa"/>
            <w:shd w:val="clear" w:color="auto" w:fill="FFFFFF"/>
            <w:tcMar>
              <w:left w:w="60" w:type="dxa"/>
              <w:right w:w="60" w:type="dxa"/>
            </w:tcMar>
          </w:tcPr>
          <w:p w14:paraId="53FB3CAD"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1.03 (1.03 - 1.03)</w:t>
            </w:r>
          </w:p>
        </w:tc>
      </w:tr>
      <w:tr w:rsidR="00446D4B" w14:paraId="22ABFE4B" w14:textId="77777777" w:rsidTr="00C84098">
        <w:trPr>
          <w:cantSplit/>
          <w:jc w:val="center"/>
        </w:trPr>
        <w:tc>
          <w:tcPr>
            <w:tcW w:w="6754" w:type="dxa"/>
            <w:shd w:val="clear" w:color="auto" w:fill="FFFFFF"/>
            <w:tcMar>
              <w:left w:w="60" w:type="dxa"/>
              <w:right w:w="60" w:type="dxa"/>
            </w:tcMar>
          </w:tcPr>
          <w:p w14:paraId="6896E276"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Heart infection/inflammation, except rheumatic (CC 90)</w:t>
            </w:r>
          </w:p>
        </w:tc>
        <w:tc>
          <w:tcPr>
            <w:tcW w:w="1670" w:type="dxa"/>
            <w:shd w:val="clear" w:color="auto" w:fill="FFFFFF"/>
            <w:tcMar>
              <w:left w:w="60" w:type="dxa"/>
              <w:right w:w="60" w:type="dxa"/>
            </w:tcMar>
          </w:tcPr>
          <w:p w14:paraId="7F7ABCDA"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1.07 (1.06 - 1.08)</w:t>
            </w:r>
          </w:p>
        </w:tc>
      </w:tr>
      <w:tr w:rsidR="00446D4B" w14:paraId="2B95FD24" w14:textId="77777777" w:rsidTr="00C84098">
        <w:trPr>
          <w:cantSplit/>
          <w:jc w:val="center"/>
        </w:trPr>
        <w:tc>
          <w:tcPr>
            <w:tcW w:w="6754" w:type="dxa"/>
            <w:shd w:val="clear" w:color="auto" w:fill="FFFFFF"/>
            <w:tcMar>
              <w:left w:w="60" w:type="dxa"/>
              <w:right w:w="60" w:type="dxa"/>
            </w:tcMar>
          </w:tcPr>
          <w:p w14:paraId="3B4749E7"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Major congenital cardiac/circulatory defect (CC 92)</w:t>
            </w:r>
          </w:p>
        </w:tc>
        <w:tc>
          <w:tcPr>
            <w:tcW w:w="1670" w:type="dxa"/>
            <w:shd w:val="clear" w:color="auto" w:fill="FFFFFF"/>
            <w:tcMar>
              <w:left w:w="60" w:type="dxa"/>
              <w:right w:w="60" w:type="dxa"/>
            </w:tcMar>
          </w:tcPr>
          <w:p w14:paraId="38EB07C6"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1.08 (1.03 - 1.13)</w:t>
            </w:r>
          </w:p>
        </w:tc>
      </w:tr>
      <w:tr w:rsidR="00446D4B" w14:paraId="1B7A6253" w14:textId="77777777" w:rsidTr="00C84098">
        <w:trPr>
          <w:cantSplit/>
          <w:jc w:val="center"/>
        </w:trPr>
        <w:tc>
          <w:tcPr>
            <w:tcW w:w="6754" w:type="dxa"/>
            <w:shd w:val="clear" w:color="auto" w:fill="FFFFFF"/>
            <w:tcMar>
              <w:left w:w="60" w:type="dxa"/>
              <w:right w:w="60" w:type="dxa"/>
            </w:tcMar>
          </w:tcPr>
          <w:p w14:paraId="341D091F"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Hypertension (CC 95)</w:t>
            </w:r>
          </w:p>
        </w:tc>
        <w:tc>
          <w:tcPr>
            <w:tcW w:w="1670" w:type="dxa"/>
            <w:shd w:val="clear" w:color="auto" w:fill="FFFFFF"/>
            <w:tcMar>
              <w:left w:w="60" w:type="dxa"/>
              <w:right w:w="60" w:type="dxa"/>
            </w:tcMar>
          </w:tcPr>
          <w:p w14:paraId="58F3C932"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0.98 (0.97 - 0.98)</w:t>
            </w:r>
          </w:p>
        </w:tc>
      </w:tr>
      <w:tr w:rsidR="00446D4B" w14:paraId="16371305" w14:textId="77777777" w:rsidTr="00C84098">
        <w:trPr>
          <w:cantSplit/>
          <w:jc w:val="center"/>
        </w:trPr>
        <w:tc>
          <w:tcPr>
            <w:tcW w:w="6754" w:type="dxa"/>
            <w:shd w:val="clear" w:color="auto" w:fill="FFFFFF"/>
            <w:tcMar>
              <w:left w:w="60" w:type="dxa"/>
              <w:right w:w="60" w:type="dxa"/>
            </w:tcMar>
          </w:tcPr>
          <w:p w14:paraId="411AD7DA"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Specified arrhythmias and other heart rhythm disorders (CC 96-97)</w:t>
            </w:r>
          </w:p>
        </w:tc>
        <w:tc>
          <w:tcPr>
            <w:tcW w:w="1670" w:type="dxa"/>
            <w:shd w:val="clear" w:color="auto" w:fill="FFFFFF"/>
            <w:tcMar>
              <w:left w:w="60" w:type="dxa"/>
              <w:right w:w="60" w:type="dxa"/>
            </w:tcMar>
          </w:tcPr>
          <w:p w14:paraId="3DD7ADE6"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0.97 (0.96 - 0.97)</w:t>
            </w:r>
          </w:p>
        </w:tc>
      </w:tr>
      <w:tr w:rsidR="00446D4B" w14:paraId="069D3850" w14:textId="77777777" w:rsidTr="00C84098">
        <w:trPr>
          <w:cantSplit/>
          <w:jc w:val="center"/>
        </w:trPr>
        <w:tc>
          <w:tcPr>
            <w:tcW w:w="6754" w:type="dxa"/>
            <w:shd w:val="clear" w:color="auto" w:fill="FFFFFF"/>
            <w:tcMar>
              <w:left w:w="60" w:type="dxa"/>
              <w:right w:w="60" w:type="dxa"/>
            </w:tcMar>
          </w:tcPr>
          <w:p w14:paraId="59E15EB6"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lastRenderedPageBreak/>
              <w:t>Precerebral arterial occlusion and transient cerebral ischemia; cerebral atherosclerosis and aneurysm; cerebrovascular disease, unspecified (CC 101-102)</w:t>
            </w:r>
          </w:p>
        </w:tc>
        <w:tc>
          <w:tcPr>
            <w:tcW w:w="1670" w:type="dxa"/>
            <w:shd w:val="clear" w:color="auto" w:fill="FFFFFF"/>
            <w:tcMar>
              <w:left w:w="60" w:type="dxa"/>
              <w:right w:w="60" w:type="dxa"/>
            </w:tcMar>
          </w:tcPr>
          <w:p w14:paraId="35FB594A"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1.01 (1.01 - 1.02)</w:t>
            </w:r>
          </w:p>
        </w:tc>
      </w:tr>
      <w:tr w:rsidR="00446D4B" w14:paraId="2AD70BEB" w14:textId="77777777" w:rsidTr="00C84098">
        <w:trPr>
          <w:cantSplit/>
          <w:jc w:val="center"/>
        </w:trPr>
        <w:tc>
          <w:tcPr>
            <w:tcW w:w="6754" w:type="dxa"/>
            <w:shd w:val="clear" w:color="auto" w:fill="FFFFFF"/>
            <w:tcMar>
              <w:left w:w="60" w:type="dxa"/>
              <w:right w:w="60" w:type="dxa"/>
            </w:tcMar>
          </w:tcPr>
          <w:p w14:paraId="58861307"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Vascular or circulatory disease (CC 106-109)</w:t>
            </w:r>
          </w:p>
        </w:tc>
        <w:tc>
          <w:tcPr>
            <w:tcW w:w="1670" w:type="dxa"/>
            <w:shd w:val="clear" w:color="auto" w:fill="FFFFFF"/>
            <w:tcMar>
              <w:left w:w="60" w:type="dxa"/>
              <w:right w:w="60" w:type="dxa"/>
            </w:tcMar>
          </w:tcPr>
          <w:p w14:paraId="2A94D5B3"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1.01 (1.01 - 1.02)</w:t>
            </w:r>
          </w:p>
        </w:tc>
      </w:tr>
      <w:tr w:rsidR="00446D4B" w14:paraId="2F6FCBAA" w14:textId="77777777" w:rsidTr="00C84098">
        <w:trPr>
          <w:cantSplit/>
          <w:jc w:val="center"/>
        </w:trPr>
        <w:tc>
          <w:tcPr>
            <w:tcW w:w="6754" w:type="dxa"/>
            <w:shd w:val="clear" w:color="auto" w:fill="FFFFFF"/>
            <w:tcMar>
              <w:left w:w="60" w:type="dxa"/>
              <w:right w:w="60" w:type="dxa"/>
            </w:tcMar>
          </w:tcPr>
          <w:p w14:paraId="16F112B0"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Pneumonia (CC 114-116)</w:t>
            </w:r>
          </w:p>
        </w:tc>
        <w:tc>
          <w:tcPr>
            <w:tcW w:w="1670" w:type="dxa"/>
            <w:shd w:val="clear" w:color="auto" w:fill="FFFFFF"/>
            <w:tcMar>
              <w:left w:w="60" w:type="dxa"/>
              <w:right w:w="60" w:type="dxa"/>
            </w:tcMar>
          </w:tcPr>
          <w:p w14:paraId="39669506"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1.06 (1.06 - 1.06)</w:t>
            </w:r>
          </w:p>
        </w:tc>
      </w:tr>
      <w:tr w:rsidR="00446D4B" w14:paraId="32523EE9" w14:textId="77777777" w:rsidTr="00C84098">
        <w:trPr>
          <w:cantSplit/>
          <w:jc w:val="center"/>
        </w:trPr>
        <w:tc>
          <w:tcPr>
            <w:tcW w:w="6754" w:type="dxa"/>
            <w:shd w:val="clear" w:color="auto" w:fill="FFFFFF"/>
            <w:tcMar>
              <w:left w:w="60" w:type="dxa"/>
              <w:right w:w="60" w:type="dxa"/>
            </w:tcMar>
          </w:tcPr>
          <w:p w14:paraId="6EE51358"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Other ear, nose, throat, and mouth disorders (CC 131)</w:t>
            </w:r>
          </w:p>
        </w:tc>
        <w:tc>
          <w:tcPr>
            <w:tcW w:w="1670" w:type="dxa"/>
            <w:shd w:val="clear" w:color="auto" w:fill="FFFFFF"/>
            <w:tcMar>
              <w:left w:w="60" w:type="dxa"/>
              <w:right w:w="60" w:type="dxa"/>
            </w:tcMar>
          </w:tcPr>
          <w:p w14:paraId="652407F5"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0.99 (0.98 - 0.99)</w:t>
            </w:r>
          </w:p>
        </w:tc>
      </w:tr>
      <w:tr w:rsidR="00446D4B" w14:paraId="121325B7" w14:textId="77777777" w:rsidTr="00C84098">
        <w:trPr>
          <w:cantSplit/>
          <w:jc w:val="center"/>
        </w:trPr>
        <w:tc>
          <w:tcPr>
            <w:tcW w:w="6754" w:type="dxa"/>
            <w:shd w:val="clear" w:color="auto" w:fill="FFFFFF"/>
            <w:tcMar>
              <w:left w:w="60" w:type="dxa"/>
              <w:right w:w="60" w:type="dxa"/>
            </w:tcMar>
          </w:tcPr>
          <w:p w14:paraId="1844429E"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Dialysis status (CC 134)</w:t>
            </w:r>
          </w:p>
        </w:tc>
        <w:tc>
          <w:tcPr>
            <w:tcW w:w="1670" w:type="dxa"/>
            <w:shd w:val="clear" w:color="auto" w:fill="FFFFFF"/>
            <w:tcMar>
              <w:left w:w="60" w:type="dxa"/>
              <w:right w:w="60" w:type="dxa"/>
            </w:tcMar>
          </w:tcPr>
          <w:p w14:paraId="0DBC764D"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1.09 (1.09 - 1.10)</w:t>
            </w:r>
          </w:p>
        </w:tc>
      </w:tr>
      <w:tr w:rsidR="00446D4B" w14:paraId="659E88A0" w14:textId="77777777" w:rsidTr="00C84098">
        <w:trPr>
          <w:cantSplit/>
          <w:jc w:val="center"/>
        </w:trPr>
        <w:tc>
          <w:tcPr>
            <w:tcW w:w="6754" w:type="dxa"/>
            <w:shd w:val="clear" w:color="auto" w:fill="FFFFFF"/>
            <w:tcMar>
              <w:left w:w="60" w:type="dxa"/>
              <w:right w:w="60" w:type="dxa"/>
            </w:tcMar>
          </w:tcPr>
          <w:p w14:paraId="039AAABC"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Renal failure (CC 135-140)</w:t>
            </w:r>
          </w:p>
        </w:tc>
        <w:tc>
          <w:tcPr>
            <w:tcW w:w="1670" w:type="dxa"/>
            <w:shd w:val="clear" w:color="auto" w:fill="FFFFFF"/>
            <w:tcMar>
              <w:left w:w="60" w:type="dxa"/>
              <w:right w:w="60" w:type="dxa"/>
            </w:tcMar>
          </w:tcPr>
          <w:p w14:paraId="5F94AC30"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1.11 (1.11 - 1.12)</w:t>
            </w:r>
          </w:p>
        </w:tc>
      </w:tr>
      <w:tr w:rsidR="00446D4B" w14:paraId="3AD7FBA3" w14:textId="77777777" w:rsidTr="00C84098">
        <w:trPr>
          <w:cantSplit/>
          <w:jc w:val="center"/>
        </w:trPr>
        <w:tc>
          <w:tcPr>
            <w:tcW w:w="6754" w:type="dxa"/>
            <w:shd w:val="clear" w:color="auto" w:fill="FFFFFF"/>
            <w:tcMar>
              <w:left w:w="60" w:type="dxa"/>
              <w:right w:w="60" w:type="dxa"/>
            </w:tcMar>
          </w:tcPr>
          <w:p w14:paraId="0DEC3E24"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Decubitus ulcer of skin (CC 157-160)</w:t>
            </w:r>
          </w:p>
        </w:tc>
        <w:tc>
          <w:tcPr>
            <w:tcW w:w="1670" w:type="dxa"/>
            <w:shd w:val="clear" w:color="auto" w:fill="FFFFFF"/>
            <w:tcMar>
              <w:left w:w="60" w:type="dxa"/>
              <w:right w:w="60" w:type="dxa"/>
            </w:tcMar>
          </w:tcPr>
          <w:p w14:paraId="3B18A0A7"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1.04 (1.03 - 1.05)</w:t>
            </w:r>
          </w:p>
        </w:tc>
      </w:tr>
      <w:tr w:rsidR="00446D4B" w14:paraId="699070F5" w14:textId="77777777" w:rsidTr="00C84098">
        <w:trPr>
          <w:cantSplit/>
          <w:jc w:val="center"/>
        </w:trPr>
        <w:tc>
          <w:tcPr>
            <w:tcW w:w="6754" w:type="dxa"/>
            <w:shd w:val="clear" w:color="auto" w:fill="FFFFFF"/>
            <w:tcMar>
              <w:left w:w="60" w:type="dxa"/>
              <w:right w:w="60" w:type="dxa"/>
            </w:tcMar>
          </w:tcPr>
          <w:p w14:paraId="0ADD754F"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Chronic ulcer of skin, except pressure (CC 161)</w:t>
            </w:r>
          </w:p>
        </w:tc>
        <w:tc>
          <w:tcPr>
            <w:tcW w:w="1670" w:type="dxa"/>
            <w:shd w:val="clear" w:color="auto" w:fill="FFFFFF"/>
            <w:tcMar>
              <w:left w:w="60" w:type="dxa"/>
              <w:right w:w="60" w:type="dxa"/>
            </w:tcMar>
          </w:tcPr>
          <w:p w14:paraId="6CEA0A0C"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1.06 (1.06 - 1.07)</w:t>
            </w:r>
          </w:p>
        </w:tc>
      </w:tr>
      <w:tr w:rsidR="00446D4B" w14:paraId="74E054CA" w14:textId="77777777" w:rsidTr="00C84098">
        <w:trPr>
          <w:cantSplit/>
          <w:jc w:val="center"/>
        </w:trPr>
        <w:tc>
          <w:tcPr>
            <w:tcW w:w="6754" w:type="dxa"/>
            <w:shd w:val="clear" w:color="auto" w:fill="FFFFFF"/>
            <w:tcMar>
              <w:left w:w="60" w:type="dxa"/>
              <w:right w:w="60" w:type="dxa"/>
            </w:tcMar>
          </w:tcPr>
          <w:p w14:paraId="654A57EB"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Cellulitis, local skin infection (CC 164)</w:t>
            </w:r>
          </w:p>
        </w:tc>
        <w:tc>
          <w:tcPr>
            <w:tcW w:w="1670" w:type="dxa"/>
            <w:shd w:val="clear" w:color="auto" w:fill="FFFFFF"/>
            <w:tcMar>
              <w:left w:w="60" w:type="dxa"/>
              <w:right w:w="60" w:type="dxa"/>
            </w:tcMar>
          </w:tcPr>
          <w:p w14:paraId="701BC84E"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1.01 (1.01 - 1.01)</w:t>
            </w:r>
          </w:p>
        </w:tc>
      </w:tr>
      <w:tr w:rsidR="00446D4B" w14:paraId="1EDA65EC" w14:textId="77777777" w:rsidTr="00C84098">
        <w:trPr>
          <w:cantSplit/>
          <w:jc w:val="center"/>
        </w:trPr>
        <w:tc>
          <w:tcPr>
            <w:tcW w:w="6754" w:type="dxa"/>
            <w:shd w:val="clear" w:color="auto" w:fill="FFFFFF"/>
            <w:tcMar>
              <w:left w:w="60" w:type="dxa"/>
              <w:right w:w="60" w:type="dxa"/>
            </w:tcMar>
          </w:tcPr>
          <w:p w14:paraId="5D21BE58" w14:textId="77777777" w:rsidR="00446D4B" w:rsidRPr="00446D4B" w:rsidRDefault="00446D4B" w:rsidP="00C84098">
            <w:pPr>
              <w:keepNext/>
              <w:adjustRightInd w:val="0"/>
              <w:spacing w:before="60" w:after="60"/>
              <w:rPr>
                <w:rFonts w:cstheme="minorHAnsi"/>
                <w:bCs/>
                <w:color w:val="C00000"/>
              </w:rPr>
            </w:pPr>
            <w:r w:rsidRPr="00446D4B">
              <w:rPr>
                <w:rFonts w:cstheme="minorHAnsi"/>
                <w:bCs/>
                <w:color w:val="C00000"/>
              </w:rPr>
              <w:t>Hip fracture/dislocation (CC 170)</w:t>
            </w:r>
          </w:p>
        </w:tc>
        <w:tc>
          <w:tcPr>
            <w:tcW w:w="1670" w:type="dxa"/>
            <w:shd w:val="clear" w:color="auto" w:fill="FFFFFF"/>
            <w:tcMar>
              <w:left w:w="60" w:type="dxa"/>
              <w:right w:w="60" w:type="dxa"/>
            </w:tcMar>
          </w:tcPr>
          <w:p w14:paraId="729024A3" w14:textId="77777777" w:rsidR="00446D4B" w:rsidRPr="00446D4B" w:rsidRDefault="00446D4B" w:rsidP="00C84098">
            <w:pPr>
              <w:keepNext/>
              <w:adjustRightInd w:val="0"/>
              <w:spacing w:before="60" w:after="60"/>
              <w:rPr>
                <w:rFonts w:cstheme="minorHAnsi"/>
                <w:bCs/>
                <w:color w:val="C00000"/>
              </w:rPr>
            </w:pPr>
            <w:r w:rsidRPr="00446D4B">
              <w:rPr>
                <w:rFonts w:cstheme="minorHAnsi"/>
                <w:bCs/>
                <w:color w:val="C00000"/>
              </w:rPr>
              <w:t>1.03 (1.02 - 1.03)</w:t>
            </w:r>
          </w:p>
        </w:tc>
      </w:tr>
      <w:tr w:rsidR="00446D4B" w14:paraId="1A576047" w14:textId="77777777" w:rsidTr="00C84098">
        <w:trPr>
          <w:cantSplit/>
          <w:jc w:val="center"/>
        </w:trPr>
        <w:tc>
          <w:tcPr>
            <w:tcW w:w="6754" w:type="dxa"/>
            <w:shd w:val="clear" w:color="auto" w:fill="FFFFFF"/>
            <w:tcMar>
              <w:left w:w="60" w:type="dxa"/>
              <w:right w:w="60" w:type="dxa"/>
            </w:tcMar>
          </w:tcPr>
          <w:p w14:paraId="3B84C702"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Internal injuries (CC 172)</w:t>
            </w:r>
          </w:p>
        </w:tc>
        <w:tc>
          <w:tcPr>
            <w:tcW w:w="1670" w:type="dxa"/>
            <w:shd w:val="clear" w:color="auto" w:fill="FFFFFF"/>
            <w:tcMar>
              <w:left w:w="60" w:type="dxa"/>
              <w:right w:w="60" w:type="dxa"/>
            </w:tcMar>
          </w:tcPr>
          <w:p w14:paraId="6FD35B02" w14:textId="77777777" w:rsidR="00446D4B" w:rsidRPr="00446D4B" w:rsidRDefault="00446D4B" w:rsidP="00C84098">
            <w:pPr>
              <w:adjustRightInd w:val="0"/>
              <w:spacing w:before="60" w:after="60"/>
              <w:rPr>
                <w:rFonts w:cstheme="minorHAnsi"/>
                <w:bCs/>
                <w:color w:val="C00000"/>
              </w:rPr>
            </w:pPr>
            <w:r w:rsidRPr="00446D4B">
              <w:rPr>
                <w:rFonts w:cstheme="minorHAnsi"/>
                <w:bCs/>
                <w:color w:val="C00000"/>
              </w:rPr>
              <w:t>1.04 (1.03 - 1.05)</w:t>
            </w:r>
          </w:p>
        </w:tc>
      </w:tr>
    </w:tbl>
    <w:p w14:paraId="0CABCFF7" w14:textId="4B662E62" w:rsidR="00092566" w:rsidRDefault="00092566" w:rsidP="00001D73">
      <w:pPr>
        <w:autoSpaceDE w:val="0"/>
        <w:autoSpaceDN w:val="0"/>
        <w:adjustRightInd w:val="0"/>
        <w:spacing w:after="0" w:line="240" w:lineRule="auto"/>
        <w:rPr>
          <w:rFonts w:cstheme="minorHAnsi"/>
          <w:b/>
          <w:bCs/>
        </w:rPr>
      </w:pPr>
    </w:p>
    <w:p w14:paraId="2A0E54B9" w14:textId="77777777" w:rsidR="00711269" w:rsidRPr="00131D3E" w:rsidRDefault="00711269" w:rsidP="00001D73">
      <w:pPr>
        <w:autoSpaceDE w:val="0"/>
        <w:autoSpaceDN w:val="0"/>
        <w:adjustRightInd w:val="0"/>
        <w:spacing w:after="0" w:line="240" w:lineRule="auto"/>
        <w:rPr>
          <w:rFonts w:cstheme="minorHAnsi"/>
          <w:b/>
          <w:bCs/>
        </w:rPr>
      </w:pPr>
    </w:p>
    <w:p w14:paraId="0CABCFF8" w14:textId="4274CC12" w:rsidR="00001D73" w:rsidRDefault="009C7513" w:rsidP="00001D73">
      <w:pPr>
        <w:autoSpaceDE w:val="0"/>
        <w:autoSpaceDN w:val="0"/>
        <w:adjustRightInd w:val="0"/>
        <w:spacing w:after="0" w:line="240" w:lineRule="auto"/>
        <w:rPr>
          <w:rFonts w:cstheme="minorHAnsi"/>
          <w:b/>
          <w:bCs/>
        </w:rPr>
      </w:pPr>
      <w:r w:rsidRPr="00131D3E">
        <w:rPr>
          <w:rFonts w:cstheme="minorHAnsi"/>
          <w:b/>
          <w:bCs/>
        </w:rPr>
        <w:t>2b3</w:t>
      </w:r>
      <w:r w:rsidR="00C1695E" w:rsidRPr="00131D3E">
        <w:rPr>
          <w:rFonts w:cstheme="minorHAnsi"/>
          <w:b/>
          <w:bCs/>
        </w:rPr>
        <w:t xml:space="preserve">.4b. Describe the analyses and interpretation resulting in the decision to select </w:t>
      </w:r>
      <w:r w:rsidR="00AF2D68" w:rsidRPr="00131D3E">
        <w:rPr>
          <w:rFonts w:cstheme="minorHAnsi"/>
          <w:b/>
          <w:bCs/>
        </w:rPr>
        <w:t>social risk</w:t>
      </w:r>
      <w:r w:rsidR="00C1695E" w:rsidRPr="00131D3E">
        <w:rPr>
          <w:rFonts w:cstheme="minorHAnsi"/>
          <w:b/>
          <w:bCs/>
        </w:rPr>
        <w:t xml:space="preserve"> factors </w:t>
      </w:r>
      <w:r w:rsidR="00C1695E" w:rsidRPr="00131D3E">
        <w:rPr>
          <w:rFonts w:cstheme="minorHAnsi"/>
          <w:bCs/>
          <w:i/>
        </w:rPr>
        <w:t>(</w:t>
      </w:r>
      <w:proofErr w:type="gramStart"/>
      <w:r w:rsidR="00C1695E" w:rsidRPr="00131D3E">
        <w:rPr>
          <w:rFonts w:cstheme="minorHAnsi"/>
          <w:bCs/>
          <w:i/>
        </w:rPr>
        <w:t>e.g.</w:t>
      </w:r>
      <w:proofErr w:type="gramEnd"/>
      <w:r w:rsidR="00C1695E" w:rsidRPr="00131D3E">
        <w:rPr>
          <w:rFonts w:cstheme="minorHAnsi"/>
          <w:bCs/>
          <w:i/>
        </w:rPr>
        <w:t xml:space="preserve"> prevalence of the factor across measured entities, empirical association with the outcome, contribution of unique variation in the outcome, assessment of between-unit effects and within-unit effects</w:t>
      </w:r>
      <w:r w:rsidR="00CE284E" w:rsidRPr="00131D3E">
        <w:rPr>
          <w:rFonts w:cstheme="minorHAnsi"/>
          <w:bCs/>
          <w:i/>
        </w:rPr>
        <w:t xml:space="preserve">.)  </w:t>
      </w:r>
      <w:r w:rsidR="00CE284E" w:rsidRPr="00131D3E">
        <w:rPr>
          <w:rFonts w:cstheme="minorHAnsi"/>
          <w:b/>
          <w:bCs/>
        </w:rPr>
        <w:t>Also describe the</w:t>
      </w:r>
      <w:r w:rsidR="00AF2D68" w:rsidRPr="00131D3E">
        <w:rPr>
          <w:rFonts w:cstheme="minorHAnsi"/>
          <w:b/>
          <w:bCs/>
        </w:rPr>
        <w:t xml:space="preserve"> impact of adjusting for social risk (or not) on providers</w:t>
      </w:r>
      <w:r w:rsidR="00CE284E" w:rsidRPr="00131D3E">
        <w:rPr>
          <w:rFonts w:cstheme="minorHAnsi"/>
          <w:b/>
          <w:bCs/>
        </w:rPr>
        <w:t xml:space="preserve"> at high or low extremes of risk.</w:t>
      </w:r>
    </w:p>
    <w:p w14:paraId="06D33BD4" w14:textId="45FCF1EF" w:rsidR="00841549" w:rsidRDefault="00841549" w:rsidP="00841549">
      <w:pPr>
        <w:keepNext/>
        <w:adjustRightInd w:val="0"/>
        <w:spacing w:before="60" w:after="60" w:line="240" w:lineRule="auto"/>
        <w:rPr>
          <w:rFonts w:cstheme="minorHAnsi"/>
          <w:bCs/>
          <w:color w:val="C00000"/>
        </w:rPr>
      </w:pPr>
      <w:r>
        <w:rPr>
          <w:rFonts w:cstheme="minorHAnsi"/>
          <w:bCs/>
          <w:color w:val="C00000"/>
        </w:rPr>
        <w:t xml:space="preserve">To understand the impact of adjusting for social risk factors we examined the following:  the prevalence of the social risk factor in the patient cohort, the observed outcome for patients with and without social risk factors, </w:t>
      </w:r>
      <w:r w:rsidR="00B55F09">
        <w:rPr>
          <w:rFonts w:cstheme="minorHAnsi"/>
          <w:bCs/>
          <w:color w:val="C00000"/>
        </w:rPr>
        <w:t xml:space="preserve">and </w:t>
      </w:r>
      <w:r>
        <w:rPr>
          <w:rFonts w:cstheme="minorHAnsi"/>
          <w:bCs/>
          <w:color w:val="C00000"/>
        </w:rPr>
        <w:t>the incremental effects of adding social risk variables. These analyses and their results are described below.</w:t>
      </w:r>
    </w:p>
    <w:p w14:paraId="65AF6354" w14:textId="77777777" w:rsidR="00841549" w:rsidRDefault="00841549" w:rsidP="00841549">
      <w:pPr>
        <w:spacing w:line="240" w:lineRule="auto"/>
        <w:rPr>
          <w:color w:val="C00000"/>
        </w:rPr>
      </w:pPr>
      <w:r>
        <w:rPr>
          <w:color w:val="C00000"/>
        </w:rPr>
        <w:t xml:space="preserve">Please note that for these analyses we encountered an issue with missing data in the ACS data. As described above in section 1.8, we created the ZIP-code-specific low-SES datafile based on the latest ACS data and obtained patients’ low-SES based on their ZIP codes of residence in the CMS claims data. Patients’ low-SES could be missing for two reasons: (1) patients’ ZIP codes were missing from the claims data; </w:t>
      </w:r>
      <w:proofErr w:type="gramStart"/>
      <w:r>
        <w:rPr>
          <w:color w:val="C00000"/>
        </w:rPr>
        <w:t>or,</w:t>
      </w:r>
      <w:proofErr w:type="gramEnd"/>
      <w:r>
        <w:rPr>
          <w:color w:val="C00000"/>
        </w:rPr>
        <w:t xml:space="preserve"> (2) patients’ ZIP codes were not present in the latest ACS data. Given that there was no ACS data available for the areas in U.S. territories, we found that the missing rates of patients’ low-SES at hospitals in U.S. territories were extremely high (about 90% or above). Moreover, all patients with low-SES seen at hospitals in U.S. territories were residents of U.S. states and could not be representative of the population of those hospitals. Therefore, we do not report the results for hospitals in U.S. territories for some the analyses with hospital-level results (i.e., variation in prevalence of low-SES, the change in EDAC after adding patients’ low-SES for risk adjustment).</w:t>
      </w:r>
    </w:p>
    <w:p w14:paraId="2A9FB3AC" w14:textId="77777777" w:rsidR="00841549" w:rsidRDefault="00841549" w:rsidP="00841549">
      <w:pPr>
        <w:keepNext/>
        <w:adjustRightInd w:val="0"/>
        <w:spacing w:before="60" w:after="60" w:line="240" w:lineRule="auto"/>
        <w:rPr>
          <w:rFonts w:cstheme="minorHAnsi"/>
          <w:b/>
          <w:color w:val="C00000"/>
        </w:rPr>
      </w:pPr>
      <w:r>
        <w:rPr>
          <w:rFonts w:cstheme="minorHAnsi"/>
          <w:b/>
          <w:color w:val="C00000"/>
        </w:rPr>
        <w:lastRenderedPageBreak/>
        <w:t>Prevalence of social risk factors in the cohort</w:t>
      </w:r>
    </w:p>
    <w:p w14:paraId="2DAAAD25" w14:textId="1E02B7D0" w:rsidR="002311A7" w:rsidRPr="008876A2" w:rsidRDefault="00841549" w:rsidP="008876A2">
      <w:pPr>
        <w:keepNext/>
        <w:adjustRightInd w:val="0"/>
        <w:spacing w:before="60" w:after="60" w:line="240" w:lineRule="auto"/>
        <w:rPr>
          <w:rFonts w:cstheme="minorHAnsi"/>
          <w:bCs/>
          <w:color w:val="C00000"/>
        </w:rPr>
      </w:pPr>
      <w:r>
        <w:rPr>
          <w:rFonts w:cstheme="minorHAnsi"/>
          <w:bCs/>
          <w:color w:val="C00000"/>
        </w:rPr>
        <w:t>The prevalence of social risk factors in the HF cohort varies across measured entities</w:t>
      </w:r>
      <w:r w:rsidR="00BB1D7A">
        <w:rPr>
          <w:rFonts w:cstheme="minorHAnsi"/>
          <w:bCs/>
          <w:color w:val="C00000"/>
        </w:rPr>
        <w:t xml:space="preserve"> (Table 5)</w:t>
      </w:r>
      <w:r>
        <w:rPr>
          <w:rFonts w:cstheme="minorHAnsi"/>
          <w:bCs/>
          <w:color w:val="C00000"/>
        </w:rPr>
        <w:t xml:space="preserve">. The median percentage of dual-eligible patients was 16.2% (interquartile range of 10.0%-25.1%) and the median percentage of patients with </w:t>
      </w:r>
      <w:r w:rsidR="00453E9E">
        <w:rPr>
          <w:rFonts w:cstheme="minorHAnsi"/>
          <w:bCs/>
          <w:color w:val="C00000"/>
        </w:rPr>
        <w:t>low AHRQ SES</w:t>
      </w:r>
      <w:r>
        <w:rPr>
          <w:rFonts w:cstheme="minorHAnsi"/>
          <w:bCs/>
          <w:color w:val="C00000"/>
        </w:rPr>
        <w:t xml:space="preserve"> (an AHRQ SES index score adjusted for cost of living at the census block group level equal to or below 46 [lowest quartile]) was 18.3% (interquartile range of 6.</w:t>
      </w:r>
      <w:r w:rsidR="008876A2">
        <w:rPr>
          <w:rFonts w:cstheme="minorHAnsi"/>
          <w:bCs/>
          <w:color w:val="C00000"/>
        </w:rPr>
        <w:t>3</w:t>
      </w:r>
      <w:r>
        <w:rPr>
          <w:rFonts w:cstheme="minorHAnsi"/>
          <w:bCs/>
          <w:color w:val="C00000"/>
        </w:rPr>
        <w:t>0%-3</w:t>
      </w:r>
      <w:r w:rsidR="008876A2">
        <w:rPr>
          <w:rFonts w:cstheme="minorHAnsi"/>
          <w:bCs/>
          <w:color w:val="C00000"/>
        </w:rPr>
        <w:t>5</w:t>
      </w:r>
      <w:r>
        <w:rPr>
          <w:rFonts w:cstheme="minorHAnsi"/>
          <w:bCs/>
          <w:color w:val="C00000"/>
        </w:rPr>
        <w:t>.</w:t>
      </w:r>
      <w:r w:rsidR="008876A2">
        <w:rPr>
          <w:rFonts w:cstheme="minorHAnsi"/>
          <w:bCs/>
          <w:color w:val="C00000"/>
        </w:rPr>
        <w:t>9</w:t>
      </w:r>
      <w:r>
        <w:rPr>
          <w:rFonts w:cstheme="minorHAnsi"/>
          <w:bCs/>
          <w:color w:val="C00000"/>
        </w:rPr>
        <w:t xml:space="preserve">%). </w:t>
      </w:r>
    </w:p>
    <w:p w14:paraId="1E81F23C" w14:textId="07C12735" w:rsidR="00841549" w:rsidRPr="00841549" w:rsidRDefault="00841549" w:rsidP="00841549">
      <w:pPr>
        <w:pStyle w:val="Caption"/>
        <w:keepNext/>
        <w:rPr>
          <w:color w:val="C00000"/>
          <w:sz w:val="22"/>
        </w:rPr>
      </w:pPr>
      <w:r w:rsidRPr="00841549">
        <w:rPr>
          <w:color w:val="C00000"/>
          <w:sz w:val="22"/>
        </w:rPr>
        <w:t xml:space="preserve">Table </w:t>
      </w:r>
      <w:r w:rsidRPr="00841549">
        <w:rPr>
          <w:color w:val="C00000"/>
          <w:sz w:val="22"/>
        </w:rPr>
        <w:fldChar w:fldCharType="begin"/>
      </w:r>
      <w:r w:rsidRPr="00841549">
        <w:rPr>
          <w:color w:val="C00000"/>
          <w:sz w:val="22"/>
        </w:rPr>
        <w:instrText xml:space="preserve"> SEQ Table \* ARABIC </w:instrText>
      </w:r>
      <w:r w:rsidRPr="00841549">
        <w:rPr>
          <w:color w:val="C00000"/>
          <w:sz w:val="22"/>
        </w:rPr>
        <w:fldChar w:fldCharType="separate"/>
      </w:r>
      <w:r w:rsidR="00632EF4">
        <w:rPr>
          <w:noProof/>
          <w:color w:val="C00000"/>
          <w:sz w:val="22"/>
        </w:rPr>
        <w:t>5</w:t>
      </w:r>
      <w:r w:rsidRPr="00841549">
        <w:rPr>
          <w:color w:val="C00000"/>
          <w:sz w:val="22"/>
        </w:rPr>
        <w:fldChar w:fldCharType="end"/>
      </w:r>
      <w:r w:rsidRPr="00841549">
        <w:rPr>
          <w:color w:val="C00000"/>
          <w:sz w:val="22"/>
        </w:rPr>
        <w:t>. Variation in prevalence of each social risk factor across measured entities</w:t>
      </w:r>
    </w:p>
    <w:tbl>
      <w:tblPr>
        <w:tblW w:w="0" w:type="auto"/>
        <w:tblLayout w:type="fixed"/>
        <w:tblCellMar>
          <w:left w:w="0" w:type="dxa"/>
          <w:right w:w="0" w:type="dxa"/>
        </w:tblCellMar>
        <w:tblLook w:val="04A0" w:firstRow="1" w:lastRow="0" w:firstColumn="1" w:lastColumn="0" w:noHBand="0" w:noVBand="1"/>
      </w:tblPr>
      <w:tblGrid>
        <w:gridCol w:w="4281"/>
        <w:gridCol w:w="2130"/>
      </w:tblGrid>
      <w:tr w:rsidR="00841549" w14:paraId="58F61CC3" w14:textId="77777777" w:rsidTr="00AE0431">
        <w:trPr>
          <w:cantSplit/>
          <w:trHeight w:val="898"/>
          <w:tblHeader/>
        </w:trPr>
        <w:tc>
          <w:tcPr>
            <w:tcW w:w="4281"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236522BB" w14:textId="475C22E0" w:rsidR="00841549" w:rsidRPr="00841549" w:rsidRDefault="00841549" w:rsidP="00DC463A">
            <w:pPr>
              <w:keepNext/>
              <w:adjustRightInd w:val="0"/>
              <w:spacing w:before="60" w:after="60" w:line="254" w:lineRule="auto"/>
              <w:jc w:val="center"/>
              <w:rPr>
                <w:rFonts w:cstheme="minorHAnsi"/>
                <w:b/>
                <w:color w:val="C00000"/>
              </w:rPr>
            </w:pPr>
            <w:r w:rsidRPr="00841549">
              <w:rPr>
                <w:rFonts w:cstheme="minorHAnsi"/>
                <w:b/>
                <w:color w:val="C00000"/>
              </w:rPr>
              <w:t>Social Risk Factors</w:t>
            </w:r>
          </w:p>
        </w:tc>
        <w:tc>
          <w:tcPr>
            <w:tcW w:w="2130" w:type="dxa"/>
            <w:tcBorders>
              <w:top w:val="single" w:sz="6" w:space="0" w:color="000000"/>
              <w:left w:val="single" w:sz="2" w:space="0" w:color="000000"/>
              <w:bottom w:val="single" w:sz="2" w:space="0" w:color="000000"/>
              <w:right w:val="single" w:sz="6" w:space="0" w:color="000000"/>
            </w:tcBorders>
            <w:shd w:val="clear" w:color="auto" w:fill="BBBBBB"/>
            <w:tcMar>
              <w:top w:w="0" w:type="dxa"/>
              <w:left w:w="60" w:type="dxa"/>
              <w:bottom w:w="0" w:type="dxa"/>
              <w:right w:w="60" w:type="dxa"/>
            </w:tcMar>
            <w:vAlign w:val="bottom"/>
            <w:hideMark/>
          </w:tcPr>
          <w:p w14:paraId="79F22158" w14:textId="3BA5076A" w:rsidR="00841549" w:rsidRPr="00841549" w:rsidRDefault="00554D8E" w:rsidP="00B55F09">
            <w:pPr>
              <w:keepNext/>
              <w:adjustRightInd w:val="0"/>
              <w:spacing w:before="60" w:after="60" w:line="254" w:lineRule="auto"/>
              <w:jc w:val="center"/>
              <w:rPr>
                <w:rFonts w:cstheme="minorHAnsi"/>
                <w:b/>
                <w:color w:val="C00000"/>
              </w:rPr>
            </w:pPr>
            <w:r>
              <w:rPr>
                <w:rFonts w:cstheme="minorHAnsi"/>
                <w:b/>
                <w:color w:val="C00000"/>
              </w:rPr>
              <w:t>Median h</w:t>
            </w:r>
            <w:r w:rsidR="00841549" w:rsidRPr="00841549">
              <w:rPr>
                <w:rFonts w:cstheme="minorHAnsi"/>
                <w:b/>
                <w:color w:val="C00000"/>
              </w:rPr>
              <w:t xml:space="preserve">ospital </w:t>
            </w:r>
            <w:r>
              <w:rPr>
                <w:rFonts w:cstheme="minorHAnsi"/>
                <w:b/>
                <w:color w:val="C00000"/>
              </w:rPr>
              <w:t>p</w:t>
            </w:r>
            <w:r w:rsidR="00841549" w:rsidRPr="00841549">
              <w:rPr>
                <w:rFonts w:cstheme="minorHAnsi"/>
                <w:b/>
                <w:color w:val="C00000"/>
              </w:rPr>
              <w:t>revalence of the social risk factor (IQR)</w:t>
            </w:r>
          </w:p>
        </w:tc>
      </w:tr>
      <w:tr w:rsidR="00841549" w14:paraId="5F41E134" w14:textId="77777777" w:rsidTr="00AE0431">
        <w:trPr>
          <w:cantSplit/>
          <w:trHeight w:val="491"/>
        </w:trPr>
        <w:tc>
          <w:tcPr>
            <w:tcW w:w="428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74BA3EFA" w14:textId="73262B64" w:rsidR="00841549" w:rsidRDefault="00841549" w:rsidP="00DC463A">
            <w:pPr>
              <w:keepNext/>
              <w:adjustRightInd w:val="0"/>
              <w:spacing w:before="60" w:after="60" w:line="254" w:lineRule="auto"/>
              <w:jc w:val="center"/>
              <w:rPr>
                <w:rFonts w:cstheme="minorHAnsi"/>
                <w:bCs/>
                <w:color w:val="C00000"/>
              </w:rPr>
            </w:pPr>
            <w:r>
              <w:rPr>
                <w:rFonts w:cstheme="minorHAnsi"/>
                <w:bCs/>
                <w:color w:val="C00000"/>
              </w:rPr>
              <w:t>Dual Eligible</w:t>
            </w:r>
          </w:p>
        </w:tc>
        <w:tc>
          <w:tcPr>
            <w:tcW w:w="2130"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280EEA5E" w14:textId="06FC9609" w:rsidR="00841549" w:rsidRPr="00841549" w:rsidRDefault="00841549" w:rsidP="00841549">
            <w:pPr>
              <w:keepNext/>
              <w:adjustRightInd w:val="0"/>
              <w:spacing w:before="60" w:after="60" w:line="254" w:lineRule="auto"/>
              <w:rPr>
                <w:rFonts w:cstheme="minorHAnsi"/>
                <w:bCs/>
                <w:color w:val="C00000"/>
              </w:rPr>
            </w:pPr>
            <w:r w:rsidRPr="00841549">
              <w:rPr>
                <w:color w:val="C00000"/>
              </w:rPr>
              <w:t>1</w:t>
            </w:r>
            <w:r w:rsidR="002311A7">
              <w:rPr>
                <w:color w:val="C00000"/>
              </w:rPr>
              <w:t>6.2</w:t>
            </w:r>
            <w:r w:rsidRPr="00841549">
              <w:rPr>
                <w:color w:val="C00000"/>
              </w:rPr>
              <w:t>% (</w:t>
            </w:r>
            <w:r w:rsidR="002311A7">
              <w:rPr>
                <w:color w:val="C00000"/>
              </w:rPr>
              <w:t>10.0</w:t>
            </w:r>
            <w:r w:rsidR="00FF26EC">
              <w:rPr>
                <w:color w:val="C00000"/>
              </w:rPr>
              <w:t>%</w:t>
            </w:r>
            <w:r w:rsidRPr="00841549">
              <w:rPr>
                <w:color w:val="C00000"/>
              </w:rPr>
              <w:t>-25.</w:t>
            </w:r>
            <w:r w:rsidR="002311A7">
              <w:rPr>
                <w:color w:val="C00000"/>
              </w:rPr>
              <w:t>1</w:t>
            </w:r>
            <w:r w:rsidRPr="00841549">
              <w:rPr>
                <w:color w:val="C00000"/>
              </w:rPr>
              <w:t>%)</w:t>
            </w:r>
          </w:p>
        </w:tc>
      </w:tr>
      <w:tr w:rsidR="00841549" w14:paraId="24457033" w14:textId="77777777" w:rsidTr="00AE0431">
        <w:trPr>
          <w:cantSplit/>
          <w:trHeight w:val="484"/>
        </w:trPr>
        <w:tc>
          <w:tcPr>
            <w:tcW w:w="4281" w:type="dxa"/>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7D69658C" w14:textId="5B5A392C" w:rsidR="00841549" w:rsidRDefault="00CB3DDB" w:rsidP="00DC463A">
            <w:pPr>
              <w:adjustRightInd w:val="0"/>
              <w:spacing w:before="60" w:after="60" w:line="254" w:lineRule="auto"/>
              <w:jc w:val="center"/>
              <w:rPr>
                <w:rFonts w:cstheme="minorHAnsi"/>
                <w:bCs/>
                <w:color w:val="C00000"/>
              </w:rPr>
            </w:pPr>
            <w:r>
              <w:rPr>
                <w:rFonts w:cstheme="minorHAnsi"/>
                <w:bCs/>
                <w:color w:val="C00000"/>
              </w:rPr>
              <w:t>L</w:t>
            </w:r>
            <w:r w:rsidR="00453E9E">
              <w:rPr>
                <w:rFonts w:cstheme="minorHAnsi"/>
                <w:bCs/>
                <w:color w:val="C00000"/>
              </w:rPr>
              <w:t>ow AHRQ SES</w:t>
            </w:r>
          </w:p>
        </w:tc>
        <w:tc>
          <w:tcPr>
            <w:tcW w:w="2130" w:type="dxa"/>
            <w:tcBorders>
              <w:top w:val="nil"/>
              <w:left w:val="single" w:sz="2"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4F69AE02" w14:textId="7AE20705" w:rsidR="00841549" w:rsidRPr="00841549" w:rsidRDefault="002311A7" w:rsidP="00841549">
            <w:pPr>
              <w:adjustRightInd w:val="0"/>
              <w:spacing w:before="60" w:after="60" w:line="254" w:lineRule="auto"/>
              <w:rPr>
                <w:rFonts w:cstheme="minorHAnsi"/>
                <w:bCs/>
                <w:color w:val="C00000"/>
              </w:rPr>
            </w:pPr>
            <w:r>
              <w:rPr>
                <w:color w:val="C00000"/>
              </w:rPr>
              <w:t>18.3</w:t>
            </w:r>
            <w:r w:rsidR="00841549" w:rsidRPr="00841549">
              <w:rPr>
                <w:color w:val="C00000"/>
              </w:rPr>
              <w:t>% (</w:t>
            </w:r>
            <w:r>
              <w:rPr>
                <w:color w:val="C00000"/>
              </w:rPr>
              <w:t>6.30</w:t>
            </w:r>
            <w:r w:rsidR="00FF26EC">
              <w:rPr>
                <w:color w:val="C00000"/>
              </w:rPr>
              <w:t>%</w:t>
            </w:r>
            <w:r w:rsidR="00841549" w:rsidRPr="00841549">
              <w:rPr>
                <w:color w:val="C00000"/>
              </w:rPr>
              <w:t>-3</w:t>
            </w:r>
            <w:r>
              <w:rPr>
                <w:color w:val="C00000"/>
              </w:rPr>
              <w:t>5.9</w:t>
            </w:r>
            <w:r w:rsidR="00841549" w:rsidRPr="00841549">
              <w:rPr>
                <w:color w:val="C00000"/>
              </w:rPr>
              <w:t>%)</w:t>
            </w:r>
          </w:p>
        </w:tc>
      </w:tr>
    </w:tbl>
    <w:p w14:paraId="26C6FB62" w14:textId="77777777" w:rsidR="00841549" w:rsidRDefault="00841549" w:rsidP="00841549">
      <w:pPr>
        <w:autoSpaceDE w:val="0"/>
        <w:autoSpaceDN w:val="0"/>
        <w:adjustRightInd w:val="0"/>
        <w:spacing w:before="120" w:after="120"/>
        <w:rPr>
          <w:rFonts w:cstheme="minorHAnsi"/>
          <w:b/>
          <w:color w:val="C00000"/>
        </w:rPr>
      </w:pPr>
      <w:r>
        <w:rPr>
          <w:rFonts w:cstheme="minorHAnsi"/>
          <w:b/>
          <w:color w:val="C00000"/>
        </w:rPr>
        <w:t>Observed outcome rates in patients with and without social risk factors</w:t>
      </w:r>
    </w:p>
    <w:p w14:paraId="3AA6A509" w14:textId="2712186A" w:rsidR="00841549" w:rsidRDefault="00841549" w:rsidP="00841549">
      <w:pPr>
        <w:autoSpaceDE w:val="0"/>
        <w:autoSpaceDN w:val="0"/>
        <w:adjustRightInd w:val="0"/>
        <w:spacing w:before="120" w:after="120" w:line="240" w:lineRule="auto"/>
        <w:rPr>
          <w:rFonts w:cstheme="minorHAnsi"/>
          <w:b/>
          <w:color w:val="C00000"/>
        </w:rPr>
      </w:pPr>
      <w:r>
        <w:rPr>
          <w:rFonts w:cstheme="minorHAnsi"/>
          <w:bCs/>
          <w:color w:val="C00000"/>
        </w:rPr>
        <w:t>Mean observed patient-level HF payments are similar for patients with and without social risk factors</w:t>
      </w:r>
      <w:r w:rsidR="00BB1D7A">
        <w:rPr>
          <w:rFonts w:cstheme="minorHAnsi"/>
          <w:bCs/>
          <w:color w:val="C00000"/>
        </w:rPr>
        <w:t xml:space="preserve"> (Table 6)</w:t>
      </w:r>
      <w:r>
        <w:rPr>
          <w:rFonts w:cstheme="minorHAnsi"/>
          <w:bCs/>
          <w:color w:val="C00000"/>
        </w:rPr>
        <w:t xml:space="preserve">. </w:t>
      </w:r>
      <w:r w:rsidR="00F27945">
        <w:rPr>
          <w:rFonts w:cstheme="minorHAnsi"/>
          <w:bCs/>
          <w:color w:val="C00000"/>
        </w:rPr>
        <w:t xml:space="preserve"> Mean observed payments are $930 higher</w:t>
      </w:r>
      <w:r>
        <w:rPr>
          <w:rFonts w:cstheme="minorHAnsi"/>
          <w:bCs/>
          <w:color w:val="C00000"/>
        </w:rPr>
        <w:t xml:space="preserve"> for dual-eligible patients compared with</w:t>
      </w:r>
      <w:r w:rsidR="00F27945">
        <w:rPr>
          <w:rFonts w:cstheme="minorHAnsi"/>
          <w:bCs/>
          <w:color w:val="C00000"/>
        </w:rPr>
        <w:t xml:space="preserve"> non-dual enrolled patients ($18,440 vs. $17,511</w:t>
      </w:r>
      <w:r>
        <w:rPr>
          <w:rFonts w:cstheme="minorHAnsi"/>
          <w:bCs/>
          <w:color w:val="C00000"/>
        </w:rPr>
        <w:t xml:space="preserve">) and </w:t>
      </w:r>
      <w:r w:rsidR="00F27945">
        <w:rPr>
          <w:rFonts w:cstheme="minorHAnsi"/>
          <w:bCs/>
          <w:color w:val="C00000"/>
        </w:rPr>
        <w:t>mean observed payments were $96 lower</w:t>
      </w:r>
      <w:r>
        <w:rPr>
          <w:rFonts w:cstheme="minorHAnsi"/>
          <w:bCs/>
          <w:color w:val="C00000"/>
        </w:rPr>
        <w:t xml:space="preserve"> for patients with </w:t>
      </w:r>
      <w:r w:rsidR="00453E9E">
        <w:rPr>
          <w:rFonts w:cstheme="minorHAnsi"/>
          <w:bCs/>
          <w:color w:val="C00000"/>
        </w:rPr>
        <w:t>low AHRQ SES</w:t>
      </w:r>
      <w:r>
        <w:rPr>
          <w:rFonts w:cstheme="minorHAnsi"/>
          <w:bCs/>
          <w:color w:val="C00000"/>
        </w:rPr>
        <w:t xml:space="preserve"> compared with patients without </w:t>
      </w:r>
      <w:r w:rsidR="00453E9E">
        <w:rPr>
          <w:rFonts w:cstheme="minorHAnsi"/>
          <w:bCs/>
          <w:color w:val="C00000"/>
        </w:rPr>
        <w:t>low AHRQ SES</w:t>
      </w:r>
      <w:r>
        <w:rPr>
          <w:rFonts w:cstheme="minorHAnsi"/>
          <w:bCs/>
          <w:color w:val="C00000"/>
        </w:rPr>
        <w:t xml:space="preserve"> Index</w:t>
      </w:r>
      <w:r w:rsidR="008876A2">
        <w:rPr>
          <w:rFonts w:cstheme="minorHAnsi"/>
          <w:bCs/>
          <w:color w:val="C00000"/>
        </w:rPr>
        <w:t>.</w:t>
      </w:r>
      <w:r>
        <w:rPr>
          <w:color w:val="C00000"/>
        </w:rPr>
        <w:t xml:space="preserve"> </w:t>
      </w:r>
    </w:p>
    <w:p w14:paraId="614FD372" w14:textId="37BF12D1" w:rsidR="00841549" w:rsidRPr="00841549" w:rsidRDefault="00841549" w:rsidP="00841549">
      <w:pPr>
        <w:pStyle w:val="Caption"/>
        <w:keepNext/>
        <w:rPr>
          <w:color w:val="C00000"/>
          <w:sz w:val="22"/>
        </w:rPr>
      </w:pPr>
      <w:r w:rsidRPr="00841549">
        <w:rPr>
          <w:color w:val="C00000"/>
          <w:sz w:val="22"/>
        </w:rPr>
        <w:t xml:space="preserve">Table </w:t>
      </w:r>
      <w:r w:rsidRPr="00841549">
        <w:rPr>
          <w:color w:val="C00000"/>
          <w:sz w:val="22"/>
        </w:rPr>
        <w:fldChar w:fldCharType="begin"/>
      </w:r>
      <w:r w:rsidRPr="00841549">
        <w:rPr>
          <w:color w:val="C00000"/>
          <w:sz w:val="22"/>
        </w:rPr>
        <w:instrText xml:space="preserve"> SEQ Table \* ARABIC </w:instrText>
      </w:r>
      <w:r w:rsidRPr="00841549">
        <w:rPr>
          <w:color w:val="C00000"/>
          <w:sz w:val="22"/>
        </w:rPr>
        <w:fldChar w:fldCharType="separate"/>
      </w:r>
      <w:r w:rsidR="00632EF4">
        <w:rPr>
          <w:noProof/>
          <w:color w:val="C00000"/>
          <w:sz w:val="22"/>
        </w:rPr>
        <w:t>6</w:t>
      </w:r>
      <w:r w:rsidRPr="00841549">
        <w:rPr>
          <w:color w:val="C00000"/>
          <w:sz w:val="22"/>
        </w:rPr>
        <w:fldChar w:fldCharType="end"/>
      </w:r>
      <w:r w:rsidRPr="00841549">
        <w:rPr>
          <w:color w:val="C00000"/>
          <w:sz w:val="22"/>
        </w:rPr>
        <w:t xml:space="preserve">. Observed payments for patients with and without social risk </w:t>
      </w:r>
    </w:p>
    <w:tbl>
      <w:tblPr>
        <w:tblW w:w="0" w:type="auto"/>
        <w:tblLayout w:type="fixed"/>
        <w:tblCellMar>
          <w:left w:w="0" w:type="dxa"/>
          <w:right w:w="0" w:type="dxa"/>
        </w:tblCellMar>
        <w:tblLook w:val="04A0" w:firstRow="1" w:lastRow="0" w:firstColumn="1" w:lastColumn="0" w:noHBand="0" w:noVBand="1"/>
      </w:tblPr>
      <w:tblGrid>
        <w:gridCol w:w="3501"/>
        <w:gridCol w:w="2140"/>
      </w:tblGrid>
      <w:tr w:rsidR="00841549" w14:paraId="45F60854" w14:textId="77777777" w:rsidTr="00AE0431">
        <w:trPr>
          <w:cantSplit/>
          <w:tblHeader/>
        </w:trPr>
        <w:tc>
          <w:tcPr>
            <w:tcW w:w="3501"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386A20C5" w14:textId="34B2C0F2" w:rsidR="00841549" w:rsidRDefault="00841549" w:rsidP="00DC463A">
            <w:pPr>
              <w:keepNext/>
              <w:adjustRightInd w:val="0"/>
              <w:spacing w:before="60" w:after="60" w:line="254" w:lineRule="auto"/>
              <w:jc w:val="center"/>
              <w:rPr>
                <w:rFonts w:cstheme="minorHAnsi"/>
                <w:b/>
                <w:color w:val="C00000"/>
              </w:rPr>
            </w:pPr>
            <w:r>
              <w:rPr>
                <w:rFonts w:cstheme="minorHAnsi"/>
                <w:b/>
                <w:color w:val="C00000"/>
              </w:rPr>
              <w:t>Social Risk Factors</w:t>
            </w:r>
          </w:p>
        </w:tc>
        <w:tc>
          <w:tcPr>
            <w:tcW w:w="2140" w:type="dxa"/>
            <w:tcBorders>
              <w:top w:val="single" w:sz="6" w:space="0" w:color="000000"/>
              <w:left w:val="single" w:sz="2" w:space="0" w:color="000000"/>
              <w:bottom w:val="single" w:sz="2" w:space="0" w:color="000000"/>
              <w:right w:val="single" w:sz="4" w:space="0" w:color="auto"/>
            </w:tcBorders>
            <w:shd w:val="clear" w:color="auto" w:fill="BBBBBB"/>
            <w:tcMar>
              <w:top w:w="0" w:type="dxa"/>
              <w:left w:w="60" w:type="dxa"/>
              <w:bottom w:w="0" w:type="dxa"/>
              <w:right w:w="60" w:type="dxa"/>
            </w:tcMar>
            <w:vAlign w:val="bottom"/>
            <w:hideMark/>
          </w:tcPr>
          <w:p w14:paraId="5A77EE19" w14:textId="3444384F" w:rsidR="00841549" w:rsidRDefault="00841549" w:rsidP="00BB1D7A">
            <w:pPr>
              <w:keepNext/>
              <w:adjustRightInd w:val="0"/>
              <w:spacing w:before="60" w:after="60" w:line="254" w:lineRule="auto"/>
              <w:jc w:val="center"/>
              <w:rPr>
                <w:rFonts w:cstheme="minorHAnsi"/>
                <w:b/>
                <w:color w:val="C00000"/>
              </w:rPr>
            </w:pPr>
            <w:r>
              <w:rPr>
                <w:rFonts w:cstheme="minorHAnsi"/>
                <w:b/>
                <w:color w:val="C00000"/>
              </w:rPr>
              <w:t xml:space="preserve">Mean </w:t>
            </w:r>
            <w:r w:rsidR="00554D8E">
              <w:rPr>
                <w:rFonts w:cstheme="minorHAnsi"/>
                <w:b/>
                <w:color w:val="C00000"/>
              </w:rPr>
              <w:t>o</w:t>
            </w:r>
            <w:r>
              <w:rPr>
                <w:rFonts w:cstheme="minorHAnsi"/>
                <w:b/>
                <w:color w:val="C00000"/>
              </w:rPr>
              <w:t xml:space="preserve">bserved </w:t>
            </w:r>
            <w:r w:rsidR="00BB1D7A">
              <w:rPr>
                <w:rFonts w:cstheme="minorHAnsi"/>
                <w:b/>
                <w:color w:val="C00000"/>
              </w:rPr>
              <w:t xml:space="preserve">payments </w:t>
            </w:r>
            <w:r>
              <w:rPr>
                <w:rFonts w:cstheme="minorHAnsi"/>
                <w:b/>
                <w:color w:val="C00000"/>
              </w:rPr>
              <w:t>with (and without) the social risk facto</w:t>
            </w:r>
            <w:r w:rsidR="00554D8E">
              <w:rPr>
                <w:rFonts w:cstheme="minorHAnsi"/>
                <w:b/>
                <w:color w:val="C00000"/>
              </w:rPr>
              <w:t>r</w:t>
            </w:r>
          </w:p>
        </w:tc>
      </w:tr>
      <w:tr w:rsidR="00841549" w14:paraId="29EC545E" w14:textId="77777777" w:rsidTr="00AE0431">
        <w:trPr>
          <w:cantSplit/>
        </w:trPr>
        <w:tc>
          <w:tcPr>
            <w:tcW w:w="350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0AAA50CA" w14:textId="48A0C806" w:rsidR="00841549" w:rsidRDefault="00841549" w:rsidP="00DC463A">
            <w:pPr>
              <w:keepNext/>
              <w:adjustRightInd w:val="0"/>
              <w:spacing w:before="60" w:after="60" w:line="254" w:lineRule="auto"/>
              <w:jc w:val="center"/>
              <w:rPr>
                <w:rFonts w:cstheme="minorHAnsi"/>
                <w:bCs/>
                <w:color w:val="C00000"/>
              </w:rPr>
            </w:pPr>
            <w:r>
              <w:rPr>
                <w:rFonts w:cstheme="minorHAnsi"/>
                <w:bCs/>
                <w:color w:val="C00000"/>
              </w:rPr>
              <w:t>Dual Eligible</w:t>
            </w:r>
          </w:p>
        </w:tc>
        <w:tc>
          <w:tcPr>
            <w:tcW w:w="2140" w:type="dxa"/>
            <w:tcBorders>
              <w:top w:val="single" w:sz="2" w:space="0" w:color="000000"/>
              <w:left w:val="single" w:sz="2" w:space="0" w:color="000000"/>
              <w:bottom w:val="single" w:sz="2" w:space="0" w:color="000000"/>
              <w:right w:val="single" w:sz="4" w:space="0" w:color="auto"/>
            </w:tcBorders>
            <w:shd w:val="clear" w:color="auto" w:fill="FFFFFF"/>
            <w:tcMar>
              <w:top w:w="0" w:type="dxa"/>
              <w:left w:w="60" w:type="dxa"/>
              <w:bottom w:w="0" w:type="dxa"/>
              <w:right w:w="60" w:type="dxa"/>
            </w:tcMar>
            <w:hideMark/>
          </w:tcPr>
          <w:p w14:paraId="42EA19CB" w14:textId="78D12982" w:rsidR="00841549" w:rsidRPr="00841549" w:rsidRDefault="00841549" w:rsidP="00BB1D7A">
            <w:pPr>
              <w:keepNext/>
              <w:adjustRightInd w:val="0"/>
              <w:spacing w:before="60" w:after="60" w:line="254" w:lineRule="auto"/>
              <w:jc w:val="center"/>
              <w:rPr>
                <w:rFonts w:cstheme="minorHAnsi"/>
                <w:bCs/>
                <w:color w:val="C00000"/>
              </w:rPr>
            </w:pPr>
            <w:r w:rsidRPr="00841549">
              <w:rPr>
                <w:color w:val="C00000"/>
              </w:rPr>
              <w:t>$18,440 (vs.</w:t>
            </w:r>
            <w:r w:rsidR="008876A2">
              <w:rPr>
                <w:color w:val="C00000"/>
              </w:rPr>
              <w:t xml:space="preserve"> </w:t>
            </w:r>
            <w:r w:rsidRPr="00841549">
              <w:rPr>
                <w:color w:val="C00000"/>
              </w:rPr>
              <w:t>$17,511)</w:t>
            </w:r>
          </w:p>
        </w:tc>
      </w:tr>
      <w:tr w:rsidR="00841549" w14:paraId="6E742FB3" w14:textId="77777777" w:rsidTr="00AE0431">
        <w:trPr>
          <w:cantSplit/>
        </w:trPr>
        <w:tc>
          <w:tcPr>
            <w:tcW w:w="350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6A6D68E5" w14:textId="3491946C" w:rsidR="00841549" w:rsidRDefault="00CB3DDB" w:rsidP="00DC463A">
            <w:pPr>
              <w:keepNext/>
              <w:adjustRightInd w:val="0"/>
              <w:spacing w:before="60" w:after="60" w:line="254" w:lineRule="auto"/>
              <w:jc w:val="center"/>
              <w:rPr>
                <w:rFonts w:cstheme="minorHAnsi"/>
                <w:bCs/>
                <w:color w:val="C00000"/>
              </w:rPr>
            </w:pPr>
            <w:r>
              <w:rPr>
                <w:rFonts w:cstheme="minorHAnsi"/>
                <w:bCs/>
                <w:color w:val="C00000"/>
              </w:rPr>
              <w:t>L</w:t>
            </w:r>
            <w:r w:rsidR="00453E9E">
              <w:rPr>
                <w:rFonts w:cstheme="minorHAnsi"/>
                <w:bCs/>
                <w:color w:val="C00000"/>
              </w:rPr>
              <w:t>ow AHRQ SES</w:t>
            </w:r>
          </w:p>
        </w:tc>
        <w:tc>
          <w:tcPr>
            <w:tcW w:w="2140" w:type="dxa"/>
            <w:tcBorders>
              <w:top w:val="single" w:sz="2" w:space="0" w:color="000000"/>
              <w:left w:val="single" w:sz="2" w:space="0" w:color="000000"/>
              <w:bottom w:val="single" w:sz="2" w:space="0" w:color="000000"/>
              <w:right w:val="single" w:sz="4" w:space="0" w:color="auto"/>
            </w:tcBorders>
            <w:shd w:val="clear" w:color="auto" w:fill="FFFFFF"/>
            <w:tcMar>
              <w:top w:w="0" w:type="dxa"/>
              <w:left w:w="60" w:type="dxa"/>
              <w:bottom w:w="0" w:type="dxa"/>
              <w:right w:w="60" w:type="dxa"/>
            </w:tcMar>
            <w:hideMark/>
          </w:tcPr>
          <w:p w14:paraId="025E15BA" w14:textId="0CB7AAFE" w:rsidR="00841549" w:rsidRPr="00841549" w:rsidRDefault="00841549" w:rsidP="00BB1D7A">
            <w:pPr>
              <w:keepNext/>
              <w:adjustRightInd w:val="0"/>
              <w:spacing w:before="60" w:after="60" w:line="254" w:lineRule="auto"/>
              <w:jc w:val="center"/>
              <w:rPr>
                <w:rFonts w:cstheme="minorHAnsi"/>
                <w:bCs/>
                <w:color w:val="C00000"/>
              </w:rPr>
            </w:pPr>
            <w:r w:rsidRPr="00841549">
              <w:rPr>
                <w:color w:val="C00000"/>
              </w:rPr>
              <w:t>$17,6</w:t>
            </w:r>
            <w:r w:rsidR="008876A2">
              <w:rPr>
                <w:color w:val="C00000"/>
              </w:rPr>
              <w:t>10</w:t>
            </w:r>
            <w:r w:rsidRPr="00841549">
              <w:rPr>
                <w:color w:val="C00000"/>
              </w:rPr>
              <w:t xml:space="preserve"> (vs. $17,705)</w:t>
            </w:r>
          </w:p>
        </w:tc>
      </w:tr>
    </w:tbl>
    <w:p w14:paraId="651A77EA" w14:textId="77777777" w:rsidR="008876A2" w:rsidRDefault="008876A2" w:rsidP="00F27945">
      <w:pPr>
        <w:autoSpaceDE w:val="0"/>
        <w:autoSpaceDN w:val="0"/>
        <w:adjustRightInd w:val="0"/>
        <w:spacing w:before="120" w:after="120"/>
        <w:rPr>
          <w:rFonts w:cstheme="minorHAnsi"/>
          <w:b/>
          <w:bCs/>
          <w:color w:val="C00000"/>
        </w:rPr>
      </w:pPr>
    </w:p>
    <w:p w14:paraId="71D184C3" w14:textId="32E9BC12" w:rsidR="00F27945" w:rsidRDefault="00F27945" w:rsidP="00F27945">
      <w:pPr>
        <w:autoSpaceDE w:val="0"/>
        <w:autoSpaceDN w:val="0"/>
        <w:adjustRightInd w:val="0"/>
        <w:spacing w:before="120" w:after="120"/>
        <w:rPr>
          <w:rFonts w:cstheme="minorHAnsi"/>
          <w:b/>
          <w:bCs/>
          <w:color w:val="C00000"/>
        </w:rPr>
      </w:pPr>
      <w:r>
        <w:rPr>
          <w:rFonts w:cstheme="minorHAnsi"/>
          <w:b/>
          <w:bCs/>
          <w:color w:val="C00000"/>
        </w:rPr>
        <w:t>Incremental effects of SRF variables in a multiv</w:t>
      </w:r>
      <w:r w:rsidR="00453E9E">
        <w:rPr>
          <w:rFonts w:cstheme="minorHAnsi"/>
          <w:b/>
          <w:bCs/>
          <w:color w:val="C00000"/>
        </w:rPr>
        <w:t>ar</w:t>
      </w:r>
      <w:r>
        <w:rPr>
          <w:rFonts w:cstheme="minorHAnsi"/>
          <w:b/>
          <w:bCs/>
          <w:color w:val="C00000"/>
        </w:rPr>
        <w:t xml:space="preserve">iable model </w:t>
      </w:r>
    </w:p>
    <w:p w14:paraId="0DDF27A7" w14:textId="576C480E" w:rsidR="00F27945" w:rsidRDefault="00F27945" w:rsidP="00F27945">
      <w:pPr>
        <w:autoSpaceDE w:val="0"/>
        <w:autoSpaceDN w:val="0"/>
        <w:adjustRightInd w:val="0"/>
        <w:spacing w:before="120" w:after="120" w:line="240" w:lineRule="auto"/>
        <w:rPr>
          <w:color w:val="C00000"/>
        </w:rPr>
      </w:pPr>
      <w:r>
        <w:rPr>
          <w:color w:val="C00000"/>
        </w:rPr>
        <w:t xml:space="preserve">We then examined the strength and significance of the two SRFs, patients’ low SES and </w:t>
      </w:r>
      <w:proofErr w:type="gramStart"/>
      <w:r>
        <w:rPr>
          <w:rFonts w:cstheme="minorHAnsi"/>
          <w:bCs/>
          <w:color w:val="C00000"/>
        </w:rPr>
        <w:t>dual-eligibility</w:t>
      </w:r>
      <w:proofErr w:type="gramEnd"/>
      <w:r>
        <w:rPr>
          <w:rFonts w:cstheme="minorHAnsi"/>
          <w:bCs/>
          <w:color w:val="C00000"/>
        </w:rPr>
        <w:t xml:space="preserve">, </w:t>
      </w:r>
      <w:r>
        <w:rPr>
          <w:color w:val="C00000"/>
        </w:rPr>
        <w:t xml:space="preserve">in the context of a multivariable model. Table 7 shows the </w:t>
      </w:r>
      <w:r w:rsidR="00554D8E">
        <w:rPr>
          <w:color w:val="C00000"/>
        </w:rPr>
        <w:t>payment</w:t>
      </w:r>
      <w:r>
        <w:rPr>
          <w:color w:val="C00000"/>
        </w:rPr>
        <w:t xml:space="preserve"> ratios for each social risk factor when the two SRFs are added one at a time and </w:t>
      </w:r>
      <w:r w:rsidR="00453E9E">
        <w:rPr>
          <w:color w:val="C00000"/>
        </w:rPr>
        <w:t>together</w:t>
      </w:r>
      <w:r>
        <w:rPr>
          <w:color w:val="C00000"/>
        </w:rPr>
        <w:t xml:space="preserve">, </w:t>
      </w:r>
      <w:r w:rsidR="00453E9E">
        <w:rPr>
          <w:color w:val="C00000"/>
        </w:rPr>
        <w:t xml:space="preserve">along </w:t>
      </w:r>
      <w:r>
        <w:rPr>
          <w:color w:val="C00000"/>
        </w:rPr>
        <w:t>with the clinical risk factors included in the original risk-adjustment model.</w:t>
      </w:r>
      <w:r w:rsidR="00BB1D7A">
        <w:rPr>
          <w:color w:val="C00000"/>
        </w:rPr>
        <w:t xml:space="preserve"> (Note that a payment ratio of less than one means lower payments.) </w:t>
      </w:r>
      <w:r>
        <w:rPr>
          <w:color w:val="C00000"/>
        </w:rPr>
        <w:t xml:space="preserve">The </w:t>
      </w:r>
      <w:r w:rsidR="00BB1D7A">
        <w:rPr>
          <w:color w:val="C00000"/>
        </w:rPr>
        <w:t>payment</w:t>
      </w:r>
      <w:r>
        <w:rPr>
          <w:color w:val="C00000"/>
        </w:rPr>
        <w:t xml:space="preserve"> ratio for the </w:t>
      </w:r>
      <w:r w:rsidR="00453E9E">
        <w:rPr>
          <w:color w:val="C00000"/>
        </w:rPr>
        <w:t xml:space="preserve">low </w:t>
      </w:r>
      <w:r>
        <w:rPr>
          <w:color w:val="C00000"/>
        </w:rPr>
        <w:t xml:space="preserve">AHRQ SES variable is 0.98 when added to the model with the clinical risk factors; the </w:t>
      </w:r>
      <w:r w:rsidR="00554D8E">
        <w:rPr>
          <w:color w:val="C00000"/>
        </w:rPr>
        <w:t>payment</w:t>
      </w:r>
      <w:r>
        <w:rPr>
          <w:color w:val="C00000"/>
        </w:rPr>
        <w:t xml:space="preserve"> ratio for the dual eligibility variable is 1.01. When both variables are added to the model, the </w:t>
      </w:r>
      <w:r w:rsidR="00BB1D7A">
        <w:rPr>
          <w:color w:val="C00000"/>
        </w:rPr>
        <w:t>payment</w:t>
      </w:r>
      <w:r>
        <w:rPr>
          <w:color w:val="C00000"/>
        </w:rPr>
        <w:t xml:space="preserve"> ratio for the </w:t>
      </w:r>
      <w:r w:rsidR="00453E9E">
        <w:rPr>
          <w:color w:val="C00000"/>
        </w:rPr>
        <w:t xml:space="preserve">low </w:t>
      </w:r>
      <w:r>
        <w:rPr>
          <w:color w:val="C00000"/>
        </w:rPr>
        <w:t xml:space="preserve">AHRQ SES variable is 0.98 and </w:t>
      </w:r>
      <w:r w:rsidR="00BB1D7A">
        <w:rPr>
          <w:color w:val="C00000"/>
        </w:rPr>
        <w:t>payment</w:t>
      </w:r>
      <w:r>
        <w:rPr>
          <w:color w:val="C00000"/>
        </w:rPr>
        <w:t xml:space="preserve"> ratio for the dual eligibility variable is unchanged. </w:t>
      </w:r>
    </w:p>
    <w:p w14:paraId="6E07E169" w14:textId="625431C6" w:rsidR="00F27945" w:rsidRPr="00F27945" w:rsidRDefault="00F27945" w:rsidP="00F27945">
      <w:pPr>
        <w:pStyle w:val="Caption"/>
        <w:keepNext/>
        <w:rPr>
          <w:color w:val="C00000"/>
          <w:sz w:val="22"/>
        </w:rPr>
      </w:pPr>
      <w:r w:rsidRPr="00F27945">
        <w:rPr>
          <w:color w:val="C00000"/>
          <w:sz w:val="22"/>
        </w:rPr>
        <w:lastRenderedPageBreak/>
        <w:t xml:space="preserve">Table </w:t>
      </w:r>
      <w:r w:rsidRPr="00F27945">
        <w:rPr>
          <w:color w:val="C00000"/>
          <w:sz w:val="22"/>
        </w:rPr>
        <w:fldChar w:fldCharType="begin"/>
      </w:r>
      <w:r w:rsidRPr="00F27945">
        <w:rPr>
          <w:color w:val="C00000"/>
          <w:sz w:val="22"/>
        </w:rPr>
        <w:instrText xml:space="preserve"> SEQ Table \* ARABIC </w:instrText>
      </w:r>
      <w:r w:rsidRPr="00F27945">
        <w:rPr>
          <w:color w:val="C00000"/>
          <w:sz w:val="22"/>
        </w:rPr>
        <w:fldChar w:fldCharType="separate"/>
      </w:r>
      <w:r w:rsidR="00632EF4">
        <w:rPr>
          <w:noProof/>
          <w:color w:val="C00000"/>
          <w:sz w:val="22"/>
        </w:rPr>
        <w:t>7</w:t>
      </w:r>
      <w:r w:rsidRPr="00F27945">
        <w:rPr>
          <w:color w:val="C00000"/>
          <w:sz w:val="22"/>
        </w:rPr>
        <w:fldChar w:fldCharType="end"/>
      </w:r>
      <w:r w:rsidRPr="00F27945">
        <w:rPr>
          <w:color w:val="C00000"/>
          <w:sz w:val="22"/>
        </w:rPr>
        <w:t xml:space="preserve">. Strength </w:t>
      </w:r>
      <w:r w:rsidR="00CB3DDB">
        <w:rPr>
          <w:color w:val="C00000"/>
          <w:sz w:val="22"/>
        </w:rPr>
        <w:t xml:space="preserve">and significance </w:t>
      </w:r>
      <w:r w:rsidRPr="00F27945">
        <w:rPr>
          <w:color w:val="C00000"/>
          <w:sz w:val="22"/>
        </w:rPr>
        <w:t xml:space="preserve">of social risk factor variables </w:t>
      </w:r>
    </w:p>
    <w:tbl>
      <w:tblPr>
        <w:tblW w:w="9270" w:type="dxa"/>
        <w:tblLayout w:type="fixed"/>
        <w:tblCellMar>
          <w:left w:w="0" w:type="dxa"/>
          <w:right w:w="0" w:type="dxa"/>
        </w:tblCellMar>
        <w:tblLook w:val="04A0" w:firstRow="1" w:lastRow="0" w:firstColumn="1" w:lastColumn="0" w:noHBand="0" w:noVBand="1"/>
      </w:tblPr>
      <w:tblGrid>
        <w:gridCol w:w="3957"/>
        <w:gridCol w:w="1711"/>
        <w:gridCol w:w="1801"/>
        <w:gridCol w:w="1801"/>
      </w:tblGrid>
      <w:tr w:rsidR="00F27945" w14:paraId="2F1D27DB" w14:textId="77777777" w:rsidTr="00F27945">
        <w:trPr>
          <w:cantSplit/>
          <w:trHeight w:val="823"/>
          <w:tblHeader/>
        </w:trPr>
        <w:tc>
          <w:tcPr>
            <w:tcW w:w="3957"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1842077B" w14:textId="77777777" w:rsidR="00F27945" w:rsidRDefault="00F27945">
            <w:pPr>
              <w:keepNext/>
              <w:adjustRightInd w:val="0"/>
              <w:spacing w:before="60" w:after="60" w:line="254" w:lineRule="auto"/>
              <w:rPr>
                <w:b/>
                <w:bCs/>
                <w:color w:val="C00000"/>
              </w:rPr>
            </w:pPr>
            <w:r>
              <w:rPr>
                <w:b/>
                <w:bCs/>
                <w:color w:val="C00000"/>
              </w:rPr>
              <w:t>Model</w:t>
            </w:r>
          </w:p>
        </w:tc>
        <w:tc>
          <w:tcPr>
            <w:tcW w:w="1711"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3825B3FB" w14:textId="77777777" w:rsidR="00F27945" w:rsidRDefault="00F27945">
            <w:pPr>
              <w:keepNext/>
              <w:adjustRightInd w:val="0"/>
              <w:spacing w:before="60" w:after="60" w:line="254" w:lineRule="auto"/>
              <w:rPr>
                <w:b/>
                <w:bCs/>
                <w:color w:val="C00000"/>
              </w:rPr>
            </w:pPr>
            <w:r>
              <w:rPr>
                <w:b/>
                <w:bCs/>
                <w:color w:val="C00000"/>
              </w:rPr>
              <w:t>Variable</w:t>
            </w:r>
          </w:p>
        </w:tc>
        <w:tc>
          <w:tcPr>
            <w:tcW w:w="1801" w:type="dxa"/>
            <w:tcBorders>
              <w:top w:val="single" w:sz="6" w:space="0" w:color="000000"/>
              <w:left w:val="single" w:sz="2" w:space="0" w:color="000000"/>
              <w:bottom w:val="single" w:sz="2" w:space="0" w:color="000000"/>
              <w:right w:val="single" w:sz="6" w:space="0" w:color="000000"/>
            </w:tcBorders>
            <w:shd w:val="clear" w:color="auto" w:fill="BBBBBB"/>
            <w:tcMar>
              <w:top w:w="0" w:type="dxa"/>
              <w:left w:w="60" w:type="dxa"/>
              <w:bottom w:w="0" w:type="dxa"/>
              <w:right w:w="60" w:type="dxa"/>
            </w:tcMar>
            <w:vAlign w:val="bottom"/>
            <w:hideMark/>
          </w:tcPr>
          <w:p w14:paraId="197663CD" w14:textId="2A0984C8" w:rsidR="00F27945" w:rsidRDefault="00554D8E" w:rsidP="008C4DF5">
            <w:pPr>
              <w:keepNext/>
              <w:adjustRightInd w:val="0"/>
              <w:spacing w:before="60" w:after="60" w:line="254" w:lineRule="auto"/>
              <w:jc w:val="center"/>
              <w:rPr>
                <w:b/>
                <w:bCs/>
                <w:color w:val="C00000"/>
              </w:rPr>
            </w:pPr>
            <w:r>
              <w:rPr>
                <w:b/>
                <w:bCs/>
                <w:color w:val="C00000"/>
              </w:rPr>
              <w:t>Payment Ratio</w:t>
            </w:r>
          </w:p>
        </w:tc>
        <w:tc>
          <w:tcPr>
            <w:tcW w:w="1801" w:type="dxa"/>
            <w:tcBorders>
              <w:top w:val="single" w:sz="6" w:space="0" w:color="000000"/>
              <w:left w:val="single" w:sz="2" w:space="0" w:color="000000"/>
              <w:bottom w:val="single" w:sz="2" w:space="0" w:color="000000"/>
              <w:right w:val="single" w:sz="6" w:space="0" w:color="000000"/>
            </w:tcBorders>
            <w:shd w:val="clear" w:color="auto" w:fill="BBBBBB"/>
            <w:hideMark/>
          </w:tcPr>
          <w:p w14:paraId="0FEC8620" w14:textId="77777777" w:rsidR="008C4DF5" w:rsidRDefault="008C4DF5" w:rsidP="008C4DF5">
            <w:pPr>
              <w:keepNext/>
              <w:adjustRightInd w:val="0"/>
              <w:spacing w:before="60" w:after="60" w:line="254" w:lineRule="auto"/>
              <w:jc w:val="center"/>
              <w:rPr>
                <w:b/>
                <w:bCs/>
                <w:color w:val="C00000"/>
              </w:rPr>
            </w:pPr>
          </w:p>
          <w:p w14:paraId="6DDF6B1D" w14:textId="6EA6CBFC" w:rsidR="00F27945" w:rsidRDefault="00F27945" w:rsidP="008C4DF5">
            <w:pPr>
              <w:keepNext/>
              <w:adjustRightInd w:val="0"/>
              <w:spacing w:before="60" w:after="60" w:line="254" w:lineRule="auto"/>
              <w:jc w:val="center"/>
              <w:rPr>
                <w:b/>
                <w:bCs/>
                <w:color w:val="C00000"/>
              </w:rPr>
            </w:pPr>
            <w:r>
              <w:rPr>
                <w:b/>
                <w:bCs/>
                <w:color w:val="C00000"/>
              </w:rPr>
              <w:t>p-values</w:t>
            </w:r>
          </w:p>
        </w:tc>
      </w:tr>
      <w:tr w:rsidR="00F27945" w14:paraId="61BECA2E" w14:textId="77777777" w:rsidTr="00F27945">
        <w:trPr>
          <w:cantSplit/>
          <w:trHeight w:val="809"/>
        </w:trPr>
        <w:tc>
          <w:tcPr>
            <w:tcW w:w="3957"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0C8EBAD4" w14:textId="6D08F9AB" w:rsidR="00F27945" w:rsidRDefault="00F27945" w:rsidP="00F27945">
            <w:pPr>
              <w:adjustRightInd w:val="0"/>
              <w:spacing w:before="60" w:after="60" w:line="254" w:lineRule="auto"/>
              <w:rPr>
                <w:color w:val="C00000"/>
              </w:rPr>
            </w:pPr>
            <w:r>
              <w:rPr>
                <w:color w:val="C00000"/>
              </w:rPr>
              <w:t xml:space="preserve">Base model plus </w:t>
            </w:r>
            <w:r w:rsidR="00453E9E">
              <w:rPr>
                <w:color w:val="C00000"/>
              </w:rPr>
              <w:t>Low AHRQ SES</w:t>
            </w:r>
            <w:r>
              <w:rPr>
                <w:color w:val="C00000"/>
              </w:rPr>
              <w:t xml:space="preserve"> variable </w:t>
            </w:r>
          </w:p>
        </w:tc>
        <w:tc>
          <w:tcPr>
            <w:tcW w:w="171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5AA20851" w14:textId="3C5E3E3C" w:rsidR="00F27945" w:rsidRDefault="00453E9E" w:rsidP="00F27945">
            <w:pPr>
              <w:adjustRightInd w:val="0"/>
              <w:spacing w:before="60" w:after="60" w:line="254" w:lineRule="auto"/>
              <w:rPr>
                <w:color w:val="C00000"/>
              </w:rPr>
            </w:pPr>
            <w:r>
              <w:rPr>
                <w:color w:val="C00000"/>
              </w:rPr>
              <w:t>Low AHRQ SES</w:t>
            </w:r>
          </w:p>
        </w:tc>
        <w:tc>
          <w:tcPr>
            <w:tcW w:w="1801"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1525F933" w14:textId="235388FE" w:rsidR="00F27945" w:rsidRPr="00F27945" w:rsidRDefault="00F27945" w:rsidP="008C4DF5">
            <w:pPr>
              <w:adjustRightInd w:val="0"/>
              <w:spacing w:before="60" w:after="60" w:line="254" w:lineRule="auto"/>
              <w:jc w:val="center"/>
              <w:rPr>
                <w:color w:val="C00000"/>
              </w:rPr>
            </w:pPr>
            <w:r w:rsidRPr="00F27945">
              <w:rPr>
                <w:color w:val="C00000"/>
              </w:rPr>
              <w:t>0.98</w:t>
            </w:r>
          </w:p>
        </w:tc>
        <w:tc>
          <w:tcPr>
            <w:tcW w:w="1801" w:type="dxa"/>
            <w:tcBorders>
              <w:top w:val="nil"/>
              <w:left w:val="single" w:sz="2" w:space="0" w:color="000000"/>
              <w:bottom w:val="single" w:sz="2" w:space="0" w:color="000000"/>
              <w:right w:val="single" w:sz="6" w:space="0" w:color="000000"/>
            </w:tcBorders>
            <w:shd w:val="clear" w:color="auto" w:fill="FFFFFF"/>
            <w:hideMark/>
          </w:tcPr>
          <w:p w14:paraId="6CD5D0F9" w14:textId="69FC8335" w:rsidR="00F27945" w:rsidRPr="00F27945" w:rsidRDefault="00F27945" w:rsidP="008C4DF5">
            <w:pPr>
              <w:adjustRightInd w:val="0"/>
              <w:spacing w:before="60" w:after="60" w:line="254" w:lineRule="auto"/>
              <w:jc w:val="center"/>
              <w:rPr>
                <w:color w:val="C00000"/>
              </w:rPr>
            </w:pPr>
            <w:r w:rsidRPr="00F27945">
              <w:rPr>
                <w:color w:val="C00000"/>
              </w:rPr>
              <w:t>&lt;0.0001</w:t>
            </w:r>
          </w:p>
        </w:tc>
      </w:tr>
      <w:tr w:rsidR="00F27945" w14:paraId="2F4350AE" w14:textId="77777777" w:rsidTr="00F27945">
        <w:trPr>
          <w:cantSplit/>
          <w:trHeight w:val="485"/>
        </w:trPr>
        <w:tc>
          <w:tcPr>
            <w:tcW w:w="3957"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6F5F2BF0" w14:textId="77777777" w:rsidR="00F27945" w:rsidRDefault="00F27945" w:rsidP="00F27945">
            <w:pPr>
              <w:adjustRightInd w:val="0"/>
              <w:spacing w:before="60" w:after="60" w:line="254" w:lineRule="auto"/>
              <w:rPr>
                <w:color w:val="C00000"/>
              </w:rPr>
            </w:pPr>
            <w:r>
              <w:rPr>
                <w:color w:val="C00000"/>
              </w:rPr>
              <w:t>Base model plus Dual Eligibility variable</w:t>
            </w:r>
          </w:p>
        </w:tc>
        <w:tc>
          <w:tcPr>
            <w:tcW w:w="171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31257F3D" w14:textId="77777777" w:rsidR="00F27945" w:rsidRDefault="00F27945" w:rsidP="00F27945">
            <w:pPr>
              <w:adjustRightInd w:val="0"/>
              <w:spacing w:before="60" w:after="60" w:line="254" w:lineRule="auto"/>
              <w:rPr>
                <w:color w:val="C00000"/>
              </w:rPr>
            </w:pPr>
            <w:r>
              <w:rPr>
                <w:color w:val="C00000"/>
              </w:rPr>
              <w:t>Dual Eligibility</w:t>
            </w:r>
          </w:p>
        </w:tc>
        <w:tc>
          <w:tcPr>
            <w:tcW w:w="1801"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068F141E" w14:textId="6B4F26A5" w:rsidR="00F27945" w:rsidRPr="00F27945" w:rsidRDefault="00F27945" w:rsidP="008C4DF5">
            <w:pPr>
              <w:adjustRightInd w:val="0"/>
              <w:spacing w:before="60" w:after="60" w:line="254" w:lineRule="auto"/>
              <w:jc w:val="center"/>
              <w:rPr>
                <w:color w:val="C00000"/>
              </w:rPr>
            </w:pPr>
            <w:r w:rsidRPr="00F27945">
              <w:rPr>
                <w:color w:val="C00000"/>
              </w:rPr>
              <w:t>1.01</w:t>
            </w:r>
          </w:p>
        </w:tc>
        <w:tc>
          <w:tcPr>
            <w:tcW w:w="1801" w:type="dxa"/>
            <w:tcBorders>
              <w:top w:val="nil"/>
              <w:left w:val="single" w:sz="2" w:space="0" w:color="000000"/>
              <w:bottom w:val="single" w:sz="2" w:space="0" w:color="000000"/>
              <w:right w:val="single" w:sz="6" w:space="0" w:color="000000"/>
            </w:tcBorders>
            <w:shd w:val="clear" w:color="auto" w:fill="FFFFFF"/>
            <w:hideMark/>
          </w:tcPr>
          <w:p w14:paraId="3A0364EB" w14:textId="1773F4C8" w:rsidR="00F27945" w:rsidRPr="00F27945" w:rsidRDefault="00F27945" w:rsidP="008C4DF5">
            <w:pPr>
              <w:adjustRightInd w:val="0"/>
              <w:spacing w:before="60" w:after="60" w:line="254" w:lineRule="auto"/>
              <w:jc w:val="center"/>
              <w:rPr>
                <w:color w:val="C00000"/>
              </w:rPr>
            </w:pPr>
            <w:r w:rsidRPr="00F27945">
              <w:rPr>
                <w:color w:val="C00000"/>
              </w:rPr>
              <w:t>0.0055</w:t>
            </w:r>
          </w:p>
        </w:tc>
      </w:tr>
      <w:tr w:rsidR="00F27945" w14:paraId="2054B3A2" w14:textId="77777777" w:rsidTr="00F27945">
        <w:trPr>
          <w:cantSplit/>
          <w:trHeight w:val="485"/>
        </w:trPr>
        <w:tc>
          <w:tcPr>
            <w:tcW w:w="3957"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447AFDB9" w14:textId="131C4698" w:rsidR="00F27945" w:rsidRDefault="00F27945" w:rsidP="00F27945">
            <w:pPr>
              <w:keepNext/>
              <w:adjustRightInd w:val="0"/>
              <w:spacing w:before="60" w:after="60" w:line="254" w:lineRule="auto"/>
              <w:rPr>
                <w:color w:val="C00000"/>
              </w:rPr>
            </w:pPr>
            <w:r>
              <w:rPr>
                <w:color w:val="C00000"/>
              </w:rPr>
              <w:t xml:space="preserve">Base Model plus </w:t>
            </w:r>
            <w:r w:rsidR="00453E9E">
              <w:rPr>
                <w:color w:val="C00000"/>
              </w:rPr>
              <w:t>Low AHRQ SES</w:t>
            </w:r>
            <w:r>
              <w:rPr>
                <w:color w:val="C00000"/>
              </w:rPr>
              <w:t xml:space="preserve"> and Dual Eligibility variables</w:t>
            </w:r>
          </w:p>
        </w:tc>
        <w:tc>
          <w:tcPr>
            <w:tcW w:w="171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3D648C3B" w14:textId="2884D5D6" w:rsidR="00F27945" w:rsidRDefault="00453E9E" w:rsidP="00F27945">
            <w:pPr>
              <w:keepNext/>
              <w:adjustRightInd w:val="0"/>
              <w:spacing w:before="60" w:after="60" w:line="254" w:lineRule="auto"/>
              <w:rPr>
                <w:color w:val="C00000"/>
              </w:rPr>
            </w:pPr>
            <w:r>
              <w:rPr>
                <w:color w:val="C00000"/>
              </w:rPr>
              <w:t>Low AHRQ SES</w:t>
            </w:r>
          </w:p>
        </w:tc>
        <w:tc>
          <w:tcPr>
            <w:tcW w:w="1801"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55648E19" w14:textId="6450EB98" w:rsidR="00F27945" w:rsidRPr="00F27945" w:rsidRDefault="00F27945" w:rsidP="008C4DF5">
            <w:pPr>
              <w:keepNext/>
              <w:adjustRightInd w:val="0"/>
              <w:spacing w:before="60" w:after="60" w:line="254" w:lineRule="auto"/>
              <w:jc w:val="center"/>
              <w:rPr>
                <w:color w:val="C00000"/>
              </w:rPr>
            </w:pPr>
            <w:r w:rsidRPr="00F27945">
              <w:rPr>
                <w:color w:val="C00000"/>
              </w:rPr>
              <w:t>0.98</w:t>
            </w:r>
          </w:p>
        </w:tc>
        <w:tc>
          <w:tcPr>
            <w:tcW w:w="1801" w:type="dxa"/>
            <w:tcBorders>
              <w:top w:val="nil"/>
              <w:left w:val="single" w:sz="2" w:space="0" w:color="000000"/>
              <w:bottom w:val="single" w:sz="2" w:space="0" w:color="000000"/>
              <w:right w:val="single" w:sz="6" w:space="0" w:color="000000"/>
            </w:tcBorders>
            <w:shd w:val="clear" w:color="auto" w:fill="FFFFFF"/>
            <w:hideMark/>
          </w:tcPr>
          <w:p w14:paraId="0DAC26AF" w14:textId="195DD50F" w:rsidR="00F27945" w:rsidRPr="00F27945" w:rsidRDefault="00F27945" w:rsidP="008C4DF5">
            <w:pPr>
              <w:keepNext/>
              <w:adjustRightInd w:val="0"/>
              <w:spacing w:before="60" w:after="60" w:line="254" w:lineRule="auto"/>
              <w:jc w:val="center"/>
              <w:rPr>
                <w:color w:val="C00000"/>
              </w:rPr>
            </w:pPr>
            <w:r w:rsidRPr="00F27945">
              <w:rPr>
                <w:color w:val="C00000"/>
              </w:rPr>
              <w:t>&lt;0.0001</w:t>
            </w:r>
          </w:p>
        </w:tc>
      </w:tr>
      <w:tr w:rsidR="00F27945" w14:paraId="52047FF4" w14:textId="77777777" w:rsidTr="00F27945">
        <w:trPr>
          <w:cantSplit/>
          <w:trHeight w:val="485"/>
        </w:trPr>
        <w:tc>
          <w:tcPr>
            <w:tcW w:w="3957" w:type="dxa"/>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6C7C2032" w14:textId="3346CAFE" w:rsidR="00F27945" w:rsidRDefault="00F27945" w:rsidP="00F27945">
            <w:pPr>
              <w:adjustRightInd w:val="0"/>
              <w:spacing w:before="60" w:after="60" w:line="254" w:lineRule="auto"/>
              <w:rPr>
                <w:color w:val="C00000"/>
              </w:rPr>
            </w:pPr>
            <w:r>
              <w:rPr>
                <w:color w:val="C00000"/>
              </w:rPr>
              <w:t xml:space="preserve">Base Model plus </w:t>
            </w:r>
            <w:r w:rsidR="00453E9E">
              <w:rPr>
                <w:color w:val="C00000"/>
              </w:rPr>
              <w:t>Low AHRQ SES</w:t>
            </w:r>
            <w:r>
              <w:rPr>
                <w:color w:val="C00000"/>
              </w:rPr>
              <w:t xml:space="preserve"> and Dual Eligibility variables</w:t>
            </w:r>
          </w:p>
        </w:tc>
        <w:tc>
          <w:tcPr>
            <w:tcW w:w="1711" w:type="dxa"/>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70EC0FE7" w14:textId="77777777" w:rsidR="00F27945" w:rsidRDefault="00F27945" w:rsidP="00F27945">
            <w:pPr>
              <w:adjustRightInd w:val="0"/>
              <w:spacing w:before="60" w:after="60" w:line="254" w:lineRule="auto"/>
              <w:rPr>
                <w:color w:val="C00000"/>
              </w:rPr>
            </w:pPr>
            <w:r>
              <w:rPr>
                <w:color w:val="C00000"/>
              </w:rPr>
              <w:t>Dual Eligibility</w:t>
            </w:r>
          </w:p>
        </w:tc>
        <w:tc>
          <w:tcPr>
            <w:tcW w:w="1801" w:type="dxa"/>
            <w:tcBorders>
              <w:top w:val="nil"/>
              <w:left w:val="single" w:sz="2"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2B2B06EE" w14:textId="475CEFE5" w:rsidR="00F27945" w:rsidRPr="00F27945" w:rsidRDefault="00F27945" w:rsidP="008C4DF5">
            <w:pPr>
              <w:adjustRightInd w:val="0"/>
              <w:spacing w:before="60" w:after="60" w:line="254" w:lineRule="auto"/>
              <w:jc w:val="center"/>
              <w:rPr>
                <w:color w:val="C00000"/>
              </w:rPr>
            </w:pPr>
            <w:r w:rsidRPr="00F27945">
              <w:rPr>
                <w:color w:val="C00000"/>
              </w:rPr>
              <w:t>1.01</w:t>
            </w:r>
          </w:p>
        </w:tc>
        <w:tc>
          <w:tcPr>
            <w:tcW w:w="1801" w:type="dxa"/>
            <w:tcBorders>
              <w:top w:val="nil"/>
              <w:left w:val="single" w:sz="2" w:space="0" w:color="000000"/>
              <w:bottom w:val="single" w:sz="6" w:space="0" w:color="000000"/>
              <w:right w:val="single" w:sz="6" w:space="0" w:color="000000"/>
            </w:tcBorders>
            <w:shd w:val="clear" w:color="auto" w:fill="FFFFFF"/>
            <w:hideMark/>
          </w:tcPr>
          <w:p w14:paraId="2CB5B599" w14:textId="6F56BD96" w:rsidR="00F27945" w:rsidRPr="00F27945" w:rsidRDefault="00F27945" w:rsidP="008C4DF5">
            <w:pPr>
              <w:adjustRightInd w:val="0"/>
              <w:spacing w:before="60" w:after="60" w:line="254" w:lineRule="auto"/>
              <w:jc w:val="center"/>
              <w:rPr>
                <w:color w:val="C00000"/>
              </w:rPr>
            </w:pPr>
            <w:r w:rsidRPr="00F27945">
              <w:rPr>
                <w:color w:val="C00000"/>
              </w:rPr>
              <w:t>&lt;0.0001</w:t>
            </w:r>
          </w:p>
        </w:tc>
      </w:tr>
    </w:tbl>
    <w:p w14:paraId="0CABCFF9" w14:textId="78B5C727" w:rsidR="00C1695E" w:rsidRDefault="00C1695E" w:rsidP="00001D73">
      <w:pPr>
        <w:autoSpaceDE w:val="0"/>
        <w:autoSpaceDN w:val="0"/>
        <w:adjustRightInd w:val="0"/>
        <w:spacing w:after="0" w:line="240" w:lineRule="auto"/>
        <w:rPr>
          <w:rFonts w:cstheme="minorHAnsi"/>
          <w:b/>
          <w:bCs/>
        </w:rPr>
      </w:pPr>
    </w:p>
    <w:p w14:paraId="2A8B0C84" w14:textId="6F1BCB3F" w:rsidR="00F27945" w:rsidRDefault="00F27945" w:rsidP="00F27945">
      <w:pPr>
        <w:autoSpaceDE w:val="0"/>
        <w:autoSpaceDN w:val="0"/>
        <w:adjustRightInd w:val="0"/>
        <w:spacing w:before="120" w:after="120" w:line="240" w:lineRule="auto"/>
        <w:rPr>
          <w:color w:val="C00000"/>
        </w:rPr>
      </w:pPr>
      <w:r>
        <w:rPr>
          <w:color w:val="C00000"/>
        </w:rPr>
        <w:t>We also evaluated the impact on model performance (</w:t>
      </w:r>
      <w:r w:rsidR="00BB1D7A">
        <w:rPr>
          <w:color w:val="C00000"/>
        </w:rPr>
        <w:t>T</w:t>
      </w:r>
      <w:r>
        <w:rPr>
          <w:color w:val="C00000"/>
        </w:rPr>
        <w:t>able 8) and find that the R</w:t>
      </w:r>
      <w:r w:rsidR="005A215E">
        <w:rPr>
          <w:color w:val="C00000"/>
        </w:rPr>
        <w:t>-</w:t>
      </w:r>
      <w:r>
        <w:rPr>
          <w:color w:val="C00000"/>
        </w:rPr>
        <w:t>squared values for each version of the model (with each social risk factor separately, and then together) were similar.</w:t>
      </w:r>
    </w:p>
    <w:p w14:paraId="37E1B296" w14:textId="49B747A2" w:rsidR="00F27945" w:rsidRPr="00F27945" w:rsidRDefault="00F27945" w:rsidP="00F27945">
      <w:pPr>
        <w:pStyle w:val="Caption"/>
        <w:keepNext/>
        <w:rPr>
          <w:color w:val="C00000"/>
          <w:sz w:val="22"/>
        </w:rPr>
      </w:pPr>
      <w:r w:rsidRPr="00F27945">
        <w:rPr>
          <w:color w:val="C00000"/>
          <w:sz w:val="22"/>
        </w:rPr>
        <w:t xml:space="preserve">Table </w:t>
      </w:r>
      <w:r w:rsidRPr="00F27945">
        <w:rPr>
          <w:color w:val="C00000"/>
          <w:sz w:val="22"/>
        </w:rPr>
        <w:fldChar w:fldCharType="begin"/>
      </w:r>
      <w:r w:rsidRPr="00F27945">
        <w:rPr>
          <w:color w:val="C00000"/>
          <w:sz w:val="22"/>
        </w:rPr>
        <w:instrText xml:space="preserve"> SEQ Table \* ARABIC </w:instrText>
      </w:r>
      <w:r w:rsidRPr="00F27945">
        <w:rPr>
          <w:color w:val="C00000"/>
          <w:sz w:val="22"/>
        </w:rPr>
        <w:fldChar w:fldCharType="separate"/>
      </w:r>
      <w:r w:rsidR="00632EF4">
        <w:rPr>
          <w:noProof/>
          <w:color w:val="C00000"/>
          <w:sz w:val="22"/>
        </w:rPr>
        <w:t>8</w:t>
      </w:r>
      <w:r w:rsidRPr="00F27945">
        <w:rPr>
          <w:color w:val="C00000"/>
          <w:sz w:val="22"/>
        </w:rPr>
        <w:fldChar w:fldCharType="end"/>
      </w:r>
      <w:r w:rsidRPr="00F27945">
        <w:rPr>
          <w:color w:val="C00000"/>
          <w:sz w:val="22"/>
        </w:rPr>
        <w:t>. Model performance with and without social risk factors</w:t>
      </w:r>
    </w:p>
    <w:tbl>
      <w:tblPr>
        <w:tblW w:w="7200" w:type="dxa"/>
        <w:tblLayout w:type="fixed"/>
        <w:tblCellMar>
          <w:left w:w="0" w:type="dxa"/>
          <w:right w:w="0" w:type="dxa"/>
        </w:tblCellMar>
        <w:tblLook w:val="04A0" w:firstRow="1" w:lastRow="0" w:firstColumn="1" w:lastColumn="0" w:noHBand="0" w:noVBand="1"/>
      </w:tblPr>
      <w:tblGrid>
        <w:gridCol w:w="5489"/>
        <w:gridCol w:w="1711"/>
      </w:tblGrid>
      <w:tr w:rsidR="00F27945" w14:paraId="265E5B33" w14:textId="77777777" w:rsidTr="00AE0431">
        <w:trPr>
          <w:cantSplit/>
          <w:tblHeader/>
        </w:trPr>
        <w:tc>
          <w:tcPr>
            <w:tcW w:w="5489"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07FE250E" w14:textId="77777777" w:rsidR="00F27945" w:rsidRDefault="00F27945">
            <w:pPr>
              <w:keepNext/>
              <w:adjustRightInd w:val="0"/>
              <w:spacing w:before="60" w:after="60" w:line="254" w:lineRule="auto"/>
              <w:rPr>
                <w:b/>
                <w:bCs/>
                <w:color w:val="C00000"/>
              </w:rPr>
            </w:pPr>
            <w:r>
              <w:rPr>
                <w:b/>
                <w:bCs/>
                <w:color w:val="C00000"/>
              </w:rPr>
              <w:t>Model</w:t>
            </w:r>
          </w:p>
        </w:tc>
        <w:tc>
          <w:tcPr>
            <w:tcW w:w="1711" w:type="dxa"/>
            <w:tcBorders>
              <w:top w:val="single" w:sz="6" w:space="0" w:color="000000"/>
              <w:left w:val="single" w:sz="2" w:space="0" w:color="000000"/>
              <w:bottom w:val="single" w:sz="2" w:space="0" w:color="000000"/>
              <w:right w:val="single" w:sz="6" w:space="0" w:color="000000"/>
            </w:tcBorders>
            <w:shd w:val="clear" w:color="auto" w:fill="BBBBBB"/>
            <w:tcMar>
              <w:top w:w="0" w:type="dxa"/>
              <w:left w:w="60" w:type="dxa"/>
              <w:bottom w:w="0" w:type="dxa"/>
              <w:right w:w="60" w:type="dxa"/>
            </w:tcMar>
            <w:vAlign w:val="bottom"/>
            <w:hideMark/>
          </w:tcPr>
          <w:p w14:paraId="3BE04907" w14:textId="77777777" w:rsidR="00F27945" w:rsidRDefault="00F27945" w:rsidP="008C4DF5">
            <w:pPr>
              <w:keepNext/>
              <w:adjustRightInd w:val="0"/>
              <w:spacing w:before="60" w:after="60" w:line="254" w:lineRule="auto"/>
              <w:jc w:val="center"/>
              <w:rPr>
                <w:b/>
                <w:bCs/>
                <w:color w:val="C00000"/>
              </w:rPr>
            </w:pPr>
            <w:r>
              <w:rPr>
                <w:b/>
                <w:bCs/>
                <w:color w:val="C00000"/>
              </w:rPr>
              <w:t>Quasi-R-square</w:t>
            </w:r>
          </w:p>
        </w:tc>
      </w:tr>
      <w:tr w:rsidR="00F27945" w14:paraId="2B4C38B8" w14:textId="77777777" w:rsidTr="00AE0431">
        <w:trPr>
          <w:cantSplit/>
        </w:trPr>
        <w:tc>
          <w:tcPr>
            <w:tcW w:w="5489"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0CDD7C36" w14:textId="77777777" w:rsidR="00F27945" w:rsidRDefault="00F27945" w:rsidP="00F27945">
            <w:pPr>
              <w:adjustRightInd w:val="0"/>
              <w:spacing w:before="60" w:after="60" w:line="254" w:lineRule="auto"/>
              <w:rPr>
                <w:color w:val="C00000"/>
              </w:rPr>
            </w:pPr>
            <w:r>
              <w:rPr>
                <w:color w:val="C00000"/>
              </w:rPr>
              <w:t>Base Model</w:t>
            </w:r>
          </w:p>
        </w:tc>
        <w:tc>
          <w:tcPr>
            <w:tcW w:w="1711"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27F2DE70" w14:textId="4D094929" w:rsidR="00F27945" w:rsidRPr="00F27945" w:rsidRDefault="00F27945" w:rsidP="008C4DF5">
            <w:pPr>
              <w:adjustRightInd w:val="0"/>
              <w:spacing w:before="60" w:after="60" w:line="254" w:lineRule="auto"/>
              <w:jc w:val="center"/>
              <w:rPr>
                <w:color w:val="C00000"/>
              </w:rPr>
            </w:pPr>
            <w:r>
              <w:rPr>
                <w:color w:val="C00000"/>
              </w:rPr>
              <w:t>0.031</w:t>
            </w:r>
          </w:p>
        </w:tc>
      </w:tr>
      <w:tr w:rsidR="00F27945" w14:paraId="2AB30374" w14:textId="77777777" w:rsidTr="00AE0431">
        <w:trPr>
          <w:cantSplit/>
        </w:trPr>
        <w:tc>
          <w:tcPr>
            <w:tcW w:w="5489"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2628B001" w14:textId="43F7C941" w:rsidR="00F27945" w:rsidRDefault="00F27945" w:rsidP="00F27945">
            <w:pPr>
              <w:adjustRightInd w:val="0"/>
              <w:spacing w:before="60" w:after="60" w:line="254" w:lineRule="auto"/>
              <w:rPr>
                <w:color w:val="C00000"/>
              </w:rPr>
            </w:pPr>
            <w:r>
              <w:rPr>
                <w:color w:val="C00000"/>
              </w:rPr>
              <w:t xml:space="preserve">Base Model plus </w:t>
            </w:r>
            <w:r w:rsidR="00453E9E">
              <w:rPr>
                <w:color w:val="C00000"/>
              </w:rPr>
              <w:t>Low AHRQ SES</w:t>
            </w:r>
          </w:p>
        </w:tc>
        <w:tc>
          <w:tcPr>
            <w:tcW w:w="1711"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01F4E2F2" w14:textId="04472FF9" w:rsidR="00F27945" w:rsidRPr="00F27945" w:rsidRDefault="00F27945" w:rsidP="008C4DF5">
            <w:pPr>
              <w:adjustRightInd w:val="0"/>
              <w:spacing w:before="60" w:after="60" w:line="254" w:lineRule="auto"/>
              <w:jc w:val="center"/>
              <w:rPr>
                <w:color w:val="C00000"/>
              </w:rPr>
            </w:pPr>
            <w:r>
              <w:rPr>
                <w:color w:val="C00000"/>
              </w:rPr>
              <w:t>0.03</w:t>
            </w:r>
            <w:r w:rsidR="009531A4">
              <w:rPr>
                <w:color w:val="C00000"/>
              </w:rPr>
              <w:t>2</w:t>
            </w:r>
          </w:p>
        </w:tc>
      </w:tr>
      <w:tr w:rsidR="00F27945" w14:paraId="34AEE523" w14:textId="77777777" w:rsidTr="00AE0431">
        <w:trPr>
          <w:cantSplit/>
        </w:trPr>
        <w:tc>
          <w:tcPr>
            <w:tcW w:w="5489"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3098530F" w14:textId="77777777" w:rsidR="00F27945" w:rsidRDefault="00F27945" w:rsidP="00F27945">
            <w:pPr>
              <w:keepNext/>
              <w:adjustRightInd w:val="0"/>
              <w:spacing w:before="60" w:after="60" w:line="254" w:lineRule="auto"/>
              <w:rPr>
                <w:color w:val="C00000"/>
              </w:rPr>
            </w:pPr>
            <w:r>
              <w:rPr>
                <w:color w:val="C00000"/>
              </w:rPr>
              <w:t>Base Model plus Dual Eligibility</w:t>
            </w:r>
          </w:p>
        </w:tc>
        <w:tc>
          <w:tcPr>
            <w:tcW w:w="1711"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5EB72FBA" w14:textId="16AE8039" w:rsidR="00F27945" w:rsidRPr="00F27945" w:rsidRDefault="00F27945" w:rsidP="008C4DF5">
            <w:pPr>
              <w:keepNext/>
              <w:adjustRightInd w:val="0"/>
              <w:spacing w:before="60" w:after="60" w:line="254" w:lineRule="auto"/>
              <w:jc w:val="center"/>
              <w:rPr>
                <w:color w:val="C00000"/>
              </w:rPr>
            </w:pPr>
            <w:r>
              <w:rPr>
                <w:color w:val="C00000"/>
              </w:rPr>
              <w:t>0.031</w:t>
            </w:r>
          </w:p>
        </w:tc>
      </w:tr>
      <w:tr w:rsidR="00F27945" w14:paraId="1433A491" w14:textId="77777777" w:rsidTr="00AE0431">
        <w:trPr>
          <w:cantSplit/>
          <w:trHeight w:val="193"/>
        </w:trPr>
        <w:tc>
          <w:tcPr>
            <w:tcW w:w="5489" w:type="dxa"/>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34993F24" w14:textId="11417938" w:rsidR="00F27945" w:rsidRDefault="00F27945" w:rsidP="00F27945">
            <w:pPr>
              <w:adjustRightInd w:val="0"/>
              <w:spacing w:before="60" w:after="60" w:line="254" w:lineRule="auto"/>
              <w:rPr>
                <w:color w:val="C00000"/>
              </w:rPr>
            </w:pPr>
            <w:r>
              <w:rPr>
                <w:color w:val="C00000"/>
              </w:rPr>
              <w:t>Base Model plus b</w:t>
            </w:r>
            <w:r w:rsidR="00BB1D7A">
              <w:rPr>
                <w:color w:val="C00000"/>
              </w:rPr>
              <w:t>o</w:t>
            </w:r>
            <w:r>
              <w:rPr>
                <w:color w:val="C00000"/>
              </w:rPr>
              <w:t xml:space="preserve">th </w:t>
            </w:r>
            <w:r w:rsidR="00453E9E">
              <w:rPr>
                <w:color w:val="C00000"/>
              </w:rPr>
              <w:t>Low AHRQ SES</w:t>
            </w:r>
            <w:r>
              <w:rPr>
                <w:color w:val="C00000"/>
              </w:rPr>
              <w:t xml:space="preserve"> and Dual Eligibility</w:t>
            </w:r>
          </w:p>
        </w:tc>
        <w:tc>
          <w:tcPr>
            <w:tcW w:w="1711" w:type="dxa"/>
            <w:tcBorders>
              <w:top w:val="nil"/>
              <w:left w:val="single" w:sz="2"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7618103B" w14:textId="64ECFED7" w:rsidR="00F27945" w:rsidRPr="00F27945" w:rsidRDefault="00F27945" w:rsidP="008C4DF5">
            <w:pPr>
              <w:adjustRightInd w:val="0"/>
              <w:spacing w:before="60" w:after="60" w:line="254" w:lineRule="auto"/>
              <w:jc w:val="center"/>
              <w:rPr>
                <w:color w:val="C00000"/>
              </w:rPr>
            </w:pPr>
            <w:r>
              <w:rPr>
                <w:color w:val="C00000"/>
              </w:rPr>
              <w:t>0.03</w:t>
            </w:r>
            <w:r w:rsidR="009531A4">
              <w:rPr>
                <w:color w:val="C00000"/>
              </w:rPr>
              <w:t>2</w:t>
            </w:r>
          </w:p>
        </w:tc>
      </w:tr>
    </w:tbl>
    <w:p w14:paraId="3D263F94" w14:textId="77777777" w:rsidR="00F27945" w:rsidRDefault="00F27945" w:rsidP="00F27945">
      <w:pPr>
        <w:autoSpaceDE w:val="0"/>
        <w:autoSpaceDN w:val="0"/>
        <w:adjustRightInd w:val="0"/>
        <w:spacing w:before="120" w:after="120" w:line="240" w:lineRule="auto"/>
        <w:rPr>
          <w:b/>
          <w:color w:val="C00000"/>
        </w:rPr>
      </w:pPr>
    </w:p>
    <w:p w14:paraId="7F61F551" w14:textId="5CD6F20C" w:rsidR="00F27945" w:rsidRDefault="00F27945" w:rsidP="00F27945">
      <w:pPr>
        <w:autoSpaceDE w:val="0"/>
        <w:autoSpaceDN w:val="0"/>
        <w:adjustRightInd w:val="0"/>
        <w:spacing w:before="120" w:after="120" w:line="240" w:lineRule="auto"/>
        <w:rPr>
          <w:b/>
          <w:bCs/>
          <w:color w:val="C00000"/>
        </w:rPr>
      </w:pPr>
      <w:r>
        <w:rPr>
          <w:b/>
          <w:bCs/>
          <w:color w:val="C00000"/>
        </w:rPr>
        <w:t>Impact on measure scores</w:t>
      </w:r>
    </w:p>
    <w:p w14:paraId="4015D534" w14:textId="3D218643" w:rsidR="004F453C" w:rsidRPr="000A3CDC" w:rsidRDefault="004F453C" w:rsidP="004F453C">
      <w:pPr>
        <w:autoSpaceDE w:val="0"/>
        <w:autoSpaceDN w:val="0"/>
        <w:adjustRightInd w:val="0"/>
        <w:spacing w:after="0" w:line="240" w:lineRule="auto"/>
        <w:rPr>
          <w:color w:val="C00000"/>
        </w:rPr>
      </w:pPr>
      <w:r w:rsidRPr="00F52A5E">
        <w:rPr>
          <w:color w:val="C00000"/>
        </w:rPr>
        <w:t xml:space="preserve">We then examined the impact of adding each </w:t>
      </w:r>
      <w:r>
        <w:rPr>
          <w:color w:val="C00000"/>
        </w:rPr>
        <w:t>social risk factor</w:t>
      </w:r>
      <w:r w:rsidRPr="00F52A5E">
        <w:rPr>
          <w:color w:val="C00000"/>
        </w:rPr>
        <w:t xml:space="preserve"> separately on measure scores. </w:t>
      </w:r>
      <w:r w:rsidR="00453E9E">
        <w:rPr>
          <w:color w:val="C00000"/>
        </w:rPr>
        <w:t>As shown in Table 9, w</w:t>
      </w:r>
      <w:r w:rsidRPr="00F52A5E">
        <w:rPr>
          <w:color w:val="C00000"/>
        </w:rPr>
        <w:t xml:space="preserve">e found that </w:t>
      </w:r>
      <w:r>
        <w:rPr>
          <w:color w:val="C00000"/>
        </w:rPr>
        <w:t xml:space="preserve">when adding the </w:t>
      </w:r>
      <w:r w:rsidR="00453E9E">
        <w:rPr>
          <w:color w:val="C00000"/>
        </w:rPr>
        <w:t>low AHRQ SES</w:t>
      </w:r>
      <w:r>
        <w:rPr>
          <w:color w:val="C00000"/>
        </w:rPr>
        <w:t xml:space="preserve"> variable to the model, the median change in measure scores (risk-standardized payments or RSPs) was very small</w:t>
      </w:r>
      <w:r w:rsidR="00B81657">
        <w:rPr>
          <w:color w:val="C00000"/>
        </w:rPr>
        <w:t>, and in a negative direction</w:t>
      </w:r>
      <w:r>
        <w:rPr>
          <w:color w:val="C00000"/>
        </w:rPr>
        <w:t xml:space="preserve">: -$7.55 </w:t>
      </w:r>
      <w:r w:rsidRPr="000A3CDC">
        <w:rPr>
          <w:color w:val="C00000"/>
        </w:rPr>
        <w:t xml:space="preserve">(interquartile range [IQR] </w:t>
      </w:r>
      <w:r>
        <w:rPr>
          <w:color w:val="C00000"/>
        </w:rPr>
        <w:t xml:space="preserve">(-$97.80 – $77.50). When the dual eligibility variable was added to the model the median </w:t>
      </w:r>
      <w:r w:rsidRPr="000A3CDC">
        <w:rPr>
          <w:color w:val="C00000"/>
        </w:rPr>
        <w:t xml:space="preserve">change in hospitals’ RSPs </w:t>
      </w:r>
      <w:r>
        <w:rPr>
          <w:color w:val="C00000"/>
        </w:rPr>
        <w:t>was also small:</w:t>
      </w:r>
      <w:r w:rsidRPr="000A3CDC">
        <w:rPr>
          <w:color w:val="C00000"/>
        </w:rPr>
        <w:t xml:space="preserve"> $</w:t>
      </w:r>
      <w:r>
        <w:rPr>
          <w:color w:val="C00000"/>
        </w:rPr>
        <w:t xml:space="preserve">1.30 </w:t>
      </w:r>
      <w:r w:rsidRPr="000A3CDC">
        <w:rPr>
          <w:color w:val="C00000"/>
        </w:rPr>
        <w:t>(interquartile range [IQR]</w:t>
      </w:r>
      <w:r>
        <w:rPr>
          <w:color w:val="C00000"/>
        </w:rPr>
        <w:t xml:space="preserve"> (-$2.50 – $5.00</w:t>
      </w:r>
      <w:r w:rsidRPr="000A3CDC">
        <w:rPr>
          <w:color w:val="C00000"/>
        </w:rPr>
        <w:t>).</w:t>
      </w:r>
    </w:p>
    <w:p w14:paraId="20A11372" w14:textId="77777777" w:rsidR="004F453C" w:rsidRDefault="004F453C" w:rsidP="004F453C">
      <w:pPr>
        <w:autoSpaceDE w:val="0"/>
        <w:autoSpaceDN w:val="0"/>
        <w:adjustRightInd w:val="0"/>
        <w:spacing w:after="0" w:line="240" w:lineRule="auto"/>
        <w:rPr>
          <w:color w:val="C00000"/>
        </w:rPr>
      </w:pPr>
    </w:p>
    <w:p w14:paraId="11DEB146" w14:textId="2743816E" w:rsidR="00453E9E" w:rsidRDefault="00453E9E" w:rsidP="004F453C">
      <w:pPr>
        <w:autoSpaceDE w:val="0"/>
        <w:autoSpaceDN w:val="0"/>
        <w:adjustRightInd w:val="0"/>
        <w:spacing w:after="0" w:line="240" w:lineRule="auto"/>
        <w:rPr>
          <w:color w:val="C00000"/>
        </w:rPr>
      </w:pPr>
    </w:p>
    <w:p w14:paraId="34CC20E4" w14:textId="345B5E8D" w:rsidR="00453E9E" w:rsidRPr="00A30A25" w:rsidRDefault="00453E9E" w:rsidP="00453E9E">
      <w:pPr>
        <w:autoSpaceDE w:val="0"/>
        <w:autoSpaceDN w:val="0"/>
        <w:adjustRightInd w:val="0"/>
        <w:spacing w:after="0" w:line="240" w:lineRule="auto"/>
        <w:rPr>
          <w:color w:val="C00000"/>
        </w:rPr>
      </w:pPr>
      <w:r w:rsidRPr="00453E9E">
        <w:rPr>
          <w:color w:val="C00000"/>
        </w:rPr>
        <w:t>To further characterize the impact on measure scores</w:t>
      </w:r>
      <w:r>
        <w:rPr>
          <w:color w:val="C00000"/>
        </w:rPr>
        <w:t>,</w:t>
      </w:r>
      <w:r w:rsidRPr="00453E9E">
        <w:rPr>
          <w:color w:val="C00000"/>
        </w:rPr>
        <w:t xml:space="preserve"> we examined the correlation between measure scores (risk-standardized payments or RSPs) calculated with the baseline model and with either social risk factor included in the model. The results show that measures scores were highly correlated (Table 9): the correlation coefficient between RSPs for each hospital with and without the low AHRQ SES variable is 0.989; the correlation coefficient between RSPs for each hospital with and without the dual eligibility variable is &gt;0.999.</w:t>
      </w:r>
    </w:p>
    <w:p w14:paraId="63C918DF" w14:textId="77777777" w:rsidR="00453E9E" w:rsidRDefault="00453E9E" w:rsidP="004F453C">
      <w:pPr>
        <w:autoSpaceDE w:val="0"/>
        <w:autoSpaceDN w:val="0"/>
        <w:adjustRightInd w:val="0"/>
        <w:spacing w:after="0" w:line="240" w:lineRule="auto"/>
        <w:rPr>
          <w:color w:val="C00000"/>
        </w:rPr>
      </w:pPr>
    </w:p>
    <w:p w14:paraId="500AECF3" w14:textId="332EF03F" w:rsidR="00AE0431" w:rsidRDefault="00BB1D7A" w:rsidP="00453E9E">
      <w:pPr>
        <w:autoSpaceDE w:val="0"/>
        <w:autoSpaceDN w:val="0"/>
        <w:adjustRightInd w:val="0"/>
        <w:spacing w:after="0" w:line="240" w:lineRule="auto"/>
        <w:rPr>
          <w:color w:val="C00000"/>
        </w:rPr>
      </w:pPr>
      <w:r>
        <w:rPr>
          <w:color w:val="C00000"/>
        </w:rPr>
        <w:t>These results demonstrate that overall, risk adjustment for either social risk variable has a small impact on measure scores.</w:t>
      </w:r>
    </w:p>
    <w:p w14:paraId="2AC36E4A" w14:textId="77777777" w:rsidR="00453E9E" w:rsidRDefault="00453E9E" w:rsidP="00453E9E">
      <w:pPr>
        <w:autoSpaceDE w:val="0"/>
        <w:autoSpaceDN w:val="0"/>
        <w:adjustRightInd w:val="0"/>
        <w:spacing w:after="0" w:line="240" w:lineRule="auto"/>
        <w:rPr>
          <w:color w:val="C00000"/>
        </w:rPr>
      </w:pPr>
    </w:p>
    <w:p w14:paraId="191FC1D5" w14:textId="52A927D0" w:rsidR="00E81AB5" w:rsidRPr="00E81AB5" w:rsidRDefault="00E81AB5" w:rsidP="00E81AB5">
      <w:pPr>
        <w:pStyle w:val="Caption"/>
        <w:keepNext/>
        <w:rPr>
          <w:color w:val="C00000"/>
          <w:sz w:val="22"/>
        </w:rPr>
      </w:pPr>
      <w:r w:rsidRPr="00E81AB5">
        <w:rPr>
          <w:color w:val="C00000"/>
          <w:sz w:val="22"/>
        </w:rPr>
        <w:t xml:space="preserve">Table </w:t>
      </w:r>
      <w:r w:rsidRPr="00E81AB5">
        <w:rPr>
          <w:color w:val="C00000"/>
          <w:sz w:val="22"/>
        </w:rPr>
        <w:fldChar w:fldCharType="begin"/>
      </w:r>
      <w:r w:rsidRPr="00E81AB5">
        <w:rPr>
          <w:color w:val="C00000"/>
          <w:sz w:val="22"/>
        </w:rPr>
        <w:instrText xml:space="preserve"> SEQ Table \* ARABIC </w:instrText>
      </w:r>
      <w:r w:rsidRPr="00E81AB5">
        <w:rPr>
          <w:color w:val="C00000"/>
          <w:sz w:val="22"/>
        </w:rPr>
        <w:fldChar w:fldCharType="separate"/>
      </w:r>
      <w:r w:rsidR="00632EF4">
        <w:rPr>
          <w:noProof/>
          <w:color w:val="C00000"/>
          <w:sz w:val="22"/>
        </w:rPr>
        <w:t>9</w:t>
      </w:r>
      <w:r w:rsidRPr="00E81AB5">
        <w:rPr>
          <w:color w:val="C00000"/>
          <w:sz w:val="22"/>
        </w:rPr>
        <w:fldChar w:fldCharType="end"/>
      </w:r>
      <w:r w:rsidRPr="00E81AB5">
        <w:rPr>
          <w:color w:val="C00000"/>
          <w:sz w:val="22"/>
        </w:rPr>
        <w:t xml:space="preserve">. </w:t>
      </w:r>
      <w:r w:rsidR="00BB1D7A" w:rsidRPr="00BB1D7A">
        <w:rPr>
          <w:color w:val="C00000"/>
          <w:sz w:val="22"/>
        </w:rPr>
        <w:t xml:space="preserve">Distributions of changes in measure scores and correlations between the measures scores based on models </w:t>
      </w:r>
      <w:r w:rsidR="00CB3DDB">
        <w:rPr>
          <w:color w:val="C00000"/>
          <w:sz w:val="22"/>
        </w:rPr>
        <w:t>with and without</w:t>
      </w:r>
      <w:r w:rsidR="00BB1D7A" w:rsidRPr="00BB1D7A">
        <w:rPr>
          <w:color w:val="C00000"/>
          <w:sz w:val="22"/>
        </w:rPr>
        <w:t xml:space="preserve"> adjustment for each social risk factor</w:t>
      </w:r>
    </w:p>
    <w:tbl>
      <w:tblPr>
        <w:tblStyle w:val="TableGrid"/>
        <w:tblW w:w="0" w:type="auto"/>
        <w:tblLook w:val="04A0" w:firstRow="1" w:lastRow="0" w:firstColumn="1" w:lastColumn="0" w:noHBand="0" w:noVBand="1"/>
      </w:tblPr>
      <w:tblGrid>
        <w:gridCol w:w="1870"/>
        <w:gridCol w:w="1870"/>
        <w:gridCol w:w="1870"/>
        <w:gridCol w:w="1870"/>
      </w:tblGrid>
      <w:tr w:rsidR="00F27945" w14:paraId="347333FA" w14:textId="77777777" w:rsidTr="00F27945">
        <w:tc>
          <w:tcPr>
            <w:tcW w:w="1870" w:type="dxa"/>
            <w:tcBorders>
              <w:top w:val="single" w:sz="4" w:space="0" w:color="auto"/>
              <w:left w:val="single" w:sz="4" w:space="0" w:color="auto"/>
              <w:bottom w:val="single" w:sz="4" w:space="0" w:color="auto"/>
              <w:right w:val="single" w:sz="4" w:space="0" w:color="auto"/>
            </w:tcBorders>
            <w:hideMark/>
          </w:tcPr>
          <w:p w14:paraId="70E4A4F1" w14:textId="77777777" w:rsidR="00F27945" w:rsidRDefault="00F27945">
            <w:pPr>
              <w:autoSpaceDE w:val="0"/>
              <w:autoSpaceDN w:val="0"/>
              <w:adjustRightInd w:val="0"/>
              <w:spacing w:before="120" w:after="120"/>
              <w:rPr>
                <w:b/>
                <w:color w:val="C00000"/>
              </w:rPr>
            </w:pPr>
            <w:r>
              <w:rPr>
                <w:b/>
                <w:color w:val="C00000"/>
              </w:rPr>
              <w:t>Metric</w:t>
            </w:r>
          </w:p>
        </w:tc>
        <w:tc>
          <w:tcPr>
            <w:tcW w:w="1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89F2D" w14:textId="140453FF" w:rsidR="00F27945" w:rsidRDefault="006437EF" w:rsidP="00BB1D7A">
            <w:pPr>
              <w:autoSpaceDE w:val="0"/>
              <w:autoSpaceDN w:val="0"/>
              <w:adjustRightInd w:val="0"/>
              <w:spacing w:before="120" w:after="120"/>
              <w:jc w:val="center"/>
              <w:rPr>
                <w:b/>
                <w:color w:val="C00000"/>
              </w:rPr>
            </w:pPr>
            <w:r>
              <w:rPr>
                <w:b/>
                <w:color w:val="C00000"/>
              </w:rPr>
              <w:t>Change in measure score</w:t>
            </w:r>
            <w:r w:rsidR="00F27945">
              <w:rPr>
                <w:b/>
                <w:color w:val="C00000"/>
              </w:rPr>
              <w:t xml:space="preserve"> ($)</w:t>
            </w:r>
          </w:p>
        </w:tc>
        <w:tc>
          <w:tcPr>
            <w:tcW w:w="1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1F2AF0" w14:textId="09B9F108" w:rsidR="00F27945" w:rsidRDefault="006437EF" w:rsidP="00BB1D7A">
            <w:pPr>
              <w:autoSpaceDE w:val="0"/>
              <w:autoSpaceDN w:val="0"/>
              <w:adjustRightInd w:val="0"/>
              <w:spacing w:before="120" w:after="120"/>
              <w:jc w:val="center"/>
              <w:rPr>
                <w:b/>
                <w:color w:val="C00000"/>
              </w:rPr>
            </w:pPr>
            <w:r>
              <w:rPr>
                <w:b/>
                <w:color w:val="C00000"/>
              </w:rPr>
              <w:t xml:space="preserve">Change in measure score </w:t>
            </w:r>
            <w:r w:rsidR="00F27945">
              <w:rPr>
                <w:b/>
                <w:color w:val="C00000"/>
              </w:rPr>
              <w:t>($)</w:t>
            </w:r>
          </w:p>
        </w:tc>
        <w:tc>
          <w:tcPr>
            <w:tcW w:w="1870" w:type="dxa"/>
            <w:tcBorders>
              <w:top w:val="single" w:sz="4" w:space="0" w:color="auto"/>
              <w:left w:val="single" w:sz="4" w:space="0" w:color="auto"/>
              <w:bottom w:val="single" w:sz="4" w:space="0" w:color="auto"/>
              <w:right w:val="single" w:sz="4" w:space="0" w:color="auto"/>
            </w:tcBorders>
            <w:hideMark/>
          </w:tcPr>
          <w:p w14:paraId="16BEE566" w14:textId="3D607302" w:rsidR="00F27945" w:rsidRDefault="00F27945" w:rsidP="00BB1D7A">
            <w:pPr>
              <w:autoSpaceDE w:val="0"/>
              <w:autoSpaceDN w:val="0"/>
              <w:adjustRightInd w:val="0"/>
              <w:spacing w:before="120" w:after="120"/>
              <w:jc w:val="center"/>
              <w:rPr>
                <w:b/>
                <w:color w:val="C00000"/>
              </w:rPr>
            </w:pPr>
            <w:r>
              <w:rPr>
                <w:b/>
                <w:color w:val="C00000"/>
              </w:rPr>
              <w:t>Measure Score Correlation</w:t>
            </w:r>
          </w:p>
        </w:tc>
      </w:tr>
      <w:tr w:rsidR="00F27945" w14:paraId="4E3775DD" w14:textId="77777777" w:rsidTr="00F27945">
        <w:tc>
          <w:tcPr>
            <w:tcW w:w="1870" w:type="dxa"/>
            <w:tcBorders>
              <w:top w:val="single" w:sz="4" w:space="0" w:color="auto"/>
              <w:left w:val="single" w:sz="4" w:space="0" w:color="auto"/>
              <w:bottom w:val="single" w:sz="4" w:space="0" w:color="auto"/>
              <w:right w:val="single" w:sz="4" w:space="0" w:color="auto"/>
            </w:tcBorders>
            <w:hideMark/>
          </w:tcPr>
          <w:p w14:paraId="429DC0F5" w14:textId="77777777" w:rsidR="00F27945" w:rsidRDefault="00F27945">
            <w:pPr>
              <w:autoSpaceDE w:val="0"/>
              <w:autoSpaceDN w:val="0"/>
              <w:adjustRightInd w:val="0"/>
              <w:spacing w:before="120" w:after="120"/>
              <w:rPr>
                <w:b/>
                <w:color w:val="C00000"/>
                <w:u w:val="single"/>
              </w:rPr>
            </w:pPr>
            <w:r>
              <w:rPr>
                <w:b/>
                <w:color w:val="C00000"/>
                <w:u w:val="single"/>
              </w:rPr>
              <w:t>Social Risk Factor</w:t>
            </w:r>
          </w:p>
        </w:tc>
        <w:tc>
          <w:tcPr>
            <w:tcW w:w="1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004741" w14:textId="77777777" w:rsidR="00F27945" w:rsidRDefault="00F27945" w:rsidP="00BB1D7A">
            <w:pPr>
              <w:autoSpaceDE w:val="0"/>
              <w:autoSpaceDN w:val="0"/>
              <w:adjustRightInd w:val="0"/>
              <w:spacing w:before="120" w:after="120"/>
              <w:jc w:val="center"/>
              <w:rPr>
                <w:b/>
                <w:color w:val="C00000"/>
              </w:rPr>
            </w:pPr>
            <w:r>
              <w:rPr>
                <w:b/>
                <w:color w:val="C00000"/>
              </w:rPr>
              <w:t>Median</w:t>
            </w:r>
          </w:p>
        </w:tc>
        <w:tc>
          <w:tcPr>
            <w:tcW w:w="1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A50B1" w14:textId="77777777" w:rsidR="00F27945" w:rsidRDefault="00F27945" w:rsidP="00BB1D7A">
            <w:pPr>
              <w:autoSpaceDE w:val="0"/>
              <w:autoSpaceDN w:val="0"/>
              <w:adjustRightInd w:val="0"/>
              <w:spacing w:before="120" w:after="120"/>
              <w:jc w:val="center"/>
              <w:rPr>
                <w:b/>
                <w:color w:val="C00000"/>
              </w:rPr>
            </w:pPr>
            <w:r>
              <w:rPr>
                <w:b/>
                <w:color w:val="C00000"/>
              </w:rPr>
              <w:t>IQR</w:t>
            </w:r>
          </w:p>
        </w:tc>
        <w:tc>
          <w:tcPr>
            <w:tcW w:w="1870" w:type="dxa"/>
            <w:tcBorders>
              <w:top w:val="single" w:sz="4" w:space="0" w:color="auto"/>
              <w:left w:val="single" w:sz="4" w:space="0" w:color="auto"/>
              <w:bottom w:val="single" w:sz="4" w:space="0" w:color="auto"/>
              <w:right w:val="single" w:sz="4" w:space="0" w:color="auto"/>
            </w:tcBorders>
            <w:hideMark/>
          </w:tcPr>
          <w:p w14:paraId="38B68C77" w14:textId="77777777" w:rsidR="00F27945" w:rsidRDefault="00F27945" w:rsidP="00BB1D7A">
            <w:pPr>
              <w:autoSpaceDE w:val="0"/>
              <w:autoSpaceDN w:val="0"/>
              <w:adjustRightInd w:val="0"/>
              <w:spacing w:before="120" w:after="120"/>
              <w:jc w:val="center"/>
              <w:rPr>
                <w:b/>
                <w:color w:val="C00000"/>
              </w:rPr>
            </w:pPr>
            <w:r>
              <w:rPr>
                <w:b/>
                <w:color w:val="C00000"/>
              </w:rPr>
              <w:t>Pearson Correlation Coefficient</w:t>
            </w:r>
          </w:p>
        </w:tc>
      </w:tr>
      <w:tr w:rsidR="00F27945" w14:paraId="5C614AD8" w14:textId="77777777" w:rsidTr="00E81AB5">
        <w:tc>
          <w:tcPr>
            <w:tcW w:w="1870" w:type="dxa"/>
            <w:tcBorders>
              <w:top w:val="single" w:sz="4" w:space="0" w:color="auto"/>
              <w:left w:val="single" w:sz="4" w:space="0" w:color="auto"/>
              <w:bottom w:val="single" w:sz="4" w:space="0" w:color="auto"/>
              <w:right w:val="single" w:sz="4" w:space="0" w:color="auto"/>
            </w:tcBorders>
            <w:hideMark/>
          </w:tcPr>
          <w:p w14:paraId="40B187CF" w14:textId="77777777" w:rsidR="00F27945" w:rsidRDefault="00F27945">
            <w:pPr>
              <w:autoSpaceDE w:val="0"/>
              <w:autoSpaceDN w:val="0"/>
              <w:adjustRightInd w:val="0"/>
              <w:spacing w:before="120" w:after="120"/>
              <w:rPr>
                <w:b/>
                <w:color w:val="C00000"/>
              </w:rPr>
            </w:pPr>
            <w:r>
              <w:rPr>
                <w:b/>
                <w:color w:val="C00000"/>
              </w:rPr>
              <w:t>Low AHRQ SES</w:t>
            </w:r>
          </w:p>
        </w:tc>
        <w:tc>
          <w:tcPr>
            <w:tcW w:w="1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625992" w14:textId="1B59A205" w:rsidR="00F27945" w:rsidRDefault="00FF26EC" w:rsidP="00BB1D7A">
            <w:pPr>
              <w:autoSpaceDE w:val="0"/>
              <w:autoSpaceDN w:val="0"/>
              <w:adjustRightInd w:val="0"/>
              <w:spacing w:before="120" w:after="120"/>
              <w:jc w:val="center"/>
              <w:rPr>
                <w:color w:val="C00000"/>
              </w:rPr>
            </w:pPr>
            <w:r>
              <w:rPr>
                <w:color w:val="C00000"/>
              </w:rPr>
              <w:t>-</w:t>
            </w:r>
            <w:r w:rsidR="00E81AB5">
              <w:rPr>
                <w:color w:val="C00000"/>
              </w:rPr>
              <w:t>$</w:t>
            </w:r>
            <w:r>
              <w:rPr>
                <w:color w:val="C00000"/>
              </w:rPr>
              <w:t>7.55</w:t>
            </w:r>
          </w:p>
        </w:tc>
        <w:tc>
          <w:tcPr>
            <w:tcW w:w="1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1BD605" w14:textId="115EEC76" w:rsidR="00F27945" w:rsidRDefault="00E81AB5" w:rsidP="00BB1D7A">
            <w:pPr>
              <w:autoSpaceDE w:val="0"/>
              <w:autoSpaceDN w:val="0"/>
              <w:adjustRightInd w:val="0"/>
              <w:spacing w:before="120" w:after="120"/>
              <w:jc w:val="center"/>
              <w:rPr>
                <w:color w:val="C00000"/>
              </w:rPr>
            </w:pPr>
            <w:r>
              <w:rPr>
                <w:color w:val="C00000"/>
              </w:rPr>
              <w:t>(-</w:t>
            </w:r>
            <w:r w:rsidR="00FF26EC">
              <w:rPr>
                <w:color w:val="C00000"/>
              </w:rPr>
              <w:t>$</w:t>
            </w:r>
            <w:r>
              <w:rPr>
                <w:color w:val="C00000"/>
              </w:rPr>
              <w:t>97.</w:t>
            </w:r>
            <w:r w:rsidR="00FF26EC">
              <w:rPr>
                <w:color w:val="C00000"/>
              </w:rPr>
              <w:t>8</w:t>
            </w:r>
            <w:r>
              <w:rPr>
                <w:color w:val="C00000"/>
              </w:rPr>
              <w:t xml:space="preserve">0 – </w:t>
            </w:r>
            <w:r w:rsidR="00FF26EC">
              <w:rPr>
                <w:color w:val="C00000"/>
              </w:rPr>
              <w:t>$77.50</w:t>
            </w:r>
            <w:r>
              <w:rPr>
                <w:color w:val="C00000"/>
              </w:rPr>
              <w:t>)</w:t>
            </w:r>
          </w:p>
        </w:tc>
        <w:tc>
          <w:tcPr>
            <w:tcW w:w="1870" w:type="dxa"/>
            <w:tcBorders>
              <w:top w:val="single" w:sz="4" w:space="0" w:color="auto"/>
              <w:left w:val="single" w:sz="4" w:space="0" w:color="auto"/>
              <w:bottom w:val="single" w:sz="4" w:space="0" w:color="auto"/>
              <w:right w:val="single" w:sz="4" w:space="0" w:color="auto"/>
            </w:tcBorders>
          </w:tcPr>
          <w:p w14:paraId="66EE3B2E" w14:textId="0E06E480" w:rsidR="00F27945" w:rsidRDefault="00E81AB5" w:rsidP="00BB1D7A">
            <w:pPr>
              <w:autoSpaceDE w:val="0"/>
              <w:autoSpaceDN w:val="0"/>
              <w:adjustRightInd w:val="0"/>
              <w:spacing w:before="120" w:after="120"/>
              <w:jc w:val="center"/>
              <w:rPr>
                <w:color w:val="C00000"/>
              </w:rPr>
            </w:pPr>
            <w:r>
              <w:rPr>
                <w:color w:val="C00000"/>
              </w:rPr>
              <w:t>0.9</w:t>
            </w:r>
            <w:r w:rsidR="00FF26EC">
              <w:rPr>
                <w:color w:val="C00000"/>
              </w:rPr>
              <w:t>89</w:t>
            </w:r>
          </w:p>
        </w:tc>
      </w:tr>
      <w:tr w:rsidR="00F27945" w14:paraId="17CCDCF6" w14:textId="77777777" w:rsidTr="00E81AB5">
        <w:tc>
          <w:tcPr>
            <w:tcW w:w="1870" w:type="dxa"/>
            <w:tcBorders>
              <w:top w:val="single" w:sz="4" w:space="0" w:color="auto"/>
              <w:left w:val="single" w:sz="4" w:space="0" w:color="auto"/>
              <w:bottom w:val="single" w:sz="4" w:space="0" w:color="auto"/>
              <w:right w:val="single" w:sz="4" w:space="0" w:color="auto"/>
            </w:tcBorders>
            <w:hideMark/>
          </w:tcPr>
          <w:p w14:paraId="1B813955" w14:textId="77777777" w:rsidR="00F27945" w:rsidRDefault="00F27945">
            <w:pPr>
              <w:autoSpaceDE w:val="0"/>
              <w:autoSpaceDN w:val="0"/>
              <w:adjustRightInd w:val="0"/>
              <w:spacing w:before="120" w:after="120"/>
              <w:rPr>
                <w:b/>
                <w:color w:val="C00000"/>
              </w:rPr>
            </w:pPr>
            <w:r>
              <w:rPr>
                <w:b/>
                <w:color w:val="C00000"/>
              </w:rPr>
              <w:t>Dual Eligibility</w:t>
            </w:r>
          </w:p>
        </w:tc>
        <w:tc>
          <w:tcPr>
            <w:tcW w:w="1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8124D4" w14:textId="07A4C86D" w:rsidR="00F27945" w:rsidRDefault="00E81AB5" w:rsidP="00BB1D7A">
            <w:pPr>
              <w:autoSpaceDE w:val="0"/>
              <w:autoSpaceDN w:val="0"/>
              <w:adjustRightInd w:val="0"/>
              <w:spacing w:before="120" w:after="120"/>
              <w:jc w:val="center"/>
              <w:rPr>
                <w:color w:val="C00000"/>
              </w:rPr>
            </w:pPr>
            <w:r>
              <w:rPr>
                <w:color w:val="C00000"/>
              </w:rPr>
              <w:t>$</w:t>
            </w:r>
            <w:r w:rsidR="00FF26EC">
              <w:rPr>
                <w:color w:val="C00000"/>
              </w:rPr>
              <w:t>1.30</w:t>
            </w:r>
          </w:p>
        </w:tc>
        <w:tc>
          <w:tcPr>
            <w:tcW w:w="1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EC6A3" w14:textId="60E8372F" w:rsidR="00F27945" w:rsidRDefault="00E81AB5" w:rsidP="00BB1D7A">
            <w:pPr>
              <w:autoSpaceDE w:val="0"/>
              <w:autoSpaceDN w:val="0"/>
              <w:adjustRightInd w:val="0"/>
              <w:spacing w:before="120" w:after="120"/>
              <w:jc w:val="center"/>
              <w:rPr>
                <w:color w:val="C00000"/>
              </w:rPr>
            </w:pPr>
            <w:r>
              <w:rPr>
                <w:color w:val="C00000"/>
              </w:rPr>
              <w:t>(-</w:t>
            </w:r>
            <w:r w:rsidR="00FF26EC">
              <w:rPr>
                <w:color w:val="C00000"/>
              </w:rPr>
              <w:t>$</w:t>
            </w:r>
            <w:r>
              <w:rPr>
                <w:color w:val="C00000"/>
              </w:rPr>
              <w:t>2.5</w:t>
            </w:r>
            <w:r w:rsidR="00FF26EC">
              <w:rPr>
                <w:color w:val="C00000"/>
              </w:rPr>
              <w:t>0</w:t>
            </w:r>
            <w:r>
              <w:rPr>
                <w:color w:val="C00000"/>
              </w:rPr>
              <w:t xml:space="preserve"> – </w:t>
            </w:r>
            <w:r w:rsidR="00FF26EC">
              <w:rPr>
                <w:color w:val="C00000"/>
              </w:rPr>
              <w:t>$</w:t>
            </w:r>
            <w:r>
              <w:rPr>
                <w:color w:val="C00000"/>
              </w:rPr>
              <w:t>5.0</w:t>
            </w:r>
            <w:r w:rsidR="00FF26EC">
              <w:rPr>
                <w:color w:val="C00000"/>
              </w:rPr>
              <w:t>0</w:t>
            </w:r>
            <w:r>
              <w:rPr>
                <w:color w:val="C00000"/>
              </w:rPr>
              <w:t>)</w:t>
            </w:r>
          </w:p>
        </w:tc>
        <w:tc>
          <w:tcPr>
            <w:tcW w:w="1870" w:type="dxa"/>
            <w:tcBorders>
              <w:top w:val="single" w:sz="4" w:space="0" w:color="auto"/>
              <w:left w:val="single" w:sz="4" w:space="0" w:color="auto"/>
              <w:bottom w:val="single" w:sz="4" w:space="0" w:color="auto"/>
              <w:right w:val="single" w:sz="4" w:space="0" w:color="auto"/>
            </w:tcBorders>
          </w:tcPr>
          <w:p w14:paraId="74C72B16" w14:textId="326DE271" w:rsidR="00F27945" w:rsidRDefault="00BB1D7A" w:rsidP="00BB1D7A">
            <w:pPr>
              <w:autoSpaceDE w:val="0"/>
              <w:autoSpaceDN w:val="0"/>
              <w:adjustRightInd w:val="0"/>
              <w:spacing w:before="120" w:after="120"/>
              <w:jc w:val="center"/>
              <w:rPr>
                <w:color w:val="C00000"/>
              </w:rPr>
            </w:pPr>
            <w:r>
              <w:rPr>
                <w:color w:val="C00000"/>
              </w:rPr>
              <w:t>&gt;0.999</w:t>
            </w:r>
          </w:p>
        </w:tc>
      </w:tr>
    </w:tbl>
    <w:p w14:paraId="70A6180E" w14:textId="31F3FB01" w:rsidR="00F27945" w:rsidRDefault="00F27945" w:rsidP="00001D73">
      <w:pPr>
        <w:autoSpaceDE w:val="0"/>
        <w:autoSpaceDN w:val="0"/>
        <w:adjustRightInd w:val="0"/>
        <w:spacing w:after="0" w:line="240" w:lineRule="auto"/>
        <w:rPr>
          <w:rFonts w:cstheme="minorHAnsi"/>
          <w:b/>
          <w:bCs/>
        </w:rPr>
      </w:pPr>
    </w:p>
    <w:p w14:paraId="193E7F5F" w14:textId="105656EE" w:rsidR="00E81AB5" w:rsidRDefault="00E81AB5" w:rsidP="00E81AB5">
      <w:pPr>
        <w:tabs>
          <w:tab w:val="left" w:pos="4101"/>
        </w:tabs>
        <w:rPr>
          <w:b/>
          <w:bCs/>
          <w:color w:val="C00000"/>
        </w:rPr>
      </w:pPr>
      <w:r>
        <w:rPr>
          <w:b/>
          <w:bCs/>
          <w:color w:val="C00000"/>
        </w:rPr>
        <w:t>Social Risk Factor Summary</w:t>
      </w:r>
    </w:p>
    <w:p w14:paraId="6F984AC1" w14:textId="4FD06CBD" w:rsidR="005A215E" w:rsidRDefault="006437EF" w:rsidP="00B2362C">
      <w:pPr>
        <w:spacing w:line="240" w:lineRule="auto"/>
        <w:rPr>
          <w:rFonts w:cstheme="minorHAnsi"/>
          <w:bCs/>
          <w:color w:val="C00000"/>
        </w:rPr>
      </w:pPr>
      <w:r w:rsidRPr="00204140">
        <w:rPr>
          <w:rFonts w:cstheme="minorHAnsi"/>
          <w:bCs/>
          <w:color w:val="C00000"/>
        </w:rPr>
        <w:t xml:space="preserve">The analyses </w:t>
      </w:r>
      <w:r w:rsidR="00453E9E">
        <w:rPr>
          <w:rFonts w:cstheme="minorHAnsi"/>
          <w:bCs/>
          <w:color w:val="C00000"/>
        </w:rPr>
        <w:t xml:space="preserve">presented </w:t>
      </w:r>
      <w:r w:rsidRPr="00204140">
        <w:rPr>
          <w:rFonts w:cstheme="minorHAnsi"/>
          <w:bCs/>
          <w:color w:val="C00000"/>
        </w:rPr>
        <w:t xml:space="preserve">above show that patients with either of two social risk factors (low AHRQ SES Index or dual eligibility) </w:t>
      </w:r>
      <w:r w:rsidR="00533BD1">
        <w:rPr>
          <w:rFonts w:cstheme="minorHAnsi"/>
          <w:bCs/>
          <w:color w:val="C00000"/>
        </w:rPr>
        <w:t>have slightly higher payments</w:t>
      </w:r>
      <w:r>
        <w:rPr>
          <w:rFonts w:cstheme="minorHAnsi"/>
          <w:bCs/>
          <w:color w:val="C00000"/>
        </w:rPr>
        <w:t xml:space="preserve">, in the case of dual eligibility, or </w:t>
      </w:r>
      <w:r w:rsidR="005A215E">
        <w:rPr>
          <w:rFonts w:cstheme="minorHAnsi"/>
          <w:bCs/>
          <w:color w:val="C00000"/>
        </w:rPr>
        <w:t xml:space="preserve">slightly lower </w:t>
      </w:r>
      <w:r w:rsidR="00533BD1">
        <w:rPr>
          <w:rFonts w:cstheme="minorHAnsi"/>
          <w:bCs/>
          <w:color w:val="C00000"/>
        </w:rPr>
        <w:t>payments</w:t>
      </w:r>
      <w:r>
        <w:rPr>
          <w:rFonts w:cstheme="minorHAnsi"/>
          <w:bCs/>
          <w:color w:val="C00000"/>
        </w:rPr>
        <w:t>, in the case of low AHRQ SES</w:t>
      </w:r>
      <w:r w:rsidRPr="00204140">
        <w:rPr>
          <w:rFonts w:cstheme="minorHAnsi"/>
          <w:bCs/>
          <w:color w:val="C00000"/>
        </w:rPr>
        <w:t xml:space="preserve">, after adjusting for other risk factors in a multivariable model. </w:t>
      </w:r>
      <w:r w:rsidR="005A215E" w:rsidRPr="005A215E">
        <w:rPr>
          <w:rFonts w:cstheme="minorHAnsi"/>
          <w:bCs/>
          <w:color w:val="C00000"/>
        </w:rPr>
        <w:t>However, adding the social risk variables results in little impact on model performance, little change in measure scores, and measure scores estimated for hospitals with and without dual eligibility are highly correlated.</w:t>
      </w:r>
      <w:r w:rsidR="005A215E" w:rsidRPr="00A30A25">
        <w:rPr>
          <w:rFonts w:cstheme="minorHAnsi"/>
          <w:bCs/>
          <w:color w:val="C00000"/>
        </w:rPr>
        <w:t xml:space="preserve"> </w:t>
      </w:r>
    </w:p>
    <w:p w14:paraId="32B41F8E" w14:textId="30E22AFF" w:rsidR="00B2362C" w:rsidRPr="00204140" w:rsidRDefault="00B2362C" w:rsidP="00B2362C">
      <w:pPr>
        <w:spacing w:line="240" w:lineRule="auto"/>
        <w:rPr>
          <w:rFonts w:cstheme="minorHAnsi"/>
          <w:bCs/>
          <w:color w:val="C00000"/>
        </w:rPr>
      </w:pPr>
      <w:r w:rsidRPr="00204140">
        <w:rPr>
          <w:rFonts w:cstheme="minorHAnsi"/>
          <w:bCs/>
          <w:color w:val="C00000"/>
        </w:rPr>
        <w:t>As presented in the conceptual model (section 2b3.3a), the relationship</w:t>
      </w:r>
      <w:r w:rsidR="00206A8F">
        <w:rPr>
          <w:rFonts w:cstheme="minorHAnsi"/>
          <w:bCs/>
          <w:color w:val="C00000"/>
        </w:rPr>
        <w:t xml:space="preserve"> between social risk and payment</w:t>
      </w:r>
      <w:r w:rsidRPr="00204140">
        <w:rPr>
          <w:rFonts w:cstheme="minorHAnsi"/>
          <w:bCs/>
          <w:color w:val="C00000"/>
        </w:rPr>
        <w:t xml:space="preserve"> may reflect that patients with social risk factors are receiving differential care within hospitals</w:t>
      </w:r>
      <w:r>
        <w:rPr>
          <w:rFonts w:cstheme="minorHAnsi"/>
          <w:bCs/>
          <w:color w:val="C00000"/>
        </w:rPr>
        <w:t xml:space="preserve"> (for example, fewer treatments or interventions)</w:t>
      </w:r>
      <w:r w:rsidRPr="00204140">
        <w:rPr>
          <w:rFonts w:cstheme="minorHAnsi"/>
          <w:bCs/>
          <w:color w:val="C00000"/>
        </w:rPr>
        <w:t>, that hospitals are missing opportunities to mitigate social risk factors they can address, that patients with these social risk factors disproportionately get care at lower-quality hospitals, or that patient factors that are difficult for hospitals to address are driving differences in the outcome. The extent to which each of these or other factors are contributing to the measured relationship is unclear</w:t>
      </w:r>
      <w:r>
        <w:rPr>
          <w:rFonts w:cstheme="minorHAnsi"/>
          <w:bCs/>
          <w:color w:val="C00000"/>
        </w:rPr>
        <w:t>.</w:t>
      </w:r>
    </w:p>
    <w:p w14:paraId="643AA34C" w14:textId="184BCB8E" w:rsidR="006437EF" w:rsidRPr="00204140" w:rsidRDefault="006437EF" w:rsidP="006437EF">
      <w:pPr>
        <w:spacing w:line="240" w:lineRule="auto"/>
        <w:rPr>
          <w:rFonts w:cstheme="minorHAnsi"/>
          <w:color w:val="C00000"/>
        </w:rPr>
      </w:pPr>
      <w:r w:rsidRPr="00203BA4">
        <w:rPr>
          <w:rFonts w:cstheme="minorHAnsi"/>
          <w:bCs/>
          <w:color w:val="C00000"/>
        </w:rPr>
        <w:t xml:space="preserve">CMS’ decision </w:t>
      </w:r>
      <w:r>
        <w:rPr>
          <w:rFonts w:cstheme="minorHAnsi"/>
          <w:bCs/>
          <w:color w:val="C00000"/>
        </w:rPr>
        <w:t xml:space="preserve">regarding whether or not to adjust for social risk factors </w:t>
      </w:r>
      <w:r w:rsidRPr="00204140">
        <w:rPr>
          <w:rFonts w:cstheme="minorHAnsi"/>
          <w:color w:val="C00000"/>
        </w:rPr>
        <w:t xml:space="preserve">is based both on the empiric results (impact on model and measure scores), the conceptual model </w:t>
      </w:r>
      <w:r w:rsidRPr="00204140">
        <w:rPr>
          <w:rFonts w:cstheme="minorHAnsi"/>
          <w:bCs/>
          <w:color w:val="C00000"/>
        </w:rPr>
        <w:t xml:space="preserve">and the use of the measure (in a payment program or for public reporting).  </w:t>
      </w:r>
      <w:r w:rsidRPr="00204140">
        <w:rPr>
          <w:rFonts w:cstheme="minorHAnsi"/>
          <w:color w:val="C00000"/>
        </w:rPr>
        <w:t xml:space="preserve">The </w:t>
      </w:r>
      <w:r w:rsidRPr="006437EF">
        <w:rPr>
          <w:rFonts w:cstheme="minorHAnsi"/>
          <w:color w:val="C00000"/>
        </w:rPr>
        <w:t xml:space="preserve">HF </w:t>
      </w:r>
      <w:r>
        <w:rPr>
          <w:rFonts w:cstheme="minorHAnsi"/>
          <w:color w:val="C00000"/>
        </w:rPr>
        <w:t>Payment</w:t>
      </w:r>
      <w:r w:rsidRPr="00204140">
        <w:rPr>
          <w:rFonts w:cstheme="minorHAnsi"/>
          <w:color w:val="C00000"/>
        </w:rPr>
        <w:t xml:space="preserve"> measure is not in a payment program; the measure is used only in public reporting. </w:t>
      </w:r>
      <w:r>
        <w:rPr>
          <w:rFonts w:cstheme="minorHAnsi"/>
          <w:color w:val="C00000"/>
        </w:rPr>
        <w:t>In addition,</w:t>
      </w:r>
      <w:r w:rsidRPr="00204140">
        <w:rPr>
          <w:rFonts w:cstheme="minorHAnsi"/>
          <w:color w:val="C00000"/>
        </w:rPr>
        <w:t xml:space="preserve"> </w:t>
      </w:r>
      <w:r>
        <w:rPr>
          <w:rFonts w:cstheme="minorHAnsi"/>
          <w:color w:val="C00000"/>
        </w:rPr>
        <w:t>the</w:t>
      </w:r>
      <w:r w:rsidRPr="00204140">
        <w:rPr>
          <w:rFonts w:cstheme="minorHAnsi"/>
          <w:color w:val="C00000"/>
        </w:rPr>
        <w:t xml:space="preserve"> Department of Health and Human Services, Office of the Assistant Secretary of Planning and Evaluation’s (ASPE’s) recommend</w:t>
      </w:r>
      <w:r>
        <w:rPr>
          <w:rFonts w:cstheme="minorHAnsi"/>
          <w:color w:val="C00000"/>
        </w:rPr>
        <w:t>s</w:t>
      </w:r>
      <w:r w:rsidRPr="00204140">
        <w:rPr>
          <w:rFonts w:cstheme="minorHAnsi"/>
          <w:color w:val="C00000"/>
        </w:rPr>
        <w:t xml:space="preserve"> that </w:t>
      </w:r>
      <w:r>
        <w:rPr>
          <w:rFonts w:cstheme="minorHAnsi"/>
          <w:color w:val="C00000"/>
        </w:rPr>
        <w:t>resource use</w:t>
      </w:r>
      <w:r w:rsidRPr="00204140">
        <w:rPr>
          <w:rFonts w:cstheme="minorHAnsi"/>
          <w:color w:val="C00000"/>
        </w:rPr>
        <w:t xml:space="preserve"> measures that are used for public reporting should not be adjusted </w:t>
      </w:r>
      <w:r w:rsidR="00BB1D7A">
        <w:rPr>
          <w:rFonts w:cstheme="minorHAnsi"/>
          <w:color w:val="C00000"/>
        </w:rPr>
        <w:t xml:space="preserve">for social risk </w:t>
      </w:r>
      <w:r w:rsidRPr="00204140">
        <w:rPr>
          <w:rFonts w:cstheme="minorHAnsi"/>
          <w:color w:val="C00000"/>
        </w:rPr>
        <w:t>(ASPE 2020).</w:t>
      </w:r>
      <w:r w:rsidRPr="00204140">
        <w:rPr>
          <w:rFonts w:cstheme="minorHAnsi"/>
          <w:bCs/>
          <w:color w:val="C00000"/>
        </w:rPr>
        <w:t xml:space="preserve"> </w:t>
      </w:r>
    </w:p>
    <w:p w14:paraId="38977FD7" w14:textId="34D5DE7D" w:rsidR="006437EF" w:rsidRPr="00204140" w:rsidRDefault="006437EF" w:rsidP="006437EF">
      <w:pPr>
        <w:spacing w:line="240" w:lineRule="auto"/>
        <w:rPr>
          <w:rFonts w:cstheme="minorHAnsi"/>
          <w:bCs/>
          <w:color w:val="C00000"/>
        </w:rPr>
      </w:pPr>
      <w:r w:rsidRPr="00204140">
        <w:rPr>
          <w:rFonts w:cstheme="minorHAnsi"/>
          <w:bCs/>
          <w:color w:val="C00000"/>
        </w:rPr>
        <w:t xml:space="preserve">In making the decision about </w:t>
      </w:r>
      <w:proofErr w:type="gramStart"/>
      <w:r w:rsidRPr="00204140">
        <w:rPr>
          <w:rFonts w:cstheme="minorHAnsi"/>
          <w:bCs/>
          <w:color w:val="C00000"/>
        </w:rPr>
        <w:t>whether or not</w:t>
      </w:r>
      <w:proofErr w:type="gramEnd"/>
      <w:r w:rsidRPr="00204140">
        <w:rPr>
          <w:rFonts w:cstheme="minorHAnsi"/>
          <w:bCs/>
          <w:color w:val="C00000"/>
        </w:rPr>
        <w:t xml:space="preserve"> to risk adjust for these factors, CMS also considers the potential unintended consequence of adjusting, and the fairness to patients and hospitals that care for patients with social risk factors of the unadjusted measure score. If the relationship is driven by poorer quality</w:t>
      </w:r>
      <w:r w:rsidR="00EB17A5">
        <w:rPr>
          <w:rFonts w:cstheme="minorHAnsi"/>
          <w:bCs/>
          <w:color w:val="C00000"/>
        </w:rPr>
        <w:t xml:space="preserve"> (such as reduced delivery of evidence-based care)</w:t>
      </w:r>
      <w:r w:rsidRPr="00204140">
        <w:rPr>
          <w:rFonts w:cstheme="minorHAnsi"/>
          <w:bCs/>
          <w:color w:val="C00000"/>
        </w:rPr>
        <w:t xml:space="preserve">, adjusting will mask the disparity in care. In contrast, an unadjusted measure will illuminate </w:t>
      </w:r>
      <w:r w:rsidR="00932DB1">
        <w:rPr>
          <w:rFonts w:cstheme="minorHAnsi"/>
          <w:bCs/>
          <w:color w:val="C00000"/>
        </w:rPr>
        <w:t>payment</w:t>
      </w:r>
      <w:r w:rsidRPr="00204140">
        <w:rPr>
          <w:rFonts w:cstheme="minorHAnsi"/>
          <w:bCs/>
          <w:color w:val="C00000"/>
        </w:rPr>
        <w:t xml:space="preserve"> differences and create an incentive to mitigate them</w:t>
      </w:r>
      <w:r w:rsidR="00932DB1">
        <w:rPr>
          <w:rFonts w:cstheme="minorHAnsi"/>
          <w:bCs/>
          <w:color w:val="C00000"/>
        </w:rPr>
        <w:t xml:space="preserve"> </w:t>
      </w:r>
      <w:bookmarkStart w:id="21" w:name="_Hlk58535121"/>
      <w:r w:rsidR="00932DB1">
        <w:rPr>
          <w:rFonts w:cstheme="minorHAnsi"/>
          <w:bCs/>
          <w:color w:val="C00000"/>
        </w:rPr>
        <w:t xml:space="preserve">(although they need to be interpreted in context and with additional information, such as </w:t>
      </w:r>
      <w:r w:rsidR="00453E9E">
        <w:rPr>
          <w:rFonts w:cstheme="minorHAnsi"/>
          <w:bCs/>
          <w:color w:val="C00000"/>
        </w:rPr>
        <w:t xml:space="preserve">clinical </w:t>
      </w:r>
      <w:r w:rsidR="00932DB1">
        <w:rPr>
          <w:rFonts w:cstheme="minorHAnsi"/>
          <w:bCs/>
          <w:color w:val="C00000"/>
        </w:rPr>
        <w:t>quality)</w:t>
      </w:r>
      <w:r w:rsidRPr="00204140">
        <w:rPr>
          <w:rFonts w:cstheme="minorHAnsi"/>
          <w:bCs/>
          <w:color w:val="C00000"/>
        </w:rPr>
        <w:t xml:space="preserve">. </w:t>
      </w:r>
      <w:bookmarkEnd w:id="21"/>
      <w:r w:rsidRPr="00204140">
        <w:rPr>
          <w:rFonts w:cstheme="minorHAnsi"/>
          <w:bCs/>
          <w:color w:val="C00000"/>
        </w:rPr>
        <w:t xml:space="preserve">Not adjusting, however may disadvantage providers who care for </w:t>
      </w:r>
      <w:r>
        <w:rPr>
          <w:rFonts w:cstheme="minorHAnsi"/>
          <w:bCs/>
          <w:color w:val="C00000"/>
        </w:rPr>
        <w:t>dual eligible patients</w:t>
      </w:r>
      <w:r w:rsidRPr="00204140">
        <w:rPr>
          <w:rFonts w:cstheme="minorHAnsi"/>
          <w:bCs/>
          <w:color w:val="C00000"/>
        </w:rPr>
        <w:t xml:space="preserve">, and unintentionally create an incentive for hospitals to care for fewer patients with social risk factors, potentially reducing access care. </w:t>
      </w:r>
      <w:r>
        <w:rPr>
          <w:rFonts w:cstheme="minorHAnsi"/>
          <w:bCs/>
          <w:color w:val="C00000"/>
        </w:rPr>
        <w:t xml:space="preserve">However, not adjusting for low AHRQ SES Index may disadvantage </w:t>
      </w:r>
      <w:r>
        <w:rPr>
          <w:rFonts w:cstheme="minorHAnsi"/>
          <w:bCs/>
          <w:color w:val="C00000"/>
        </w:rPr>
        <w:lastRenderedPageBreak/>
        <w:t xml:space="preserve">hospitals who care for fewer patients with low AHRQ SES. </w:t>
      </w:r>
      <w:r w:rsidRPr="00204140">
        <w:rPr>
          <w:rFonts w:cstheme="minorHAnsi"/>
          <w:bCs/>
          <w:color w:val="C00000"/>
        </w:rPr>
        <w:t>CMS considers th</w:t>
      </w:r>
      <w:r w:rsidR="00473DB3">
        <w:rPr>
          <w:rFonts w:cstheme="minorHAnsi"/>
          <w:bCs/>
          <w:color w:val="C00000"/>
        </w:rPr>
        <w:t>ese</w:t>
      </w:r>
      <w:r w:rsidRPr="00204140">
        <w:rPr>
          <w:rFonts w:cstheme="minorHAnsi"/>
          <w:bCs/>
          <w:color w:val="C00000"/>
        </w:rPr>
        <w:t xml:space="preserve"> risk</w:t>
      </w:r>
      <w:r w:rsidR="00FD138F">
        <w:rPr>
          <w:rFonts w:cstheme="minorHAnsi"/>
          <w:bCs/>
          <w:color w:val="C00000"/>
        </w:rPr>
        <w:t>s</w:t>
      </w:r>
      <w:r w:rsidRPr="00204140">
        <w:rPr>
          <w:rFonts w:cstheme="minorHAnsi"/>
          <w:bCs/>
          <w:color w:val="C00000"/>
        </w:rPr>
        <w:t xml:space="preserve"> limited, given the correlations between the measure scores calculated with and without social risk factors in the model.</w:t>
      </w:r>
    </w:p>
    <w:p w14:paraId="7AC1DDE4" w14:textId="1EE6B2E9" w:rsidR="002F1850" w:rsidRPr="00A30A25" w:rsidRDefault="006437EF" w:rsidP="002F1850">
      <w:pPr>
        <w:keepNext/>
        <w:adjustRightInd w:val="0"/>
        <w:spacing w:before="60" w:after="60" w:line="240" w:lineRule="auto"/>
        <w:rPr>
          <w:rFonts w:cstheme="minorHAnsi"/>
          <w:bCs/>
          <w:color w:val="C00000"/>
        </w:rPr>
      </w:pPr>
      <w:r w:rsidRPr="00204140">
        <w:rPr>
          <w:rFonts w:cstheme="minorHAnsi"/>
          <w:bCs/>
          <w:color w:val="C00000"/>
        </w:rPr>
        <w:t xml:space="preserve">In consideration of the benefits of a measure that can illuminate the potential disparities for beneficiaries with the two social risk factors and that there is little evidence of unintended consequences, CMS decided not to adjust this measure for either dual eligibility or the AHRQ SES Index. </w:t>
      </w:r>
      <w:bookmarkStart w:id="22" w:name="_Hlk58535073"/>
      <w:r w:rsidR="00932DB1">
        <w:rPr>
          <w:rFonts w:cstheme="minorHAnsi"/>
          <w:bCs/>
          <w:color w:val="C00000"/>
        </w:rPr>
        <w:t>In addition, the paired HF mortality measure, which can be used in conjunction with the HF payment measure to elucidate value, is also not adjusted for social risk.</w:t>
      </w:r>
      <w:bookmarkEnd w:id="22"/>
      <w:r w:rsidR="002F1850">
        <w:rPr>
          <w:rFonts w:cstheme="minorHAnsi"/>
          <w:bCs/>
          <w:color w:val="C00000"/>
        </w:rPr>
        <w:t xml:space="preserve"> </w:t>
      </w:r>
      <w:r w:rsidR="002F1850" w:rsidRPr="00A30A25">
        <w:rPr>
          <w:rFonts w:cstheme="minorHAnsi"/>
          <w:bCs/>
          <w:color w:val="C00000"/>
        </w:rPr>
        <w:t xml:space="preserve">Please note that the </w:t>
      </w:r>
      <w:r w:rsidR="002F1850">
        <w:rPr>
          <w:rFonts w:cstheme="minorHAnsi"/>
          <w:bCs/>
          <w:color w:val="C00000"/>
        </w:rPr>
        <w:t>HF</w:t>
      </w:r>
      <w:r w:rsidR="002F1850" w:rsidRPr="00A30A25">
        <w:rPr>
          <w:rFonts w:cstheme="minorHAnsi"/>
          <w:bCs/>
          <w:color w:val="C00000"/>
        </w:rPr>
        <w:t xml:space="preserve"> Payment measure was part of NQF’s 2015 SDS Trial Period and was last re-endorsed in 2016 without adjustment for social risk factors.</w:t>
      </w:r>
    </w:p>
    <w:p w14:paraId="77F11E0A" w14:textId="4B5F2282" w:rsidR="00E81AB5" w:rsidRDefault="006437EF" w:rsidP="00B2362C">
      <w:pPr>
        <w:spacing w:line="240" w:lineRule="auto"/>
        <w:rPr>
          <w:rFonts w:cstheme="minorHAnsi"/>
          <w:bCs/>
          <w:color w:val="C00000"/>
        </w:rPr>
      </w:pPr>
      <w:r w:rsidRPr="00204140">
        <w:rPr>
          <w:rFonts w:cstheme="minorHAnsi"/>
          <w:bCs/>
          <w:color w:val="C00000"/>
        </w:rPr>
        <w:t xml:space="preserve">Ongoing research aims to identify valid patient-level social risk factors and highlight disparities related to social risk. As additional variables become available, they will be considered for testing and inclusion within the measure. There are also alternative ways to account for social risk as part of measure program implementation.  For the readmission measures (but not this measure) CMS confidentially reports disparities to hospitals so that they have more detailed, actionable information about their patient population’s social risk.  </w:t>
      </w:r>
    </w:p>
    <w:p w14:paraId="0AA52BF0" w14:textId="77777777" w:rsidR="00E675E7" w:rsidRPr="008451FC" w:rsidRDefault="00E675E7" w:rsidP="00E675E7">
      <w:pPr>
        <w:spacing w:line="240" w:lineRule="auto"/>
        <w:rPr>
          <w:rFonts w:cstheme="minorHAnsi"/>
          <w:bCs/>
          <w:color w:val="C00000"/>
          <w:u w:val="single"/>
        </w:rPr>
      </w:pPr>
      <w:r w:rsidRPr="008451FC">
        <w:rPr>
          <w:rFonts w:cstheme="minorHAnsi"/>
          <w:bCs/>
          <w:color w:val="C00000"/>
          <w:u w:val="single"/>
        </w:rPr>
        <w:t>References:</w:t>
      </w:r>
    </w:p>
    <w:p w14:paraId="1BBBB1EA" w14:textId="78AEE9B0" w:rsidR="00E675E7" w:rsidRPr="0011504A" w:rsidRDefault="0011504A" w:rsidP="0011504A">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2" w:history="1">
        <w:r w:rsidRPr="00C72A25">
          <w:rPr>
            <w:rStyle w:val="Hyperlink"/>
            <w:rFonts w:cstheme="minorHAnsi"/>
            <w:iCs/>
            <w:noProof/>
          </w:rPr>
          <w:t>https://aspe.hhs.gov/pdf-report/second-impact-report-to-congress</w:t>
        </w:r>
      </w:hyperlink>
      <w:r>
        <w:rPr>
          <w:rFonts w:cstheme="minorHAnsi"/>
          <w:iCs/>
          <w:noProof/>
          <w:color w:val="C00000"/>
        </w:rPr>
        <w:t>. Accessed January 4, 2021</w:t>
      </w:r>
      <w:r w:rsidRPr="000A6F1B">
        <w:rPr>
          <w:rFonts w:cstheme="minorHAnsi"/>
          <w:iCs/>
          <w:noProof/>
          <w:color w:val="C00000"/>
        </w:rPr>
        <w:t>.</w:t>
      </w:r>
    </w:p>
    <w:p w14:paraId="00BD8794" w14:textId="77777777" w:rsidR="00606440" w:rsidRDefault="009C7513" w:rsidP="00371122">
      <w:pPr>
        <w:autoSpaceDE w:val="0"/>
        <w:autoSpaceDN w:val="0"/>
        <w:adjustRightInd w:val="0"/>
        <w:spacing w:before="120" w:after="120" w:line="240" w:lineRule="auto"/>
        <w:rPr>
          <w:rFonts w:cstheme="minorHAnsi"/>
          <w:bCs/>
          <w:color w:val="7030A0"/>
          <w:u w:val="single"/>
        </w:rPr>
      </w:pPr>
      <w:r w:rsidRPr="00131D3E">
        <w:rPr>
          <w:rFonts w:cstheme="minorHAnsi"/>
          <w:b/>
          <w:bCs/>
        </w:rPr>
        <w:t>2b3</w:t>
      </w:r>
      <w:r w:rsidR="00E1508F" w:rsidRPr="00131D3E">
        <w:rPr>
          <w:rFonts w:cstheme="minorHAnsi"/>
          <w:b/>
          <w:bCs/>
        </w:rPr>
        <w:t>.</w:t>
      </w:r>
      <w:r w:rsidR="00092566" w:rsidRPr="00131D3E">
        <w:rPr>
          <w:rFonts w:cstheme="minorHAnsi"/>
          <w:b/>
          <w:bCs/>
        </w:rPr>
        <w:t xml:space="preserve">5. </w:t>
      </w:r>
      <w:r w:rsidR="008871A9" w:rsidRPr="00131D3E">
        <w:rPr>
          <w:rFonts w:cstheme="minorHAnsi"/>
          <w:b/>
          <w:bCs/>
        </w:rPr>
        <w:t>Describe the method of</w:t>
      </w:r>
      <w:r w:rsidR="00092566" w:rsidRPr="00131D3E">
        <w:rPr>
          <w:rFonts w:cstheme="minorHAnsi"/>
          <w:b/>
          <w:bCs/>
        </w:rPr>
        <w:t xml:space="preserve"> </w:t>
      </w:r>
      <w:r w:rsidR="008871A9" w:rsidRPr="00131D3E">
        <w:rPr>
          <w:rFonts w:cstheme="minorHAnsi"/>
          <w:b/>
          <w:bCs/>
        </w:rPr>
        <w:t xml:space="preserve">testing/analysis used </w:t>
      </w:r>
      <w:r w:rsidR="00092566" w:rsidRPr="00131D3E">
        <w:rPr>
          <w:rFonts w:cstheme="minorHAnsi"/>
          <w:b/>
          <w:bCs/>
        </w:rPr>
        <w:t xml:space="preserve">to develop and validate the adequacy of the statistical model </w:t>
      </w:r>
      <w:r w:rsidR="00092566" w:rsidRPr="00131D3E">
        <w:rPr>
          <w:rFonts w:cstheme="minorHAnsi"/>
          <w:b/>
          <w:bCs/>
          <w:u w:val="single"/>
        </w:rPr>
        <w:t>or</w:t>
      </w:r>
      <w:r w:rsidR="00092566" w:rsidRPr="00131D3E">
        <w:rPr>
          <w:rFonts w:cstheme="minorHAnsi"/>
          <w:b/>
          <w:bCs/>
        </w:rPr>
        <w:t xml:space="preserve"> stratification approach</w:t>
      </w:r>
      <w:r w:rsidR="00092566" w:rsidRPr="00131D3E">
        <w:rPr>
          <w:rFonts w:cstheme="minorHAnsi"/>
          <w:bCs/>
        </w:rPr>
        <w:t xml:space="preserve"> (</w:t>
      </w:r>
      <w:r w:rsidR="008871A9" w:rsidRPr="00131D3E">
        <w:rPr>
          <w:rFonts w:cstheme="minorHAnsi"/>
          <w:bCs/>
          <w:i/>
        </w:rPr>
        <w:t>describe the steps―do not just name a method</w:t>
      </w:r>
      <w:r w:rsidR="006C3A4F" w:rsidRPr="00131D3E">
        <w:rPr>
          <w:rFonts w:cstheme="minorHAnsi"/>
          <w:bCs/>
          <w:i/>
        </w:rPr>
        <w:t>; what statistical analysis was used</w:t>
      </w:r>
      <w:r w:rsidR="00092566" w:rsidRPr="00131D3E">
        <w:rPr>
          <w:rFonts w:cstheme="minorHAnsi"/>
          <w:bCs/>
        </w:rPr>
        <w:t>)</w:t>
      </w:r>
      <w:r w:rsidR="00092566" w:rsidRPr="00131D3E">
        <w:rPr>
          <w:rFonts w:cstheme="minorHAnsi"/>
          <w:bCs/>
        </w:rPr>
        <w:br/>
      </w:r>
    </w:p>
    <w:p w14:paraId="65F01080" w14:textId="4346732E" w:rsidR="00371122" w:rsidRDefault="00371122" w:rsidP="00371122">
      <w:pPr>
        <w:autoSpaceDE w:val="0"/>
        <w:autoSpaceDN w:val="0"/>
        <w:adjustRightInd w:val="0"/>
        <w:spacing w:before="120" w:after="120" w:line="240" w:lineRule="auto"/>
        <w:rPr>
          <w:rFonts w:cstheme="minorHAnsi"/>
          <w:bCs/>
          <w:color w:val="7030A0"/>
        </w:rPr>
      </w:pPr>
      <w:r>
        <w:rPr>
          <w:rFonts w:cstheme="minorHAnsi"/>
          <w:bCs/>
          <w:color w:val="7030A0"/>
          <w:u w:val="single"/>
        </w:rPr>
        <w:t>Risk-Adjustment Model Development and Validation in Medicare FFS</w:t>
      </w:r>
      <w:r>
        <w:rPr>
          <w:rFonts w:cstheme="minorHAnsi"/>
          <w:bCs/>
          <w:color w:val="7030A0"/>
        </w:rPr>
        <w:t>:</w:t>
      </w:r>
    </w:p>
    <w:p w14:paraId="00765336" w14:textId="75A5023E" w:rsidR="0026070E" w:rsidRPr="0026070E" w:rsidRDefault="0026070E" w:rsidP="00371122">
      <w:pPr>
        <w:autoSpaceDE w:val="0"/>
        <w:autoSpaceDN w:val="0"/>
        <w:adjustRightInd w:val="0"/>
        <w:spacing w:before="120" w:after="120" w:line="240" w:lineRule="auto"/>
        <w:rPr>
          <w:rFonts w:cstheme="minorHAnsi"/>
          <w:bCs/>
          <w:color w:val="7030A0"/>
        </w:rPr>
      </w:pPr>
      <w:r w:rsidRPr="0026070E">
        <w:rPr>
          <w:rFonts w:cstheme="minorHAnsi"/>
          <w:bCs/>
          <w:color w:val="7030A0"/>
        </w:rPr>
        <w:t xml:space="preserve">Our goal was to develop a parsimonious model that accounted for differences in patient case mix at the time of index admission that were strongly associated with total payment for a HF 30‐day episode of care. The candidate variables for the model were derived from secondary diagnoses of the index hospital stay (excluding potential complications), inpatient data, outpatient hospital data, and carrier files for physician, </w:t>
      </w:r>
      <w:proofErr w:type="gramStart"/>
      <w:r w:rsidRPr="0026070E">
        <w:rPr>
          <w:rFonts w:cstheme="minorHAnsi"/>
          <w:bCs/>
          <w:color w:val="7030A0"/>
        </w:rPr>
        <w:t>radiology</w:t>
      </w:r>
      <w:proofErr w:type="gramEnd"/>
      <w:r w:rsidRPr="0026070E">
        <w:rPr>
          <w:rFonts w:cstheme="minorHAnsi"/>
          <w:bCs/>
          <w:color w:val="7030A0"/>
        </w:rPr>
        <w:t xml:space="preserve"> and laboratory services during the 12 months prior to the index hospital stay. To select candidate variables, we started with the 189 CCs. We used the ICD‐9‐to‐CC assignment map, which is maintained by CMS. A team of clinicians reviewed all 189 CCs and excluded those that were not relevant to the Medicare population or not clinically relevant to the HF payment outcome (for example, attention deficit disorder and female infertility). Some of these CCs were combined into clinically coherent groups. The remaining clinically relevant CCs, along with age were selected as candidate comorbid risk variables. </w:t>
      </w:r>
    </w:p>
    <w:p w14:paraId="45B5FBEE" w14:textId="6E8E592D" w:rsidR="00371122" w:rsidRDefault="0026070E" w:rsidP="00371122">
      <w:pPr>
        <w:autoSpaceDE w:val="0"/>
        <w:autoSpaceDN w:val="0"/>
        <w:adjustRightInd w:val="0"/>
        <w:spacing w:before="120" w:after="120" w:line="240" w:lineRule="auto"/>
        <w:rPr>
          <w:rFonts w:cstheme="minorHAnsi"/>
          <w:bCs/>
          <w:color w:val="7030A0"/>
        </w:rPr>
      </w:pPr>
      <w:r w:rsidRPr="0026070E">
        <w:rPr>
          <w:rFonts w:cstheme="minorHAnsi"/>
          <w:bCs/>
          <w:color w:val="7030A0"/>
        </w:rPr>
        <w:t xml:space="preserve">As is typical with data for healthcare payments, our dependent variable – total payment for a HF 30‐day episode of care – is both right‐skewed and leptokurtotic (skewness= 2.9; kurtosis = 15.2). We </w:t>
      </w:r>
      <w:proofErr w:type="spellStart"/>
      <w:r w:rsidRPr="0026070E">
        <w:rPr>
          <w:rFonts w:cstheme="minorHAnsi"/>
          <w:bCs/>
          <w:color w:val="7030A0"/>
        </w:rPr>
        <w:t>Winsorized</w:t>
      </w:r>
      <w:proofErr w:type="spellEnd"/>
      <w:r w:rsidRPr="0026070E">
        <w:rPr>
          <w:rFonts w:cstheme="minorHAnsi"/>
          <w:bCs/>
          <w:color w:val="7030A0"/>
        </w:rPr>
        <w:t xml:space="preserve"> payments at the 99.5th percentile to improve model performance and prevent drastically altering the performance of hospitals with an unrepresentative and expensive outlier patient. This reduced the skewness (2.2) and kurtosis (6.1) of the data. To address estimation problems that can arise with non‐normally distributed data, we employed the algorithm suggested by Manning &amp; </w:t>
      </w:r>
      <w:proofErr w:type="spellStart"/>
      <w:r w:rsidRPr="0026070E">
        <w:rPr>
          <w:rFonts w:cstheme="minorHAnsi"/>
          <w:bCs/>
          <w:color w:val="7030A0"/>
        </w:rPr>
        <w:t>Mullahy</w:t>
      </w:r>
      <w:proofErr w:type="spellEnd"/>
      <w:r w:rsidRPr="0026070E">
        <w:rPr>
          <w:rFonts w:cstheme="minorHAnsi"/>
          <w:bCs/>
          <w:color w:val="7030A0"/>
        </w:rPr>
        <w:t xml:space="preserve">. Using this algorithm, we compared several alternative models </w:t>
      </w:r>
      <w:proofErr w:type="gramStart"/>
      <w:r w:rsidRPr="0026070E">
        <w:rPr>
          <w:rFonts w:cstheme="minorHAnsi"/>
          <w:bCs/>
          <w:color w:val="7030A0"/>
        </w:rPr>
        <w:t>in order to</w:t>
      </w:r>
      <w:proofErr w:type="gramEnd"/>
      <w:r w:rsidRPr="0026070E">
        <w:rPr>
          <w:rFonts w:cstheme="minorHAnsi"/>
          <w:bCs/>
          <w:color w:val="7030A0"/>
        </w:rPr>
        <w:t xml:space="preserve"> determine the best estimation approach. </w:t>
      </w:r>
      <w:r w:rsidRPr="0026070E">
        <w:rPr>
          <w:rFonts w:cstheme="minorHAnsi"/>
          <w:bCs/>
          <w:color w:val="7030A0"/>
        </w:rPr>
        <w:lastRenderedPageBreak/>
        <w:t>Based on these assessments, we chose to estimate a generalized linear model with a log link and a Gamma distribution.</w:t>
      </w:r>
    </w:p>
    <w:p w14:paraId="718EB5D8" w14:textId="77777777" w:rsidR="00371122" w:rsidRDefault="00371122" w:rsidP="00371122">
      <w:pPr>
        <w:autoSpaceDE w:val="0"/>
        <w:autoSpaceDN w:val="0"/>
        <w:adjustRightInd w:val="0"/>
        <w:spacing w:before="120" w:after="120" w:line="240" w:lineRule="auto"/>
        <w:rPr>
          <w:rFonts w:cstheme="minorHAnsi"/>
          <w:bCs/>
          <w:color w:val="7030A0"/>
        </w:rPr>
      </w:pPr>
      <w:r>
        <w:rPr>
          <w:rFonts w:cstheme="minorHAnsi"/>
          <w:bCs/>
          <w:color w:val="7030A0"/>
        </w:rPr>
        <w:t>Approach to Assessing Model Performance: During model development, we computed four summary statistics for assessing model performance using the development (A1; random 50% sample of 2008) and validation (A2; remaining 50% of 2008) cohorts:</w:t>
      </w:r>
    </w:p>
    <w:p w14:paraId="0AE31E40" w14:textId="77777777" w:rsidR="00371122" w:rsidRDefault="00371122" w:rsidP="00371122">
      <w:pPr>
        <w:autoSpaceDE w:val="0"/>
        <w:autoSpaceDN w:val="0"/>
        <w:adjustRightInd w:val="0"/>
        <w:spacing w:before="120" w:after="120" w:line="240" w:lineRule="auto"/>
        <w:ind w:left="360"/>
        <w:rPr>
          <w:rFonts w:cstheme="minorHAnsi"/>
          <w:bCs/>
          <w:color w:val="7030A0"/>
        </w:rPr>
      </w:pPr>
      <w:r>
        <w:rPr>
          <w:rFonts w:cstheme="minorHAnsi"/>
          <w:bCs/>
          <w:color w:val="7030A0"/>
        </w:rPr>
        <w:t>(1) R-squared</w:t>
      </w:r>
    </w:p>
    <w:p w14:paraId="460C3D9D" w14:textId="77777777" w:rsidR="00371122" w:rsidRDefault="00371122" w:rsidP="00371122">
      <w:pPr>
        <w:autoSpaceDE w:val="0"/>
        <w:autoSpaceDN w:val="0"/>
        <w:adjustRightInd w:val="0"/>
        <w:spacing w:before="120" w:after="120" w:line="240" w:lineRule="auto"/>
        <w:ind w:left="360"/>
        <w:rPr>
          <w:rFonts w:cstheme="minorHAnsi"/>
          <w:bCs/>
          <w:color w:val="7030A0"/>
        </w:rPr>
      </w:pPr>
      <w:r>
        <w:rPr>
          <w:rFonts w:cstheme="minorHAnsi"/>
          <w:bCs/>
          <w:color w:val="7030A0"/>
        </w:rPr>
        <w:t xml:space="preserve">(2) Over-fitting indices (Calibration γ0, γ1) </w:t>
      </w:r>
    </w:p>
    <w:p w14:paraId="5EA48AFF" w14:textId="77777777" w:rsidR="00371122" w:rsidRDefault="00371122" w:rsidP="00371122">
      <w:pPr>
        <w:autoSpaceDE w:val="0"/>
        <w:autoSpaceDN w:val="0"/>
        <w:adjustRightInd w:val="0"/>
        <w:spacing w:before="120" w:after="120" w:line="240" w:lineRule="auto"/>
        <w:ind w:left="360"/>
        <w:rPr>
          <w:rFonts w:cstheme="minorHAnsi"/>
          <w:bCs/>
          <w:color w:val="7030A0"/>
        </w:rPr>
      </w:pPr>
      <w:r>
        <w:rPr>
          <w:rFonts w:cstheme="minorHAnsi"/>
          <w:bCs/>
          <w:color w:val="7030A0"/>
        </w:rPr>
        <w:t>(3) Distribution of Standardized Pearson Residuals</w:t>
      </w:r>
    </w:p>
    <w:p w14:paraId="530F621C" w14:textId="062BAC51" w:rsidR="00371122" w:rsidRDefault="00371122" w:rsidP="00371122">
      <w:pPr>
        <w:autoSpaceDE w:val="0"/>
        <w:autoSpaceDN w:val="0"/>
        <w:adjustRightInd w:val="0"/>
        <w:spacing w:before="120" w:after="120" w:line="240" w:lineRule="auto"/>
        <w:ind w:left="360"/>
        <w:rPr>
          <w:rFonts w:cstheme="minorHAnsi"/>
          <w:bCs/>
          <w:color w:val="7030A0"/>
        </w:rPr>
      </w:pPr>
      <w:r>
        <w:rPr>
          <w:rFonts w:cstheme="minorHAnsi"/>
          <w:bCs/>
          <w:color w:val="7030A0"/>
        </w:rPr>
        <w:t>(4) Predictive ratios</w:t>
      </w:r>
    </w:p>
    <w:p w14:paraId="1033A005" w14:textId="77777777" w:rsidR="00371122" w:rsidRDefault="00371122" w:rsidP="00371122">
      <w:pPr>
        <w:autoSpaceDE w:val="0"/>
        <w:autoSpaceDN w:val="0"/>
        <w:adjustRightInd w:val="0"/>
        <w:spacing w:before="120" w:after="120" w:line="240" w:lineRule="auto"/>
        <w:rPr>
          <w:rFonts w:cstheme="minorHAnsi"/>
          <w:bCs/>
          <w:color w:val="C00000"/>
          <w:u w:val="single"/>
        </w:rPr>
      </w:pPr>
      <w:r>
        <w:rPr>
          <w:rFonts w:cstheme="minorHAnsi"/>
          <w:bCs/>
          <w:color w:val="C00000"/>
          <w:u w:val="single"/>
        </w:rPr>
        <w:t>Approach to Annual Model Validation</w:t>
      </w:r>
    </w:p>
    <w:p w14:paraId="278E9D1C" w14:textId="09F12359" w:rsidR="00371122" w:rsidRDefault="00371122" w:rsidP="00371122">
      <w:pPr>
        <w:autoSpaceDE w:val="0"/>
        <w:autoSpaceDN w:val="0"/>
        <w:adjustRightInd w:val="0"/>
        <w:spacing w:before="120" w:after="120" w:line="240" w:lineRule="auto"/>
      </w:pPr>
      <w:r>
        <w:rPr>
          <w:rFonts w:cstheme="minorHAnsi"/>
          <w:bCs/>
          <w:color w:val="C00000"/>
        </w:rPr>
        <w:t xml:space="preserve">CORE’s measures undergo an annual measure reevaluation process, which ensures that the risk-standardized payment models are continually assessed and remain valid, given possible changes in clinical practice and coding standards over time. Modifications made to measure cohorts, risk models, and outcomes are informed by review of the most recent literature related to measure conditions or outcomes, feedback from various stakeholders, and empirical analyses, including assessment of coding trends that reveal shifts in clinical practice or billing patterns. Input is solicited from a workgroup composed of up to 20 clinical and measure experts, inclusive of internal and external consultants and subcontractors. Below we describe, for 2020 public reporting, the modifications to the </w:t>
      </w:r>
      <w:r w:rsidR="00453E9E">
        <w:rPr>
          <w:rFonts w:cstheme="minorHAnsi"/>
          <w:bCs/>
          <w:color w:val="C00000"/>
        </w:rPr>
        <w:t xml:space="preserve">payment </w:t>
      </w:r>
      <w:r>
        <w:rPr>
          <w:rFonts w:cstheme="minorHAnsi"/>
          <w:bCs/>
          <w:color w:val="C00000"/>
        </w:rPr>
        <w:t>measure:</w:t>
      </w:r>
    </w:p>
    <w:p w14:paraId="252E04FA" w14:textId="77777777" w:rsidR="00371122" w:rsidRDefault="00371122" w:rsidP="00371122">
      <w:pPr>
        <w:pStyle w:val="ListParagraph"/>
        <w:numPr>
          <w:ilvl w:val="0"/>
          <w:numId w:val="30"/>
        </w:numPr>
        <w:autoSpaceDE w:val="0"/>
        <w:autoSpaceDN w:val="0"/>
        <w:adjustRightInd w:val="0"/>
        <w:spacing w:before="120" w:after="120" w:line="240" w:lineRule="auto"/>
        <w:rPr>
          <w:rFonts w:cstheme="minorHAnsi"/>
          <w:bCs/>
          <w:color w:val="C00000"/>
        </w:rPr>
      </w:pPr>
      <w:r>
        <w:rPr>
          <w:rFonts w:cstheme="minorHAnsi"/>
          <w:bCs/>
          <w:color w:val="C00000"/>
        </w:rPr>
        <w:t>Updated the ICD-10 code-based specifications used in the measures. Specifically:</w:t>
      </w:r>
    </w:p>
    <w:p w14:paraId="7181C16F" w14:textId="77777777" w:rsidR="00371122" w:rsidRDefault="00371122" w:rsidP="00371122">
      <w:pPr>
        <w:pStyle w:val="ListParagraph"/>
        <w:numPr>
          <w:ilvl w:val="1"/>
          <w:numId w:val="30"/>
        </w:numPr>
        <w:autoSpaceDE w:val="0"/>
        <w:autoSpaceDN w:val="0"/>
        <w:adjustRightInd w:val="0"/>
        <w:spacing w:before="120" w:after="120" w:line="240" w:lineRule="auto"/>
        <w:rPr>
          <w:rFonts w:cstheme="minorHAnsi"/>
          <w:bCs/>
          <w:color w:val="C00000"/>
        </w:rPr>
      </w:pPr>
      <w:r>
        <w:rPr>
          <w:rFonts w:cstheme="minorHAnsi"/>
          <w:bCs/>
          <w:color w:val="C00000"/>
        </w:rPr>
        <w:t>Incorporated the code changes that occurred in the FY 2019 version of the ICD-10-CM/PCS (effective with October 1, 2018+ discharges) into the cohort definitions and the risk models; and,</w:t>
      </w:r>
    </w:p>
    <w:p w14:paraId="19E6BEA1" w14:textId="77777777" w:rsidR="00371122" w:rsidRDefault="00371122" w:rsidP="00371122">
      <w:pPr>
        <w:pStyle w:val="ListParagraph"/>
        <w:numPr>
          <w:ilvl w:val="1"/>
          <w:numId w:val="30"/>
        </w:numPr>
        <w:autoSpaceDE w:val="0"/>
        <w:autoSpaceDN w:val="0"/>
        <w:adjustRightInd w:val="0"/>
        <w:spacing w:before="120" w:after="120" w:line="240" w:lineRule="auto"/>
        <w:rPr>
          <w:rFonts w:cstheme="minorHAnsi"/>
          <w:bCs/>
          <w:color w:val="C00000"/>
        </w:rPr>
      </w:pPr>
      <w:r>
        <w:rPr>
          <w:rFonts w:cstheme="minorHAnsi"/>
          <w:bCs/>
          <w:color w:val="C00000"/>
        </w:rPr>
        <w:t>Applied a modified version of the FY 2019 V22 CMS-Hierarchical Condition Category (HCC) crosswalk that is maintained by RTI International to the risk models.</w:t>
      </w:r>
    </w:p>
    <w:p w14:paraId="442BF157" w14:textId="77777777" w:rsidR="00371122" w:rsidRDefault="00371122" w:rsidP="00371122">
      <w:pPr>
        <w:pStyle w:val="ListParagraph"/>
        <w:numPr>
          <w:ilvl w:val="0"/>
          <w:numId w:val="30"/>
        </w:numPr>
        <w:autoSpaceDE w:val="0"/>
        <w:autoSpaceDN w:val="0"/>
        <w:adjustRightInd w:val="0"/>
        <w:spacing w:before="120" w:after="120" w:line="240" w:lineRule="auto"/>
        <w:rPr>
          <w:rFonts w:cstheme="minorHAnsi"/>
          <w:bCs/>
          <w:color w:val="C00000"/>
        </w:rPr>
      </w:pPr>
      <w:r>
        <w:rPr>
          <w:rFonts w:cstheme="minorHAnsi"/>
          <w:bCs/>
          <w:color w:val="C00000"/>
        </w:rPr>
        <w:t xml:space="preserve">Monitored code frequencies to identify any warranted specification changes due to possible changes in coding practices and </w:t>
      </w:r>
      <w:proofErr w:type="gramStart"/>
      <w:r>
        <w:rPr>
          <w:rFonts w:cstheme="minorHAnsi"/>
          <w:bCs/>
          <w:color w:val="C00000"/>
        </w:rPr>
        <w:t>patterns;</w:t>
      </w:r>
      <w:proofErr w:type="gramEnd"/>
    </w:p>
    <w:p w14:paraId="64D6820D" w14:textId="77777777" w:rsidR="00371122" w:rsidRDefault="00371122" w:rsidP="00371122">
      <w:pPr>
        <w:pStyle w:val="ListParagraph"/>
        <w:numPr>
          <w:ilvl w:val="0"/>
          <w:numId w:val="30"/>
        </w:numPr>
        <w:autoSpaceDE w:val="0"/>
        <w:autoSpaceDN w:val="0"/>
        <w:adjustRightInd w:val="0"/>
        <w:spacing w:before="120" w:after="120" w:line="240" w:lineRule="auto"/>
        <w:rPr>
          <w:rFonts w:cstheme="minorHAnsi"/>
          <w:bCs/>
          <w:color w:val="C00000"/>
        </w:rPr>
      </w:pPr>
      <w:r>
        <w:rPr>
          <w:rFonts w:cstheme="minorHAnsi"/>
          <w:bCs/>
          <w:color w:val="C00000"/>
        </w:rPr>
        <w:t xml:space="preserve">Reviewed potentially clinically relevant codes that “neighbor” existing codes used in the measures to identify any warranted specification </w:t>
      </w:r>
      <w:proofErr w:type="gramStart"/>
      <w:r>
        <w:rPr>
          <w:rFonts w:cstheme="minorHAnsi"/>
          <w:bCs/>
          <w:color w:val="C00000"/>
        </w:rPr>
        <w:t>changes;</w:t>
      </w:r>
      <w:proofErr w:type="gramEnd"/>
    </w:p>
    <w:p w14:paraId="144818B3" w14:textId="77777777" w:rsidR="00371122" w:rsidRDefault="00371122" w:rsidP="00371122">
      <w:pPr>
        <w:pStyle w:val="ListParagraph"/>
        <w:numPr>
          <w:ilvl w:val="0"/>
          <w:numId w:val="30"/>
        </w:numPr>
        <w:autoSpaceDE w:val="0"/>
        <w:autoSpaceDN w:val="0"/>
        <w:adjustRightInd w:val="0"/>
        <w:spacing w:before="120" w:after="120" w:line="240" w:lineRule="auto"/>
        <w:rPr>
          <w:rFonts w:cstheme="minorHAnsi"/>
          <w:bCs/>
          <w:color w:val="C00000"/>
        </w:rPr>
      </w:pPr>
      <w:r>
        <w:rPr>
          <w:rFonts w:cstheme="minorHAnsi"/>
          <w:bCs/>
          <w:color w:val="C00000"/>
        </w:rPr>
        <w:t xml:space="preserve">Reviewed select pre-existing ICD-10 code-based specifications with our workgroup to confirm the appropriateness of specifications unaffected by the </w:t>
      </w:r>
      <w:proofErr w:type="gramStart"/>
      <w:r>
        <w:rPr>
          <w:rFonts w:cstheme="minorHAnsi"/>
          <w:bCs/>
          <w:color w:val="C00000"/>
        </w:rPr>
        <w:t>updates;</w:t>
      </w:r>
      <w:proofErr w:type="gramEnd"/>
    </w:p>
    <w:p w14:paraId="2CE834B0" w14:textId="77777777" w:rsidR="00371122" w:rsidRDefault="00371122" w:rsidP="00371122">
      <w:pPr>
        <w:pStyle w:val="ListParagraph"/>
        <w:numPr>
          <w:ilvl w:val="0"/>
          <w:numId w:val="30"/>
        </w:numPr>
        <w:autoSpaceDE w:val="0"/>
        <w:autoSpaceDN w:val="0"/>
        <w:adjustRightInd w:val="0"/>
        <w:spacing w:before="120" w:after="120" w:line="240" w:lineRule="auto"/>
        <w:rPr>
          <w:rFonts w:cstheme="minorHAnsi"/>
          <w:bCs/>
          <w:color w:val="C00000"/>
        </w:rPr>
      </w:pPr>
      <w:r>
        <w:rPr>
          <w:rFonts w:cstheme="minorHAnsi"/>
          <w:bCs/>
          <w:color w:val="C00000"/>
        </w:rPr>
        <w:t xml:space="preserve">Updated the measures’ SAS analytic packages (SAS packs) and </w:t>
      </w:r>
      <w:proofErr w:type="gramStart"/>
      <w:r>
        <w:rPr>
          <w:rFonts w:cstheme="minorHAnsi"/>
          <w:bCs/>
          <w:color w:val="C00000"/>
        </w:rPr>
        <w:t>documentation;</w:t>
      </w:r>
      <w:proofErr w:type="gramEnd"/>
    </w:p>
    <w:p w14:paraId="633A1D7A" w14:textId="77777777" w:rsidR="00371122" w:rsidRDefault="00371122" w:rsidP="00371122">
      <w:pPr>
        <w:pStyle w:val="ListParagraph"/>
        <w:numPr>
          <w:ilvl w:val="0"/>
          <w:numId w:val="30"/>
        </w:numPr>
        <w:autoSpaceDE w:val="0"/>
        <w:autoSpaceDN w:val="0"/>
        <w:adjustRightInd w:val="0"/>
        <w:spacing w:before="120" w:after="120" w:line="240" w:lineRule="auto"/>
        <w:rPr>
          <w:rFonts w:cstheme="minorHAnsi"/>
          <w:bCs/>
          <w:color w:val="C00000"/>
        </w:rPr>
      </w:pPr>
      <w:r>
        <w:rPr>
          <w:rFonts w:cstheme="minorHAnsi"/>
          <w:bCs/>
          <w:color w:val="C00000"/>
        </w:rPr>
        <w:t>Evaluated and validated model performance for the three years combined; and,</w:t>
      </w:r>
    </w:p>
    <w:p w14:paraId="4789AD7B" w14:textId="77777777" w:rsidR="00371122" w:rsidRDefault="00371122" w:rsidP="00371122">
      <w:pPr>
        <w:pStyle w:val="ListParagraph"/>
        <w:numPr>
          <w:ilvl w:val="0"/>
          <w:numId w:val="30"/>
        </w:numPr>
        <w:autoSpaceDE w:val="0"/>
        <w:autoSpaceDN w:val="0"/>
        <w:adjustRightInd w:val="0"/>
        <w:spacing w:before="120" w:after="120" w:line="240" w:lineRule="auto"/>
        <w:rPr>
          <w:rFonts w:cstheme="minorHAnsi"/>
          <w:bCs/>
          <w:color w:val="C00000"/>
        </w:rPr>
      </w:pPr>
      <w:r>
        <w:rPr>
          <w:rFonts w:cstheme="minorHAnsi"/>
          <w:bCs/>
          <w:color w:val="C00000"/>
        </w:rPr>
        <w:t>Evaluated the stability of the risk-adjustment model over the three-year measurement period by examining the model variable frequencies, model coefficients, and the performance of the risk-adjustment model in each year.</w:t>
      </w:r>
    </w:p>
    <w:p w14:paraId="07D13190" w14:textId="77777777" w:rsidR="00371122" w:rsidRDefault="00371122" w:rsidP="00371122">
      <w:pPr>
        <w:pStyle w:val="ListParagraph"/>
        <w:autoSpaceDE w:val="0"/>
        <w:autoSpaceDN w:val="0"/>
        <w:adjustRightInd w:val="0"/>
        <w:spacing w:before="120" w:after="120" w:line="240" w:lineRule="auto"/>
        <w:ind w:left="1440"/>
        <w:rPr>
          <w:rFonts w:cstheme="minorHAnsi"/>
          <w:bCs/>
          <w:color w:val="C00000"/>
        </w:rPr>
      </w:pPr>
    </w:p>
    <w:p w14:paraId="7F6707AC" w14:textId="77777777" w:rsidR="00371122" w:rsidRPr="00715974" w:rsidRDefault="00371122" w:rsidP="00371122">
      <w:pPr>
        <w:autoSpaceDE w:val="0"/>
        <w:autoSpaceDN w:val="0"/>
        <w:adjustRightInd w:val="0"/>
        <w:spacing w:before="120" w:after="120" w:line="240" w:lineRule="auto"/>
        <w:rPr>
          <w:rFonts w:cstheme="minorHAnsi"/>
          <w:bCs/>
          <w:color w:val="7030A0"/>
          <w:u w:val="single"/>
        </w:rPr>
      </w:pPr>
      <w:r w:rsidRPr="00715974">
        <w:rPr>
          <w:rFonts w:cstheme="minorHAnsi"/>
          <w:bCs/>
          <w:color w:val="7030A0"/>
          <w:u w:val="single"/>
        </w:rPr>
        <w:t>References:</w:t>
      </w:r>
    </w:p>
    <w:p w14:paraId="0CABCFFA" w14:textId="5A3E14D3" w:rsidR="00092566" w:rsidRPr="00371122" w:rsidRDefault="00371122" w:rsidP="00371122">
      <w:pPr>
        <w:autoSpaceDE w:val="0"/>
        <w:autoSpaceDN w:val="0"/>
        <w:adjustRightInd w:val="0"/>
        <w:spacing w:before="120" w:after="120" w:line="240" w:lineRule="auto"/>
        <w:rPr>
          <w:rFonts w:cstheme="minorHAnsi"/>
          <w:bCs/>
          <w:color w:val="7030A0"/>
        </w:rPr>
      </w:pPr>
      <w:r>
        <w:rPr>
          <w:rFonts w:cstheme="minorHAnsi"/>
          <w:bCs/>
          <w:color w:val="7030A0"/>
        </w:rPr>
        <w:t xml:space="preserve">Manning WG, </w:t>
      </w:r>
      <w:proofErr w:type="spellStart"/>
      <w:r>
        <w:rPr>
          <w:rFonts w:cstheme="minorHAnsi"/>
          <w:bCs/>
          <w:color w:val="7030A0"/>
        </w:rPr>
        <w:t>Mullahy</w:t>
      </w:r>
      <w:proofErr w:type="spellEnd"/>
      <w:r>
        <w:rPr>
          <w:rFonts w:cstheme="minorHAnsi"/>
          <w:bCs/>
          <w:color w:val="7030A0"/>
        </w:rPr>
        <w:t xml:space="preserve"> J. Estimating log models: to transform or not to transform? Journal of health economics. Jul 2001;20(4):461-494.</w:t>
      </w:r>
    </w:p>
    <w:p w14:paraId="7C0D29BD" w14:textId="77777777" w:rsidR="00371122" w:rsidRPr="00131D3E" w:rsidRDefault="00371122" w:rsidP="00092566">
      <w:pPr>
        <w:autoSpaceDE w:val="0"/>
        <w:autoSpaceDN w:val="0"/>
        <w:adjustRightInd w:val="0"/>
        <w:spacing w:after="0" w:line="240" w:lineRule="auto"/>
        <w:rPr>
          <w:rFonts w:cstheme="minorHAnsi"/>
          <w:bCs/>
        </w:rPr>
      </w:pPr>
    </w:p>
    <w:p w14:paraId="0CABCFFB" w14:textId="78FCA6D3" w:rsidR="00E1508F" w:rsidRPr="00131D3E" w:rsidRDefault="00001D73" w:rsidP="00092566">
      <w:pPr>
        <w:autoSpaceDE w:val="0"/>
        <w:autoSpaceDN w:val="0"/>
        <w:adjustRightInd w:val="0"/>
        <w:spacing w:after="0" w:line="240" w:lineRule="auto"/>
        <w:rPr>
          <w:rFonts w:cstheme="minorHAnsi"/>
          <w:b/>
          <w:bCs/>
        </w:rPr>
      </w:pPr>
      <w:r w:rsidRPr="00131D3E">
        <w:rPr>
          <w:rFonts w:cstheme="minorHAnsi"/>
          <w:bCs/>
          <w:i/>
        </w:rPr>
        <w:lastRenderedPageBreak/>
        <w:t>Provide</w:t>
      </w:r>
      <w:r w:rsidR="00092566" w:rsidRPr="00131D3E">
        <w:rPr>
          <w:rFonts w:cstheme="minorHAnsi"/>
          <w:bCs/>
          <w:i/>
        </w:rPr>
        <w:t xml:space="preserve"> the statistical results from testing the approach to controlling for differences in patient characteristics (case mix)</w:t>
      </w:r>
      <w:r w:rsidRPr="00131D3E">
        <w:rPr>
          <w:rFonts w:cstheme="minorHAnsi"/>
          <w:bCs/>
          <w:i/>
        </w:rPr>
        <w:t xml:space="preserve"> below</w:t>
      </w:r>
      <w:r w:rsidRPr="00131D3E">
        <w:rPr>
          <w:rFonts w:cstheme="minorHAnsi"/>
          <w:bCs/>
        </w:rPr>
        <w:t>.</w:t>
      </w:r>
      <w:r w:rsidR="00092566" w:rsidRPr="00131D3E">
        <w:rPr>
          <w:rFonts w:cstheme="minorHAnsi"/>
          <w:bCs/>
        </w:rPr>
        <w:br/>
      </w:r>
      <w:r w:rsidR="001F7A20" w:rsidRPr="00131D3E">
        <w:rPr>
          <w:rFonts w:cstheme="minorHAnsi"/>
          <w:b/>
          <w:bCs/>
          <w:i/>
        </w:rPr>
        <w:t>If</w:t>
      </w:r>
      <w:r w:rsidR="00743E46" w:rsidRPr="00131D3E">
        <w:rPr>
          <w:rFonts w:cstheme="minorHAnsi"/>
          <w:b/>
          <w:bCs/>
          <w:i/>
        </w:rPr>
        <w:t xml:space="preserve"> stratified, skip to </w:t>
      </w:r>
      <w:hyperlink w:anchor="question2b49" w:history="1">
        <w:r w:rsidR="009C7513" w:rsidRPr="00131D3E">
          <w:rPr>
            <w:rStyle w:val="Hyperlink"/>
            <w:rFonts w:cstheme="minorHAnsi"/>
            <w:b/>
            <w:bCs/>
            <w:i/>
          </w:rPr>
          <w:t>2b3.9</w:t>
        </w:r>
      </w:hyperlink>
    </w:p>
    <w:p w14:paraId="0CABCFFC" w14:textId="77777777" w:rsidR="00743E46" w:rsidRPr="00131D3E" w:rsidRDefault="00743E46" w:rsidP="00092566">
      <w:pPr>
        <w:autoSpaceDE w:val="0"/>
        <w:autoSpaceDN w:val="0"/>
        <w:adjustRightInd w:val="0"/>
        <w:spacing w:after="0" w:line="240" w:lineRule="auto"/>
        <w:rPr>
          <w:rFonts w:cstheme="minorHAnsi"/>
          <w:b/>
          <w:bCs/>
        </w:rPr>
      </w:pPr>
    </w:p>
    <w:p w14:paraId="0B39D0DF" w14:textId="77777777" w:rsidR="00371122" w:rsidRDefault="00743E46" w:rsidP="00092566">
      <w:pPr>
        <w:autoSpaceDE w:val="0"/>
        <w:autoSpaceDN w:val="0"/>
        <w:adjustRightInd w:val="0"/>
        <w:spacing w:after="0" w:line="240" w:lineRule="auto"/>
        <w:rPr>
          <w:rFonts w:cstheme="minorHAnsi"/>
          <w:b/>
          <w:bCs/>
        </w:rPr>
      </w:pPr>
      <w:r w:rsidRPr="00131D3E">
        <w:rPr>
          <w:rFonts w:cstheme="minorHAnsi"/>
          <w:b/>
          <w:bCs/>
        </w:rPr>
        <w:t>2b</w:t>
      </w:r>
      <w:r w:rsidR="009C7513" w:rsidRPr="00131D3E">
        <w:rPr>
          <w:rFonts w:cstheme="minorHAnsi"/>
          <w:b/>
          <w:bCs/>
        </w:rPr>
        <w:t>3</w:t>
      </w:r>
      <w:r w:rsidRPr="00131D3E">
        <w:rPr>
          <w:rFonts w:cstheme="minorHAnsi"/>
          <w:b/>
          <w:bCs/>
        </w:rPr>
        <w:t xml:space="preserve">.6. </w:t>
      </w:r>
      <w:r w:rsidR="00001D73" w:rsidRPr="00131D3E">
        <w:rPr>
          <w:rFonts w:cstheme="minorHAnsi"/>
          <w:b/>
          <w:bCs/>
        </w:rPr>
        <w:t xml:space="preserve">Statistical </w:t>
      </w:r>
      <w:r w:rsidR="00092566" w:rsidRPr="00131D3E">
        <w:rPr>
          <w:rFonts w:cstheme="minorHAnsi"/>
          <w:b/>
          <w:bCs/>
        </w:rPr>
        <w:t>Risk Model Discrimination Statistics</w:t>
      </w:r>
      <w:r w:rsidR="003605B4" w:rsidRPr="00131D3E">
        <w:rPr>
          <w:rFonts w:cstheme="minorHAnsi"/>
          <w:bCs/>
        </w:rPr>
        <w:t xml:space="preserve"> (</w:t>
      </w:r>
      <w:r w:rsidR="003605B4" w:rsidRPr="00131D3E">
        <w:rPr>
          <w:rFonts w:cstheme="minorHAnsi"/>
          <w:bCs/>
          <w:i/>
        </w:rPr>
        <w:t>e.g., c-statistic, R-squared</w:t>
      </w:r>
      <w:r w:rsidR="003605B4" w:rsidRPr="00131D3E">
        <w:rPr>
          <w:rFonts w:cstheme="minorHAnsi"/>
          <w:bCs/>
        </w:rPr>
        <w:t>)</w:t>
      </w:r>
      <w:r w:rsidRPr="00131D3E">
        <w:rPr>
          <w:rFonts w:cstheme="minorHAnsi"/>
          <w:b/>
          <w:bCs/>
        </w:rPr>
        <w:t>:</w:t>
      </w:r>
      <w:r w:rsidR="00092566" w:rsidRPr="00131D3E">
        <w:rPr>
          <w:rFonts w:cstheme="minorHAnsi"/>
          <w:b/>
          <w:bCs/>
        </w:rPr>
        <w:t xml:space="preserve">  </w:t>
      </w:r>
    </w:p>
    <w:p w14:paraId="662E96CE" w14:textId="77777777" w:rsidR="00D83AD8" w:rsidRDefault="00D83AD8" w:rsidP="00371122">
      <w:pPr>
        <w:autoSpaceDE w:val="0"/>
        <w:autoSpaceDN w:val="0"/>
        <w:adjustRightInd w:val="0"/>
        <w:spacing w:after="0" w:line="240" w:lineRule="auto"/>
        <w:rPr>
          <w:rFonts w:cstheme="minorHAnsi"/>
          <w:bCs/>
          <w:color w:val="7030A0"/>
          <w:u w:val="single"/>
        </w:rPr>
      </w:pPr>
      <w:bookmarkStart w:id="23" w:name="_Hlk58533934"/>
    </w:p>
    <w:p w14:paraId="0BE16521" w14:textId="21DE3F49" w:rsidR="00371122" w:rsidRPr="00371122" w:rsidRDefault="00371122" w:rsidP="00371122">
      <w:pPr>
        <w:autoSpaceDE w:val="0"/>
        <w:autoSpaceDN w:val="0"/>
        <w:adjustRightInd w:val="0"/>
        <w:spacing w:after="0" w:line="240" w:lineRule="auto"/>
        <w:rPr>
          <w:rFonts w:cstheme="minorHAnsi"/>
          <w:bCs/>
          <w:color w:val="7030A0"/>
        </w:rPr>
      </w:pPr>
      <w:r w:rsidRPr="00371122">
        <w:rPr>
          <w:rFonts w:cstheme="minorHAnsi"/>
          <w:bCs/>
          <w:color w:val="7030A0"/>
          <w:u w:val="single"/>
        </w:rPr>
        <w:t>R</w:t>
      </w:r>
      <w:r w:rsidRPr="00371122">
        <w:rPr>
          <w:rFonts w:cstheme="minorHAnsi"/>
          <w:bCs/>
          <w:color w:val="7030A0"/>
          <w:u w:val="single"/>
          <w:vertAlign w:val="superscript"/>
        </w:rPr>
        <w:t>2</w:t>
      </w:r>
      <w:r w:rsidRPr="00371122">
        <w:rPr>
          <w:rFonts w:cstheme="minorHAnsi"/>
          <w:bCs/>
          <w:color w:val="7030A0"/>
          <w:u w:val="single"/>
        </w:rPr>
        <w:t xml:space="preserve"> results</w:t>
      </w:r>
    </w:p>
    <w:bookmarkEnd w:id="23"/>
    <w:p w14:paraId="60F15FE7" w14:textId="77777777" w:rsidR="00371122" w:rsidRPr="00371122" w:rsidRDefault="00371122" w:rsidP="00371122">
      <w:pPr>
        <w:autoSpaceDE w:val="0"/>
        <w:autoSpaceDN w:val="0"/>
        <w:adjustRightInd w:val="0"/>
        <w:spacing w:after="0" w:line="240" w:lineRule="auto"/>
        <w:rPr>
          <w:rFonts w:cstheme="minorHAnsi"/>
          <w:bCs/>
          <w:color w:val="7030A0"/>
        </w:rPr>
      </w:pPr>
      <w:r w:rsidRPr="00371122">
        <w:rPr>
          <w:rFonts w:cstheme="minorHAnsi"/>
          <w:bCs/>
          <w:color w:val="7030A0"/>
        </w:rPr>
        <w:t>Sample A1 – 0.035</w:t>
      </w:r>
    </w:p>
    <w:p w14:paraId="26F9149C" w14:textId="77777777" w:rsidR="00371122" w:rsidRPr="00371122" w:rsidRDefault="00371122" w:rsidP="00371122">
      <w:pPr>
        <w:autoSpaceDE w:val="0"/>
        <w:autoSpaceDN w:val="0"/>
        <w:adjustRightInd w:val="0"/>
        <w:spacing w:after="0" w:line="240" w:lineRule="auto"/>
        <w:rPr>
          <w:rFonts w:cstheme="minorHAnsi"/>
          <w:bCs/>
          <w:color w:val="7030A0"/>
        </w:rPr>
      </w:pPr>
      <w:r w:rsidRPr="00371122">
        <w:rPr>
          <w:rFonts w:cstheme="minorHAnsi"/>
          <w:bCs/>
          <w:color w:val="7030A0"/>
        </w:rPr>
        <w:t>Sample A2 – 0.034</w:t>
      </w:r>
    </w:p>
    <w:p w14:paraId="3C986988" w14:textId="77777777" w:rsidR="00371122" w:rsidRPr="00371122" w:rsidRDefault="00371122" w:rsidP="00371122">
      <w:pPr>
        <w:autoSpaceDE w:val="0"/>
        <w:autoSpaceDN w:val="0"/>
        <w:adjustRightInd w:val="0"/>
        <w:spacing w:after="0" w:line="240" w:lineRule="auto"/>
        <w:rPr>
          <w:rFonts w:cstheme="minorHAnsi"/>
          <w:bCs/>
          <w:color w:val="7030A0"/>
        </w:rPr>
      </w:pPr>
      <w:r w:rsidRPr="00371122">
        <w:rPr>
          <w:rFonts w:cstheme="minorHAnsi"/>
          <w:bCs/>
          <w:color w:val="7030A0"/>
        </w:rPr>
        <w:t>Sample A3 – 0.027</w:t>
      </w:r>
    </w:p>
    <w:p w14:paraId="0CABCFFD" w14:textId="66E042B0" w:rsidR="00001D73" w:rsidRDefault="00092566" w:rsidP="00092566">
      <w:pPr>
        <w:autoSpaceDE w:val="0"/>
        <w:autoSpaceDN w:val="0"/>
        <w:adjustRightInd w:val="0"/>
        <w:spacing w:after="0" w:line="240" w:lineRule="auto"/>
        <w:rPr>
          <w:color w:val="C00000"/>
        </w:rPr>
      </w:pPr>
      <w:r w:rsidRPr="00131D3E">
        <w:rPr>
          <w:rFonts w:cstheme="minorHAnsi"/>
          <w:b/>
        </w:rPr>
        <w:br/>
      </w:r>
      <w:r w:rsidR="00371122">
        <w:rPr>
          <w:color w:val="C00000"/>
        </w:rPr>
        <w:t>The updated R</w:t>
      </w:r>
      <w:r w:rsidR="00371122">
        <w:rPr>
          <w:color w:val="C00000"/>
          <w:vertAlign w:val="superscript"/>
        </w:rPr>
        <w:t>2</w:t>
      </w:r>
      <w:r w:rsidR="00371122">
        <w:rPr>
          <w:color w:val="C00000"/>
        </w:rPr>
        <w:t xml:space="preserve"> results calculated with the EM testing dataset were: 0.031</w:t>
      </w:r>
    </w:p>
    <w:p w14:paraId="446B3833" w14:textId="77777777" w:rsidR="00D83AD8" w:rsidRPr="00131D3E" w:rsidRDefault="00D83AD8" w:rsidP="00092566">
      <w:pPr>
        <w:autoSpaceDE w:val="0"/>
        <w:autoSpaceDN w:val="0"/>
        <w:adjustRightInd w:val="0"/>
        <w:spacing w:after="0" w:line="240" w:lineRule="auto"/>
        <w:rPr>
          <w:rFonts w:cstheme="minorHAnsi"/>
          <w:b/>
          <w:bCs/>
        </w:rPr>
      </w:pPr>
    </w:p>
    <w:p w14:paraId="0425ED9E" w14:textId="77777777" w:rsidR="00371122" w:rsidRDefault="009C7513" w:rsidP="00092566">
      <w:pPr>
        <w:autoSpaceDE w:val="0"/>
        <w:autoSpaceDN w:val="0"/>
        <w:adjustRightInd w:val="0"/>
        <w:spacing w:after="0" w:line="240" w:lineRule="auto"/>
        <w:rPr>
          <w:rFonts w:cstheme="minorHAnsi"/>
          <w:bCs/>
        </w:rPr>
      </w:pPr>
      <w:r w:rsidRPr="00131D3E">
        <w:rPr>
          <w:rFonts w:cstheme="minorHAnsi"/>
          <w:b/>
          <w:bCs/>
        </w:rPr>
        <w:t>2b3</w:t>
      </w:r>
      <w:r w:rsidR="00743E46" w:rsidRPr="00131D3E">
        <w:rPr>
          <w:rFonts w:cstheme="minorHAnsi"/>
          <w:b/>
          <w:bCs/>
        </w:rPr>
        <w:t>.7</w:t>
      </w:r>
      <w:r w:rsidR="00001D73" w:rsidRPr="00131D3E">
        <w:rPr>
          <w:rFonts w:cstheme="minorHAnsi"/>
          <w:b/>
          <w:bCs/>
        </w:rPr>
        <w:t xml:space="preserve">. </w:t>
      </w:r>
      <w:r w:rsidR="00743E46" w:rsidRPr="00131D3E">
        <w:rPr>
          <w:rFonts w:cstheme="minorHAnsi"/>
          <w:b/>
          <w:bCs/>
        </w:rPr>
        <w:t xml:space="preserve">Statistical </w:t>
      </w:r>
      <w:r w:rsidR="00092566" w:rsidRPr="00131D3E">
        <w:rPr>
          <w:rFonts w:cstheme="minorHAnsi"/>
          <w:b/>
          <w:bCs/>
        </w:rPr>
        <w:t>Risk Model Calibration Statistics</w:t>
      </w:r>
      <w:r w:rsidR="003605B4" w:rsidRPr="00131D3E">
        <w:rPr>
          <w:rFonts w:cstheme="minorHAnsi"/>
          <w:b/>
          <w:bCs/>
        </w:rPr>
        <w:t xml:space="preserve"> </w:t>
      </w:r>
      <w:r w:rsidR="003605B4" w:rsidRPr="00131D3E">
        <w:rPr>
          <w:rFonts w:cstheme="minorHAnsi"/>
          <w:bCs/>
        </w:rPr>
        <w:t>(</w:t>
      </w:r>
      <w:r w:rsidR="003605B4" w:rsidRPr="00131D3E">
        <w:rPr>
          <w:rFonts w:cstheme="minorHAnsi"/>
          <w:bCs/>
          <w:i/>
        </w:rPr>
        <w:t>e.g., Hosmer-</w:t>
      </w:r>
      <w:proofErr w:type="spellStart"/>
      <w:r w:rsidR="003605B4" w:rsidRPr="00131D3E">
        <w:rPr>
          <w:rFonts w:cstheme="minorHAnsi"/>
          <w:bCs/>
          <w:i/>
        </w:rPr>
        <w:t>Lemeshow</w:t>
      </w:r>
      <w:proofErr w:type="spellEnd"/>
      <w:r w:rsidR="003605B4" w:rsidRPr="00131D3E">
        <w:rPr>
          <w:rFonts w:cstheme="minorHAnsi"/>
          <w:bCs/>
          <w:i/>
        </w:rPr>
        <w:t xml:space="preserve"> statistic</w:t>
      </w:r>
      <w:r w:rsidR="003605B4" w:rsidRPr="00131D3E">
        <w:rPr>
          <w:rFonts w:cstheme="minorHAnsi"/>
          <w:bCs/>
        </w:rPr>
        <w:t>)</w:t>
      </w:r>
      <w:r w:rsidR="00092566" w:rsidRPr="00131D3E">
        <w:rPr>
          <w:rFonts w:cstheme="minorHAnsi"/>
          <w:bCs/>
        </w:rPr>
        <w:t xml:space="preserve">:  </w:t>
      </w:r>
    </w:p>
    <w:p w14:paraId="6147B673" w14:textId="77777777" w:rsidR="00715974" w:rsidRDefault="00715974" w:rsidP="00632EF4">
      <w:pPr>
        <w:autoSpaceDE w:val="0"/>
        <w:autoSpaceDN w:val="0"/>
        <w:adjustRightInd w:val="0"/>
        <w:spacing w:after="0" w:line="240" w:lineRule="auto"/>
        <w:rPr>
          <w:rFonts w:cstheme="minorHAnsi"/>
          <w:bCs/>
          <w:color w:val="7030A0"/>
          <w:u w:val="single"/>
        </w:rPr>
      </w:pPr>
    </w:p>
    <w:p w14:paraId="12FC368F" w14:textId="0BFF6EBB"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u w:val="single"/>
        </w:rPr>
        <w:t>Over-fitting indices</w:t>
      </w:r>
    </w:p>
    <w:p w14:paraId="70C5BE4C"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Sample A1 – 0,1</w:t>
      </w:r>
    </w:p>
    <w:p w14:paraId="6D226C35"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Sample A2 – 0.10,0.99</w:t>
      </w:r>
    </w:p>
    <w:p w14:paraId="5C9E1E2B"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Sample A3 – 1.24, 0.87</w:t>
      </w:r>
    </w:p>
    <w:p w14:paraId="28C71CEA" w14:textId="77777777" w:rsidR="00632EF4" w:rsidRPr="00632EF4" w:rsidRDefault="00632EF4" w:rsidP="00092566">
      <w:pPr>
        <w:autoSpaceDE w:val="0"/>
        <w:autoSpaceDN w:val="0"/>
        <w:adjustRightInd w:val="0"/>
        <w:spacing w:after="0" w:line="240" w:lineRule="auto"/>
        <w:rPr>
          <w:rFonts w:cstheme="minorHAnsi"/>
          <w:bCs/>
          <w:color w:val="7030A0"/>
        </w:rPr>
      </w:pPr>
    </w:p>
    <w:p w14:paraId="6C7F6AB9"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u w:val="single"/>
        </w:rPr>
        <w:t>Standardized Pearson Residuals lack of fit</w:t>
      </w:r>
    </w:p>
    <w:p w14:paraId="6F2E1C63"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&lt;-2 = A1 0.00%; A2 0.00%; A3 0.00%</w:t>
      </w:r>
    </w:p>
    <w:p w14:paraId="5703F26E"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[-2, 0) = A1 64.47%; A2 64.52%; A3 64.68%</w:t>
      </w:r>
    </w:p>
    <w:p w14:paraId="4D785887"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[0, 2) = A1 32.87%; A2 32.80%; A3 32.62%</w:t>
      </w:r>
    </w:p>
    <w:p w14:paraId="0CABCFFE" w14:textId="3DB50584" w:rsidR="00001D73" w:rsidRPr="00632EF4" w:rsidRDefault="00632EF4" w:rsidP="00092566">
      <w:pPr>
        <w:autoSpaceDE w:val="0"/>
        <w:autoSpaceDN w:val="0"/>
        <w:adjustRightInd w:val="0"/>
        <w:spacing w:after="0" w:line="240" w:lineRule="auto"/>
        <w:rPr>
          <w:rFonts w:cstheme="minorHAnsi"/>
          <w:bCs/>
        </w:rPr>
      </w:pPr>
      <w:r w:rsidRPr="00632EF4">
        <w:rPr>
          <w:rFonts w:cstheme="minorHAnsi"/>
          <w:bCs/>
          <w:color w:val="7030A0"/>
        </w:rPr>
        <w:t>[2+ = A1 2.68%; A2 2.68%; A3 2.70%</w:t>
      </w:r>
      <w:r w:rsidR="00092566" w:rsidRPr="00131D3E">
        <w:rPr>
          <w:rFonts w:cstheme="minorHAnsi"/>
          <w:bCs/>
        </w:rPr>
        <w:br/>
      </w:r>
    </w:p>
    <w:p w14:paraId="734B4DB3" w14:textId="77777777" w:rsidR="00371122" w:rsidRDefault="009C7513" w:rsidP="00092566">
      <w:pPr>
        <w:autoSpaceDE w:val="0"/>
        <w:autoSpaceDN w:val="0"/>
        <w:adjustRightInd w:val="0"/>
        <w:spacing w:after="0" w:line="240" w:lineRule="auto"/>
        <w:rPr>
          <w:rFonts w:cstheme="minorHAnsi"/>
          <w:bCs/>
        </w:rPr>
      </w:pPr>
      <w:r w:rsidRPr="00131D3E">
        <w:rPr>
          <w:rFonts w:cstheme="minorHAnsi"/>
          <w:b/>
          <w:bCs/>
        </w:rPr>
        <w:t>2b3</w:t>
      </w:r>
      <w:r w:rsidR="00743E46" w:rsidRPr="00131D3E">
        <w:rPr>
          <w:rFonts w:cstheme="minorHAnsi"/>
          <w:b/>
          <w:bCs/>
        </w:rPr>
        <w:t>.8</w:t>
      </w:r>
      <w:r w:rsidR="00001D73" w:rsidRPr="00131D3E">
        <w:rPr>
          <w:rFonts w:cstheme="minorHAnsi"/>
          <w:b/>
          <w:bCs/>
        </w:rPr>
        <w:t xml:space="preserve">. </w:t>
      </w:r>
      <w:r w:rsidR="00743E46" w:rsidRPr="00131D3E">
        <w:rPr>
          <w:rFonts w:cstheme="minorHAnsi"/>
          <w:b/>
          <w:bCs/>
        </w:rPr>
        <w:t xml:space="preserve">Statistical </w:t>
      </w:r>
      <w:r w:rsidR="00092566" w:rsidRPr="00131D3E">
        <w:rPr>
          <w:rFonts w:cstheme="minorHAnsi"/>
          <w:b/>
          <w:bCs/>
        </w:rPr>
        <w:t>Risk Model Calibration – Risk decile plots or calibration curves</w:t>
      </w:r>
      <w:r w:rsidR="00092566" w:rsidRPr="00131D3E">
        <w:rPr>
          <w:rFonts w:cstheme="minorHAnsi"/>
          <w:bCs/>
        </w:rPr>
        <w:t>:</w:t>
      </w:r>
    </w:p>
    <w:p w14:paraId="4D072021" w14:textId="77777777" w:rsidR="00632EF4" w:rsidRDefault="00632EF4" w:rsidP="00632EF4">
      <w:pPr>
        <w:autoSpaceDE w:val="0"/>
        <w:autoSpaceDN w:val="0"/>
        <w:adjustRightInd w:val="0"/>
        <w:spacing w:after="0" w:line="240" w:lineRule="auto"/>
        <w:rPr>
          <w:rFonts w:cstheme="minorHAnsi"/>
          <w:color w:val="7030A0"/>
        </w:rPr>
      </w:pPr>
    </w:p>
    <w:p w14:paraId="6F4719ED" w14:textId="49DD620B" w:rsidR="00632EF4" w:rsidRPr="00632EF4" w:rsidRDefault="00632EF4" w:rsidP="00632EF4">
      <w:pPr>
        <w:autoSpaceDE w:val="0"/>
        <w:autoSpaceDN w:val="0"/>
        <w:adjustRightInd w:val="0"/>
        <w:spacing w:after="0" w:line="240" w:lineRule="auto"/>
        <w:rPr>
          <w:rFonts w:cstheme="minorHAnsi"/>
          <w:color w:val="7030A0"/>
        </w:rPr>
      </w:pPr>
      <w:r w:rsidRPr="00632EF4">
        <w:rPr>
          <w:rFonts w:cstheme="minorHAnsi"/>
          <w:color w:val="7030A0"/>
        </w:rPr>
        <w:t>Below is the plot of predictive ratios by decile and top 1% of predicted payment for the development and validation samples:</w:t>
      </w:r>
    </w:p>
    <w:p w14:paraId="15BA8825" w14:textId="77777777" w:rsidR="00632EF4" w:rsidRPr="00632EF4" w:rsidRDefault="00632EF4" w:rsidP="00632EF4">
      <w:pPr>
        <w:autoSpaceDE w:val="0"/>
        <w:autoSpaceDN w:val="0"/>
        <w:adjustRightInd w:val="0"/>
        <w:spacing w:after="0" w:line="240" w:lineRule="auto"/>
        <w:rPr>
          <w:rFonts w:cstheme="minorHAnsi"/>
          <w:bCs/>
          <w:color w:val="7030A0"/>
        </w:rPr>
      </w:pPr>
    </w:p>
    <w:p w14:paraId="3005AE69"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 xml:space="preserve">Bottom Decile: </w:t>
      </w:r>
      <w:r w:rsidRPr="00632EF4">
        <w:rPr>
          <w:rFonts w:cstheme="minorHAnsi"/>
          <w:bCs/>
          <w:color w:val="7030A0"/>
        </w:rPr>
        <w:tab/>
        <w:t>A1 1.01; A2 1.01; A3 1.02</w:t>
      </w:r>
      <w:r w:rsidRPr="00632EF4">
        <w:rPr>
          <w:rFonts w:cstheme="minorHAnsi"/>
          <w:bCs/>
          <w:color w:val="7030A0"/>
        </w:rPr>
        <w:tab/>
      </w:r>
    </w:p>
    <w:p w14:paraId="6500CA1C"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 xml:space="preserve">First Decile: </w:t>
      </w:r>
      <w:r w:rsidRPr="00632EF4">
        <w:rPr>
          <w:rFonts w:cstheme="minorHAnsi"/>
          <w:bCs/>
          <w:color w:val="7030A0"/>
        </w:rPr>
        <w:tab/>
        <w:t>A1 1.02; A2 1.03; A3 1.02</w:t>
      </w:r>
    </w:p>
    <w:p w14:paraId="6A567773"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 xml:space="preserve">Second Decile: </w:t>
      </w:r>
      <w:r w:rsidRPr="00632EF4">
        <w:rPr>
          <w:rFonts w:cstheme="minorHAnsi"/>
          <w:bCs/>
          <w:color w:val="7030A0"/>
        </w:rPr>
        <w:tab/>
        <w:t>A1 1.02; A2 1.02; A3 1.01</w:t>
      </w:r>
    </w:p>
    <w:p w14:paraId="12316A78"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 xml:space="preserve">Third Decile: </w:t>
      </w:r>
      <w:r w:rsidRPr="00632EF4">
        <w:rPr>
          <w:rFonts w:cstheme="minorHAnsi"/>
          <w:bCs/>
          <w:color w:val="7030A0"/>
        </w:rPr>
        <w:tab/>
        <w:t>A1 1.00; A2 1.01; A3 1.00</w:t>
      </w:r>
    </w:p>
    <w:p w14:paraId="0CCE4275"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Fourth Decile:</w:t>
      </w:r>
      <w:r w:rsidRPr="00632EF4">
        <w:rPr>
          <w:rFonts w:cstheme="minorHAnsi"/>
          <w:bCs/>
          <w:color w:val="7030A0"/>
        </w:rPr>
        <w:tab/>
        <w:t>A1 0.99; A2 0.99; A3 1.00</w:t>
      </w:r>
    </w:p>
    <w:p w14:paraId="5FD83335"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Fifth Decile:</w:t>
      </w:r>
      <w:r w:rsidRPr="00632EF4">
        <w:rPr>
          <w:rFonts w:cstheme="minorHAnsi"/>
          <w:bCs/>
          <w:color w:val="7030A0"/>
        </w:rPr>
        <w:tab/>
        <w:t>A1 1.00; A2 0.99; A3 1.00</w:t>
      </w:r>
    </w:p>
    <w:p w14:paraId="043154A5"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Sixth Decile:</w:t>
      </w:r>
      <w:r w:rsidRPr="00632EF4">
        <w:rPr>
          <w:rFonts w:cstheme="minorHAnsi"/>
          <w:bCs/>
          <w:color w:val="7030A0"/>
        </w:rPr>
        <w:tab/>
        <w:t>A1 0.98; A2 0.98; A3 0.99</w:t>
      </w:r>
    </w:p>
    <w:p w14:paraId="7388EFFE"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 xml:space="preserve">Seventh Decile: </w:t>
      </w:r>
      <w:r w:rsidRPr="00632EF4">
        <w:rPr>
          <w:rFonts w:cstheme="minorHAnsi"/>
          <w:bCs/>
          <w:color w:val="7030A0"/>
        </w:rPr>
        <w:tab/>
        <w:t>A1 0.99; A2 0.99; A3 0.99</w:t>
      </w:r>
    </w:p>
    <w:p w14:paraId="676BCA00"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Eighth Decile:</w:t>
      </w:r>
      <w:r w:rsidRPr="00632EF4">
        <w:rPr>
          <w:rFonts w:cstheme="minorHAnsi"/>
          <w:bCs/>
          <w:color w:val="7030A0"/>
        </w:rPr>
        <w:tab/>
        <w:t>A1 0.99; A2 0.98; A3 1.00</w:t>
      </w:r>
    </w:p>
    <w:p w14:paraId="2D313D0A"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Ninth Decile:</w:t>
      </w:r>
      <w:r w:rsidRPr="00632EF4">
        <w:rPr>
          <w:rFonts w:cstheme="minorHAnsi"/>
          <w:bCs/>
          <w:color w:val="7030A0"/>
        </w:rPr>
        <w:tab/>
        <w:t>A1 1.00; A2 1.00; A3 0.99</w:t>
      </w:r>
    </w:p>
    <w:p w14:paraId="54FF76B5" w14:textId="77777777" w:rsidR="00632EF4" w:rsidRPr="00632EF4" w:rsidRDefault="00632EF4" w:rsidP="00632EF4">
      <w:pPr>
        <w:autoSpaceDE w:val="0"/>
        <w:autoSpaceDN w:val="0"/>
        <w:adjustRightInd w:val="0"/>
        <w:spacing w:after="0" w:line="240" w:lineRule="auto"/>
        <w:rPr>
          <w:rFonts w:cstheme="minorHAnsi"/>
          <w:bCs/>
          <w:color w:val="7030A0"/>
        </w:rPr>
      </w:pPr>
      <w:r w:rsidRPr="00632EF4">
        <w:rPr>
          <w:rFonts w:cstheme="minorHAnsi"/>
          <w:bCs/>
          <w:color w:val="7030A0"/>
        </w:rPr>
        <w:t>Tenth Decile:</w:t>
      </w:r>
      <w:r w:rsidRPr="00632EF4">
        <w:rPr>
          <w:rFonts w:cstheme="minorHAnsi"/>
          <w:bCs/>
          <w:color w:val="7030A0"/>
        </w:rPr>
        <w:tab/>
        <w:t>A1 1.02; A2 1.03; A3 1.02</w:t>
      </w:r>
    </w:p>
    <w:p w14:paraId="6779E1EE" w14:textId="77777777" w:rsidR="00632EF4" w:rsidRDefault="00632EF4" w:rsidP="00632EF4">
      <w:pPr>
        <w:autoSpaceDE w:val="0"/>
        <w:autoSpaceDN w:val="0"/>
        <w:adjustRightInd w:val="0"/>
        <w:spacing w:after="0" w:line="240" w:lineRule="auto"/>
        <w:rPr>
          <w:rFonts w:cstheme="minorHAnsi"/>
          <w:bCs/>
        </w:rPr>
      </w:pPr>
      <w:r w:rsidRPr="00632EF4">
        <w:rPr>
          <w:rFonts w:cstheme="minorHAnsi"/>
          <w:bCs/>
          <w:color w:val="7030A0"/>
        </w:rPr>
        <w:t>Top 1%:</w:t>
      </w:r>
      <w:r w:rsidRPr="00632EF4">
        <w:rPr>
          <w:rFonts w:cstheme="minorHAnsi"/>
          <w:bCs/>
          <w:color w:val="7030A0"/>
        </w:rPr>
        <w:tab/>
      </w:r>
      <w:r w:rsidRPr="00632EF4">
        <w:rPr>
          <w:rFonts w:cstheme="minorHAnsi"/>
          <w:bCs/>
          <w:color w:val="7030A0"/>
        </w:rPr>
        <w:tab/>
        <w:t>A1 1.09; A2 1.07; A3 1.06</w:t>
      </w:r>
      <w:r>
        <w:rPr>
          <w:rFonts w:cstheme="minorHAnsi"/>
        </w:rPr>
        <w:br/>
      </w:r>
    </w:p>
    <w:p w14:paraId="4A1D43C0" w14:textId="2DB0A954" w:rsidR="00632EF4" w:rsidRDefault="00632EF4" w:rsidP="00632EF4">
      <w:pPr>
        <w:autoSpaceDE w:val="0"/>
        <w:autoSpaceDN w:val="0"/>
        <w:adjustRightInd w:val="0"/>
        <w:spacing w:after="0" w:line="240" w:lineRule="auto"/>
        <w:rPr>
          <w:rFonts w:cstheme="minorHAnsi"/>
          <w:bCs/>
          <w:color w:val="C00000"/>
        </w:rPr>
      </w:pPr>
    </w:p>
    <w:p w14:paraId="45B85EB1" w14:textId="234020B6" w:rsidR="00632EF4" w:rsidRPr="00632EF4" w:rsidRDefault="00632EF4" w:rsidP="00632EF4">
      <w:pPr>
        <w:pStyle w:val="Caption"/>
        <w:keepNext/>
        <w:rPr>
          <w:color w:val="C00000"/>
          <w:sz w:val="22"/>
        </w:rPr>
      </w:pPr>
      <w:r w:rsidRPr="00632EF4">
        <w:rPr>
          <w:color w:val="C00000"/>
          <w:sz w:val="22"/>
        </w:rPr>
        <w:lastRenderedPageBreak/>
        <w:t xml:space="preserve">Table </w:t>
      </w:r>
      <w:r w:rsidRPr="00632EF4">
        <w:rPr>
          <w:color w:val="C00000"/>
          <w:sz w:val="22"/>
        </w:rPr>
        <w:fldChar w:fldCharType="begin"/>
      </w:r>
      <w:r w:rsidRPr="00632EF4">
        <w:rPr>
          <w:color w:val="C00000"/>
          <w:sz w:val="22"/>
        </w:rPr>
        <w:instrText xml:space="preserve"> SEQ Table \* ARABIC </w:instrText>
      </w:r>
      <w:r w:rsidRPr="00632EF4">
        <w:rPr>
          <w:color w:val="C00000"/>
          <w:sz w:val="22"/>
        </w:rPr>
        <w:fldChar w:fldCharType="separate"/>
      </w:r>
      <w:r w:rsidRPr="00632EF4">
        <w:rPr>
          <w:noProof/>
          <w:color w:val="C00000"/>
          <w:sz w:val="22"/>
        </w:rPr>
        <w:t>10</w:t>
      </w:r>
      <w:r w:rsidRPr="00632EF4">
        <w:rPr>
          <w:color w:val="C00000"/>
          <w:sz w:val="22"/>
        </w:rPr>
        <w:fldChar w:fldCharType="end"/>
      </w:r>
      <w:r w:rsidRPr="00632EF4">
        <w:rPr>
          <w:color w:val="C00000"/>
          <w:sz w:val="22"/>
        </w:rPr>
        <w:t xml:space="preserve">. Distribution of predictive ratios by decile and top and bottom 1% </w:t>
      </w:r>
      <w:r w:rsidR="00CB3DDB">
        <w:rPr>
          <w:color w:val="C00000"/>
          <w:sz w:val="22"/>
        </w:rPr>
        <w:t>(</w:t>
      </w:r>
      <w:r w:rsidRPr="00632EF4">
        <w:rPr>
          <w:color w:val="C00000"/>
          <w:sz w:val="22"/>
        </w:rPr>
        <w:t>EM Testing Dataset</w:t>
      </w:r>
      <w:r w:rsidR="00CB3DDB">
        <w:rPr>
          <w:color w:val="C00000"/>
          <w:sz w:val="22"/>
        </w:rPr>
        <w:t>)</w:t>
      </w:r>
      <w:r w:rsidRPr="00632EF4">
        <w:rPr>
          <w:color w:val="C00000"/>
          <w:sz w:val="22"/>
        </w:rPr>
        <w:t>.</w:t>
      </w:r>
    </w:p>
    <w:tbl>
      <w:tblPr>
        <w:tblW w:w="0" w:type="auto"/>
        <w:tblLayout w:type="fixed"/>
        <w:tblCellMar>
          <w:left w:w="0" w:type="dxa"/>
          <w:right w:w="0" w:type="dxa"/>
        </w:tblCellMar>
        <w:tblLook w:val="04A0" w:firstRow="1" w:lastRow="0" w:firstColumn="1" w:lastColumn="0" w:noHBand="0" w:noVBand="1"/>
      </w:tblPr>
      <w:tblGrid>
        <w:gridCol w:w="1571"/>
        <w:gridCol w:w="1666"/>
      </w:tblGrid>
      <w:tr w:rsidR="00B113BE" w14:paraId="55373CBF" w14:textId="77777777" w:rsidTr="00B113BE">
        <w:trPr>
          <w:cantSplit/>
          <w:tblHeader/>
        </w:trPr>
        <w:tc>
          <w:tcPr>
            <w:tcW w:w="1571" w:type="dxa"/>
            <w:tcBorders>
              <w:top w:val="single" w:sz="6" w:space="0" w:color="000000"/>
              <w:left w:val="single" w:sz="2" w:space="0" w:color="000000"/>
              <w:bottom w:val="single" w:sz="2" w:space="0" w:color="000000"/>
              <w:right w:val="nil"/>
            </w:tcBorders>
            <w:shd w:val="clear" w:color="auto" w:fill="BBBBBB"/>
            <w:tcMar>
              <w:top w:w="0" w:type="dxa"/>
              <w:left w:w="60" w:type="dxa"/>
              <w:bottom w:w="0" w:type="dxa"/>
              <w:right w:w="60" w:type="dxa"/>
            </w:tcMar>
            <w:vAlign w:val="bottom"/>
            <w:hideMark/>
          </w:tcPr>
          <w:p w14:paraId="127A086D" w14:textId="0798D5FE" w:rsidR="00B113BE" w:rsidRPr="00D83AD8" w:rsidRDefault="00B113BE" w:rsidP="00B113BE">
            <w:pPr>
              <w:adjustRightInd w:val="0"/>
              <w:spacing w:before="60" w:after="60" w:line="256" w:lineRule="auto"/>
              <w:jc w:val="both"/>
              <w:rPr>
                <w:b/>
                <w:bCs/>
                <w:color w:val="C00000"/>
              </w:rPr>
            </w:pPr>
            <w:r w:rsidRPr="00D83AD8">
              <w:rPr>
                <w:b/>
                <w:bCs/>
                <w:color w:val="C00000"/>
              </w:rPr>
              <w:t>Decile</w:t>
            </w:r>
          </w:p>
        </w:tc>
        <w:tc>
          <w:tcPr>
            <w:tcW w:w="1666" w:type="dxa"/>
            <w:tcBorders>
              <w:top w:val="single" w:sz="6" w:space="0" w:color="000000"/>
              <w:left w:val="single" w:sz="2" w:space="0" w:color="000000"/>
              <w:bottom w:val="single" w:sz="2" w:space="0" w:color="000000"/>
              <w:right w:val="single" w:sz="6" w:space="0" w:color="000000"/>
            </w:tcBorders>
            <w:shd w:val="clear" w:color="auto" w:fill="BBBBBB"/>
            <w:tcMar>
              <w:top w:w="0" w:type="dxa"/>
              <w:left w:w="60" w:type="dxa"/>
              <w:bottom w:w="0" w:type="dxa"/>
              <w:right w:w="60" w:type="dxa"/>
            </w:tcMar>
            <w:vAlign w:val="bottom"/>
            <w:hideMark/>
          </w:tcPr>
          <w:p w14:paraId="6EA1EE13" w14:textId="3B58C3A6" w:rsidR="00B113BE" w:rsidRPr="00D83AD8" w:rsidRDefault="00B113BE" w:rsidP="00B113BE">
            <w:pPr>
              <w:adjustRightInd w:val="0"/>
              <w:spacing w:before="60" w:after="60" w:line="256" w:lineRule="auto"/>
              <w:jc w:val="center"/>
              <w:rPr>
                <w:b/>
                <w:bCs/>
                <w:color w:val="C00000"/>
              </w:rPr>
            </w:pPr>
            <w:r w:rsidRPr="00D83AD8">
              <w:rPr>
                <w:b/>
                <w:bCs/>
                <w:color w:val="C00000"/>
              </w:rPr>
              <w:t>Predictive Ratio</w:t>
            </w:r>
          </w:p>
        </w:tc>
      </w:tr>
      <w:tr w:rsidR="00B113BE" w14:paraId="1ADA43BF" w14:textId="77777777" w:rsidTr="00B113BE">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1670009B" w14:textId="77777777" w:rsidR="00B113BE" w:rsidRPr="00B113BE" w:rsidRDefault="00B113BE" w:rsidP="00B113BE">
            <w:pPr>
              <w:adjustRightInd w:val="0"/>
              <w:spacing w:before="60" w:after="60" w:line="256" w:lineRule="auto"/>
              <w:jc w:val="both"/>
              <w:rPr>
                <w:color w:val="C00000"/>
              </w:rPr>
            </w:pPr>
            <w:r w:rsidRPr="00B113BE">
              <w:rPr>
                <w:color w:val="C00000"/>
              </w:rPr>
              <w:t>Decile1</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61D3F13B" w14:textId="77777777" w:rsidR="00B113BE" w:rsidRPr="00B113BE" w:rsidRDefault="00B113BE" w:rsidP="00B113BE">
            <w:pPr>
              <w:adjustRightInd w:val="0"/>
              <w:spacing w:before="60" w:after="60" w:line="256" w:lineRule="auto"/>
              <w:jc w:val="center"/>
              <w:rPr>
                <w:color w:val="C00000"/>
              </w:rPr>
            </w:pPr>
            <w:r w:rsidRPr="00B113BE">
              <w:rPr>
                <w:color w:val="C00000"/>
              </w:rPr>
              <w:t>1.00</w:t>
            </w:r>
          </w:p>
        </w:tc>
      </w:tr>
      <w:tr w:rsidR="00B113BE" w14:paraId="3B2CB9C9" w14:textId="77777777" w:rsidTr="00B113BE">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517751DA" w14:textId="77777777" w:rsidR="00B113BE" w:rsidRPr="00B113BE" w:rsidRDefault="00B113BE" w:rsidP="00B113BE">
            <w:pPr>
              <w:adjustRightInd w:val="0"/>
              <w:spacing w:before="60" w:after="60" w:line="256" w:lineRule="auto"/>
              <w:jc w:val="both"/>
              <w:rPr>
                <w:color w:val="C00000"/>
              </w:rPr>
            </w:pPr>
            <w:r w:rsidRPr="00B113BE">
              <w:rPr>
                <w:color w:val="C00000"/>
              </w:rPr>
              <w:t>Decile2</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698C01C4" w14:textId="77777777" w:rsidR="00B113BE" w:rsidRPr="00B113BE" w:rsidRDefault="00B113BE" w:rsidP="00B113BE">
            <w:pPr>
              <w:adjustRightInd w:val="0"/>
              <w:spacing w:before="60" w:after="60" w:line="256" w:lineRule="auto"/>
              <w:jc w:val="center"/>
              <w:rPr>
                <w:color w:val="C00000"/>
              </w:rPr>
            </w:pPr>
            <w:r w:rsidRPr="00B113BE">
              <w:rPr>
                <w:color w:val="C00000"/>
              </w:rPr>
              <w:t>0.99</w:t>
            </w:r>
          </w:p>
        </w:tc>
      </w:tr>
      <w:tr w:rsidR="00B113BE" w14:paraId="08AA85B1" w14:textId="77777777" w:rsidTr="00B113BE">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5904C85B" w14:textId="77777777" w:rsidR="00B113BE" w:rsidRPr="00B113BE" w:rsidRDefault="00B113BE" w:rsidP="00B113BE">
            <w:pPr>
              <w:adjustRightInd w:val="0"/>
              <w:spacing w:before="60" w:after="60" w:line="256" w:lineRule="auto"/>
              <w:jc w:val="both"/>
              <w:rPr>
                <w:color w:val="C00000"/>
              </w:rPr>
            </w:pPr>
            <w:r w:rsidRPr="00B113BE">
              <w:rPr>
                <w:color w:val="C00000"/>
              </w:rPr>
              <w:t>Decile3</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27873289" w14:textId="77777777" w:rsidR="00B113BE" w:rsidRPr="00B113BE" w:rsidRDefault="00B113BE" w:rsidP="00B113BE">
            <w:pPr>
              <w:adjustRightInd w:val="0"/>
              <w:spacing w:before="60" w:after="60" w:line="256" w:lineRule="auto"/>
              <w:jc w:val="center"/>
              <w:rPr>
                <w:color w:val="C00000"/>
              </w:rPr>
            </w:pPr>
            <w:r w:rsidRPr="00B113BE">
              <w:rPr>
                <w:color w:val="C00000"/>
              </w:rPr>
              <w:t>0.99</w:t>
            </w:r>
          </w:p>
        </w:tc>
      </w:tr>
      <w:tr w:rsidR="00B113BE" w14:paraId="279996E9" w14:textId="77777777" w:rsidTr="00B113BE">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3A77A8FF" w14:textId="77777777" w:rsidR="00B113BE" w:rsidRPr="00B113BE" w:rsidRDefault="00B113BE" w:rsidP="00B113BE">
            <w:pPr>
              <w:adjustRightInd w:val="0"/>
              <w:spacing w:before="60" w:after="60" w:line="256" w:lineRule="auto"/>
              <w:jc w:val="both"/>
              <w:rPr>
                <w:color w:val="C00000"/>
              </w:rPr>
            </w:pPr>
            <w:r w:rsidRPr="00B113BE">
              <w:rPr>
                <w:color w:val="C00000"/>
              </w:rPr>
              <w:t>Decile4</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1B9B15A2" w14:textId="77777777" w:rsidR="00B113BE" w:rsidRPr="00B113BE" w:rsidRDefault="00B113BE" w:rsidP="00B113BE">
            <w:pPr>
              <w:adjustRightInd w:val="0"/>
              <w:spacing w:before="60" w:after="60" w:line="256" w:lineRule="auto"/>
              <w:jc w:val="center"/>
              <w:rPr>
                <w:color w:val="C00000"/>
              </w:rPr>
            </w:pPr>
            <w:r w:rsidRPr="00B113BE">
              <w:rPr>
                <w:color w:val="C00000"/>
              </w:rPr>
              <w:t>0.99</w:t>
            </w:r>
          </w:p>
        </w:tc>
      </w:tr>
      <w:tr w:rsidR="00B113BE" w14:paraId="2FA94795" w14:textId="77777777" w:rsidTr="00B113BE">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728E1E46" w14:textId="77777777" w:rsidR="00B113BE" w:rsidRPr="00B113BE" w:rsidRDefault="00B113BE" w:rsidP="00B113BE">
            <w:pPr>
              <w:adjustRightInd w:val="0"/>
              <w:spacing w:before="60" w:after="60" w:line="256" w:lineRule="auto"/>
              <w:jc w:val="both"/>
              <w:rPr>
                <w:color w:val="C00000"/>
              </w:rPr>
            </w:pPr>
            <w:r w:rsidRPr="00B113BE">
              <w:rPr>
                <w:color w:val="C00000"/>
              </w:rPr>
              <w:t>Decile5</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512C6847" w14:textId="77777777" w:rsidR="00B113BE" w:rsidRPr="00B113BE" w:rsidRDefault="00B113BE" w:rsidP="00B113BE">
            <w:pPr>
              <w:adjustRightInd w:val="0"/>
              <w:spacing w:before="60" w:after="60" w:line="256" w:lineRule="auto"/>
              <w:jc w:val="center"/>
              <w:rPr>
                <w:color w:val="C00000"/>
              </w:rPr>
            </w:pPr>
            <w:r w:rsidRPr="00B113BE">
              <w:rPr>
                <w:color w:val="C00000"/>
              </w:rPr>
              <w:t>0.99</w:t>
            </w:r>
          </w:p>
        </w:tc>
      </w:tr>
      <w:tr w:rsidR="00B113BE" w14:paraId="0620358E" w14:textId="77777777" w:rsidTr="00B113BE">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0B29943B" w14:textId="77777777" w:rsidR="00B113BE" w:rsidRPr="00B113BE" w:rsidRDefault="00B113BE" w:rsidP="00B113BE">
            <w:pPr>
              <w:adjustRightInd w:val="0"/>
              <w:spacing w:before="60" w:after="60" w:line="256" w:lineRule="auto"/>
              <w:jc w:val="both"/>
              <w:rPr>
                <w:color w:val="C00000"/>
              </w:rPr>
            </w:pPr>
            <w:r w:rsidRPr="00B113BE">
              <w:rPr>
                <w:color w:val="C00000"/>
              </w:rPr>
              <w:t>Decile6</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55284D09" w14:textId="77777777" w:rsidR="00B113BE" w:rsidRPr="00B113BE" w:rsidRDefault="00B113BE" w:rsidP="00B113BE">
            <w:pPr>
              <w:adjustRightInd w:val="0"/>
              <w:spacing w:before="60" w:after="60" w:line="256" w:lineRule="auto"/>
              <w:jc w:val="center"/>
              <w:rPr>
                <w:color w:val="C00000"/>
              </w:rPr>
            </w:pPr>
            <w:r w:rsidRPr="00B113BE">
              <w:rPr>
                <w:color w:val="C00000"/>
              </w:rPr>
              <w:t>1.00</w:t>
            </w:r>
          </w:p>
        </w:tc>
      </w:tr>
      <w:tr w:rsidR="00B113BE" w14:paraId="0701960E" w14:textId="77777777" w:rsidTr="00B113BE">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2133F915" w14:textId="77777777" w:rsidR="00B113BE" w:rsidRPr="00B113BE" w:rsidRDefault="00B113BE" w:rsidP="00B113BE">
            <w:pPr>
              <w:adjustRightInd w:val="0"/>
              <w:spacing w:before="60" w:after="60" w:line="256" w:lineRule="auto"/>
              <w:jc w:val="both"/>
              <w:rPr>
                <w:color w:val="C00000"/>
              </w:rPr>
            </w:pPr>
            <w:r w:rsidRPr="00B113BE">
              <w:rPr>
                <w:color w:val="C00000"/>
              </w:rPr>
              <w:t>Decile7</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61E771B2" w14:textId="77777777" w:rsidR="00B113BE" w:rsidRPr="00B113BE" w:rsidRDefault="00B113BE" w:rsidP="00B113BE">
            <w:pPr>
              <w:adjustRightInd w:val="0"/>
              <w:spacing w:before="60" w:after="60" w:line="256" w:lineRule="auto"/>
              <w:jc w:val="center"/>
              <w:rPr>
                <w:color w:val="C00000"/>
              </w:rPr>
            </w:pPr>
            <w:r w:rsidRPr="00B113BE">
              <w:rPr>
                <w:color w:val="C00000"/>
              </w:rPr>
              <w:t>1.00</w:t>
            </w:r>
          </w:p>
        </w:tc>
      </w:tr>
      <w:tr w:rsidR="00B113BE" w14:paraId="24F33C90" w14:textId="77777777" w:rsidTr="00B113BE">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3790AA71" w14:textId="77777777" w:rsidR="00B113BE" w:rsidRPr="00B113BE" w:rsidRDefault="00B113BE" w:rsidP="00B113BE">
            <w:pPr>
              <w:adjustRightInd w:val="0"/>
              <w:spacing w:before="60" w:after="60" w:line="256" w:lineRule="auto"/>
              <w:jc w:val="both"/>
              <w:rPr>
                <w:color w:val="C00000"/>
              </w:rPr>
            </w:pPr>
            <w:r w:rsidRPr="00B113BE">
              <w:rPr>
                <w:color w:val="C00000"/>
              </w:rPr>
              <w:t>Decile8</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43E78C04" w14:textId="77777777" w:rsidR="00B113BE" w:rsidRPr="00B113BE" w:rsidRDefault="00B113BE" w:rsidP="00B113BE">
            <w:pPr>
              <w:adjustRightInd w:val="0"/>
              <w:spacing w:before="60" w:after="60" w:line="256" w:lineRule="auto"/>
              <w:jc w:val="center"/>
              <w:rPr>
                <w:color w:val="C00000"/>
              </w:rPr>
            </w:pPr>
            <w:r w:rsidRPr="00B113BE">
              <w:rPr>
                <w:color w:val="C00000"/>
              </w:rPr>
              <w:t>1.02</w:t>
            </w:r>
          </w:p>
        </w:tc>
      </w:tr>
      <w:tr w:rsidR="00B113BE" w14:paraId="4DACE5AE" w14:textId="77777777" w:rsidTr="00B113BE">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6999C518" w14:textId="77777777" w:rsidR="00B113BE" w:rsidRPr="00B113BE" w:rsidRDefault="00B113BE" w:rsidP="00B113BE">
            <w:pPr>
              <w:adjustRightInd w:val="0"/>
              <w:spacing w:before="60" w:after="60" w:line="256" w:lineRule="auto"/>
              <w:jc w:val="both"/>
              <w:rPr>
                <w:color w:val="C00000"/>
              </w:rPr>
            </w:pPr>
            <w:r w:rsidRPr="00B113BE">
              <w:rPr>
                <w:color w:val="C00000"/>
              </w:rPr>
              <w:t>Decile9</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4B2B0D5F" w14:textId="77777777" w:rsidR="00B113BE" w:rsidRPr="00B113BE" w:rsidRDefault="00B113BE" w:rsidP="00B113BE">
            <w:pPr>
              <w:adjustRightInd w:val="0"/>
              <w:spacing w:before="60" w:after="60" w:line="256" w:lineRule="auto"/>
              <w:jc w:val="center"/>
              <w:rPr>
                <w:color w:val="C00000"/>
              </w:rPr>
            </w:pPr>
            <w:r w:rsidRPr="00B113BE">
              <w:rPr>
                <w:color w:val="C00000"/>
              </w:rPr>
              <w:t>1.02</w:t>
            </w:r>
          </w:p>
        </w:tc>
      </w:tr>
      <w:tr w:rsidR="00B113BE" w14:paraId="51546101" w14:textId="77777777" w:rsidTr="00B113BE">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3BB60FF5" w14:textId="77777777" w:rsidR="00B113BE" w:rsidRPr="00B113BE" w:rsidRDefault="00B113BE" w:rsidP="00B113BE">
            <w:pPr>
              <w:adjustRightInd w:val="0"/>
              <w:spacing w:before="60" w:after="60" w:line="256" w:lineRule="auto"/>
              <w:jc w:val="both"/>
              <w:rPr>
                <w:color w:val="C00000"/>
              </w:rPr>
            </w:pPr>
            <w:r w:rsidRPr="00B113BE">
              <w:rPr>
                <w:color w:val="C00000"/>
              </w:rPr>
              <w:t>Decile10</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528EF4DB" w14:textId="77777777" w:rsidR="00B113BE" w:rsidRPr="00B113BE" w:rsidRDefault="00B113BE" w:rsidP="00B113BE">
            <w:pPr>
              <w:adjustRightInd w:val="0"/>
              <w:spacing w:before="60" w:after="60" w:line="256" w:lineRule="auto"/>
              <w:jc w:val="center"/>
              <w:rPr>
                <w:color w:val="C00000"/>
              </w:rPr>
            </w:pPr>
            <w:r w:rsidRPr="00B113BE">
              <w:rPr>
                <w:color w:val="C00000"/>
              </w:rPr>
              <w:t>1.03</w:t>
            </w:r>
          </w:p>
        </w:tc>
      </w:tr>
      <w:tr w:rsidR="00B113BE" w14:paraId="3780DEB0" w14:textId="77777777" w:rsidTr="00B113BE">
        <w:trPr>
          <w:cantSplit/>
        </w:trPr>
        <w:tc>
          <w:tcPr>
            <w:tcW w:w="1571" w:type="dxa"/>
            <w:tcBorders>
              <w:top w:val="nil"/>
              <w:left w:val="single" w:sz="2" w:space="0" w:color="000000"/>
              <w:bottom w:val="single" w:sz="2" w:space="0" w:color="000000"/>
              <w:right w:val="nil"/>
            </w:tcBorders>
            <w:shd w:val="clear" w:color="auto" w:fill="FFFFFF"/>
            <w:tcMar>
              <w:top w:w="0" w:type="dxa"/>
              <w:left w:w="60" w:type="dxa"/>
              <w:bottom w:w="0" w:type="dxa"/>
              <w:right w:w="60" w:type="dxa"/>
            </w:tcMar>
            <w:hideMark/>
          </w:tcPr>
          <w:p w14:paraId="65626643" w14:textId="77777777" w:rsidR="00B113BE" w:rsidRPr="00B113BE" w:rsidRDefault="00B113BE" w:rsidP="00B113BE">
            <w:pPr>
              <w:adjustRightInd w:val="0"/>
              <w:spacing w:before="60" w:after="60" w:line="256" w:lineRule="auto"/>
              <w:jc w:val="both"/>
              <w:rPr>
                <w:color w:val="C00000"/>
              </w:rPr>
            </w:pPr>
            <w:r w:rsidRPr="00B113BE">
              <w:rPr>
                <w:color w:val="C00000"/>
              </w:rPr>
              <w:t>Bottom 1%</w:t>
            </w:r>
          </w:p>
        </w:tc>
        <w:tc>
          <w:tcPr>
            <w:tcW w:w="1666" w:type="dxa"/>
            <w:tcBorders>
              <w:top w:val="nil"/>
              <w:left w:val="single" w:sz="2" w:space="0" w:color="000000"/>
              <w:bottom w:val="single" w:sz="2" w:space="0" w:color="000000"/>
              <w:right w:val="single" w:sz="6" w:space="0" w:color="000000"/>
            </w:tcBorders>
            <w:shd w:val="clear" w:color="auto" w:fill="FFFFFF"/>
            <w:tcMar>
              <w:top w:w="0" w:type="dxa"/>
              <w:left w:w="60" w:type="dxa"/>
              <w:bottom w:w="0" w:type="dxa"/>
              <w:right w:w="60" w:type="dxa"/>
            </w:tcMar>
            <w:hideMark/>
          </w:tcPr>
          <w:p w14:paraId="0AFA183F" w14:textId="77777777" w:rsidR="00B113BE" w:rsidRPr="00B113BE" w:rsidRDefault="00B113BE" w:rsidP="00B113BE">
            <w:pPr>
              <w:adjustRightInd w:val="0"/>
              <w:spacing w:before="60" w:after="60" w:line="256" w:lineRule="auto"/>
              <w:jc w:val="center"/>
              <w:rPr>
                <w:color w:val="C00000"/>
              </w:rPr>
            </w:pPr>
            <w:r w:rsidRPr="00B113BE">
              <w:rPr>
                <w:color w:val="C00000"/>
              </w:rPr>
              <w:t>1.01</w:t>
            </w:r>
          </w:p>
        </w:tc>
      </w:tr>
      <w:tr w:rsidR="00B113BE" w14:paraId="08CBB611" w14:textId="77777777" w:rsidTr="00B113BE">
        <w:trPr>
          <w:cantSplit/>
        </w:trPr>
        <w:tc>
          <w:tcPr>
            <w:tcW w:w="1571" w:type="dxa"/>
            <w:tcBorders>
              <w:top w:val="nil"/>
              <w:left w:val="single" w:sz="2" w:space="0" w:color="000000"/>
              <w:bottom w:val="single" w:sz="6" w:space="0" w:color="000000"/>
              <w:right w:val="nil"/>
            </w:tcBorders>
            <w:shd w:val="clear" w:color="auto" w:fill="FFFFFF"/>
            <w:tcMar>
              <w:top w:w="0" w:type="dxa"/>
              <w:left w:w="60" w:type="dxa"/>
              <w:bottom w:w="0" w:type="dxa"/>
              <w:right w:w="60" w:type="dxa"/>
            </w:tcMar>
            <w:hideMark/>
          </w:tcPr>
          <w:p w14:paraId="219C0D82" w14:textId="77777777" w:rsidR="00B113BE" w:rsidRPr="00B113BE" w:rsidRDefault="00B113BE" w:rsidP="00B113BE">
            <w:pPr>
              <w:adjustRightInd w:val="0"/>
              <w:spacing w:before="60" w:after="60" w:line="256" w:lineRule="auto"/>
              <w:jc w:val="both"/>
              <w:rPr>
                <w:color w:val="C00000"/>
              </w:rPr>
            </w:pPr>
            <w:r w:rsidRPr="00B113BE">
              <w:rPr>
                <w:color w:val="C00000"/>
              </w:rPr>
              <w:t>Top 1%</w:t>
            </w:r>
          </w:p>
        </w:tc>
        <w:tc>
          <w:tcPr>
            <w:tcW w:w="1666" w:type="dxa"/>
            <w:tcBorders>
              <w:top w:val="nil"/>
              <w:left w:val="single" w:sz="2" w:space="0" w:color="000000"/>
              <w:bottom w:val="single" w:sz="6" w:space="0" w:color="000000"/>
              <w:right w:val="single" w:sz="6" w:space="0" w:color="000000"/>
            </w:tcBorders>
            <w:shd w:val="clear" w:color="auto" w:fill="FFFFFF"/>
            <w:tcMar>
              <w:top w:w="0" w:type="dxa"/>
              <w:left w:w="60" w:type="dxa"/>
              <w:bottom w:w="0" w:type="dxa"/>
              <w:right w:w="60" w:type="dxa"/>
            </w:tcMar>
            <w:hideMark/>
          </w:tcPr>
          <w:p w14:paraId="7ABEE7B3" w14:textId="77777777" w:rsidR="00B113BE" w:rsidRPr="00B113BE" w:rsidRDefault="00B113BE" w:rsidP="00B113BE">
            <w:pPr>
              <w:adjustRightInd w:val="0"/>
              <w:spacing w:before="60" w:after="60" w:line="256" w:lineRule="auto"/>
              <w:jc w:val="center"/>
              <w:rPr>
                <w:color w:val="C00000"/>
              </w:rPr>
            </w:pPr>
            <w:r w:rsidRPr="00B113BE">
              <w:rPr>
                <w:color w:val="C00000"/>
              </w:rPr>
              <w:t>1.00</w:t>
            </w:r>
          </w:p>
        </w:tc>
      </w:tr>
    </w:tbl>
    <w:p w14:paraId="0A145D5B" w14:textId="77777777" w:rsidR="00B113BE" w:rsidRDefault="00B113BE" w:rsidP="00B113BE">
      <w:pPr>
        <w:rPr>
          <w:sz w:val="20"/>
          <w:szCs w:val="20"/>
        </w:rPr>
      </w:pPr>
    </w:p>
    <w:p w14:paraId="0CABCFFF" w14:textId="3E197FDE" w:rsidR="00743E46" w:rsidRPr="00131D3E" w:rsidRDefault="00092566" w:rsidP="00092566">
      <w:pPr>
        <w:autoSpaceDE w:val="0"/>
        <w:autoSpaceDN w:val="0"/>
        <w:adjustRightInd w:val="0"/>
        <w:spacing w:after="0" w:line="240" w:lineRule="auto"/>
        <w:rPr>
          <w:rFonts w:cstheme="minorHAnsi"/>
          <w:b/>
        </w:rPr>
      </w:pPr>
      <w:r w:rsidRPr="00131D3E">
        <w:rPr>
          <w:rFonts w:cstheme="minorHAnsi"/>
          <w:bCs/>
        </w:rPr>
        <w:br/>
      </w:r>
    </w:p>
    <w:p w14:paraId="5F27BB78" w14:textId="77777777" w:rsidR="00632EF4" w:rsidRDefault="009C7513" w:rsidP="00632EF4">
      <w:pPr>
        <w:autoSpaceDE w:val="0"/>
        <w:autoSpaceDN w:val="0"/>
        <w:adjustRightInd w:val="0"/>
        <w:spacing w:after="0" w:line="240" w:lineRule="auto"/>
        <w:rPr>
          <w:rFonts w:cstheme="minorHAnsi"/>
          <w:bCs/>
        </w:rPr>
      </w:pPr>
      <w:bookmarkStart w:id="24" w:name="question2b49"/>
      <w:bookmarkEnd w:id="24"/>
      <w:r w:rsidRPr="00131D3E">
        <w:rPr>
          <w:rFonts w:cstheme="minorHAnsi"/>
          <w:b/>
        </w:rPr>
        <w:t>2b3</w:t>
      </w:r>
      <w:r w:rsidR="00743E46" w:rsidRPr="00131D3E">
        <w:rPr>
          <w:rFonts w:cstheme="minorHAnsi"/>
          <w:b/>
        </w:rPr>
        <w:t>.9</w:t>
      </w:r>
      <w:r w:rsidR="00001D73" w:rsidRPr="00131D3E">
        <w:rPr>
          <w:rFonts w:cstheme="minorHAnsi"/>
          <w:b/>
        </w:rPr>
        <w:t xml:space="preserve">. Results of </w:t>
      </w:r>
      <w:r w:rsidR="00092566" w:rsidRPr="00131D3E">
        <w:rPr>
          <w:rFonts w:cstheme="minorHAnsi"/>
          <w:b/>
        </w:rPr>
        <w:t>Risk Stratification Analysis</w:t>
      </w:r>
      <w:r w:rsidR="00092566" w:rsidRPr="00131D3E">
        <w:rPr>
          <w:rFonts w:cstheme="minorHAnsi"/>
        </w:rPr>
        <w:t xml:space="preserve">: </w:t>
      </w:r>
      <w:r w:rsidR="00092566" w:rsidRPr="00131D3E">
        <w:rPr>
          <w:rFonts w:cstheme="minorHAnsi"/>
          <w:bCs/>
        </w:rPr>
        <w:t xml:space="preserve"> </w:t>
      </w:r>
    </w:p>
    <w:p w14:paraId="1AC4F5C4" w14:textId="77777777" w:rsidR="00632EF4" w:rsidRDefault="00632EF4" w:rsidP="00632EF4">
      <w:pPr>
        <w:autoSpaceDE w:val="0"/>
        <w:autoSpaceDN w:val="0"/>
        <w:adjustRightInd w:val="0"/>
        <w:spacing w:after="0" w:line="240" w:lineRule="auto"/>
        <w:rPr>
          <w:rFonts w:cstheme="minorHAnsi"/>
          <w:bCs/>
        </w:rPr>
      </w:pPr>
    </w:p>
    <w:p w14:paraId="0CABD001" w14:textId="124FCF00" w:rsidR="00092566" w:rsidRPr="00632EF4" w:rsidRDefault="00632EF4" w:rsidP="00632EF4">
      <w:pPr>
        <w:autoSpaceDE w:val="0"/>
        <w:autoSpaceDN w:val="0"/>
        <w:adjustRightInd w:val="0"/>
        <w:spacing w:after="0" w:line="240" w:lineRule="auto"/>
        <w:rPr>
          <w:rFonts w:cstheme="minorHAnsi"/>
          <w:bCs/>
        </w:rPr>
      </w:pPr>
      <w:r w:rsidRPr="00632EF4">
        <w:rPr>
          <w:rFonts w:cstheme="minorHAnsi"/>
          <w:bCs/>
          <w:color w:val="7030A0"/>
        </w:rPr>
        <w:t>N/</w:t>
      </w:r>
      <w:proofErr w:type="gramStart"/>
      <w:r w:rsidRPr="00632EF4">
        <w:rPr>
          <w:rFonts w:cstheme="minorHAnsi"/>
          <w:bCs/>
          <w:color w:val="7030A0"/>
        </w:rPr>
        <w:t>A  This</w:t>
      </w:r>
      <w:proofErr w:type="gramEnd"/>
      <w:r w:rsidRPr="00632EF4">
        <w:rPr>
          <w:rFonts w:cstheme="minorHAnsi"/>
          <w:bCs/>
          <w:color w:val="7030A0"/>
        </w:rPr>
        <w:t xml:space="preserve"> measure is not stratified.</w:t>
      </w:r>
    </w:p>
    <w:p w14:paraId="6FB7F65B" w14:textId="77777777" w:rsidR="00632EF4" w:rsidRDefault="00632EF4" w:rsidP="00092566">
      <w:pPr>
        <w:autoSpaceDE w:val="0"/>
        <w:autoSpaceDN w:val="0"/>
        <w:adjustRightInd w:val="0"/>
        <w:spacing w:after="0" w:line="240" w:lineRule="auto"/>
        <w:rPr>
          <w:rFonts w:cstheme="minorHAnsi"/>
          <w:b/>
          <w:bCs/>
        </w:rPr>
      </w:pPr>
    </w:p>
    <w:p w14:paraId="0975067F" w14:textId="23E4584A" w:rsidR="00715974" w:rsidRDefault="009C7513" w:rsidP="00715974">
      <w:pPr>
        <w:rPr>
          <w:rFonts w:cstheme="minorHAnsi"/>
          <w:b/>
          <w:bCs/>
        </w:rPr>
      </w:pPr>
      <w:r w:rsidRPr="00131D3E">
        <w:rPr>
          <w:rFonts w:cstheme="minorHAnsi"/>
          <w:b/>
          <w:bCs/>
        </w:rPr>
        <w:t>2b3</w:t>
      </w:r>
      <w:r w:rsidR="00743E46" w:rsidRPr="00131D3E">
        <w:rPr>
          <w:rFonts w:cstheme="minorHAnsi"/>
          <w:b/>
          <w:bCs/>
        </w:rPr>
        <w:t>.10</w:t>
      </w:r>
      <w:r w:rsidR="00001D73" w:rsidRPr="00131D3E">
        <w:rPr>
          <w:rFonts w:cstheme="minorHAnsi"/>
          <w:b/>
          <w:bCs/>
        </w:rPr>
        <w:t xml:space="preserve">. </w:t>
      </w:r>
      <w:r w:rsidR="00092566" w:rsidRPr="00131D3E">
        <w:rPr>
          <w:rFonts w:cstheme="minorHAnsi"/>
          <w:b/>
          <w:bCs/>
        </w:rPr>
        <w:t>What is your interpretation of the results in terms of demonstrating adequacy of controlling for differences in patient characteristics (case mix)?</w:t>
      </w:r>
      <w:r w:rsidR="00092566" w:rsidRPr="00131D3E">
        <w:rPr>
          <w:rFonts w:cstheme="minorHAnsi"/>
          <w:bCs/>
        </w:rPr>
        <w:t xml:space="preserve"> (i</w:t>
      </w:r>
      <w:r w:rsidR="00092566" w:rsidRPr="00131D3E">
        <w:rPr>
          <w:rFonts w:cstheme="minorHAnsi"/>
          <w:bCs/>
          <w:i/>
        </w:rPr>
        <w:t>.e., what do the results mean and what are the norms for the test conducted</w:t>
      </w:r>
      <w:r w:rsidR="00092566" w:rsidRPr="00131D3E">
        <w:rPr>
          <w:rFonts w:cstheme="minorHAnsi"/>
          <w:bCs/>
        </w:rPr>
        <w:t>)</w:t>
      </w:r>
    </w:p>
    <w:p w14:paraId="400A5EA9" w14:textId="77777777" w:rsidR="00715974" w:rsidRDefault="00632EF4" w:rsidP="00715974">
      <w:pPr>
        <w:spacing w:line="240" w:lineRule="auto"/>
        <w:rPr>
          <w:rFonts w:cstheme="minorHAnsi"/>
          <w:b/>
          <w:bCs/>
        </w:rPr>
      </w:pPr>
      <w:r>
        <w:rPr>
          <w:rFonts w:ascii="Calibri" w:hAnsi="Calibri" w:cs="Calibri"/>
          <w:b/>
          <w:bCs/>
          <w:color w:val="7030A0"/>
        </w:rPr>
        <w:t>R</w:t>
      </w:r>
      <w:r w:rsidRPr="000B2E8D">
        <w:rPr>
          <w:rFonts w:ascii="Calibri" w:hAnsi="Calibri" w:cs="Calibri"/>
          <w:b/>
          <w:bCs/>
          <w:color w:val="7030A0"/>
          <w:vertAlign w:val="superscript"/>
        </w:rPr>
        <w:t>2</w:t>
      </w:r>
    </w:p>
    <w:p w14:paraId="368CA0AA" w14:textId="12FAF6B4" w:rsidR="00632EF4" w:rsidRPr="00715974" w:rsidRDefault="00632EF4" w:rsidP="00715974">
      <w:pPr>
        <w:spacing w:line="240" w:lineRule="auto"/>
        <w:rPr>
          <w:rFonts w:cstheme="minorHAnsi"/>
          <w:b/>
          <w:bCs/>
        </w:rPr>
      </w:pPr>
      <w:r w:rsidRPr="00B113BE">
        <w:rPr>
          <w:rFonts w:ascii="Calibri" w:hAnsi="Calibri" w:cs="Calibri"/>
          <w:color w:val="7030A0"/>
        </w:rPr>
        <w:t>For a traditional linear model (</w:t>
      </w:r>
      <w:proofErr w:type="gramStart"/>
      <w:r w:rsidRPr="00B113BE">
        <w:rPr>
          <w:rFonts w:ascii="Calibri" w:hAnsi="Calibri" w:cs="Calibri"/>
          <w:color w:val="7030A0"/>
        </w:rPr>
        <w:t>i.e.</w:t>
      </w:r>
      <w:proofErr w:type="gramEnd"/>
      <w:r w:rsidRPr="00B113BE">
        <w:rPr>
          <w:rFonts w:ascii="Calibri" w:hAnsi="Calibri" w:cs="Calibri"/>
          <w:color w:val="7030A0"/>
        </w:rPr>
        <w:t xml:space="preserve"> ordinary least squares regression) R</w:t>
      </w:r>
      <w:r w:rsidRPr="000B2E8D">
        <w:rPr>
          <w:rFonts w:ascii="Calibri" w:hAnsi="Calibri" w:cs="Calibri"/>
          <w:color w:val="7030A0"/>
          <w:vertAlign w:val="superscript"/>
        </w:rPr>
        <w:t>2</w:t>
      </w:r>
      <w:r w:rsidRPr="00B113BE">
        <w:rPr>
          <w:rFonts w:ascii="Calibri" w:hAnsi="Calibri" w:cs="Calibri"/>
          <w:color w:val="7030A0"/>
        </w:rPr>
        <w:t xml:space="preserve"> is interpreted as the amount of variation in the observed outcome that is explained by the predictor variables (patient-level risk factors). Generalized linear models (GLMs), however, do not output an R</w:t>
      </w:r>
      <w:r w:rsidRPr="000B2E8D">
        <w:rPr>
          <w:rFonts w:ascii="Calibri" w:hAnsi="Calibri" w:cs="Calibri"/>
          <w:color w:val="7030A0"/>
          <w:vertAlign w:val="superscript"/>
        </w:rPr>
        <w:t>2</w:t>
      </w:r>
      <w:r w:rsidRPr="00B113BE">
        <w:rPr>
          <w:rFonts w:ascii="Calibri" w:hAnsi="Calibri" w:cs="Calibri"/>
          <w:color w:val="7030A0"/>
        </w:rPr>
        <w:t xml:space="preserve"> that is akin to the </w:t>
      </w:r>
      <w:r w:rsidR="000B2E8D" w:rsidRPr="00B113BE">
        <w:rPr>
          <w:rFonts w:ascii="Calibri" w:hAnsi="Calibri" w:cs="Calibri"/>
          <w:color w:val="7030A0"/>
        </w:rPr>
        <w:t>R</w:t>
      </w:r>
      <w:r w:rsidR="000B2E8D" w:rsidRPr="000B2E8D">
        <w:rPr>
          <w:rFonts w:ascii="Calibri" w:hAnsi="Calibri" w:cs="Calibri"/>
          <w:color w:val="7030A0"/>
          <w:vertAlign w:val="superscript"/>
        </w:rPr>
        <w:t>2</w:t>
      </w:r>
      <w:r w:rsidRPr="00B113BE">
        <w:rPr>
          <w:rFonts w:ascii="Calibri" w:hAnsi="Calibri" w:cs="Calibri"/>
          <w:color w:val="7030A0"/>
        </w:rPr>
        <w:t xml:space="preserve"> of a traditional linear model. </w:t>
      </w:r>
      <w:proofErr w:type="gramStart"/>
      <w:r w:rsidRPr="00B113BE">
        <w:rPr>
          <w:rFonts w:ascii="Calibri" w:hAnsi="Calibri" w:cs="Calibri"/>
          <w:color w:val="7030A0"/>
        </w:rPr>
        <w:t>In order to</w:t>
      </w:r>
      <w:proofErr w:type="gramEnd"/>
      <w:r w:rsidRPr="00B113BE">
        <w:rPr>
          <w:rFonts w:ascii="Calibri" w:hAnsi="Calibri" w:cs="Calibri"/>
          <w:color w:val="7030A0"/>
        </w:rPr>
        <w:t xml:space="preserve"> provide the NQF Committee with a statistic that is conceptually similar, we produced a “quasi-</w:t>
      </w:r>
      <w:r w:rsidR="000B2E8D" w:rsidRPr="000B2E8D">
        <w:rPr>
          <w:rFonts w:ascii="Calibri" w:hAnsi="Calibri" w:cs="Calibri"/>
          <w:color w:val="7030A0"/>
        </w:rPr>
        <w:t xml:space="preserve"> </w:t>
      </w:r>
      <w:r w:rsidR="000B2E8D" w:rsidRPr="00B113BE">
        <w:rPr>
          <w:rFonts w:ascii="Calibri" w:hAnsi="Calibri" w:cs="Calibri"/>
          <w:color w:val="7030A0"/>
        </w:rPr>
        <w:t>R</w:t>
      </w:r>
      <w:r w:rsidR="000B2E8D" w:rsidRPr="000B2E8D">
        <w:rPr>
          <w:rFonts w:ascii="Calibri" w:hAnsi="Calibri" w:cs="Calibri"/>
          <w:color w:val="7030A0"/>
          <w:vertAlign w:val="superscript"/>
        </w:rPr>
        <w:t>2</w:t>
      </w:r>
      <w:r w:rsidRPr="00B113BE">
        <w:rPr>
          <w:rFonts w:ascii="Calibri" w:hAnsi="Calibri" w:cs="Calibri"/>
          <w:color w:val="7030A0"/>
        </w:rPr>
        <w:t>” by regressing the total payment outcome on the predicted outcome. 1 Specifically, we regressed the total payment on the payment predicted by the patient-level risk factors. This regression produced a quasi-</w:t>
      </w:r>
      <w:r w:rsidR="000B2E8D" w:rsidRPr="000B2E8D">
        <w:rPr>
          <w:rFonts w:ascii="Calibri" w:hAnsi="Calibri" w:cs="Calibri"/>
          <w:color w:val="7030A0"/>
        </w:rPr>
        <w:t xml:space="preserve"> </w:t>
      </w:r>
      <w:r w:rsidR="000B2E8D" w:rsidRPr="00B113BE">
        <w:rPr>
          <w:rFonts w:ascii="Calibri" w:hAnsi="Calibri" w:cs="Calibri"/>
          <w:color w:val="7030A0"/>
        </w:rPr>
        <w:t>R</w:t>
      </w:r>
      <w:r w:rsidR="000B2E8D" w:rsidRPr="000B2E8D">
        <w:rPr>
          <w:rFonts w:ascii="Calibri" w:hAnsi="Calibri" w:cs="Calibri"/>
          <w:color w:val="7030A0"/>
          <w:vertAlign w:val="superscript"/>
        </w:rPr>
        <w:t>2</w:t>
      </w:r>
      <w:r w:rsidRPr="00B113BE">
        <w:rPr>
          <w:rFonts w:ascii="Calibri" w:hAnsi="Calibri" w:cs="Calibri"/>
          <w:color w:val="7030A0"/>
        </w:rPr>
        <w:t xml:space="preserve"> of 0.035, suggesting that approximately three and a half percent of the variation in payment can be explained by patient-level risk factors. </w:t>
      </w:r>
      <w:r>
        <w:rPr>
          <w:rFonts w:cstheme="minorHAnsi"/>
          <w:bCs/>
          <w:color w:val="C00000"/>
        </w:rPr>
        <w:t>For this endorsement maintenance submission, the quasi-R</w:t>
      </w:r>
      <w:r w:rsidRPr="000B2E8D">
        <w:rPr>
          <w:rFonts w:cstheme="minorHAnsi"/>
          <w:bCs/>
          <w:color w:val="C00000"/>
          <w:vertAlign w:val="superscript"/>
        </w:rPr>
        <w:t>2</w:t>
      </w:r>
      <w:r>
        <w:rPr>
          <w:rFonts w:cstheme="minorHAnsi"/>
          <w:bCs/>
          <w:color w:val="C00000"/>
        </w:rPr>
        <w:t xml:space="preserve"> slightly decreased down to 0.031, suggesting that about three percent of the variation in payment could be explained by patient-level risk factors. </w:t>
      </w:r>
      <w:r>
        <w:rPr>
          <w:rFonts w:ascii="Calibri" w:hAnsi="Calibri" w:cs="Calibri"/>
          <w:color w:val="7030A0"/>
        </w:rPr>
        <w:t>This quasi-</w:t>
      </w:r>
      <w:r w:rsidR="000B2E8D" w:rsidRPr="000B2E8D">
        <w:rPr>
          <w:rFonts w:ascii="Calibri" w:hAnsi="Calibri" w:cs="Calibri"/>
          <w:color w:val="7030A0"/>
        </w:rPr>
        <w:t xml:space="preserve"> </w:t>
      </w:r>
      <w:r w:rsidR="000B2E8D" w:rsidRPr="00B113BE">
        <w:rPr>
          <w:rFonts w:ascii="Calibri" w:hAnsi="Calibri" w:cs="Calibri"/>
          <w:color w:val="7030A0"/>
        </w:rPr>
        <w:t>R</w:t>
      </w:r>
      <w:r w:rsidR="000B2E8D" w:rsidRPr="000B2E8D">
        <w:rPr>
          <w:rFonts w:ascii="Calibri" w:hAnsi="Calibri" w:cs="Calibri"/>
          <w:color w:val="7030A0"/>
          <w:vertAlign w:val="superscript"/>
        </w:rPr>
        <w:t>2</w:t>
      </w:r>
      <w:r>
        <w:rPr>
          <w:rFonts w:ascii="Calibri" w:hAnsi="Calibri" w:cs="Calibri"/>
          <w:color w:val="7030A0"/>
        </w:rPr>
        <w:t xml:space="preserve"> is in-line with </w:t>
      </w:r>
      <w:r w:rsidR="000B2E8D" w:rsidRPr="00B113BE">
        <w:rPr>
          <w:rFonts w:ascii="Calibri" w:hAnsi="Calibri" w:cs="Calibri"/>
          <w:color w:val="7030A0"/>
        </w:rPr>
        <w:t>R</w:t>
      </w:r>
      <w:r w:rsidR="000B2E8D" w:rsidRPr="000B2E8D">
        <w:rPr>
          <w:rFonts w:ascii="Calibri" w:hAnsi="Calibri" w:cs="Calibri"/>
          <w:color w:val="7030A0"/>
          <w:vertAlign w:val="superscript"/>
        </w:rPr>
        <w:t>2</w:t>
      </w:r>
      <w:r>
        <w:rPr>
          <w:rFonts w:ascii="Calibri" w:hAnsi="Calibri" w:cs="Calibri"/>
          <w:color w:val="7030A0"/>
        </w:rPr>
        <w:t xml:space="preserve"> from other patient-level risk adjustment models for health care payment (Pope et al., 2011)</w:t>
      </w:r>
    </w:p>
    <w:p w14:paraId="4BFC7A31" w14:textId="77777777" w:rsidR="00632EF4" w:rsidRPr="00715974" w:rsidRDefault="00632EF4" w:rsidP="00632EF4">
      <w:pPr>
        <w:autoSpaceDE w:val="0"/>
        <w:autoSpaceDN w:val="0"/>
        <w:adjustRightInd w:val="0"/>
        <w:spacing w:after="0" w:line="240" w:lineRule="auto"/>
        <w:rPr>
          <w:rFonts w:ascii="Calibri" w:hAnsi="Calibri" w:cs="Calibri"/>
          <w:color w:val="7030A0"/>
          <w:u w:val="single"/>
        </w:rPr>
      </w:pPr>
    </w:p>
    <w:p w14:paraId="2FE87AE0" w14:textId="0A1BC56F" w:rsidR="00632EF4" w:rsidRPr="00715974" w:rsidRDefault="00632EF4" w:rsidP="00632EF4">
      <w:pPr>
        <w:autoSpaceDE w:val="0"/>
        <w:autoSpaceDN w:val="0"/>
        <w:adjustRightInd w:val="0"/>
        <w:spacing w:after="0" w:line="240" w:lineRule="auto"/>
        <w:rPr>
          <w:rFonts w:ascii="Calibri" w:hAnsi="Calibri" w:cs="Calibri"/>
          <w:color w:val="7030A0"/>
          <w:u w:val="single"/>
        </w:rPr>
      </w:pPr>
      <w:r w:rsidRPr="00715974">
        <w:rPr>
          <w:rFonts w:ascii="Calibri" w:hAnsi="Calibri" w:cs="Calibri"/>
          <w:color w:val="7030A0"/>
          <w:u w:val="single"/>
        </w:rPr>
        <w:lastRenderedPageBreak/>
        <w:t>References</w:t>
      </w:r>
    </w:p>
    <w:p w14:paraId="04BEAB63" w14:textId="419CBFB6"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Jones AM. Models for Health Care. Health, Econometrics and Data Group (HEDG) Working</w:t>
      </w:r>
    </w:p>
    <w:p w14:paraId="21C1976F" w14:textId="77777777"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Papers. 2010.</w:t>
      </w:r>
    </w:p>
    <w:p w14:paraId="1ADB4615" w14:textId="4D5C97D2"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 xml:space="preserve">Pope, G. C., </w:t>
      </w:r>
      <w:proofErr w:type="spellStart"/>
      <w:r>
        <w:rPr>
          <w:rFonts w:ascii="Calibri" w:hAnsi="Calibri" w:cs="Calibri"/>
          <w:color w:val="7030A0"/>
        </w:rPr>
        <w:t>Kautter</w:t>
      </w:r>
      <w:proofErr w:type="spellEnd"/>
      <w:r>
        <w:rPr>
          <w:rFonts w:ascii="Calibri" w:hAnsi="Calibri" w:cs="Calibri"/>
          <w:color w:val="7030A0"/>
        </w:rPr>
        <w:t xml:space="preserve">, J., Ingber, M. J., Freeman, S., </w:t>
      </w:r>
      <w:proofErr w:type="spellStart"/>
      <w:r>
        <w:rPr>
          <w:rFonts w:ascii="Calibri" w:hAnsi="Calibri" w:cs="Calibri"/>
          <w:color w:val="7030A0"/>
        </w:rPr>
        <w:t>Sekar</w:t>
      </w:r>
      <w:proofErr w:type="spellEnd"/>
      <w:r>
        <w:rPr>
          <w:rFonts w:ascii="Calibri" w:hAnsi="Calibri" w:cs="Calibri"/>
          <w:color w:val="7030A0"/>
        </w:rPr>
        <w:t>, R., &amp; Newhart, C. RTI International,</w:t>
      </w:r>
    </w:p>
    <w:p w14:paraId="691C556A" w14:textId="77777777"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(2011). Evaluation of the CMS-HCC risk adjustment model (Final Report). pp.6.</w:t>
      </w:r>
    </w:p>
    <w:p w14:paraId="7F05AFC7" w14:textId="77777777" w:rsidR="00632EF4" w:rsidRDefault="00632EF4" w:rsidP="00632EF4">
      <w:pPr>
        <w:autoSpaceDE w:val="0"/>
        <w:autoSpaceDN w:val="0"/>
        <w:adjustRightInd w:val="0"/>
        <w:spacing w:after="0" w:line="240" w:lineRule="auto"/>
        <w:rPr>
          <w:rFonts w:ascii="Calibri" w:hAnsi="Calibri" w:cs="Calibri"/>
          <w:color w:val="7030A0"/>
        </w:rPr>
      </w:pPr>
    </w:p>
    <w:p w14:paraId="18355131" w14:textId="77777777" w:rsidR="00632EF4" w:rsidRDefault="00632EF4" w:rsidP="00632EF4">
      <w:pPr>
        <w:autoSpaceDE w:val="0"/>
        <w:autoSpaceDN w:val="0"/>
        <w:adjustRightInd w:val="0"/>
        <w:spacing w:after="0" w:line="240" w:lineRule="auto"/>
        <w:rPr>
          <w:rFonts w:ascii="Calibri" w:hAnsi="Calibri" w:cs="Calibri"/>
          <w:color w:val="7030A0"/>
        </w:rPr>
      </w:pPr>
    </w:p>
    <w:p w14:paraId="50788DDB" w14:textId="77777777" w:rsidR="00632EF4" w:rsidRDefault="00632EF4" w:rsidP="00632EF4">
      <w:pPr>
        <w:autoSpaceDE w:val="0"/>
        <w:autoSpaceDN w:val="0"/>
        <w:adjustRightInd w:val="0"/>
        <w:spacing w:after="0" w:line="240" w:lineRule="auto"/>
        <w:rPr>
          <w:rFonts w:ascii="Calibri" w:hAnsi="Calibri" w:cs="Calibri"/>
          <w:b/>
          <w:bCs/>
          <w:color w:val="7030A0"/>
        </w:rPr>
      </w:pPr>
      <w:r>
        <w:rPr>
          <w:rFonts w:ascii="Calibri" w:hAnsi="Calibri" w:cs="Calibri"/>
          <w:b/>
          <w:bCs/>
          <w:color w:val="7030A0"/>
        </w:rPr>
        <w:t>Over-fitting (Calibration γ0, γ1)</w:t>
      </w:r>
    </w:p>
    <w:p w14:paraId="3BE6E838" w14:textId="77777777"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Over-fitting can result in the phenomenon in which a model describes the relationship between</w:t>
      </w:r>
    </w:p>
    <w:p w14:paraId="24678822" w14:textId="77777777"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predictor variables and the outcome well in the development sample, but fails to provide valid</w:t>
      </w:r>
    </w:p>
    <w:p w14:paraId="32DE4762" w14:textId="77777777"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predictions in new patients. If the γ0 in the validation samples are substantially far from zero</w:t>
      </w:r>
    </w:p>
    <w:p w14:paraId="14655BF0" w14:textId="77777777"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and the γ1 is substantially far from one, there is potential evidence of over-fitting.</w:t>
      </w:r>
    </w:p>
    <w:p w14:paraId="0F84B7CB" w14:textId="77777777" w:rsidR="00632EF4" w:rsidRDefault="00632EF4" w:rsidP="00632EF4">
      <w:pPr>
        <w:autoSpaceDE w:val="0"/>
        <w:autoSpaceDN w:val="0"/>
        <w:adjustRightInd w:val="0"/>
        <w:spacing w:after="0" w:line="240" w:lineRule="auto"/>
        <w:rPr>
          <w:rFonts w:ascii="Calibri" w:hAnsi="Calibri" w:cs="Calibri"/>
          <w:color w:val="7030A0"/>
        </w:rPr>
      </w:pPr>
    </w:p>
    <w:p w14:paraId="718BA3A9" w14:textId="77777777" w:rsidR="00632EF4" w:rsidRDefault="00632EF4" w:rsidP="00632EF4">
      <w:pPr>
        <w:autoSpaceDE w:val="0"/>
        <w:autoSpaceDN w:val="0"/>
        <w:adjustRightInd w:val="0"/>
        <w:spacing w:after="0" w:line="240" w:lineRule="auto"/>
        <w:rPr>
          <w:rFonts w:ascii="Calibri" w:hAnsi="Calibri" w:cs="Calibri"/>
          <w:b/>
          <w:bCs/>
          <w:color w:val="7030A0"/>
        </w:rPr>
      </w:pPr>
      <w:r>
        <w:rPr>
          <w:rFonts w:ascii="Calibri" w:hAnsi="Calibri" w:cs="Calibri"/>
          <w:b/>
          <w:bCs/>
          <w:color w:val="7030A0"/>
        </w:rPr>
        <w:t>Standardized Pearson Residuals</w:t>
      </w:r>
    </w:p>
    <w:p w14:paraId="15127E16" w14:textId="77777777"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Standardized Pearson residuals also assess model fit. If a substantial number of standardized</w:t>
      </w:r>
    </w:p>
    <w:p w14:paraId="017BD6DB" w14:textId="77777777"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Pearson residuals exceed 2 in absolute value, lack of fit may be indicated.</w:t>
      </w:r>
    </w:p>
    <w:p w14:paraId="06EE4044" w14:textId="77777777" w:rsidR="00632EF4" w:rsidRDefault="00632EF4" w:rsidP="00632EF4">
      <w:pPr>
        <w:autoSpaceDE w:val="0"/>
        <w:autoSpaceDN w:val="0"/>
        <w:adjustRightInd w:val="0"/>
        <w:spacing w:after="0" w:line="240" w:lineRule="auto"/>
        <w:rPr>
          <w:rFonts w:ascii="Calibri" w:hAnsi="Calibri" w:cs="Calibri"/>
          <w:color w:val="7030A0"/>
        </w:rPr>
      </w:pPr>
    </w:p>
    <w:p w14:paraId="7D2426B9" w14:textId="77777777" w:rsidR="00632EF4" w:rsidRDefault="00632EF4" w:rsidP="00632EF4">
      <w:pPr>
        <w:autoSpaceDE w:val="0"/>
        <w:autoSpaceDN w:val="0"/>
        <w:adjustRightInd w:val="0"/>
        <w:spacing w:after="0" w:line="240" w:lineRule="auto"/>
        <w:rPr>
          <w:rFonts w:ascii="Calibri" w:hAnsi="Calibri" w:cs="Calibri"/>
          <w:b/>
          <w:bCs/>
          <w:color w:val="7030A0"/>
        </w:rPr>
      </w:pPr>
      <w:r>
        <w:rPr>
          <w:rFonts w:ascii="Calibri" w:hAnsi="Calibri" w:cs="Calibri"/>
          <w:b/>
          <w:bCs/>
          <w:color w:val="7030A0"/>
        </w:rPr>
        <w:t>Predictive Ratios</w:t>
      </w:r>
    </w:p>
    <w:p w14:paraId="6EEE917C" w14:textId="77777777"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A predictive ratio is an estimator’s ratio of predicted outcome to observed outcome (Ash et al., 1998). A</w:t>
      </w:r>
    </w:p>
    <w:p w14:paraId="51503775" w14:textId="77777777"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predictive ratio close to 1.0 indicates an accurate prediction. A ratio substantially greater than</w:t>
      </w:r>
    </w:p>
    <w:p w14:paraId="0D6C75A0" w14:textId="77777777" w:rsidR="00632EF4" w:rsidRDefault="00632EF4" w:rsidP="00632EF4">
      <w:pPr>
        <w:pStyle w:val="ListParagraph"/>
        <w:numPr>
          <w:ilvl w:val="0"/>
          <w:numId w:val="31"/>
        </w:numPr>
        <w:autoSpaceDE w:val="0"/>
        <w:autoSpaceDN w:val="0"/>
        <w:adjustRightInd w:val="0"/>
        <w:spacing w:after="0" w:line="240" w:lineRule="auto"/>
        <w:rPr>
          <w:rFonts w:ascii="Calibri" w:hAnsi="Calibri" w:cs="Calibri"/>
          <w:color w:val="7030A0"/>
        </w:rPr>
      </w:pPr>
      <w:r>
        <w:rPr>
          <w:rFonts w:ascii="Calibri" w:hAnsi="Calibri" w:cs="Calibri"/>
          <w:color w:val="7030A0"/>
        </w:rPr>
        <w:t>indicates overprediction, and a ratio substantially less than 1.0 indicates underprediction.</w:t>
      </w:r>
    </w:p>
    <w:p w14:paraId="14E920BE" w14:textId="77777777" w:rsidR="00632EF4" w:rsidRDefault="00632EF4" w:rsidP="00632EF4">
      <w:pPr>
        <w:autoSpaceDE w:val="0"/>
        <w:autoSpaceDN w:val="0"/>
        <w:adjustRightInd w:val="0"/>
        <w:spacing w:after="0" w:line="240" w:lineRule="auto"/>
        <w:rPr>
          <w:rFonts w:ascii="Calibri" w:hAnsi="Calibri" w:cs="Calibri"/>
          <w:color w:val="7030A0"/>
        </w:rPr>
      </w:pPr>
    </w:p>
    <w:p w14:paraId="4E99D38B" w14:textId="77777777" w:rsidR="00632EF4" w:rsidRDefault="00632EF4" w:rsidP="00632EF4">
      <w:pPr>
        <w:autoSpaceDE w:val="0"/>
        <w:autoSpaceDN w:val="0"/>
        <w:adjustRightInd w:val="0"/>
        <w:spacing w:after="0" w:line="240" w:lineRule="auto"/>
        <w:rPr>
          <w:rFonts w:ascii="Calibri" w:hAnsi="Calibri" w:cs="Calibri"/>
          <w:b/>
          <w:bCs/>
          <w:color w:val="7030A0"/>
        </w:rPr>
      </w:pPr>
      <w:r>
        <w:rPr>
          <w:rFonts w:ascii="Calibri" w:hAnsi="Calibri" w:cs="Calibri"/>
          <w:b/>
          <w:bCs/>
          <w:color w:val="7030A0"/>
        </w:rPr>
        <w:t>Overall Interpretation</w:t>
      </w:r>
    </w:p>
    <w:p w14:paraId="7E555003" w14:textId="77777777"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Interpreted together, our diagnostic results demonstrate the risk-adjustment model adequately</w:t>
      </w:r>
    </w:p>
    <w:p w14:paraId="29EB7F19" w14:textId="5B67EAEA"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controls for differences in patient characteristics (case mix).</w:t>
      </w:r>
      <w:r>
        <w:t xml:space="preserve"> </w:t>
      </w:r>
      <w:r>
        <w:rPr>
          <w:rFonts w:cstheme="minorHAnsi"/>
          <w:bCs/>
          <w:color w:val="C00000"/>
        </w:rPr>
        <w:t>The prior results together with updated evidence provided for endorsement maintenance (quasi R</w:t>
      </w:r>
      <w:r w:rsidRPr="000B2E8D">
        <w:rPr>
          <w:rFonts w:cstheme="minorHAnsi"/>
          <w:bCs/>
          <w:color w:val="C00000"/>
          <w:vertAlign w:val="superscript"/>
        </w:rPr>
        <w:t>2</w:t>
      </w:r>
      <w:r>
        <w:rPr>
          <w:rFonts w:cstheme="minorHAnsi"/>
          <w:bCs/>
          <w:color w:val="C00000"/>
        </w:rPr>
        <w:t xml:space="preserve"> and predictive ratios) supports that the models continue to be valid</w:t>
      </w:r>
      <w:r w:rsidR="00BF512E">
        <w:rPr>
          <w:rFonts w:cstheme="minorHAnsi"/>
          <w:bCs/>
          <w:color w:val="C00000"/>
        </w:rPr>
        <w:t xml:space="preserve"> for use with current data.</w:t>
      </w:r>
    </w:p>
    <w:p w14:paraId="4A77AD3C" w14:textId="77777777" w:rsidR="00632EF4" w:rsidRDefault="00632EF4" w:rsidP="00632EF4">
      <w:pPr>
        <w:autoSpaceDE w:val="0"/>
        <w:autoSpaceDN w:val="0"/>
        <w:adjustRightInd w:val="0"/>
        <w:spacing w:after="0" w:line="240" w:lineRule="auto"/>
        <w:rPr>
          <w:rFonts w:ascii="Calibri" w:hAnsi="Calibri" w:cs="Calibri"/>
          <w:color w:val="7030A0"/>
        </w:rPr>
      </w:pPr>
    </w:p>
    <w:p w14:paraId="6C3DB7C0" w14:textId="77777777" w:rsidR="00632EF4" w:rsidRDefault="00632EF4" w:rsidP="00632EF4">
      <w:pPr>
        <w:autoSpaceDE w:val="0"/>
        <w:autoSpaceDN w:val="0"/>
        <w:adjustRightInd w:val="0"/>
        <w:spacing w:after="0" w:line="240" w:lineRule="auto"/>
        <w:rPr>
          <w:rFonts w:ascii="Calibri" w:hAnsi="Calibri" w:cs="Calibri"/>
          <w:color w:val="7030A0"/>
        </w:rPr>
      </w:pPr>
      <w:r w:rsidRPr="00BF512E">
        <w:rPr>
          <w:rFonts w:ascii="Calibri" w:hAnsi="Calibri" w:cs="Calibri"/>
          <w:color w:val="7030A0"/>
          <w:u w:val="single"/>
        </w:rPr>
        <w:t>References</w:t>
      </w:r>
      <w:r>
        <w:rPr>
          <w:rFonts w:ascii="Calibri" w:hAnsi="Calibri" w:cs="Calibri"/>
          <w:color w:val="7030A0"/>
        </w:rPr>
        <w:t>:</w:t>
      </w:r>
    </w:p>
    <w:p w14:paraId="16BF429B" w14:textId="2DA98FFA"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Ash AS, Byrne-Logan S. How Well Do Models Work? Predicting Health Care Costs.</w:t>
      </w:r>
    </w:p>
    <w:p w14:paraId="426ADF8B" w14:textId="77777777" w:rsidR="00632EF4" w:rsidRDefault="00632EF4" w:rsidP="00632EF4">
      <w:pPr>
        <w:autoSpaceDE w:val="0"/>
        <w:autoSpaceDN w:val="0"/>
        <w:adjustRightInd w:val="0"/>
        <w:spacing w:after="0" w:line="240" w:lineRule="auto"/>
        <w:rPr>
          <w:rFonts w:ascii="Calibri" w:hAnsi="Calibri" w:cs="Calibri"/>
          <w:color w:val="7030A0"/>
        </w:rPr>
      </w:pPr>
      <w:r>
        <w:rPr>
          <w:rFonts w:ascii="Calibri" w:hAnsi="Calibri" w:cs="Calibri"/>
          <w:color w:val="7030A0"/>
        </w:rPr>
        <w:t>Proceedings of the Section on Statistics in Epidemiology. American Statistical Association. 1998.</w:t>
      </w:r>
    </w:p>
    <w:p w14:paraId="0CABD002" w14:textId="11150D9D" w:rsidR="00092566" w:rsidRPr="00131D3E" w:rsidRDefault="00092566" w:rsidP="00092566">
      <w:pPr>
        <w:autoSpaceDE w:val="0"/>
        <w:autoSpaceDN w:val="0"/>
        <w:adjustRightInd w:val="0"/>
        <w:spacing w:after="0" w:line="240" w:lineRule="auto"/>
        <w:rPr>
          <w:rFonts w:cstheme="minorHAnsi"/>
          <w:bCs/>
        </w:rPr>
      </w:pPr>
    </w:p>
    <w:p w14:paraId="0CABD003" w14:textId="77777777" w:rsidR="00092566" w:rsidRPr="00131D3E" w:rsidRDefault="00092566" w:rsidP="00092566">
      <w:pPr>
        <w:spacing w:after="0" w:line="240" w:lineRule="auto"/>
        <w:rPr>
          <w:rFonts w:cstheme="minorHAnsi"/>
        </w:rPr>
      </w:pPr>
    </w:p>
    <w:p w14:paraId="0CABD004" w14:textId="04074404" w:rsidR="00021170" w:rsidRDefault="009C7513" w:rsidP="009B1A15">
      <w:pPr>
        <w:spacing w:after="0" w:line="240" w:lineRule="auto"/>
        <w:rPr>
          <w:rFonts w:cstheme="minorHAnsi"/>
        </w:rPr>
      </w:pPr>
      <w:r w:rsidRPr="00131D3E">
        <w:rPr>
          <w:rFonts w:cstheme="minorHAnsi"/>
          <w:b/>
        </w:rPr>
        <w:t>2b3</w:t>
      </w:r>
      <w:r w:rsidR="009B1A15" w:rsidRPr="00131D3E">
        <w:rPr>
          <w:rFonts w:cstheme="minorHAnsi"/>
          <w:b/>
        </w:rPr>
        <w:t>.11.</w:t>
      </w:r>
      <w:r w:rsidR="009B1A15" w:rsidRPr="00131D3E">
        <w:rPr>
          <w:rFonts w:cstheme="minorHAnsi"/>
        </w:rPr>
        <w:t xml:space="preserve"> </w:t>
      </w:r>
      <w:r w:rsidR="00092566" w:rsidRPr="00131D3E">
        <w:rPr>
          <w:rFonts w:cstheme="minorHAnsi"/>
          <w:b/>
        </w:rPr>
        <w:t>Optional</w:t>
      </w:r>
      <w:r w:rsidR="009B1A15" w:rsidRPr="00131D3E">
        <w:rPr>
          <w:rFonts w:cstheme="minorHAnsi"/>
          <w:b/>
        </w:rPr>
        <w:t xml:space="preserve"> Additional Testing</w:t>
      </w:r>
      <w:r w:rsidR="004756E1" w:rsidRPr="00131D3E">
        <w:rPr>
          <w:rFonts w:cstheme="minorHAnsi"/>
          <w:b/>
        </w:rPr>
        <w:t xml:space="preserve"> for Risk Adjustment</w:t>
      </w:r>
      <w:r w:rsidR="00092566" w:rsidRPr="00131D3E">
        <w:rPr>
          <w:rFonts w:cstheme="minorHAnsi"/>
          <w:b/>
        </w:rPr>
        <w:t xml:space="preserve"> </w:t>
      </w:r>
      <w:r w:rsidR="00092566" w:rsidRPr="00131D3E">
        <w:rPr>
          <w:rFonts w:cstheme="minorHAnsi"/>
        </w:rPr>
        <w:t>(</w:t>
      </w:r>
      <w:r w:rsidR="00092566" w:rsidRPr="00131D3E">
        <w:rPr>
          <w:rFonts w:cstheme="minorHAnsi"/>
          <w:i/>
          <w:u w:val="single"/>
        </w:rPr>
        <w:t>not required</w:t>
      </w:r>
      <w:r w:rsidR="00092566" w:rsidRPr="00131D3E">
        <w:rPr>
          <w:rFonts w:cstheme="minorHAnsi"/>
          <w:i/>
        </w:rPr>
        <w:t>, but would provide additional support of adequacy of risk model</w:t>
      </w:r>
      <w:r w:rsidR="009B1A15" w:rsidRPr="00131D3E">
        <w:rPr>
          <w:rFonts w:cstheme="minorHAnsi"/>
          <w:i/>
        </w:rPr>
        <w:t>, e.g., testing of risk model in another data se</w:t>
      </w:r>
      <w:r w:rsidR="002408E4" w:rsidRPr="00131D3E">
        <w:rPr>
          <w:rFonts w:cstheme="minorHAnsi"/>
          <w:i/>
        </w:rPr>
        <w:t>t</w:t>
      </w:r>
      <w:r w:rsidR="009B1A15" w:rsidRPr="00131D3E">
        <w:rPr>
          <w:rFonts w:cstheme="minorHAnsi"/>
          <w:i/>
        </w:rPr>
        <w:t>; sensitivity analysis for missing data</w:t>
      </w:r>
      <w:r w:rsidR="002408E4" w:rsidRPr="00131D3E">
        <w:rPr>
          <w:rFonts w:cstheme="minorHAnsi"/>
          <w:i/>
        </w:rPr>
        <w:t>;</w:t>
      </w:r>
      <w:r w:rsidR="009B1A15" w:rsidRPr="00131D3E">
        <w:rPr>
          <w:rFonts w:cstheme="minorHAnsi"/>
          <w:i/>
        </w:rPr>
        <w:t xml:space="preserve"> other methods</w:t>
      </w:r>
      <w:r w:rsidR="008F7E67" w:rsidRPr="00131D3E">
        <w:rPr>
          <w:rFonts w:cstheme="minorHAnsi"/>
          <w:i/>
        </w:rPr>
        <w:t xml:space="preserve"> that were assessed</w:t>
      </w:r>
      <w:r w:rsidR="009B1A15" w:rsidRPr="00131D3E">
        <w:rPr>
          <w:rFonts w:cstheme="minorHAnsi"/>
        </w:rPr>
        <w:t>)</w:t>
      </w:r>
    </w:p>
    <w:p w14:paraId="25C8FDB5" w14:textId="2AB9E1B2" w:rsidR="00E84ACB" w:rsidRDefault="00E84ACB" w:rsidP="009B1A15">
      <w:pPr>
        <w:spacing w:after="0" w:line="240" w:lineRule="auto"/>
        <w:rPr>
          <w:rFonts w:cstheme="minorHAnsi"/>
        </w:rPr>
      </w:pPr>
    </w:p>
    <w:p w14:paraId="0CABD005" w14:textId="2E9FC072" w:rsidR="003755CB" w:rsidRPr="00E84ACB" w:rsidRDefault="00E84ACB" w:rsidP="00E84ACB">
      <w:pPr>
        <w:spacing w:after="0" w:line="240" w:lineRule="auto"/>
        <w:rPr>
          <w:rFonts w:cstheme="minorHAnsi"/>
        </w:rPr>
      </w:pPr>
      <w:r>
        <w:rPr>
          <w:rFonts w:cstheme="minorHAnsi"/>
        </w:rPr>
        <w:t>N/A</w:t>
      </w:r>
    </w:p>
    <w:p w14:paraId="0CABD006" w14:textId="77777777" w:rsidR="00D61410" w:rsidRPr="00131D3E" w:rsidRDefault="00D61410" w:rsidP="00D61410">
      <w:pPr>
        <w:autoSpaceDE w:val="0"/>
        <w:autoSpaceDN w:val="0"/>
        <w:adjustRightInd w:val="0"/>
        <w:spacing w:after="0" w:line="240" w:lineRule="auto"/>
        <w:rPr>
          <w:rFonts w:cstheme="minorHAnsi"/>
          <w:bCs/>
        </w:rPr>
      </w:pPr>
      <w:r w:rsidRPr="00131D3E">
        <w:rPr>
          <w:rFonts w:cstheme="minorHAnsi"/>
          <w:bCs/>
        </w:rPr>
        <w:t>_______________________</w:t>
      </w:r>
    </w:p>
    <w:p w14:paraId="0CABD007" w14:textId="2123B75E" w:rsidR="00D61410" w:rsidRPr="00131D3E" w:rsidRDefault="009C7513" w:rsidP="00D61410">
      <w:pPr>
        <w:autoSpaceDE w:val="0"/>
        <w:autoSpaceDN w:val="0"/>
        <w:adjustRightInd w:val="0"/>
        <w:spacing w:after="0" w:line="240" w:lineRule="auto"/>
        <w:rPr>
          <w:rFonts w:cstheme="minorHAnsi"/>
          <w:b/>
          <w:bCs/>
        </w:rPr>
      </w:pPr>
      <w:bookmarkStart w:id="25" w:name="section2b5"/>
      <w:bookmarkEnd w:id="25"/>
      <w:r w:rsidRPr="00131D3E">
        <w:rPr>
          <w:rFonts w:cstheme="minorHAnsi"/>
          <w:b/>
          <w:bCs/>
        </w:rPr>
        <w:t>2b4</w:t>
      </w:r>
      <w:r w:rsidR="00D61410" w:rsidRPr="00131D3E">
        <w:rPr>
          <w:rFonts w:cstheme="minorHAnsi"/>
          <w:b/>
          <w:bCs/>
        </w:rPr>
        <w:t>. IDENTIFICATION OF STATISTICALLY SIGNIFICANT &amp; MEANINGFUL DIFFERENCES IN PERFORMANCE</w:t>
      </w:r>
    </w:p>
    <w:p w14:paraId="5BE9A9B3" w14:textId="77777777" w:rsidR="00EC298D" w:rsidRDefault="009C7513" w:rsidP="00E47A4F">
      <w:pPr>
        <w:autoSpaceDE w:val="0"/>
        <w:autoSpaceDN w:val="0"/>
        <w:adjustRightInd w:val="0"/>
        <w:spacing w:before="120" w:after="120" w:line="240" w:lineRule="auto"/>
        <w:rPr>
          <w:rFonts w:cstheme="minorHAnsi"/>
          <w:bCs/>
        </w:rPr>
      </w:pPr>
      <w:r w:rsidRPr="00131D3E">
        <w:rPr>
          <w:rFonts w:cstheme="minorHAnsi"/>
          <w:b/>
          <w:bCs/>
        </w:rPr>
        <w:t>2b4</w:t>
      </w:r>
      <w:r w:rsidR="00D61410" w:rsidRPr="00131D3E">
        <w:rPr>
          <w:rFonts w:cstheme="minorHAnsi"/>
          <w:b/>
          <w:bCs/>
        </w:rPr>
        <w:t>.1. Describe the method for determining if statistically significant and clinically/practically meaningful differences in performance measure scores among the measured entities can be identified</w:t>
      </w:r>
      <w:r w:rsidR="00D61410" w:rsidRPr="00131D3E">
        <w:rPr>
          <w:rFonts w:cstheme="minorHAnsi"/>
          <w:bCs/>
        </w:rPr>
        <w:t xml:space="preserve"> (</w:t>
      </w:r>
      <w:r w:rsidR="00D61410" w:rsidRPr="00131D3E">
        <w:rPr>
          <w:rFonts w:cstheme="minorHAnsi"/>
          <w:bCs/>
          <w:i/>
        </w:rPr>
        <w:t xml:space="preserve">describe the steps―do not just name a method; what statistical analysis was used? Do not just repeat the information provided related to performance gap in 1b) </w:t>
      </w:r>
      <w:r w:rsidR="00D61410" w:rsidRPr="00131D3E">
        <w:rPr>
          <w:rFonts w:cstheme="minorHAnsi"/>
          <w:bCs/>
        </w:rPr>
        <w:br/>
      </w:r>
    </w:p>
    <w:p w14:paraId="5DEF56E2" w14:textId="5D05290F" w:rsidR="00E47A4F" w:rsidRDefault="00E47A4F" w:rsidP="00E47A4F">
      <w:pPr>
        <w:autoSpaceDE w:val="0"/>
        <w:autoSpaceDN w:val="0"/>
        <w:adjustRightInd w:val="0"/>
        <w:spacing w:before="120" w:after="120" w:line="240" w:lineRule="auto"/>
        <w:rPr>
          <w:rFonts w:ascii="Calibri" w:hAnsi="Calibri" w:cs="Calibri"/>
          <w:color w:val="7030A0"/>
        </w:rPr>
      </w:pPr>
      <w:r>
        <w:rPr>
          <w:rFonts w:ascii="Calibri" w:hAnsi="Calibri" w:cs="Calibri"/>
          <w:color w:val="7030A0"/>
        </w:rPr>
        <w:t xml:space="preserve">The hospital-level episode-of-care RSP for each measure is estimated using a hierarchical generalized linear model (HGLM). In brief, the approach simultaneously models data at the patient and hospital </w:t>
      </w:r>
      <w:r>
        <w:rPr>
          <w:rFonts w:ascii="Calibri" w:hAnsi="Calibri" w:cs="Calibri"/>
          <w:color w:val="7030A0"/>
        </w:rPr>
        <w:lastRenderedPageBreak/>
        <w:t>levels to account for the variance in patient outcomes within and between hospitals. At the patient level, the measures use a generalized linear model to model the total episode-of-care payment using age, selected clinical covariates, and a hospital-specific effect. For the HF Payment measure, the RSPs are estimated using a log link and inverse Gaussian distribution.</w:t>
      </w:r>
      <w:r w:rsidR="00EC298D">
        <w:rPr>
          <w:rFonts w:ascii="Calibri" w:hAnsi="Calibri" w:cs="Calibri"/>
          <w:color w:val="7030A0"/>
        </w:rPr>
        <w:t xml:space="preserve">   </w:t>
      </w:r>
    </w:p>
    <w:p w14:paraId="41E512B7" w14:textId="77777777" w:rsidR="00E47A4F" w:rsidRDefault="00E47A4F" w:rsidP="00E47A4F">
      <w:pPr>
        <w:autoSpaceDE w:val="0"/>
        <w:autoSpaceDN w:val="0"/>
        <w:adjustRightInd w:val="0"/>
        <w:spacing w:before="120" w:after="120" w:line="240" w:lineRule="auto"/>
        <w:rPr>
          <w:rFonts w:ascii="Calibri" w:hAnsi="Calibri" w:cs="Calibri"/>
          <w:color w:val="7030A0"/>
        </w:rPr>
      </w:pPr>
      <w:r>
        <w:rPr>
          <w:rFonts w:ascii="Calibri" w:hAnsi="Calibri" w:cs="Calibri"/>
          <w:color w:val="7030A0"/>
        </w:rPr>
        <w:t>At the hospital level, the approach models the hospital-specific effects as arising from a normal distribution. The hospital effect represents the underlying episode-of-care payment at the hospital, after accounting for patient risk. The hospital-specific effects are given a distribution to account for the clustering (non-independence) of patients within the same hospital. If there were no differences among hospitals, then after adjusting for patient risk, the hospital effects should be identical across all hospitals.</w:t>
      </w:r>
    </w:p>
    <w:p w14:paraId="0C0BBE91" w14:textId="77777777" w:rsidR="00E47A4F" w:rsidRDefault="00E47A4F" w:rsidP="00E47A4F">
      <w:pPr>
        <w:autoSpaceDE w:val="0"/>
        <w:autoSpaceDN w:val="0"/>
        <w:adjustRightInd w:val="0"/>
        <w:spacing w:before="120" w:after="120" w:line="240" w:lineRule="auto"/>
        <w:rPr>
          <w:rFonts w:ascii="Calibri" w:hAnsi="Calibri" w:cs="Calibri"/>
          <w:color w:val="7030A0"/>
        </w:rPr>
      </w:pPr>
      <w:r>
        <w:rPr>
          <w:rFonts w:ascii="Calibri" w:hAnsi="Calibri" w:cs="Calibri"/>
          <w:color w:val="7030A0"/>
        </w:rPr>
        <w:t>The RSP is calculated as the ratio of the “predicted” payment to the “expected” payment at a given hospital, multiplied by the national mean payment. For each hospital, the numerator of the ratio is the payment predicted based on the specific hospital and its observed case mix; the denominator is the payment expected based on the nation and the specific hospital’s case mix. This approach is analogous to a ratio of “observed” to “expected” used in other types of statistical analyses. It conceptually allows a particular hospital’s payment, given its case mix, to be compared to an average hospital’s payment for the same case mix. Thus, a ratio lower than one indicates a lower-than-expected episode-of-care payment, while a ratio higher than one indicates a higher-than-expected episode-of-care payment.</w:t>
      </w:r>
    </w:p>
    <w:p w14:paraId="399A6A1D" w14:textId="77777777" w:rsidR="00E47A4F" w:rsidRDefault="00E47A4F" w:rsidP="00E47A4F">
      <w:pPr>
        <w:autoSpaceDE w:val="0"/>
        <w:autoSpaceDN w:val="0"/>
        <w:adjustRightInd w:val="0"/>
        <w:spacing w:before="120" w:after="120" w:line="240" w:lineRule="auto"/>
        <w:rPr>
          <w:rFonts w:ascii="Calibri" w:hAnsi="Calibri" w:cs="Calibri"/>
          <w:color w:val="7030A0"/>
        </w:rPr>
      </w:pPr>
      <w:r>
        <w:rPr>
          <w:rFonts w:ascii="Calibri" w:hAnsi="Calibri" w:cs="Calibri"/>
          <w:color w:val="7030A0"/>
        </w:rPr>
        <w:t>The “predicted” episode-of-care payment (the numerator) is calculated using the coefficients estimated by regressing the risk factors (found in the data dictionary) and the hospital-specific effect on the payment outcome. The estimated hospital-specific effect is added to the sum of the estimated regression coefficients multiplied by the patient characteristics. The results are summed over all patients attributed to a hospital to calculate a predicted value. The “expected” episode-of-care payment (the denominator) is obtained in the same manner, except that a common effect using all hospitals in our sample is added in place of the hospital-specific effect. The results are summed over all patients attributed to a hospital to calculate an expected value. To assess hospital payments for each reporting period, we re-estimate the model coefficients using the years of data in that period.</w:t>
      </w:r>
    </w:p>
    <w:p w14:paraId="73E59F2B" w14:textId="4813296D" w:rsidR="00E47A4F" w:rsidRDefault="00E47A4F" w:rsidP="00E47A4F">
      <w:pPr>
        <w:autoSpaceDE w:val="0"/>
        <w:autoSpaceDN w:val="0"/>
        <w:adjustRightInd w:val="0"/>
        <w:spacing w:before="120" w:after="120" w:line="240" w:lineRule="auto"/>
        <w:rPr>
          <w:color w:val="C00000"/>
        </w:rPr>
      </w:pPr>
      <w:r>
        <w:rPr>
          <w:rFonts w:ascii="Calibri" w:hAnsi="Calibri" w:cs="Calibri"/>
          <w:color w:val="7030A0"/>
        </w:rPr>
        <w:t xml:space="preserve">Multiplying the predicted over expected ratio by the national mean payment transforms the ratio into a payment amount that can be compared to the national mean payment. </w:t>
      </w:r>
      <w:r>
        <w:rPr>
          <w:color w:val="C00000"/>
        </w:rPr>
        <w:t xml:space="preserve">The HGLMs are described fully in Appendix A of the </w:t>
      </w:r>
      <w:hyperlink r:id="rId23" w:history="1">
        <w:r>
          <w:rPr>
            <w:rStyle w:val="Hyperlink"/>
          </w:rPr>
          <w:t>2020 Measure Updates and Specification report</w:t>
        </w:r>
      </w:hyperlink>
      <w:r>
        <w:rPr>
          <w:color w:val="C00000"/>
        </w:rPr>
        <w:t xml:space="preserve">, and in the </w:t>
      </w:r>
      <w:hyperlink r:id="rId24" w:history="1">
        <w:r>
          <w:rPr>
            <w:rStyle w:val="Hyperlink"/>
          </w:rPr>
          <w:t>original methodology report</w:t>
        </w:r>
      </w:hyperlink>
      <w:r>
        <w:rPr>
          <w:color w:val="C00000"/>
        </w:rPr>
        <w:t>.</w:t>
      </w:r>
    </w:p>
    <w:p w14:paraId="4B181D25" w14:textId="638472EE" w:rsidR="00E47A4F" w:rsidRDefault="00E47A4F" w:rsidP="00E47A4F">
      <w:pPr>
        <w:autoSpaceDE w:val="0"/>
        <w:autoSpaceDN w:val="0"/>
        <w:adjustRightInd w:val="0"/>
        <w:spacing w:before="120" w:after="120" w:line="240" w:lineRule="auto"/>
        <w:rPr>
          <w:color w:val="C00000"/>
        </w:rPr>
      </w:pPr>
      <w:r>
        <w:rPr>
          <w:color w:val="C00000"/>
        </w:rPr>
        <w:t>We characterize the degree of variation</w:t>
      </w:r>
      <w:r w:rsidR="00BF512E">
        <w:rPr>
          <w:color w:val="C00000"/>
        </w:rPr>
        <w:t xml:space="preserve"> in the measure score</w:t>
      </w:r>
      <w:r>
        <w:rPr>
          <w:color w:val="C00000"/>
        </w:rPr>
        <w:t xml:space="preserve"> by:</w:t>
      </w:r>
    </w:p>
    <w:p w14:paraId="7722FD43" w14:textId="77777777" w:rsidR="00E47A4F" w:rsidRDefault="00E47A4F" w:rsidP="00E47A4F">
      <w:pPr>
        <w:pStyle w:val="ListParagraph"/>
        <w:numPr>
          <w:ilvl w:val="0"/>
          <w:numId w:val="32"/>
        </w:numPr>
        <w:autoSpaceDE w:val="0"/>
        <w:autoSpaceDN w:val="0"/>
        <w:adjustRightInd w:val="0"/>
        <w:spacing w:before="120" w:after="120" w:line="240" w:lineRule="auto"/>
        <w:rPr>
          <w:rFonts w:cstheme="minorHAnsi"/>
          <w:bCs/>
          <w:color w:val="C00000"/>
        </w:rPr>
      </w:pPr>
      <w:r>
        <w:rPr>
          <w:color w:val="C00000"/>
        </w:rPr>
        <w:t>R</w:t>
      </w:r>
      <w:r>
        <w:rPr>
          <w:rFonts w:cstheme="minorHAnsi"/>
          <w:bCs/>
          <w:color w:val="C00000"/>
        </w:rPr>
        <w:t>eporting the distribution of the measure score and describing the variation, and</w:t>
      </w:r>
    </w:p>
    <w:p w14:paraId="145AF7F7" w14:textId="77777777" w:rsidR="00E47A4F" w:rsidRDefault="00E47A4F" w:rsidP="00E47A4F">
      <w:pPr>
        <w:pStyle w:val="ListParagraph"/>
        <w:numPr>
          <w:ilvl w:val="0"/>
          <w:numId w:val="32"/>
        </w:numPr>
        <w:autoSpaceDE w:val="0"/>
        <w:autoSpaceDN w:val="0"/>
        <w:adjustRightInd w:val="0"/>
        <w:spacing w:before="120" w:after="120" w:line="240" w:lineRule="auto"/>
        <w:rPr>
          <w:rFonts w:cstheme="minorHAnsi"/>
          <w:bCs/>
          <w:color w:val="C00000"/>
        </w:rPr>
      </w:pPr>
      <w:r>
        <w:rPr>
          <w:rFonts w:cstheme="minorHAnsi"/>
          <w:bCs/>
          <w:color w:val="C00000"/>
        </w:rPr>
        <w:t>Presenting performance categories.</w:t>
      </w:r>
    </w:p>
    <w:p w14:paraId="00E785B1" w14:textId="77777777" w:rsidR="00E47A4F" w:rsidRDefault="00E47A4F" w:rsidP="00E47A4F">
      <w:pPr>
        <w:autoSpaceDE w:val="0"/>
        <w:autoSpaceDN w:val="0"/>
        <w:adjustRightInd w:val="0"/>
        <w:spacing w:before="120" w:after="120" w:line="240" w:lineRule="auto"/>
        <w:rPr>
          <w:rFonts w:cstheme="minorHAnsi"/>
          <w:bCs/>
          <w:color w:val="C00000"/>
        </w:rPr>
      </w:pPr>
      <w:r>
        <w:rPr>
          <w:rFonts w:cstheme="minorHAnsi"/>
          <w:bCs/>
          <w:color w:val="C00000"/>
        </w:rPr>
        <w:t>To categorize hospital payments, CMS estimates each hospital’s RSP and the corresponding 95% interval estimate. CMS assigns hospitals to a payment category by comparing each hospital’s RSP interval estimate to the national mean payment. Comparative payments for hospitals with 25 or more eligible cases are classified as follows:</w:t>
      </w:r>
    </w:p>
    <w:p w14:paraId="4D008B4D" w14:textId="77777777" w:rsidR="00E47A4F" w:rsidRDefault="00E47A4F" w:rsidP="00E47A4F">
      <w:pPr>
        <w:pStyle w:val="ListParagraph"/>
        <w:numPr>
          <w:ilvl w:val="0"/>
          <w:numId w:val="33"/>
        </w:numPr>
        <w:autoSpaceDE w:val="0"/>
        <w:autoSpaceDN w:val="0"/>
        <w:adjustRightInd w:val="0"/>
        <w:spacing w:before="120" w:after="120" w:line="240" w:lineRule="auto"/>
        <w:rPr>
          <w:rFonts w:cstheme="minorHAnsi"/>
          <w:bCs/>
          <w:color w:val="C00000"/>
        </w:rPr>
      </w:pPr>
      <w:r>
        <w:rPr>
          <w:rFonts w:cstheme="minorHAnsi"/>
          <w:bCs/>
          <w:color w:val="C00000"/>
        </w:rPr>
        <w:t>“Less than the National Average Payment” if the entire 95% interval estimate surrounding the hospital’s RSP is lower than the national mean payment.</w:t>
      </w:r>
    </w:p>
    <w:p w14:paraId="28ECE510" w14:textId="77777777" w:rsidR="00E47A4F" w:rsidRDefault="00E47A4F" w:rsidP="00E47A4F">
      <w:pPr>
        <w:pStyle w:val="ListParagraph"/>
        <w:numPr>
          <w:ilvl w:val="0"/>
          <w:numId w:val="33"/>
        </w:numPr>
        <w:autoSpaceDE w:val="0"/>
        <w:autoSpaceDN w:val="0"/>
        <w:adjustRightInd w:val="0"/>
        <w:spacing w:before="120" w:after="120" w:line="240" w:lineRule="auto"/>
        <w:rPr>
          <w:rFonts w:cstheme="minorHAnsi"/>
          <w:bCs/>
          <w:color w:val="C00000"/>
        </w:rPr>
      </w:pPr>
      <w:r>
        <w:rPr>
          <w:rFonts w:cstheme="minorHAnsi"/>
          <w:bCs/>
          <w:color w:val="C00000"/>
        </w:rPr>
        <w:t>“No Different than the National Average Payment” if the 95% interval estimate surrounding the hospital’s RSP includes the national mean payment.</w:t>
      </w:r>
    </w:p>
    <w:p w14:paraId="231C5ED2" w14:textId="77777777" w:rsidR="00E47A4F" w:rsidRDefault="00E47A4F" w:rsidP="00E47A4F">
      <w:pPr>
        <w:pStyle w:val="ListParagraph"/>
        <w:numPr>
          <w:ilvl w:val="0"/>
          <w:numId w:val="33"/>
        </w:numPr>
        <w:autoSpaceDE w:val="0"/>
        <w:autoSpaceDN w:val="0"/>
        <w:adjustRightInd w:val="0"/>
        <w:spacing w:before="120" w:after="120" w:line="240" w:lineRule="auto"/>
        <w:rPr>
          <w:rFonts w:cstheme="minorHAnsi"/>
          <w:bCs/>
          <w:color w:val="C00000"/>
        </w:rPr>
      </w:pPr>
      <w:r>
        <w:rPr>
          <w:rFonts w:cstheme="minorHAnsi"/>
          <w:bCs/>
          <w:color w:val="C00000"/>
        </w:rPr>
        <w:t>“Greater than the National Average Payment” if the entire 95% interval estimate surrounding the hospital’s RSP is higher than the national mean payment.</w:t>
      </w:r>
    </w:p>
    <w:p w14:paraId="126E671F" w14:textId="77777777" w:rsidR="00E47A4F" w:rsidRDefault="00E47A4F" w:rsidP="00E47A4F">
      <w:pPr>
        <w:pStyle w:val="ListParagraph"/>
        <w:numPr>
          <w:ilvl w:val="0"/>
          <w:numId w:val="33"/>
        </w:numPr>
        <w:autoSpaceDE w:val="0"/>
        <w:autoSpaceDN w:val="0"/>
        <w:adjustRightInd w:val="0"/>
        <w:spacing w:before="120" w:after="120" w:line="240" w:lineRule="auto"/>
        <w:rPr>
          <w:rFonts w:cstheme="minorHAnsi"/>
          <w:bCs/>
          <w:color w:val="C00000"/>
        </w:rPr>
      </w:pPr>
      <w:r>
        <w:rPr>
          <w:rFonts w:cstheme="minorHAnsi"/>
          <w:bCs/>
          <w:color w:val="C00000"/>
        </w:rPr>
        <w:lastRenderedPageBreak/>
        <w:t>If a hospital has fewer than 25 eligible cases for a measure, CMS assigns the hospital to a separate category: “Number of Cases Too Small.” This category is used when the number of cases is too small (fewer than 25) to reliably estimate the hospital’s RSP. If a hospital has fewer than 25 eligible cases, the hospital’s RSP and interval estimate will not be publicly reported for the measure.</w:t>
      </w:r>
    </w:p>
    <w:p w14:paraId="0CABD009" w14:textId="17F39514" w:rsidR="00D61410" w:rsidRPr="00131D3E" w:rsidRDefault="00D61410" w:rsidP="00D61410">
      <w:pPr>
        <w:autoSpaceDE w:val="0"/>
        <w:autoSpaceDN w:val="0"/>
        <w:adjustRightInd w:val="0"/>
        <w:spacing w:after="0" w:line="240" w:lineRule="auto"/>
        <w:rPr>
          <w:rFonts w:cstheme="minorHAnsi"/>
          <w:bCs/>
        </w:rPr>
      </w:pPr>
    </w:p>
    <w:p w14:paraId="0CABD00A" w14:textId="717DC665" w:rsidR="00D61410" w:rsidRDefault="009C7513" w:rsidP="00E47A4F">
      <w:pPr>
        <w:spacing w:line="240" w:lineRule="auto"/>
        <w:rPr>
          <w:color w:val="C00000"/>
        </w:rPr>
      </w:pPr>
      <w:r w:rsidRPr="00131D3E">
        <w:rPr>
          <w:rFonts w:cstheme="minorHAnsi"/>
          <w:b/>
          <w:bCs/>
        </w:rPr>
        <w:t>2b4</w:t>
      </w:r>
      <w:r w:rsidR="00D61410" w:rsidRPr="00131D3E">
        <w:rPr>
          <w:rFonts w:cstheme="minorHAnsi"/>
          <w:b/>
          <w:bCs/>
        </w:rPr>
        <w:t xml:space="preserve">.2. What were the statistical results from testing the ability to identify </w:t>
      </w:r>
      <w:r w:rsidR="001E69DC" w:rsidRPr="00131D3E">
        <w:rPr>
          <w:rFonts w:cstheme="minorHAnsi"/>
          <w:b/>
          <w:bCs/>
        </w:rPr>
        <w:t xml:space="preserve">statistically significant and/or clinically/practically meaningful </w:t>
      </w:r>
      <w:r w:rsidR="00D61410" w:rsidRPr="00131D3E">
        <w:rPr>
          <w:rFonts w:cstheme="minorHAnsi"/>
          <w:b/>
          <w:bCs/>
        </w:rPr>
        <w:t>differences in performance measure scores across measured entities?</w:t>
      </w:r>
      <w:r w:rsidR="00D61410" w:rsidRPr="00131D3E">
        <w:rPr>
          <w:rFonts w:cstheme="minorHAnsi"/>
          <w:bCs/>
        </w:rPr>
        <w:t xml:space="preserve"> (e.g., </w:t>
      </w:r>
      <w:r w:rsidR="00D61410" w:rsidRPr="00131D3E">
        <w:rPr>
          <w:rFonts w:cstheme="minorHAnsi"/>
          <w:bCs/>
          <w:i/>
        </w:rPr>
        <w:t xml:space="preserve">number and percentage </w:t>
      </w:r>
      <w:r w:rsidR="001E69DC" w:rsidRPr="00131D3E">
        <w:rPr>
          <w:rFonts w:cstheme="minorHAnsi"/>
          <w:bCs/>
          <w:i/>
        </w:rPr>
        <w:t xml:space="preserve">of entities with scores </w:t>
      </w:r>
      <w:r w:rsidR="00D61410" w:rsidRPr="00131D3E">
        <w:rPr>
          <w:rFonts w:cstheme="minorHAnsi"/>
          <w:bCs/>
          <w:i/>
        </w:rPr>
        <w:t xml:space="preserve">that were statistically significantly different from mean </w:t>
      </w:r>
      <w:r w:rsidR="001E69DC" w:rsidRPr="00131D3E">
        <w:rPr>
          <w:rFonts w:cstheme="minorHAnsi"/>
          <w:bCs/>
          <w:i/>
        </w:rPr>
        <w:t>or some benchmark, different from expected; how was meaningful difference defined</w:t>
      </w:r>
      <w:r w:rsidR="00D61410" w:rsidRPr="00131D3E">
        <w:rPr>
          <w:rFonts w:cstheme="minorHAnsi"/>
          <w:bCs/>
        </w:rPr>
        <w:t>)</w:t>
      </w:r>
      <w:r w:rsidR="00D61410" w:rsidRPr="00131D3E">
        <w:rPr>
          <w:rFonts w:cstheme="minorHAnsi"/>
          <w:bCs/>
        </w:rPr>
        <w:br/>
      </w:r>
    </w:p>
    <w:p w14:paraId="4FAA523C" w14:textId="211BA798" w:rsidR="00EC298D" w:rsidRPr="00E44516" w:rsidRDefault="00EC298D" w:rsidP="00EC298D">
      <w:pPr>
        <w:spacing w:line="240" w:lineRule="auto"/>
        <w:rPr>
          <w:color w:val="C00000"/>
        </w:rPr>
      </w:pPr>
      <w:r w:rsidRPr="00E44516">
        <w:rPr>
          <w:color w:val="C00000"/>
        </w:rPr>
        <w:t>The distribution of measure scores across hospitals shows that there are meaningful differences.  The range of risk-standardized payments across the</w:t>
      </w:r>
      <w:r>
        <w:rPr>
          <w:color w:val="C00000"/>
        </w:rPr>
        <w:t xml:space="preserve"> </w:t>
      </w:r>
      <w:r w:rsidRPr="00EC298D">
        <w:rPr>
          <w:rFonts w:cstheme="minorHAnsi"/>
          <w:bCs/>
          <w:color w:val="C00000"/>
        </w:rPr>
        <w:t>4,502</w:t>
      </w:r>
      <w:r>
        <w:rPr>
          <w:rFonts w:cstheme="minorHAnsi"/>
          <w:bCs/>
          <w:color w:val="C00000"/>
        </w:rPr>
        <w:t xml:space="preserve"> </w:t>
      </w:r>
      <w:r w:rsidRPr="00E44516">
        <w:rPr>
          <w:color w:val="C00000"/>
        </w:rPr>
        <w:t xml:space="preserve">hospitals with a measure score </w:t>
      </w:r>
      <w:r w:rsidRPr="00EC298D">
        <w:rPr>
          <w:rFonts w:cstheme="minorHAnsi"/>
          <w:bCs/>
          <w:color w:val="C00000"/>
        </w:rPr>
        <w:t>$13,171-$27,996</w:t>
      </w:r>
      <w:r w:rsidRPr="00E44516">
        <w:rPr>
          <w:color w:val="C00000"/>
        </w:rPr>
        <w:t xml:space="preserve">. Hospitals in the 10th percentile have risk-standardized payments that are about </w:t>
      </w:r>
      <w:r>
        <w:rPr>
          <w:color w:val="C00000"/>
        </w:rPr>
        <w:t>8.5</w:t>
      </w:r>
      <w:r w:rsidRPr="00E44516">
        <w:rPr>
          <w:color w:val="C00000"/>
        </w:rPr>
        <w:t xml:space="preserve">% lower than the median; hospitals in the 90th percentile have payments that are about </w:t>
      </w:r>
      <w:r>
        <w:rPr>
          <w:color w:val="C00000"/>
        </w:rPr>
        <w:t>10.6</w:t>
      </w:r>
      <w:r w:rsidRPr="00E44516">
        <w:rPr>
          <w:color w:val="C00000"/>
        </w:rPr>
        <w:t>% higher than the median.</w:t>
      </w:r>
    </w:p>
    <w:p w14:paraId="0130FEC4" w14:textId="2A0A6A7A" w:rsidR="00EC298D" w:rsidRPr="000F11C9" w:rsidRDefault="000F11C9" w:rsidP="00E47A4F">
      <w:pPr>
        <w:spacing w:line="240" w:lineRule="auto"/>
        <w:rPr>
          <w:i/>
          <w:iCs/>
          <w:color w:val="C00000"/>
        </w:rPr>
      </w:pPr>
      <w:r w:rsidRPr="000F11C9">
        <w:rPr>
          <w:i/>
          <w:iCs/>
          <w:color w:val="C00000"/>
        </w:rPr>
        <w:t>Figure 2: Distribution of HF Risk-Standardized Payment Measure Scores</w:t>
      </w:r>
    </w:p>
    <w:p w14:paraId="3B4F29EF" w14:textId="5DA62DB6" w:rsidR="00EC298D" w:rsidRDefault="00EC298D" w:rsidP="00E47A4F">
      <w:pPr>
        <w:spacing w:line="240" w:lineRule="auto"/>
        <w:rPr>
          <w:color w:val="C00000"/>
        </w:rPr>
      </w:pPr>
      <w:r>
        <w:rPr>
          <w:noProof/>
          <w:sz w:val="24"/>
          <w:szCs w:val="24"/>
        </w:rPr>
        <w:drawing>
          <wp:inline distT="0" distB="0" distL="0" distR="0" wp14:anchorId="45A96E09" wp14:editId="222F775B">
            <wp:extent cx="5943600" cy="4459605"/>
            <wp:effectExtent l="0" t="0" r="0" b="0"/>
            <wp:docPr id="2" name="Picture 2" descr="Figure 2: Distribution of HF Risk-Standardized Payment Measure Scores&#10;&#10;This figure shows a histogram of the distribution of HF RSP measure scores for all hospitals (n=4,502). The range of risk-standardized payments across the 4,502 hospitals with a measure score $13,171-$27,996. Hospitals in the 10th percentile have risk-standardized payments that are about 8.5% lower than the median; hospitals in the 90th percentile have payments that are about 10.6% higher than the median. The mean is $17,722, with a standard deviation of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igure 2: Distribution of HF Risk-Standardized Payment Measure Scores&#10;&#10;This figure shows a histogram of the distribution of HF RSP measure scores for all hospitals (n=4,502). The range of risk-standardized payments across the 4,502 hospitals with a measure score $13,171-$27,996. Hospitals in the 10th percentile have risk-standardized payments that are about 8.5% lower than the median; hospitals in the 90th percentile have payments that are about 10.6% higher than the median. The mean is $17,722, with a standard deviation of $1,36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4459605"/>
                    </a:xfrm>
                    <a:prstGeom prst="rect">
                      <a:avLst/>
                    </a:prstGeom>
                    <a:noFill/>
                    <a:ln>
                      <a:noFill/>
                    </a:ln>
                  </pic:spPr>
                </pic:pic>
              </a:graphicData>
            </a:graphic>
          </wp:inline>
        </w:drawing>
      </w:r>
    </w:p>
    <w:p w14:paraId="48A0E0B3" w14:textId="0F0C1983" w:rsidR="00EC298D" w:rsidRDefault="00EC298D" w:rsidP="00EC298D">
      <w:pPr>
        <w:autoSpaceDE w:val="0"/>
        <w:autoSpaceDN w:val="0"/>
        <w:adjustRightInd w:val="0"/>
        <w:spacing w:after="0" w:line="240" w:lineRule="auto"/>
        <w:rPr>
          <w:color w:val="C00000"/>
          <w:u w:val="single"/>
        </w:rPr>
      </w:pPr>
    </w:p>
    <w:p w14:paraId="1A03B5CC" w14:textId="6378D373" w:rsidR="00EC298D" w:rsidRPr="002B6292" w:rsidRDefault="00EC298D" w:rsidP="00EC298D">
      <w:pPr>
        <w:pStyle w:val="Caption"/>
        <w:rPr>
          <w:rFonts w:ascii="Calibri" w:eastAsia="Times New Roman" w:hAnsi="Calibri" w:cs="Calibri"/>
          <w:bCs/>
          <w:iCs w:val="0"/>
          <w:color w:val="C00000"/>
          <w:sz w:val="22"/>
          <w:szCs w:val="22"/>
        </w:rPr>
      </w:pPr>
      <w:r w:rsidRPr="002B6292">
        <w:rPr>
          <w:rFonts w:ascii="Calibri" w:eastAsia="Times New Roman" w:hAnsi="Calibri" w:cs="Calibri"/>
          <w:bCs/>
          <w:iCs w:val="0"/>
          <w:color w:val="C00000"/>
          <w:sz w:val="22"/>
          <w:szCs w:val="22"/>
        </w:rPr>
        <w:lastRenderedPageBreak/>
        <w:t xml:space="preserve">Table </w:t>
      </w:r>
      <w:r w:rsidRPr="002B6292">
        <w:rPr>
          <w:rFonts w:ascii="Calibri" w:eastAsia="Times New Roman" w:hAnsi="Calibri" w:cs="Calibri"/>
          <w:bCs/>
          <w:iCs w:val="0"/>
          <w:color w:val="C00000"/>
          <w:sz w:val="22"/>
          <w:szCs w:val="22"/>
        </w:rPr>
        <w:fldChar w:fldCharType="begin"/>
      </w:r>
      <w:r w:rsidRPr="002B6292">
        <w:rPr>
          <w:rFonts w:ascii="Calibri" w:eastAsia="Times New Roman" w:hAnsi="Calibri" w:cs="Calibri"/>
          <w:bCs/>
          <w:iCs w:val="0"/>
          <w:color w:val="C00000"/>
          <w:sz w:val="22"/>
          <w:szCs w:val="22"/>
        </w:rPr>
        <w:instrText xml:space="preserve"> SEQ Table \* ARABIC </w:instrText>
      </w:r>
      <w:r w:rsidRPr="002B6292">
        <w:rPr>
          <w:rFonts w:ascii="Calibri" w:eastAsia="Times New Roman" w:hAnsi="Calibri" w:cs="Calibri"/>
          <w:bCs/>
          <w:iCs w:val="0"/>
          <w:color w:val="C00000"/>
          <w:sz w:val="22"/>
          <w:szCs w:val="22"/>
        </w:rPr>
        <w:fldChar w:fldCharType="separate"/>
      </w:r>
      <w:r w:rsidRPr="002B6292">
        <w:rPr>
          <w:rFonts w:ascii="Calibri" w:eastAsia="Times New Roman" w:hAnsi="Calibri" w:cs="Calibri"/>
          <w:bCs/>
          <w:iCs w:val="0"/>
          <w:color w:val="C00000"/>
          <w:sz w:val="22"/>
          <w:szCs w:val="22"/>
        </w:rPr>
        <w:t>11</w:t>
      </w:r>
      <w:r w:rsidRPr="002B6292">
        <w:rPr>
          <w:rFonts w:ascii="Calibri" w:eastAsia="Times New Roman" w:hAnsi="Calibri" w:cs="Calibri"/>
          <w:bCs/>
          <w:iCs w:val="0"/>
          <w:color w:val="C00000"/>
          <w:sz w:val="22"/>
          <w:szCs w:val="22"/>
        </w:rPr>
        <w:fldChar w:fldCharType="end"/>
      </w:r>
      <w:r w:rsidRPr="002B6292">
        <w:rPr>
          <w:rFonts w:ascii="Calibri" w:eastAsia="Times New Roman" w:hAnsi="Calibri" w:cs="Calibri"/>
          <w:bCs/>
          <w:iCs w:val="0"/>
          <w:color w:val="C00000"/>
          <w:sz w:val="22"/>
          <w:szCs w:val="22"/>
        </w:rPr>
        <w:t>. Distribution of</w:t>
      </w:r>
      <w:r>
        <w:rPr>
          <w:rFonts w:ascii="Calibri" w:eastAsia="Times New Roman" w:hAnsi="Calibri" w:cs="Calibri"/>
          <w:bCs/>
          <w:iCs w:val="0"/>
          <w:color w:val="C00000"/>
          <w:sz w:val="22"/>
          <w:szCs w:val="22"/>
        </w:rPr>
        <w:t xml:space="preserve"> HF</w:t>
      </w:r>
      <w:r w:rsidRPr="002B6292">
        <w:rPr>
          <w:rFonts w:ascii="Calibri" w:eastAsia="Times New Roman" w:hAnsi="Calibri" w:cs="Calibri"/>
          <w:bCs/>
          <w:iCs w:val="0"/>
          <w:color w:val="C00000"/>
          <w:sz w:val="22"/>
          <w:szCs w:val="22"/>
        </w:rPr>
        <w:t xml:space="preserve"> Risk-Standardized Payment Measure Scores</w:t>
      </w:r>
    </w:p>
    <w:tbl>
      <w:tblPr>
        <w:tblW w:w="2644" w:type="pct"/>
        <w:tblBorders>
          <w:top w:val="single" w:sz="4" w:space="0" w:color="000000"/>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2963"/>
        <w:gridCol w:w="1981"/>
      </w:tblGrid>
      <w:tr w:rsidR="00EC298D" w14:paraId="392ABFDE" w14:textId="77777777" w:rsidTr="00EC298D">
        <w:trPr>
          <w:cantSplit/>
          <w:tblHeader/>
        </w:trPr>
        <w:tc>
          <w:tcPr>
            <w:tcW w:w="2997" w:type="pct"/>
            <w:tcBorders>
              <w:top w:val="single" w:sz="4" w:space="0" w:color="000000"/>
              <w:left w:val="single" w:sz="4" w:space="0" w:color="auto"/>
              <w:bottom w:val="single" w:sz="4" w:space="0" w:color="auto"/>
              <w:right w:val="single" w:sz="4" w:space="0" w:color="auto"/>
            </w:tcBorders>
            <w:shd w:val="clear" w:color="auto" w:fill="B4C6E7"/>
            <w:tcMar>
              <w:top w:w="0" w:type="dxa"/>
              <w:left w:w="0" w:type="dxa"/>
              <w:bottom w:w="0" w:type="dxa"/>
              <w:right w:w="0" w:type="dxa"/>
            </w:tcMar>
            <w:vAlign w:val="center"/>
            <w:hideMark/>
          </w:tcPr>
          <w:p w14:paraId="1B622289" w14:textId="77777777" w:rsidR="00EC298D" w:rsidRPr="00EC298D" w:rsidRDefault="00EC298D" w:rsidP="00B113BE">
            <w:pPr>
              <w:spacing w:after="0" w:line="256" w:lineRule="auto"/>
              <w:jc w:val="center"/>
              <w:rPr>
                <w:rFonts w:cstheme="minorHAnsi"/>
                <w:b/>
                <w:color w:val="C00000"/>
              </w:rPr>
            </w:pPr>
            <w:r w:rsidRPr="00EC298D">
              <w:rPr>
                <w:rFonts w:cstheme="minorHAnsi"/>
                <w:b/>
                <w:color w:val="C00000"/>
              </w:rPr>
              <w:t>Characteristic</w:t>
            </w:r>
          </w:p>
        </w:tc>
        <w:tc>
          <w:tcPr>
            <w:tcW w:w="2003" w:type="pct"/>
            <w:tcBorders>
              <w:top w:val="single" w:sz="4" w:space="0" w:color="000000"/>
              <w:left w:val="single" w:sz="4" w:space="0" w:color="auto"/>
              <w:bottom w:val="single" w:sz="4" w:space="0" w:color="auto"/>
              <w:right w:val="single" w:sz="4" w:space="0" w:color="auto"/>
            </w:tcBorders>
            <w:shd w:val="clear" w:color="auto" w:fill="B4C6E7"/>
            <w:vAlign w:val="center"/>
            <w:hideMark/>
          </w:tcPr>
          <w:p w14:paraId="1ED3A9EE" w14:textId="77777777" w:rsidR="00EC298D" w:rsidRPr="00EC298D" w:rsidRDefault="00EC298D" w:rsidP="00B113BE">
            <w:pPr>
              <w:spacing w:after="0" w:line="256" w:lineRule="auto"/>
              <w:jc w:val="center"/>
              <w:rPr>
                <w:rFonts w:cstheme="minorHAnsi"/>
                <w:b/>
                <w:color w:val="C00000"/>
              </w:rPr>
            </w:pPr>
            <w:r w:rsidRPr="00EC298D">
              <w:rPr>
                <w:rFonts w:cstheme="minorHAnsi"/>
                <w:b/>
                <w:color w:val="C00000"/>
              </w:rPr>
              <w:t>07/2016-06/2019</w:t>
            </w:r>
          </w:p>
        </w:tc>
      </w:tr>
      <w:tr w:rsidR="00EC298D" w14:paraId="40E5B1F9" w14:textId="77777777" w:rsidTr="00EC298D">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380F682A" w14:textId="77777777" w:rsidR="00EC298D" w:rsidRPr="00EC298D" w:rsidRDefault="00EC298D" w:rsidP="00EC298D">
            <w:pPr>
              <w:spacing w:after="0" w:line="256" w:lineRule="auto"/>
              <w:rPr>
                <w:rFonts w:cstheme="minorHAnsi"/>
                <w:bCs/>
                <w:color w:val="C00000"/>
              </w:rPr>
            </w:pPr>
            <w:r w:rsidRPr="00EC298D">
              <w:rPr>
                <w:rFonts w:cstheme="minorHAnsi"/>
                <w:bCs/>
                <w:color w:val="C00000"/>
              </w:rPr>
              <w:t>Number of hospitals</w:t>
            </w:r>
          </w:p>
        </w:tc>
        <w:tc>
          <w:tcPr>
            <w:tcW w:w="2003" w:type="pct"/>
            <w:tcBorders>
              <w:top w:val="single" w:sz="4" w:space="0" w:color="auto"/>
              <w:left w:val="single" w:sz="4" w:space="0" w:color="auto"/>
              <w:bottom w:val="single" w:sz="4" w:space="0" w:color="auto"/>
              <w:right w:val="single" w:sz="4" w:space="0" w:color="auto"/>
            </w:tcBorders>
            <w:vAlign w:val="bottom"/>
            <w:hideMark/>
          </w:tcPr>
          <w:p w14:paraId="421BD5CB" w14:textId="2F1D925C" w:rsidR="00EC298D" w:rsidRPr="00EC298D" w:rsidRDefault="00EC298D" w:rsidP="00EC298D">
            <w:pPr>
              <w:spacing w:after="0" w:line="256" w:lineRule="auto"/>
              <w:jc w:val="center"/>
              <w:rPr>
                <w:rFonts w:cstheme="minorHAnsi"/>
                <w:bCs/>
                <w:color w:val="C00000"/>
              </w:rPr>
            </w:pPr>
            <w:r w:rsidRPr="00EC298D">
              <w:rPr>
                <w:rFonts w:cstheme="minorHAnsi"/>
                <w:bCs/>
                <w:color w:val="C00000"/>
              </w:rPr>
              <w:t>4,502</w:t>
            </w:r>
          </w:p>
        </w:tc>
      </w:tr>
      <w:tr w:rsidR="00EC298D" w14:paraId="4FC04B5A" w14:textId="77777777" w:rsidTr="00EC298D">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46E98682" w14:textId="77777777" w:rsidR="00EC298D" w:rsidRPr="00EC298D" w:rsidRDefault="00EC298D" w:rsidP="00EC298D">
            <w:pPr>
              <w:spacing w:after="0" w:line="256" w:lineRule="auto"/>
              <w:rPr>
                <w:rFonts w:cstheme="minorHAnsi"/>
                <w:bCs/>
                <w:color w:val="C00000"/>
              </w:rPr>
            </w:pPr>
            <w:r w:rsidRPr="00EC298D">
              <w:rPr>
                <w:rFonts w:cstheme="minorHAnsi"/>
                <w:bCs/>
                <w:color w:val="C00000"/>
              </w:rPr>
              <w:t>Mean (SD)</w:t>
            </w:r>
          </w:p>
        </w:tc>
        <w:tc>
          <w:tcPr>
            <w:tcW w:w="2003" w:type="pct"/>
            <w:tcBorders>
              <w:top w:val="single" w:sz="4" w:space="0" w:color="auto"/>
              <w:left w:val="single" w:sz="4" w:space="0" w:color="auto"/>
              <w:bottom w:val="single" w:sz="4" w:space="0" w:color="auto"/>
              <w:right w:val="single" w:sz="4" w:space="0" w:color="auto"/>
            </w:tcBorders>
            <w:vAlign w:val="bottom"/>
            <w:hideMark/>
          </w:tcPr>
          <w:p w14:paraId="07D9F608" w14:textId="21F97E84" w:rsidR="00EC298D" w:rsidRPr="00EC298D" w:rsidRDefault="00EC298D" w:rsidP="00EC298D">
            <w:pPr>
              <w:spacing w:after="0" w:line="256" w:lineRule="auto"/>
              <w:jc w:val="center"/>
              <w:rPr>
                <w:rFonts w:cstheme="minorHAnsi"/>
                <w:bCs/>
                <w:color w:val="C00000"/>
              </w:rPr>
            </w:pPr>
            <w:r w:rsidRPr="00EC298D">
              <w:rPr>
                <w:rFonts w:cstheme="minorHAnsi"/>
                <w:bCs/>
                <w:color w:val="C00000"/>
              </w:rPr>
              <w:t>$17,722 ($1,368)</w:t>
            </w:r>
          </w:p>
        </w:tc>
      </w:tr>
      <w:tr w:rsidR="00EC298D" w14:paraId="41DA445F" w14:textId="77777777" w:rsidTr="00EC298D">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1F178940" w14:textId="77777777" w:rsidR="00EC298D" w:rsidRPr="00EC298D" w:rsidRDefault="00EC298D" w:rsidP="00EC298D">
            <w:pPr>
              <w:spacing w:after="0" w:line="256" w:lineRule="auto"/>
              <w:rPr>
                <w:rFonts w:cstheme="minorHAnsi"/>
                <w:bCs/>
                <w:color w:val="C00000"/>
              </w:rPr>
            </w:pPr>
            <w:r w:rsidRPr="00EC298D">
              <w:rPr>
                <w:rFonts w:cstheme="minorHAnsi"/>
                <w:bCs/>
                <w:color w:val="C00000"/>
              </w:rPr>
              <w:t>Range (min. – max.)</w:t>
            </w:r>
          </w:p>
        </w:tc>
        <w:tc>
          <w:tcPr>
            <w:tcW w:w="2003" w:type="pct"/>
            <w:tcBorders>
              <w:top w:val="single" w:sz="4" w:space="0" w:color="auto"/>
              <w:left w:val="single" w:sz="4" w:space="0" w:color="auto"/>
              <w:bottom w:val="single" w:sz="4" w:space="0" w:color="auto"/>
              <w:right w:val="single" w:sz="4" w:space="0" w:color="auto"/>
            </w:tcBorders>
            <w:vAlign w:val="bottom"/>
            <w:hideMark/>
          </w:tcPr>
          <w:p w14:paraId="64F90FA6" w14:textId="01D47BE3" w:rsidR="00EC298D" w:rsidRPr="00EC298D" w:rsidRDefault="00EC298D" w:rsidP="00EC298D">
            <w:pPr>
              <w:spacing w:after="0" w:line="256" w:lineRule="auto"/>
              <w:jc w:val="center"/>
              <w:rPr>
                <w:rFonts w:cstheme="minorHAnsi"/>
                <w:bCs/>
                <w:color w:val="C00000"/>
              </w:rPr>
            </w:pPr>
            <w:r w:rsidRPr="00EC298D">
              <w:rPr>
                <w:rFonts w:cstheme="minorHAnsi"/>
                <w:bCs/>
                <w:color w:val="C00000"/>
              </w:rPr>
              <w:t>$13,171-$27,996</w:t>
            </w:r>
          </w:p>
        </w:tc>
      </w:tr>
      <w:tr w:rsidR="00EC298D" w14:paraId="029D2442" w14:textId="77777777" w:rsidTr="00EC298D">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6D7DCE05" w14:textId="77777777" w:rsidR="00EC298D" w:rsidRPr="00EC298D" w:rsidRDefault="00EC298D" w:rsidP="00EC298D">
            <w:pPr>
              <w:spacing w:after="0" w:line="256" w:lineRule="auto"/>
              <w:rPr>
                <w:rFonts w:cstheme="minorHAnsi"/>
                <w:bCs/>
                <w:color w:val="C00000"/>
              </w:rPr>
            </w:pPr>
            <w:r w:rsidRPr="00EC298D">
              <w:rPr>
                <w:rFonts w:cstheme="minorHAnsi"/>
                <w:bCs/>
                <w:color w:val="C00000"/>
              </w:rPr>
              <w:t>10th percentile</w:t>
            </w:r>
          </w:p>
        </w:tc>
        <w:tc>
          <w:tcPr>
            <w:tcW w:w="2003" w:type="pct"/>
            <w:tcBorders>
              <w:top w:val="single" w:sz="4" w:space="0" w:color="auto"/>
              <w:left w:val="single" w:sz="4" w:space="0" w:color="auto"/>
              <w:bottom w:val="single" w:sz="4" w:space="0" w:color="auto"/>
              <w:right w:val="single" w:sz="4" w:space="0" w:color="auto"/>
            </w:tcBorders>
            <w:vAlign w:val="bottom"/>
          </w:tcPr>
          <w:p w14:paraId="0E558A09" w14:textId="4FA1552F" w:rsidR="00EC298D" w:rsidRPr="00EC298D" w:rsidRDefault="00EC298D" w:rsidP="00EC298D">
            <w:pPr>
              <w:spacing w:after="0" w:line="256" w:lineRule="auto"/>
              <w:jc w:val="center"/>
              <w:rPr>
                <w:rFonts w:cstheme="minorHAnsi"/>
                <w:bCs/>
                <w:color w:val="C00000"/>
              </w:rPr>
            </w:pPr>
            <w:r w:rsidRPr="00EC298D">
              <w:rPr>
                <w:rFonts w:cstheme="minorHAnsi"/>
                <w:bCs/>
                <w:color w:val="C00000"/>
              </w:rPr>
              <w:t>$16,106</w:t>
            </w:r>
          </w:p>
        </w:tc>
      </w:tr>
      <w:tr w:rsidR="00EC298D" w14:paraId="5D7597F2" w14:textId="77777777" w:rsidTr="00EC298D">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6184B92A" w14:textId="77777777" w:rsidR="00EC298D" w:rsidRPr="00EC298D" w:rsidRDefault="00EC298D" w:rsidP="00EC298D">
            <w:pPr>
              <w:spacing w:after="0" w:line="256" w:lineRule="auto"/>
              <w:rPr>
                <w:rFonts w:cstheme="minorHAnsi"/>
                <w:bCs/>
                <w:color w:val="C00000"/>
              </w:rPr>
            </w:pPr>
            <w:r w:rsidRPr="00EC298D">
              <w:rPr>
                <w:rFonts w:cstheme="minorHAnsi"/>
                <w:bCs/>
                <w:color w:val="C00000"/>
              </w:rPr>
              <w:t>25th percentile</w:t>
            </w:r>
          </w:p>
        </w:tc>
        <w:tc>
          <w:tcPr>
            <w:tcW w:w="2003" w:type="pct"/>
            <w:tcBorders>
              <w:top w:val="single" w:sz="4" w:space="0" w:color="auto"/>
              <w:left w:val="single" w:sz="4" w:space="0" w:color="auto"/>
              <w:bottom w:val="single" w:sz="4" w:space="0" w:color="auto"/>
              <w:right w:val="single" w:sz="4" w:space="0" w:color="auto"/>
            </w:tcBorders>
            <w:vAlign w:val="bottom"/>
            <w:hideMark/>
          </w:tcPr>
          <w:p w14:paraId="3BC05B26" w14:textId="7B4DBBDF" w:rsidR="00EC298D" w:rsidRPr="00EC298D" w:rsidRDefault="00EC298D" w:rsidP="00EC298D">
            <w:pPr>
              <w:spacing w:after="0" w:line="256" w:lineRule="auto"/>
              <w:jc w:val="center"/>
              <w:rPr>
                <w:rFonts w:cstheme="minorHAnsi"/>
                <w:bCs/>
                <w:color w:val="C00000"/>
              </w:rPr>
            </w:pPr>
            <w:r w:rsidRPr="00EC298D">
              <w:rPr>
                <w:rFonts w:cstheme="minorHAnsi"/>
                <w:bCs/>
                <w:color w:val="C00000"/>
              </w:rPr>
              <w:t>$16,817</w:t>
            </w:r>
          </w:p>
        </w:tc>
      </w:tr>
      <w:tr w:rsidR="00EC298D" w14:paraId="458DE187" w14:textId="77777777" w:rsidTr="00EC298D">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03530246" w14:textId="77777777" w:rsidR="00EC298D" w:rsidRPr="00EC298D" w:rsidRDefault="00EC298D" w:rsidP="00EC298D">
            <w:pPr>
              <w:spacing w:after="0" w:line="256" w:lineRule="auto"/>
              <w:rPr>
                <w:rFonts w:cstheme="minorHAnsi"/>
                <w:bCs/>
                <w:color w:val="C00000"/>
              </w:rPr>
            </w:pPr>
            <w:r w:rsidRPr="00EC298D">
              <w:rPr>
                <w:rFonts w:cstheme="minorHAnsi"/>
                <w:bCs/>
                <w:color w:val="C00000"/>
              </w:rPr>
              <w:t>50th percentile</w:t>
            </w:r>
          </w:p>
        </w:tc>
        <w:tc>
          <w:tcPr>
            <w:tcW w:w="2003" w:type="pct"/>
            <w:tcBorders>
              <w:top w:val="single" w:sz="4" w:space="0" w:color="auto"/>
              <w:left w:val="single" w:sz="4" w:space="0" w:color="auto"/>
              <w:bottom w:val="single" w:sz="4" w:space="0" w:color="auto"/>
              <w:right w:val="single" w:sz="4" w:space="0" w:color="auto"/>
            </w:tcBorders>
            <w:vAlign w:val="bottom"/>
            <w:hideMark/>
          </w:tcPr>
          <w:p w14:paraId="228AE55D" w14:textId="702D5C02" w:rsidR="00EC298D" w:rsidRPr="00EC298D" w:rsidRDefault="00EC298D" w:rsidP="00EC298D">
            <w:pPr>
              <w:spacing w:after="0" w:line="256" w:lineRule="auto"/>
              <w:jc w:val="center"/>
              <w:rPr>
                <w:rFonts w:cstheme="minorHAnsi"/>
                <w:bCs/>
                <w:color w:val="C00000"/>
              </w:rPr>
            </w:pPr>
            <w:r w:rsidRPr="00EC298D">
              <w:rPr>
                <w:rFonts w:cstheme="minorHAnsi"/>
                <w:bCs/>
                <w:color w:val="C00000"/>
              </w:rPr>
              <w:t>$17,607</w:t>
            </w:r>
          </w:p>
        </w:tc>
      </w:tr>
      <w:tr w:rsidR="00EC298D" w14:paraId="1D34294F" w14:textId="77777777" w:rsidTr="00EC298D">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p w14:paraId="6F11C01F" w14:textId="77777777" w:rsidR="00EC298D" w:rsidRPr="00EC298D" w:rsidRDefault="00EC298D" w:rsidP="00EC298D">
            <w:pPr>
              <w:spacing w:after="0" w:line="256" w:lineRule="auto"/>
              <w:rPr>
                <w:rFonts w:cstheme="minorHAnsi"/>
                <w:bCs/>
                <w:color w:val="C00000"/>
              </w:rPr>
            </w:pPr>
            <w:r w:rsidRPr="00EC298D">
              <w:rPr>
                <w:rFonts w:cstheme="minorHAnsi"/>
                <w:bCs/>
                <w:color w:val="C00000"/>
              </w:rPr>
              <w:t>75th percentile</w:t>
            </w:r>
          </w:p>
        </w:tc>
        <w:tc>
          <w:tcPr>
            <w:tcW w:w="2003" w:type="pct"/>
            <w:tcBorders>
              <w:top w:val="single" w:sz="4" w:space="0" w:color="auto"/>
              <w:left w:val="single" w:sz="4" w:space="0" w:color="auto"/>
              <w:bottom w:val="single" w:sz="4" w:space="0" w:color="auto"/>
              <w:right w:val="single" w:sz="4" w:space="0" w:color="auto"/>
            </w:tcBorders>
            <w:vAlign w:val="bottom"/>
            <w:hideMark/>
          </w:tcPr>
          <w:p w14:paraId="17045B6D" w14:textId="2250C54E" w:rsidR="00EC298D" w:rsidRPr="00EC298D" w:rsidRDefault="00EC298D" w:rsidP="00EC298D">
            <w:pPr>
              <w:spacing w:after="0" w:line="256" w:lineRule="auto"/>
              <w:jc w:val="center"/>
              <w:rPr>
                <w:rFonts w:cstheme="minorHAnsi"/>
                <w:bCs/>
                <w:color w:val="C00000"/>
              </w:rPr>
            </w:pPr>
            <w:r w:rsidRPr="00EC298D">
              <w:rPr>
                <w:rFonts w:cstheme="minorHAnsi"/>
                <w:bCs/>
                <w:color w:val="C00000"/>
              </w:rPr>
              <w:t>$18,513</w:t>
            </w:r>
          </w:p>
        </w:tc>
      </w:tr>
      <w:tr w:rsidR="00EC298D" w14:paraId="4D399AAF" w14:textId="77777777" w:rsidTr="00EC298D">
        <w:trPr>
          <w:cantSplit/>
        </w:trPr>
        <w:tc>
          <w:tcPr>
            <w:tcW w:w="29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752184D4" w14:textId="77777777" w:rsidR="00EC298D" w:rsidRPr="00EC298D" w:rsidRDefault="00EC298D" w:rsidP="00EC298D">
            <w:pPr>
              <w:spacing w:after="0" w:line="256" w:lineRule="auto"/>
              <w:rPr>
                <w:rFonts w:cstheme="minorHAnsi"/>
                <w:bCs/>
                <w:color w:val="C00000"/>
              </w:rPr>
            </w:pPr>
            <w:r w:rsidRPr="00EC298D">
              <w:rPr>
                <w:rFonts w:cstheme="minorHAnsi"/>
                <w:bCs/>
                <w:color w:val="C00000"/>
              </w:rPr>
              <w:t>90th percentile</w:t>
            </w:r>
          </w:p>
        </w:tc>
        <w:tc>
          <w:tcPr>
            <w:tcW w:w="2003" w:type="pct"/>
            <w:tcBorders>
              <w:top w:val="single" w:sz="4" w:space="0" w:color="auto"/>
              <w:left w:val="single" w:sz="4" w:space="0" w:color="auto"/>
              <w:bottom w:val="single" w:sz="4" w:space="0" w:color="auto"/>
              <w:right w:val="single" w:sz="4" w:space="0" w:color="auto"/>
            </w:tcBorders>
            <w:vAlign w:val="bottom"/>
          </w:tcPr>
          <w:p w14:paraId="21F19DA6" w14:textId="0FAE018E" w:rsidR="00EC298D" w:rsidRPr="00EC298D" w:rsidRDefault="00EC298D" w:rsidP="00EC298D">
            <w:pPr>
              <w:spacing w:after="0" w:line="256" w:lineRule="auto"/>
              <w:jc w:val="center"/>
              <w:rPr>
                <w:rFonts w:cstheme="minorHAnsi"/>
                <w:bCs/>
                <w:color w:val="C00000"/>
              </w:rPr>
            </w:pPr>
            <w:r w:rsidRPr="00EC298D">
              <w:rPr>
                <w:rFonts w:cstheme="minorHAnsi"/>
                <w:bCs/>
                <w:color w:val="C00000"/>
              </w:rPr>
              <w:t>$19,482</w:t>
            </w:r>
          </w:p>
        </w:tc>
      </w:tr>
    </w:tbl>
    <w:p w14:paraId="0754659B" w14:textId="77777777" w:rsidR="00EC298D" w:rsidRDefault="00EC298D" w:rsidP="00EC298D">
      <w:pPr>
        <w:autoSpaceDE w:val="0"/>
        <w:autoSpaceDN w:val="0"/>
        <w:adjustRightInd w:val="0"/>
        <w:spacing w:after="0" w:line="240" w:lineRule="auto"/>
        <w:rPr>
          <w:color w:val="C00000"/>
          <w:u w:val="single"/>
        </w:rPr>
      </w:pPr>
    </w:p>
    <w:p w14:paraId="6E25CD68" w14:textId="194BADBA" w:rsidR="00EC298D" w:rsidRDefault="00EC298D" w:rsidP="00EC298D">
      <w:pPr>
        <w:autoSpaceDE w:val="0"/>
        <w:autoSpaceDN w:val="0"/>
        <w:adjustRightInd w:val="0"/>
        <w:spacing w:after="0" w:line="240" w:lineRule="auto"/>
        <w:rPr>
          <w:color w:val="C00000"/>
        </w:rPr>
      </w:pPr>
      <w:r w:rsidRPr="00E442D2">
        <w:rPr>
          <w:color w:val="C00000"/>
          <w:u w:val="single"/>
        </w:rPr>
        <w:t>Performance Categories</w:t>
      </w:r>
      <w:r w:rsidRPr="002B6292">
        <w:rPr>
          <w:color w:val="C00000"/>
        </w:rPr>
        <w:t xml:space="preserve"> </w:t>
      </w:r>
    </w:p>
    <w:p w14:paraId="2037995D" w14:textId="34DFDA06" w:rsidR="00EC298D" w:rsidRDefault="00EC298D" w:rsidP="00E47A4F">
      <w:pPr>
        <w:spacing w:line="240" w:lineRule="auto"/>
      </w:pPr>
      <w:r w:rsidRPr="00EC298D">
        <w:rPr>
          <w:rFonts w:cstheme="minorHAnsi"/>
          <w:bCs/>
          <w:color w:val="C00000"/>
        </w:rPr>
        <w:t>Of 4,502 hospitals in the study cohort, 409 had a payment “Less than the National Average Payment,”</w:t>
      </w:r>
      <w:r>
        <w:rPr>
          <w:rFonts w:cstheme="minorHAnsi"/>
          <w:bCs/>
          <w:color w:val="C00000"/>
        </w:rPr>
        <w:t xml:space="preserve"> </w:t>
      </w:r>
      <w:r w:rsidRPr="00EC298D">
        <w:rPr>
          <w:rFonts w:cstheme="minorHAnsi"/>
          <w:bCs/>
          <w:color w:val="C00000"/>
        </w:rPr>
        <w:t>2,515 had a payment “No Different than the National Average Payment,” and 542 had a payment “Greater than the National Average Payment.” 1,036 were classified as “Number of Cases Too Small” (fewer than 25) to reliably estimate the hospital’s RSP</w:t>
      </w:r>
      <w:r>
        <w:t>.</w:t>
      </w:r>
    </w:p>
    <w:p w14:paraId="0CABD00B" w14:textId="77777777" w:rsidR="00D61410" w:rsidRPr="00131D3E" w:rsidRDefault="00D61410" w:rsidP="00D61410">
      <w:pPr>
        <w:autoSpaceDE w:val="0"/>
        <w:autoSpaceDN w:val="0"/>
        <w:adjustRightInd w:val="0"/>
        <w:spacing w:after="0" w:line="240" w:lineRule="auto"/>
        <w:rPr>
          <w:rFonts w:cstheme="minorHAnsi"/>
          <w:bCs/>
        </w:rPr>
      </w:pPr>
    </w:p>
    <w:p w14:paraId="27733F9A" w14:textId="77777777" w:rsidR="00E47A4F" w:rsidRDefault="009C7513" w:rsidP="00E47A4F">
      <w:pPr>
        <w:autoSpaceDE w:val="0"/>
        <w:autoSpaceDN w:val="0"/>
        <w:adjustRightInd w:val="0"/>
        <w:spacing w:after="0" w:line="240" w:lineRule="auto"/>
        <w:rPr>
          <w:rFonts w:cstheme="minorHAnsi"/>
          <w:bCs/>
        </w:rPr>
      </w:pPr>
      <w:r w:rsidRPr="00131D3E">
        <w:rPr>
          <w:rFonts w:cstheme="minorHAnsi"/>
          <w:b/>
          <w:bCs/>
        </w:rPr>
        <w:t>2b4</w:t>
      </w:r>
      <w:r w:rsidR="00D61410" w:rsidRPr="00131D3E">
        <w:rPr>
          <w:rFonts w:cstheme="minorHAnsi"/>
          <w:b/>
          <w:bCs/>
        </w:rPr>
        <w:t>.3. What is your interpretation of the results in terms of demonstrating the ability to identify statistically significant and</w:t>
      </w:r>
      <w:r w:rsidR="005038D5" w:rsidRPr="00131D3E">
        <w:rPr>
          <w:rFonts w:cstheme="minorHAnsi"/>
          <w:b/>
          <w:bCs/>
        </w:rPr>
        <w:t>/or</w:t>
      </w:r>
      <w:r w:rsidR="00D61410" w:rsidRPr="00131D3E">
        <w:rPr>
          <w:rFonts w:cstheme="minorHAnsi"/>
          <w:b/>
          <w:bCs/>
        </w:rPr>
        <w:t xml:space="preserve"> clinically/practically meaningful differences in performance across measured entities?</w:t>
      </w:r>
      <w:r w:rsidR="00D61410" w:rsidRPr="00131D3E">
        <w:rPr>
          <w:rFonts w:cstheme="minorHAnsi"/>
          <w:bCs/>
        </w:rPr>
        <w:t xml:space="preserve"> (i</w:t>
      </w:r>
      <w:r w:rsidR="00D61410" w:rsidRPr="00131D3E">
        <w:rPr>
          <w:rFonts w:cstheme="minorHAnsi"/>
          <w:bCs/>
          <w:i/>
        </w:rPr>
        <w:t>.e., what d</w:t>
      </w:r>
      <w:r w:rsidR="004C2443" w:rsidRPr="00131D3E">
        <w:rPr>
          <w:rFonts w:cstheme="minorHAnsi"/>
          <w:bCs/>
          <w:i/>
        </w:rPr>
        <w:t>o the results mean in terms of statistical and meaningful differences?</w:t>
      </w:r>
      <w:r w:rsidR="00D61410" w:rsidRPr="00131D3E">
        <w:rPr>
          <w:rFonts w:cstheme="minorHAnsi"/>
          <w:bCs/>
        </w:rPr>
        <w:t>)</w:t>
      </w:r>
      <w:r w:rsidR="00D61410" w:rsidRPr="00131D3E">
        <w:rPr>
          <w:rFonts w:cstheme="minorHAnsi"/>
          <w:bCs/>
        </w:rPr>
        <w:br/>
      </w:r>
    </w:p>
    <w:p w14:paraId="0B5BBF7B" w14:textId="78414BCE" w:rsidR="00E47A4F" w:rsidRDefault="00E47A4F" w:rsidP="00E47A4F">
      <w:pPr>
        <w:autoSpaceDE w:val="0"/>
        <w:autoSpaceDN w:val="0"/>
        <w:adjustRightInd w:val="0"/>
        <w:spacing w:after="0" w:line="240" w:lineRule="auto"/>
        <w:rPr>
          <w:color w:val="C00000"/>
        </w:rPr>
      </w:pPr>
      <w:r>
        <w:rPr>
          <w:color w:val="C00000"/>
        </w:rPr>
        <w:t>The variation in rates and the proportion of outliers suggests that there are meaningful differences across hospitals in risk-standardized payments associated with a 30-day episode of care for patients with HF.</w:t>
      </w:r>
    </w:p>
    <w:p w14:paraId="0CABD00C" w14:textId="18591064" w:rsidR="00D61410" w:rsidRPr="00131D3E" w:rsidRDefault="00D61410" w:rsidP="00D61410">
      <w:pPr>
        <w:autoSpaceDE w:val="0"/>
        <w:autoSpaceDN w:val="0"/>
        <w:adjustRightInd w:val="0"/>
        <w:spacing w:after="0" w:line="240" w:lineRule="auto"/>
        <w:rPr>
          <w:rFonts w:cstheme="minorHAnsi"/>
          <w:bCs/>
        </w:rPr>
      </w:pPr>
    </w:p>
    <w:p w14:paraId="0CABD00D" w14:textId="77777777" w:rsidR="0086464B" w:rsidRPr="00131D3E" w:rsidRDefault="0086464B" w:rsidP="0086464B">
      <w:pPr>
        <w:spacing w:after="0" w:line="240" w:lineRule="auto"/>
        <w:rPr>
          <w:rFonts w:cstheme="minorHAnsi"/>
          <w:b/>
          <w:bCs/>
        </w:rPr>
      </w:pPr>
      <w:r w:rsidRPr="00131D3E">
        <w:rPr>
          <w:rFonts w:cstheme="minorHAnsi"/>
          <w:b/>
          <w:bCs/>
        </w:rPr>
        <w:t>_______________________________________</w:t>
      </w:r>
    </w:p>
    <w:p w14:paraId="0CABD00E" w14:textId="1C19894E" w:rsidR="004B1BA0" w:rsidRPr="00131D3E" w:rsidRDefault="00021170" w:rsidP="00DB3627">
      <w:pPr>
        <w:autoSpaceDE w:val="0"/>
        <w:autoSpaceDN w:val="0"/>
        <w:adjustRightInd w:val="0"/>
        <w:spacing w:after="0" w:line="240" w:lineRule="auto"/>
        <w:rPr>
          <w:rFonts w:cstheme="minorHAnsi"/>
          <w:b/>
          <w:bCs/>
        </w:rPr>
      </w:pPr>
      <w:r w:rsidRPr="00131D3E">
        <w:rPr>
          <w:rFonts w:cstheme="minorHAnsi"/>
          <w:b/>
          <w:bCs/>
        </w:rPr>
        <w:t>2</w:t>
      </w:r>
      <w:r w:rsidR="00EA5F47" w:rsidRPr="00131D3E">
        <w:rPr>
          <w:rFonts w:cstheme="minorHAnsi"/>
          <w:b/>
          <w:bCs/>
        </w:rPr>
        <w:t>b</w:t>
      </w:r>
      <w:r w:rsidR="009C7513" w:rsidRPr="00131D3E">
        <w:rPr>
          <w:rFonts w:cstheme="minorHAnsi"/>
          <w:b/>
          <w:bCs/>
        </w:rPr>
        <w:t>5</w:t>
      </w:r>
      <w:r w:rsidRPr="00131D3E">
        <w:rPr>
          <w:rFonts w:cstheme="minorHAnsi"/>
          <w:b/>
          <w:bCs/>
        </w:rPr>
        <w:t xml:space="preserve">. COMPARABILITY OF PERFORMANCE SCORES </w:t>
      </w:r>
      <w:r w:rsidR="004C498F" w:rsidRPr="00131D3E">
        <w:rPr>
          <w:rFonts w:cstheme="minorHAnsi"/>
          <w:b/>
          <w:bCs/>
        </w:rPr>
        <w:t>WHEN</w:t>
      </w:r>
      <w:r w:rsidR="002B2116" w:rsidRPr="00131D3E">
        <w:rPr>
          <w:rFonts w:cstheme="minorHAnsi"/>
          <w:b/>
          <w:bCs/>
        </w:rPr>
        <w:t xml:space="preserve"> MORE THAN ONE SET OF SPECIFICATIONS </w:t>
      </w:r>
    </w:p>
    <w:p w14:paraId="0CABD00F" w14:textId="77777777" w:rsidR="00567D12" w:rsidRPr="00131D3E" w:rsidRDefault="00567D12" w:rsidP="00567D12">
      <w:pPr>
        <w:spacing w:after="0" w:line="240" w:lineRule="auto"/>
        <w:rPr>
          <w:rFonts w:cstheme="minorHAnsi"/>
          <w:b/>
          <w:bCs/>
        </w:rPr>
      </w:pPr>
      <w:r w:rsidRPr="00131D3E">
        <w:rPr>
          <w:rFonts w:cstheme="minorHAnsi"/>
          <w:b/>
          <w:bCs/>
          <w:i/>
        </w:rPr>
        <w:t xml:space="preserve">If only one set of specifications, this section can be </w:t>
      </w:r>
      <w:r w:rsidR="00BE592D" w:rsidRPr="00131D3E">
        <w:rPr>
          <w:rFonts w:cstheme="minorHAnsi"/>
          <w:b/>
          <w:bCs/>
          <w:i/>
        </w:rPr>
        <w:t>skipped.</w:t>
      </w:r>
    </w:p>
    <w:p w14:paraId="0CABD010" w14:textId="77777777" w:rsidR="00567D12" w:rsidRPr="00131D3E" w:rsidRDefault="00567D12" w:rsidP="00DB3627">
      <w:pPr>
        <w:autoSpaceDE w:val="0"/>
        <w:autoSpaceDN w:val="0"/>
        <w:adjustRightInd w:val="0"/>
        <w:spacing w:after="0" w:line="240" w:lineRule="auto"/>
        <w:rPr>
          <w:rFonts w:cstheme="minorHAnsi"/>
          <w:b/>
          <w:bCs/>
        </w:rPr>
      </w:pPr>
    </w:p>
    <w:p w14:paraId="0CABD011" w14:textId="52777D4F" w:rsidR="00052A6F" w:rsidRPr="00131D3E" w:rsidRDefault="002B2116" w:rsidP="00DB3627">
      <w:pPr>
        <w:autoSpaceDE w:val="0"/>
        <w:autoSpaceDN w:val="0"/>
        <w:adjustRightInd w:val="0"/>
        <w:spacing w:after="0" w:line="240" w:lineRule="auto"/>
        <w:rPr>
          <w:rFonts w:cstheme="minorHAnsi"/>
          <w:bCs/>
          <w:i/>
        </w:rPr>
      </w:pPr>
      <w:r w:rsidRPr="00131D3E">
        <w:rPr>
          <w:rFonts w:cstheme="minorHAnsi"/>
          <w:b/>
          <w:bCs/>
          <w:u w:val="single"/>
        </w:rPr>
        <w:t>Note</w:t>
      </w:r>
      <w:r w:rsidRPr="00131D3E">
        <w:rPr>
          <w:rFonts w:cstheme="minorHAnsi"/>
          <w:bCs/>
          <w:i/>
        </w:rPr>
        <w:t xml:space="preserve">: </w:t>
      </w:r>
      <w:r w:rsidR="00F1412B" w:rsidRPr="00131D3E">
        <w:rPr>
          <w:rFonts w:ascii="Calibri-Italic" w:eastAsiaTheme="minorHAnsi" w:hAnsi="Calibri-Italic" w:cs="Calibri-Italic"/>
          <w:i/>
          <w:iCs/>
        </w:rPr>
        <w:t xml:space="preserve">This item is directed to measures that are risk-adjusted (with or without </w:t>
      </w:r>
      <w:r w:rsidR="00AF2D68" w:rsidRPr="00131D3E">
        <w:rPr>
          <w:rFonts w:ascii="Calibri-Italic" w:eastAsiaTheme="minorHAnsi" w:hAnsi="Calibri-Italic" w:cs="Calibri-Italic"/>
          <w:i/>
          <w:iCs/>
        </w:rPr>
        <w:t>social risk</w:t>
      </w:r>
      <w:r w:rsidR="00F1412B" w:rsidRPr="00131D3E">
        <w:rPr>
          <w:rFonts w:ascii="Calibri-Italic" w:eastAsiaTheme="minorHAnsi" w:hAnsi="Calibri-Italic" w:cs="Calibri-Italic"/>
          <w:i/>
          <w:iCs/>
        </w:rPr>
        <w:t xml:space="preserve"> factors) </w:t>
      </w:r>
      <w:r w:rsidR="00F1412B" w:rsidRPr="00131D3E">
        <w:rPr>
          <w:rFonts w:ascii="Calibri-Italic" w:eastAsiaTheme="minorHAnsi" w:hAnsi="Calibri-Italic" w:cs="Calibri-Italic"/>
          <w:b/>
          <w:i/>
          <w:iCs/>
        </w:rPr>
        <w:t>OR</w:t>
      </w:r>
      <w:r w:rsidR="00F1412B" w:rsidRPr="00131D3E">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131D3E">
        <w:rPr>
          <w:rFonts w:ascii="Calibri-Italic" w:eastAsiaTheme="minorHAnsi" w:hAnsi="Calibri-Italic" w:cs="Calibri-Italic"/>
          <w:i/>
          <w:iCs/>
        </w:rPr>
        <w:t>eMeasures</w:t>
      </w:r>
      <w:proofErr w:type="spellEnd"/>
      <w:r w:rsidR="00F1412B" w:rsidRPr="00131D3E">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131D3E">
        <w:rPr>
          <w:rFonts w:ascii="Calibri-BoldItalic" w:eastAsiaTheme="minorHAnsi" w:hAnsi="Calibri-BoldItalic" w:cs="Calibri-BoldItalic"/>
          <w:b/>
          <w:bCs/>
          <w:i/>
          <w:iCs/>
        </w:rPr>
        <w:t xml:space="preserve">Comparability is not required when comparing performance scores with and without </w:t>
      </w:r>
      <w:r w:rsidR="00AF2D68" w:rsidRPr="00131D3E">
        <w:rPr>
          <w:rFonts w:ascii="Calibri-BoldItalic" w:eastAsiaTheme="minorHAnsi" w:hAnsi="Calibri-BoldItalic" w:cs="Calibri-BoldItalic"/>
          <w:b/>
          <w:bCs/>
          <w:i/>
          <w:iCs/>
        </w:rPr>
        <w:t>social risk</w:t>
      </w:r>
      <w:r w:rsidR="00F1412B" w:rsidRPr="00131D3E">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131D3E" w:rsidRDefault="000F06B5" w:rsidP="00DB3627">
      <w:pPr>
        <w:autoSpaceDE w:val="0"/>
        <w:autoSpaceDN w:val="0"/>
        <w:adjustRightInd w:val="0"/>
        <w:spacing w:after="0" w:line="240" w:lineRule="auto"/>
        <w:rPr>
          <w:rFonts w:cstheme="minorHAnsi"/>
          <w:bCs/>
        </w:rPr>
      </w:pPr>
    </w:p>
    <w:p w14:paraId="5DBA956A" w14:textId="77777777" w:rsidR="00E47A4F" w:rsidRDefault="009C7513" w:rsidP="00DB3627">
      <w:pPr>
        <w:autoSpaceDE w:val="0"/>
        <w:autoSpaceDN w:val="0"/>
        <w:adjustRightInd w:val="0"/>
        <w:spacing w:after="0" w:line="240" w:lineRule="auto"/>
        <w:rPr>
          <w:rFonts w:cstheme="minorHAnsi"/>
          <w:bCs/>
        </w:rPr>
      </w:pPr>
      <w:r w:rsidRPr="00131D3E">
        <w:rPr>
          <w:rFonts w:cstheme="minorHAnsi"/>
          <w:b/>
          <w:bCs/>
        </w:rPr>
        <w:t>2b5</w:t>
      </w:r>
      <w:r w:rsidR="00E1508F" w:rsidRPr="00131D3E">
        <w:rPr>
          <w:rFonts w:cstheme="minorHAnsi"/>
          <w:b/>
          <w:bCs/>
        </w:rPr>
        <w:t xml:space="preserve">.1. </w:t>
      </w:r>
      <w:r w:rsidR="008871A9" w:rsidRPr="00131D3E">
        <w:rPr>
          <w:rFonts w:cstheme="minorHAnsi"/>
          <w:b/>
          <w:bCs/>
        </w:rPr>
        <w:t xml:space="preserve">Describe the method of </w:t>
      </w:r>
      <w:r w:rsidR="000F06B5" w:rsidRPr="00131D3E">
        <w:rPr>
          <w:rFonts w:cstheme="minorHAnsi"/>
          <w:b/>
          <w:bCs/>
        </w:rPr>
        <w:t>testing conducted</w:t>
      </w:r>
      <w:r w:rsidR="008871A9" w:rsidRPr="00131D3E">
        <w:rPr>
          <w:rFonts w:cstheme="minorHAnsi"/>
          <w:b/>
          <w:bCs/>
        </w:rPr>
        <w:t xml:space="preserve"> to </w:t>
      </w:r>
      <w:r w:rsidR="00F1412B" w:rsidRPr="00131D3E">
        <w:rPr>
          <w:rFonts w:cstheme="minorHAnsi"/>
          <w:b/>
          <w:bCs/>
        </w:rPr>
        <w:t>compare</w:t>
      </w:r>
      <w:r w:rsidR="004B6CEE" w:rsidRPr="00131D3E">
        <w:rPr>
          <w:rFonts w:cstheme="minorHAnsi"/>
          <w:b/>
          <w:bCs/>
        </w:rPr>
        <w:t xml:space="preserve"> performance scores </w:t>
      </w:r>
      <w:r w:rsidR="00A35F8F" w:rsidRPr="00131D3E">
        <w:rPr>
          <w:rFonts w:cstheme="minorHAnsi"/>
          <w:b/>
          <w:bCs/>
        </w:rPr>
        <w:t xml:space="preserve">for the same entities </w:t>
      </w:r>
      <w:r w:rsidR="00287649" w:rsidRPr="00131D3E">
        <w:rPr>
          <w:rFonts w:cstheme="minorHAnsi"/>
          <w:b/>
          <w:bCs/>
        </w:rPr>
        <w:t xml:space="preserve">across the different </w:t>
      </w:r>
      <w:r w:rsidR="00864CA8" w:rsidRPr="00131D3E">
        <w:rPr>
          <w:rFonts w:cstheme="minorHAnsi"/>
          <w:b/>
          <w:bCs/>
        </w:rPr>
        <w:t>data</w:t>
      </w:r>
      <w:r w:rsidR="0028114D" w:rsidRPr="00131D3E">
        <w:rPr>
          <w:rFonts w:cstheme="minorHAnsi"/>
          <w:b/>
          <w:bCs/>
        </w:rPr>
        <w:t xml:space="preserve"> </w:t>
      </w:r>
      <w:r w:rsidR="00864CA8" w:rsidRPr="00131D3E">
        <w:rPr>
          <w:rFonts w:cstheme="minorHAnsi"/>
          <w:b/>
          <w:bCs/>
        </w:rPr>
        <w:t>sources/</w:t>
      </w:r>
      <w:r w:rsidR="00287649" w:rsidRPr="00131D3E">
        <w:rPr>
          <w:rFonts w:cstheme="minorHAnsi"/>
          <w:b/>
          <w:bCs/>
        </w:rPr>
        <w:t>specifications</w:t>
      </w:r>
      <w:r w:rsidR="000F06B5" w:rsidRPr="00131D3E">
        <w:rPr>
          <w:rFonts w:cstheme="minorHAnsi"/>
          <w:bCs/>
        </w:rPr>
        <w:t xml:space="preserve"> (</w:t>
      </w:r>
      <w:r w:rsidR="008871A9" w:rsidRPr="00131D3E">
        <w:rPr>
          <w:rFonts w:cstheme="minorHAnsi"/>
          <w:bCs/>
          <w:i/>
        </w:rPr>
        <w:t>describe the steps―do not just name a method</w:t>
      </w:r>
      <w:r w:rsidR="006C3A4F" w:rsidRPr="00131D3E">
        <w:rPr>
          <w:rFonts w:cstheme="minorHAnsi"/>
          <w:bCs/>
          <w:i/>
        </w:rPr>
        <w:t>; what statistical analysis was used</w:t>
      </w:r>
      <w:r w:rsidR="000F06B5" w:rsidRPr="00131D3E">
        <w:rPr>
          <w:rFonts w:cstheme="minorHAnsi"/>
          <w:bCs/>
        </w:rPr>
        <w:t>)</w:t>
      </w:r>
      <w:r w:rsidR="000F06B5" w:rsidRPr="00131D3E">
        <w:rPr>
          <w:rFonts w:cstheme="minorHAnsi"/>
          <w:bCs/>
        </w:rPr>
        <w:br/>
      </w:r>
      <w:r w:rsidR="00E47A4F">
        <w:rPr>
          <w:rFonts w:cstheme="minorHAnsi"/>
          <w:bCs/>
        </w:rPr>
        <w:t xml:space="preserve"> </w:t>
      </w:r>
    </w:p>
    <w:p w14:paraId="0CABD013" w14:textId="5430585C" w:rsidR="000F06B5" w:rsidRPr="00131D3E" w:rsidRDefault="00E47A4F" w:rsidP="00DB3627">
      <w:pPr>
        <w:autoSpaceDE w:val="0"/>
        <w:autoSpaceDN w:val="0"/>
        <w:adjustRightInd w:val="0"/>
        <w:spacing w:after="0" w:line="240" w:lineRule="auto"/>
        <w:rPr>
          <w:rFonts w:cstheme="minorHAnsi"/>
          <w:bCs/>
          <w:sz w:val="14"/>
        </w:rPr>
      </w:pPr>
      <w:r>
        <w:rPr>
          <w:rFonts w:cstheme="minorHAnsi"/>
          <w:bCs/>
          <w:color w:val="7030A0"/>
        </w:rPr>
        <w:t>N/A</w:t>
      </w:r>
      <w:r w:rsidR="000F06B5" w:rsidRPr="00131D3E">
        <w:rPr>
          <w:rFonts w:cstheme="minorHAnsi"/>
          <w:bCs/>
        </w:rPr>
        <w:t xml:space="preserve"> </w:t>
      </w:r>
    </w:p>
    <w:p w14:paraId="0CABD014" w14:textId="77777777" w:rsidR="000F06B5" w:rsidRPr="00131D3E" w:rsidRDefault="000F06B5" w:rsidP="00DB3627">
      <w:pPr>
        <w:pStyle w:val="ListParagraph"/>
        <w:autoSpaceDE w:val="0"/>
        <w:autoSpaceDN w:val="0"/>
        <w:adjustRightInd w:val="0"/>
        <w:spacing w:after="0" w:line="240" w:lineRule="auto"/>
        <w:ind w:left="0"/>
        <w:rPr>
          <w:rFonts w:cstheme="minorHAnsi"/>
          <w:bCs/>
        </w:rPr>
      </w:pPr>
    </w:p>
    <w:p w14:paraId="5A9A5F0C" w14:textId="77777777" w:rsidR="00E47A4F" w:rsidRDefault="009C7513" w:rsidP="00E1508F">
      <w:pPr>
        <w:autoSpaceDE w:val="0"/>
        <w:autoSpaceDN w:val="0"/>
        <w:adjustRightInd w:val="0"/>
        <w:spacing w:after="0" w:line="240" w:lineRule="auto"/>
        <w:rPr>
          <w:rFonts w:cstheme="minorHAnsi"/>
          <w:bCs/>
          <w:color w:val="7030A0"/>
        </w:rPr>
      </w:pPr>
      <w:r w:rsidRPr="00131D3E">
        <w:rPr>
          <w:rFonts w:cstheme="minorHAnsi"/>
          <w:b/>
          <w:bCs/>
        </w:rPr>
        <w:lastRenderedPageBreak/>
        <w:t>2b5</w:t>
      </w:r>
      <w:r w:rsidR="00E1508F" w:rsidRPr="00131D3E">
        <w:rPr>
          <w:rFonts w:cstheme="minorHAnsi"/>
          <w:b/>
          <w:bCs/>
        </w:rPr>
        <w:t xml:space="preserve">.2. </w:t>
      </w:r>
      <w:r w:rsidR="000F06B5" w:rsidRPr="00131D3E">
        <w:rPr>
          <w:rFonts w:cstheme="minorHAnsi"/>
          <w:b/>
          <w:bCs/>
        </w:rPr>
        <w:t xml:space="preserve">What were the statistical results </w:t>
      </w:r>
      <w:r w:rsidR="00A35F8F" w:rsidRPr="00131D3E">
        <w:rPr>
          <w:rFonts w:cstheme="minorHAnsi"/>
          <w:b/>
          <w:bCs/>
        </w:rPr>
        <w:t>from testing</w:t>
      </w:r>
      <w:r w:rsidR="000F06B5" w:rsidRPr="00131D3E">
        <w:rPr>
          <w:rFonts w:cstheme="minorHAnsi"/>
          <w:b/>
          <w:bCs/>
        </w:rPr>
        <w:t xml:space="preserve"> comparability of performance scores for the same entities when using different </w:t>
      </w:r>
      <w:r w:rsidR="00864CA8" w:rsidRPr="00131D3E">
        <w:rPr>
          <w:rFonts w:cstheme="minorHAnsi"/>
          <w:b/>
          <w:bCs/>
        </w:rPr>
        <w:t>data sources/</w:t>
      </w:r>
      <w:r w:rsidR="000F06B5" w:rsidRPr="00131D3E">
        <w:rPr>
          <w:rFonts w:cstheme="minorHAnsi"/>
          <w:b/>
          <w:bCs/>
        </w:rPr>
        <w:t>specifications?</w:t>
      </w:r>
      <w:r w:rsidR="000F06B5" w:rsidRPr="00131D3E">
        <w:rPr>
          <w:rFonts w:cstheme="minorHAnsi"/>
          <w:bCs/>
        </w:rPr>
        <w:t xml:space="preserve"> </w:t>
      </w:r>
      <w:r w:rsidR="00287649" w:rsidRPr="00131D3E">
        <w:rPr>
          <w:rFonts w:cstheme="minorHAnsi"/>
          <w:bCs/>
        </w:rPr>
        <w:t>(</w:t>
      </w:r>
      <w:r w:rsidR="00287649" w:rsidRPr="00131D3E">
        <w:rPr>
          <w:rFonts w:cstheme="minorHAnsi"/>
          <w:bCs/>
          <w:i/>
        </w:rPr>
        <w:t>e.g., correlation</w:t>
      </w:r>
      <w:r w:rsidR="006C3A4F" w:rsidRPr="00131D3E">
        <w:rPr>
          <w:rFonts w:cstheme="minorHAnsi"/>
          <w:bCs/>
          <w:i/>
        </w:rPr>
        <w:t>, rank order</w:t>
      </w:r>
      <w:r w:rsidR="00287649" w:rsidRPr="00131D3E">
        <w:rPr>
          <w:rFonts w:cstheme="minorHAnsi"/>
          <w:bCs/>
        </w:rPr>
        <w:t>)</w:t>
      </w:r>
      <w:r w:rsidR="000F06B5" w:rsidRPr="00131D3E">
        <w:rPr>
          <w:rFonts w:cstheme="minorHAnsi"/>
          <w:bCs/>
        </w:rPr>
        <w:br/>
      </w:r>
    </w:p>
    <w:p w14:paraId="0CABD015" w14:textId="7E63ED7A" w:rsidR="00A35F8F" w:rsidRPr="00131D3E" w:rsidRDefault="00E47A4F" w:rsidP="00E1508F">
      <w:pPr>
        <w:autoSpaceDE w:val="0"/>
        <w:autoSpaceDN w:val="0"/>
        <w:adjustRightInd w:val="0"/>
        <w:spacing w:after="0" w:line="240" w:lineRule="auto"/>
        <w:rPr>
          <w:rFonts w:cstheme="minorHAnsi"/>
          <w:bCs/>
        </w:rPr>
      </w:pPr>
      <w:r>
        <w:rPr>
          <w:rFonts w:cstheme="minorHAnsi"/>
          <w:bCs/>
          <w:color w:val="7030A0"/>
        </w:rPr>
        <w:t>N/A</w:t>
      </w:r>
    </w:p>
    <w:p w14:paraId="0CABD016" w14:textId="77777777" w:rsidR="00E1508F" w:rsidRPr="00131D3E" w:rsidRDefault="00E1508F" w:rsidP="00E1508F">
      <w:pPr>
        <w:autoSpaceDE w:val="0"/>
        <w:autoSpaceDN w:val="0"/>
        <w:adjustRightInd w:val="0"/>
        <w:spacing w:after="0" w:line="240" w:lineRule="auto"/>
        <w:rPr>
          <w:rFonts w:cstheme="minorHAnsi"/>
          <w:bCs/>
        </w:rPr>
      </w:pPr>
    </w:p>
    <w:p w14:paraId="49F0AF82" w14:textId="77777777" w:rsidR="00E47A4F" w:rsidRDefault="009C7513" w:rsidP="00DB3627">
      <w:pPr>
        <w:autoSpaceDE w:val="0"/>
        <w:autoSpaceDN w:val="0"/>
        <w:adjustRightInd w:val="0"/>
        <w:spacing w:after="0" w:line="240" w:lineRule="auto"/>
        <w:rPr>
          <w:rFonts w:cstheme="minorHAnsi"/>
          <w:bCs/>
          <w:color w:val="7030A0"/>
        </w:rPr>
      </w:pPr>
      <w:r w:rsidRPr="00131D3E">
        <w:rPr>
          <w:rFonts w:cstheme="minorHAnsi"/>
          <w:b/>
          <w:bCs/>
        </w:rPr>
        <w:t>2b5</w:t>
      </w:r>
      <w:r w:rsidR="00E1508F" w:rsidRPr="00131D3E">
        <w:rPr>
          <w:rFonts w:cstheme="minorHAnsi"/>
          <w:b/>
          <w:bCs/>
        </w:rPr>
        <w:t xml:space="preserve">.3. </w:t>
      </w:r>
      <w:r w:rsidR="002B0C3A" w:rsidRPr="00131D3E">
        <w:rPr>
          <w:rFonts w:cstheme="minorHAnsi"/>
          <w:b/>
          <w:bCs/>
        </w:rPr>
        <w:t xml:space="preserve">What is your interpretation of the results </w:t>
      </w:r>
      <w:r w:rsidR="00A35F8F" w:rsidRPr="00131D3E">
        <w:rPr>
          <w:rFonts w:cstheme="minorHAnsi"/>
          <w:b/>
          <w:bCs/>
        </w:rPr>
        <w:t xml:space="preserve">in terms of </w:t>
      </w:r>
      <w:r w:rsidR="00F1412B" w:rsidRPr="00131D3E">
        <w:rPr>
          <w:rFonts w:cstheme="minorHAnsi"/>
          <w:b/>
          <w:bCs/>
        </w:rPr>
        <w:t>the differences in</w:t>
      </w:r>
      <w:r w:rsidR="002B0C3A" w:rsidRPr="00131D3E">
        <w:rPr>
          <w:rFonts w:cstheme="minorHAnsi"/>
          <w:b/>
          <w:bCs/>
        </w:rPr>
        <w:t xml:space="preserve"> performance measure scores </w:t>
      </w:r>
      <w:r w:rsidR="00287649" w:rsidRPr="00131D3E">
        <w:rPr>
          <w:rFonts w:cstheme="minorHAnsi"/>
          <w:b/>
          <w:bCs/>
        </w:rPr>
        <w:t xml:space="preserve">for the same entities across the different </w:t>
      </w:r>
      <w:r w:rsidR="00864CA8" w:rsidRPr="00131D3E">
        <w:rPr>
          <w:rFonts w:cstheme="minorHAnsi"/>
          <w:b/>
          <w:bCs/>
        </w:rPr>
        <w:t>data sources/</w:t>
      </w:r>
      <w:r w:rsidR="00287649" w:rsidRPr="00131D3E">
        <w:rPr>
          <w:rFonts w:cstheme="minorHAnsi"/>
          <w:b/>
          <w:bCs/>
        </w:rPr>
        <w:t>specifications</w:t>
      </w:r>
      <w:r w:rsidR="002B0C3A" w:rsidRPr="00131D3E">
        <w:rPr>
          <w:rFonts w:cstheme="minorHAnsi"/>
          <w:b/>
          <w:bCs/>
        </w:rPr>
        <w:t>?</w:t>
      </w:r>
      <w:r w:rsidR="00A35F8F" w:rsidRPr="00131D3E">
        <w:rPr>
          <w:rFonts w:cstheme="minorHAnsi"/>
          <w:bCs/>
        </w:rPr>
        <w:t xml:space="preserve"> </w:t>
      </w:r>
      <w:r w:rsidR="002B0C3A" w:rsidRPr="00131D3E">
        <w:rPr>
          <w:rFonts w:cstheme="minorHAnsi"/>
          <w:bCs/>
        </w:rPr>
        <w:t>(i</w:t>
      </w:r>
      <w:r w:rsidR="002B0C3A" w:rsidRPr="00131D3E">
        <w:rPr>
          <w:rFonts w:cstheme="minorHAnsi"/>
          <w:bCs/>
          <w:i/>
        </w:rPr>
        <w:t>.e., what do the results mean and what are the norms for the test conducted</w:t>
      </w:r>
      <w:r w:rsidR="002B0C3A" w:rsidRPr="00131D3E">
        <w:rPr>
          <w:rFonts w:cstheme="minorHAnsi"/>
          <w:bCs/>
        </w:rPr>
        <w:t>)</w:t>
      </w:r>
      <w:r w:rsidR="00A35F8F" w:rsidRPr="00131D3E">
        <w:rPr>
          <w:rFonts w:cstheme="minorHAnsi"/>
          <w:bCs/>
        </w:rPr>
        <w:br/>
      </w:r>
    </w:p>
    <w:p w14:paraId="0CABD017" w14:textId="4FF37588" w:rsidR="0079180E" w:rsidRPr="00131D3E" w:rsidRDefault="00E47A4F" w:rsidP="00DB3627">
      <w:pPr>
        <w:autoSpaceDE w:val="0"/>
        <w:autoSpaceDN w:val="0"/>
        <w:adjustRightInd w:val="0"/>
        <w:spacing w:after="0" w:line="240" w:lineRule="auto"/>
        <w:rPr>
          <w:rFonts w:cstheme="minorHAnsi"/>
          <w:bCs/>
        </w:rPr>
      </w:pPr>
      <w:r>
        <w:rPr>
          <w:rFonts w:cstheme="minorHAnsi"/>
          <w:bCs/>
          <w:color w:val="7030A0"/>
        </w:rPr>
        <w:t>N/A</w:t>
      </w:r>
    </w:p>
    <w:p w14:paraId="0CABD018" w14:textId="77777777" w:rsidR="008F7E67" w:rsidRPr="00131D3E" w:rsidRDefault="008F7E67" w:rsidP="008F7E67">
      <w:pPr>
        <w:spacing w:after="0" w:line="240" w:lineRule="auto"/>
        <w:rPr>
          <w:rFonts w:cstheme="minorHAnsi"/>
          <w:b/>
          <w:bCs/>
        </w:rPr>
      </w:pPr>
      <w:r w:rsidRPr="00131D3E">
        <w:rPr>
          <w:rFonts w:cstheme="minorHAnsi"/>
          <w:b/>
          <w:bCs/>
        </w:rPr>
        <w:t>_______________________________________</w:t>
      </w:r>
    </w:p>
    <w:p w14:paraId="0CABD019" w14:textId="3F0BDE3B" w:rsidR="008F7E67" w:rsidRPr="00131D3E" w:rsidRDefault="008F7E67" w:rsidP="008F7E67">
      <w:pPr>
        <w:autoSpaceDE w:val="0"/>
        <w:autoSpaceDN w:val="0"/>
        <w:adjustRightInd w:val="0"/>
        <w:spacing w:after="0" w:line="240" w:lineRule="auto"/>
        <w:rPr>
          <w:rFonts w:cstheme="minorHAnsi"/>
          <w:b/>
          <w:bCs/>
        </w:rPr>
      </w:pPr>
      <w:r w:rsidRPr="00131D3E">
        <w:rPr>
          <w:rFonts w:cstheme="minorHAnsi"/>
          <w:b/>
          <w:bCs/>
        </w:rPr>
        <w:t>2b</w:t>
      </w:r>
      <w:r w:rsidR="009C7513" w:rsidRPr="00131D3E">
        <w:rPr>
          <w:rFonts w:cstheme="minorHAnsi"/>
          <w:b/>
          <w:bCs/>
        </w:rPr>
        <w:t>6</w:t>
      </w:r>
      <w:r w:rsidRPr="00131D3E">
        <w:rPr>
          <w:rFonts w:cstheme="minorHAnsi"/>
          <w:b/>
          <w:bCs/>
        </w:rPr>
        <w:t>. MISSING DATA ANALYSIS</w:t>
      </w:r>
      <w:r w:rsidR="008B604D" w:rsidRPr="00131D3E">
        <w:rPr>
          <w:rFonts w:cstheme="minorHAnsi"/>
          <w:b/>
          <w:bCs/>
        </w:rPr>
        <w:t xml:space="preserve"> AND MINIMIZING BIAS </w:t>
      </w:r>
    </w:p>
    <w:p w14:paraId="0CABD01A" w14:textId="77777777" w:rsidR="008F7E67" w:rsidRPr="00131D3E" w:rsidRDefault="008F7E67" w:rsidP="008F7E67">
      <w:pPr>
        <w:autoSpaceDE w:val="0"/>
        <w:autoSpaceDN w:val="0"/>
        <w:adjustRightInd w:val="0"/>
        <w:spacing w:after="0" w:line="240" w:lineRule="auto"/>
        <w:rPr>
          <w:rFonts w:cstheme="minorHAnsi"/>
          <w:bCs/>
        </w:rPr>
      </w:pPr>
    </w:p>
    <w:p w14:paraId="470B6BBF" w14:textId="2E965DC6" w:rsidR="00E47A4F" w:rsidRDefault="009C7513" w:rsidP="00E47A4F">
      <w:pPr>
        <w:autoSpaceDE w:val="0"/>
        <w:autoSpaceDN w:val="0"/>
        <w:adjustRightInd w:val="0"/>
        <w:spacing w:before="240" w:after="0" w:line="240" w:lineRule="auto"/>
        <w:rPr>
          <w:rFonts w:cstheme="minorHAnsi"/>
          <w:bCs/>
        </w:rPr>
      </w:pPr>
      <w:r w:rsidRPr="00131D3E">
        <w:rPr>
          <w:rFonts w:cstheme="minorHAnsi"/>
          <w:b/>
          <w:bCs/>
        </w:rPr>
        <w:t>2b6</w:t>
      </w:r>
      <w:r w:rsidR="008F7E67" w:rsidRPr="00131D3E">
        <w:rPr>
          <w:rFonts w:cstheme="minorHAnsi"/>
          <w:b/>
          <w:bCs/>
        </w:rPr>
        <w:t xml:space="preserve">.1. Describe the method of testing conducted to </w:t>
      </w:r>
      <w:r w:rsidR="00771B2A" w:rsidRPr="00131D3E">
        <w:rPr>
          <w:rFonts w:ascii="Calibri" w:eastAsia="Calibri" w:hAnsi="Calibri" w:cs="Calibri"/>
          <w:b/>
        </w:rPr>
        <w:t>identify the extent and distribution of missing data (or nonresponse) and demonstrate that performance results are not biased</w:t>
      </w:r>
      <w:r w:rsidR="00771B2A" w:rsidRPr="00131D3E">
        <w:rPr>
          <w:rFonts w:ascii="Calibri" w:eastAsia="Calibri" w:hAnsi="Calibri" w:cs="Calibri"/>
        </w:rPr>
        <w:t xml:space="preserve"> due to systematic missing data (or differences between responders and </w:t>
      </w:r>
      <w:proofErr w:type="spellStart"/>
      <w:r w:rsidR="00771B2A" w:rsidRPr="00131D3E">
        <w:rPr>
          <w:rFonts w:ascii="Calibri" w:eastAsia="Calibri" w:hAnsi="Calibri" w:cs="Calibri"/>
        </w:rPr>
        <w:t>nonresponders</w:t>
      </w:r>
      <w:proofErr w:type="spellEnd"/>
      <w:r w:rsidR="00771B2A" w:rsidRPr="00131D3E">
        <w:rPr>
          <w:rFonts w:ascii="Calibri" w:eastAsia="Calibri" w:hAnsi="Calibri" w:cs="Calibri"/>
        </w:rPr>
        <w:t>) and how the specified handling of missing data minimizes bias</w:t>
      </w:r>
      <w:r w:rsidR="00771B2A" w:rsidRPr="00131D3E">
        <w:rPr>
          <w:rFonts w:cstheme="minorHAnsi"/>
          <w:bCs/>
        </w:rPr>
        <w:t xml:space="preserve"> </w:t>
      </w:r>
      <w:r w:rsidR="008F7E67" w:rsidRPr="00131D3E">
        <w:rPr>
          <w:rFonts w:cstheme="minorHAnsi"/>
          <w:bCs/>
        </w:rPr>
        <w:t>(</w:t>
      </w:r>
      <w:r w:rsidR="008F7E67" w:rsidRPr="00131D3E">
        <w:rPr>
          <w:rFonts w:cstheme="minorHAnsi"/>
          <w:bCs/>
          <w:i/>
        </w:rPr>
        <w:t>describe the steps―do not just name a method; what statistical analysis was used</w:t>
      </w:r>
      <w:r w:rsidR="00E47A4F">
        <w:rPr>
          <w:rFonts w:cstheme="minorHAnsi"/>
          <w:bCs/>
        </w:rPr>
        <w:t>)</w:t>
      </w:r>
    </w:p>
    <w:p w14:paraId="12DE51A7" w14:textId="78ED9EF0" w:rsidR="00E47A4F" w:rsidRDefault="00E47A4F" w:rsidP="00E47A4F">
      <w:pPr>
        <w:autoSpaceDE w:val="0"/>
        <w:autoSpaceDN w:val="0"/>
        <w:adjustRightInd w:val="0"/>
        <w:spacing w:before="240" w:after="0" w:line="240" w:lineRule="auto"/>
        <w:rPr>
          <w:rFonts w:cstheme="minorHAnsi"/>
          <w:bCs/>
          <w:color w:val="7030A0"/>
        </w:rPr>
      </w:pPr>
      <w:r>
        <w:rPr>
          <w:rFonts w:cstheme="minorHAnsi"/>
          <w:bCs/>
          <w:color w:val="7030A0"/>
        </w:rPr>
        <w:t>The HF payment measure used claims-based data for development and testing. There was no missing data in the development and testing data.</w:t>
      </w:r>
    </w:p>
    <w:p w14:paraId="0CABD01C" w14:textId="4EF7439D" w:rsidR="008F7E67" w:rsidRPr="00131D3E" w:rsidRDefault="008F7E67" w:rsidP="008F7E67">
      <w:pPr>
        <w:pStyle w:val="ListParagraph"/>
        <w:autoSpaceDE w:val="0"/>
        <w:autoSpaceDN w:val="0"/>
        <w:adjustRightInd w:val="0"/>
        <w:spacing w:after="0" w:line="240" w:lineRule="auto"/>
        <w:ind w:left="0"/>
        <w:rPr>
          <w:rFonts w:cstheme="minorHAnsi"/>
          <w:bCs/>
          <w:sz w:val="18"/>
        </w:rPr>
      </w:pPr>
    </w:p>
    <w:p w14:paraId="0CABD01D" w14:textId="6487C11B" w:rsidR="008F7E67" w:rsidRDefault="009C7513" w:rsidP="008F7E67">
      <w:pPr>
        <w:autoSpaceDE w:val="0"/>
        <w:autoSpaceDN w:val="0"/>
        <w:adjustRightInd w:val="0"/>
        <w:spacing w:after="0" w:line="240" w:lineRule="auto"/>
        <w:rPr>
          <w:rFonts w:cstheme="minorHAnsi"/>
          <w:bCs/>
        </w:rPr>
      </w:pPr>
      <w:r w:rsidRPr="00131D3E">
        <w:rPr>
          <w:rFonts w:cstheme="minorHAnsi"/>
          <w:b/>
          <w:bCs/>
        </w:rPr>
        <w:t>2b6</w:t>
      </w:r>
      <w:r w:rsidR="008F7E67" w:rsidRPr="00131D3E">
        <w:rPr>
          <w:rFonts w:cstheme="minorHAnsi"/>
          <w:b/>
          <w:bCs/>
        </w:rPr>
        <w:t xml:space="preserve">.2. </w:t>
      </w:r>
      <w:r w:rsidR="00145D4F" w:rsidRPr="00131D3E">
        <w:rPr>
          <w:rFonts w:cstheme="minorHAnsi"/>
          <w:b/>
          <w:bCs/>
        </w:rPr>
        <w:t>What is the overall frequency of missing data</w:t>
      </w:r>
      <w:r w:rsidR="005560E7" w:rsidRPr="00131D3E">
        <w:rPr>
          <w:rFonts w:cstheme="minorHAnsi"/>
          <w:b/>
          <w:bCs/>
        </w:rPr>
        <w:t>,</w:t>
      </w:r>
      <w:r w:rsidR="00145D4F" w:rsidRPr="00131D3E">
        <w:rPr>
          <w:rFonts w:cstheme="minorHAnsi"/>
          <w:b/>
          <w:bCs/>
        </w:rPr>
        <w:t xml:space="preserve"> the distribution of missing data across providers</w:t>
      </w:r>
      <w:r w:rsidR="005560E7" w:rsidRPr="00131D3E">
        <w:rPr>
          <w:rFonts w:cstheme="minorHAnsi"/>
          <w:b/>
          <w:bCs/>
        </w:rPr>
        <w:t>,</w:t>
      </w:r>
      <w:r w:rsidR="00145D4F" w:rsidRPr="00131D3E">
        <w:rPr>
          <w:rFonts w:cstheme="minorHAnsi"/>
          <w:b/>
          <w:bCs/>
        </w:rPr>
        <w:t xml:space="preserve"> and the</w:t>
      </w:r>
      <w:r w:rsidR="008F7E67" w:rsidRPr="00131D3E">
        <w:rPr>
          <w:rFonts w:cstheme="minorHAnsi"/>
          <w:b/>
          <w:bCs/>
        </w:rPr>
        <w:t xml:space="preserve"> results from testing </w:t>
      </w:r>
      <w:r w:rsidR="00771B2A" w:rsidRPr="00131D3E">
        <w:rPr>
          <w:rFonts w:cstheme="minorHAnsi"/>
          <w:b/>
          <w:bCs/>
        </w:rPr>
        <w:t>related to missing data</w:t>
      </w:r>
      <w:r w:rsidR="008F7E67" w:rsidRPr="00131D3E">
        <w:rPr>
          <w:rFonts w:cstheme="minorHAnsi"/>
          <w:b/>
          <w:bCs/>
        </w:rPr>
        <w:t>?</w:t>
      </w:r>
      <w:r w:rsidR="008F7E67" w:rsidRPr="00131D3E">
        <w:rPr>
          <w:rFonts w:cstheme="minorHAnsi"/>
          <w:bCs/>
        </w:rPr>
        <w:t xml:space="preserve"> (</w:t>
      </w:r>
      <w:r w:rsidR="008F7E67" w:rsidRPr="00131D3E">
        <w:rPr>
          <w:rFonts w:cstheme="minorHAnsi"/>
          <w:bCs/>
          <w:i/>
        </w:rPr>
        <w:t>e.g.,</w:t>
      </w:r>
      <w:r w:rsidR="008B604D" w:rsidRPr="00131D3E">
        <w:rPr>
          <w:rFonts w:cstheme="minorHAnsi"/>
          <w:b/>
          <w:bCs/>
        </w:rPr>
        <w:t xml:space="preserve"> </w:t>
      </w:r>
      <w:r w:rsidR="00145D4F" w:rsidRPr="00131D3E">
        <w:rPr>
          <w:rFonts w:cstheme="minorHAnsi"/>
          <w:bCs/>
          <w:i/>
        </w:rPr>
        <w:t xml:space="preserve">results of sensitivity analysis of </w:t>
      </w:r>
      <w:r w:rsidR="005560E7" w:rsidRPr="00131D3E">
        <w:rPr>
          <w:rFonts w:cstheme="minorHAnsi"/>
          <w:bCs/>
          <w:i/>
        </w:rPr>
        <w:t xml:space="preserve">the </w:t>
      </w:r>
      <w:r w:rsidR="00145D4F" w:rsidRPr="00131D3E">
        <w:rPr>
          <w:rFonts w:cstheme="minorHAnsi"/>
          <w:bCs/>
          <w:i/>
        </w:rPr>
        <w:t xml:space="preserve">effect of various rules for missing data/nonresponse; </w:t>
      </w:r>
      <w:r w:rsidR="00145D4F" w:rsidRPr="00131D3E">
        <w:rPr>
          <w:rFonts w:cstheme="minorHAnsi"/>
          <w:bCs/>
          <w:i/>
          <w:u w:val="single"/>
        </w:rPr>
        <w:t>if no empirical sensitivity analysis</w:t>
      </w:r>
      <w:r w:rsidR="00145D4F" w:rsidRPr="00131D3E">
        <w:rPr>
          <w:rFonts w:cstheme="minorHAnsi"/>
          <w:bCs/>
          <w:i/>
        </w:rPr>
        <w:t>, identify the approaches for handling missing data that were considered and pros and cons of each</w:t>
      </w:r>
      <w:r w:rsidR="00E47A4F">
        <w:rPr>
          <w:rFonts w:cstheme="minorHAnsi"/>
          <w:bCs/>
        </w:rPr>
        <w:t>)</w:t>
      </w:r>
    </w:p>
    <w:p w14:paraId="690049DF" w14:textId="10BAE895" w:rsidR="00E47A4F" w:rsidRPr="00131D3E" w:rsidRDefault="00E47A4F" w:rsidP="00E47A4F">
      <w:pPr>
        <w:autoSpaceDE w:val="0"/>
        <w:autoSpaceDN w:val="0"/>
        <w:adjustRightInd w:val="0"/>
        <w:spacing w:before="120" w:after="0" w:line="240" w:lineRule="auto"/>
        <w:rPr>
          <w:rFonts w:cstheme="minorHAnsi"/>
          <w:bCs/>
        </w:rPr>
      </w:pPr>
      <w:r>
        <w:rPr>
          <w:rFonts w:cstheme="minorHAnsi"/>
          <w:bCs/>
          <w:color w:val="7030A0"/>
        </w:rPr>
        <w:t>N/A</w:t>
      </w:r>
    </w:p>
    <w:p w14:paraId="0CABD01E" w14:textId="77777777" w:rsidR="008F7E67" w:rsidRPr="00131D3E"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sidRPr="00131D3E">
        <w:rPr>
          <w:rFonts w:cstheme="minorHAnsi"/>
          <w:b/>
          <w:bCs/>
        </w:rPr>
        <w:t>2b6</w:t>
      </w:r>
      <w:r w:rsidR="008F7E67" w:rsidRPr="00131D3E">
        <w:rPr>
          <w:rFonts w:cstheme="minorHAnsi"/>
          <w:b/>
          <w:bCs/>
        </w:rPr>
        <w:t>.3. What is your interpretation of the results in terms of demonstrating</w:t>
      </w:r>
      <w:r w:rsidR="00771B2A" w:rsidRPr="00131D3E">
        <w:rPr>
          <w:rFonts w:cstheme="minorHAnsi"/>
          <w:b/>
          <w:bCs/>
        </w:rPr>
        <w:t xml:space="preserve"> that </w:t>
      </w:r>
      <w:r w:rsidR="00771B2A" w:rsidRPr="00131D3E">
        <w:rPr>
          <w:rFonts w:ascii="Calibri" w:eastAsia="Calibri" w:hAnsi="Calibri" w:cs="Calibri"/>
          <w:b/>
        </w:rPr>
        <w:t>performance results are not biased</w:t>
      </w:r>
      <w:r w:rsidR="00771B2A" w:rsidRPr="00131D3E">
        <w:rPr>
          <w:rFonts w:ascii="Calibri" w:eastAsia="Calibri" w:hAnsi="Calibri" w:cs="Calibri"/>
        </w:rPr>
        <w:t xml:space="preserve"> due to systematic missing data (or differences between responders and </w:t>
      </w:r>
      <w:proofErr w:type="spellStart"/>
      <w:r w:rsidR="00771B2A" w:rsidRPr="00131D3E">
        <w:rPr>
          <w:rFonts w:ascii="Calibri" w:eastAsia="Calibri" w:hAnsi="Calibri" w:cs="Calibri"/>
        </w:rPr>
        <w:t>nonresponders</w:t>
      </w:r>
      <w:proofErr w:type="spellEnd"/>
      <w:r w:rsidR="00771B2A" w:rsidRPr="00131D3E">
        <w:rPr>
          <w:rFonts w:ascii="Calibri" w:eastAsia="Calibri" w:hAnsi="Calibri" w:cs="Calibri"/>
        </w:rPr>
        <w:t>) and how the specified handling of missing data minimizes bias</w:t>
      </w:r>
      <w:r w:rsidR="008F7E67" w:rsidRPr="00131D3E">
        <w:rPr>
          <w:rFonts w:cstheme="minorHAnsi"/>
          <w:b/>
          <w:bCs/>
        </w:rPr>
        <w:t>?</w:t>
      </w:r>
      <w:r w:rsidR="008F7E67" w:rsidRPr="00131D3E">
        <w:rPr>
          <w:rFonts w:cstheme="minorHAnsi"/>
          <w:bCs/>
        </w:rPr>
        <w:t xml:space="preserve"> (i</w:t>
      </w:r>
      <w:r w:rsidR="008F7E67" w:rsidRPr="00131D3E">
        <w:rPr>
          <w:rFonts w:cstheme="minorHAnsi"/>
          <w:bCs/>
          <w:i/>
        </w:rPr>
        <w:t xml:space="preserve">.e., what do the results mean </w:t>
      </w:r>
      <w:r w:rsidR="00145D4F" w:rsidRPr="00131D3E">
        <w:rPr>
          <w:rFonts w:cstheme="minorHAnsi"/>
          <w:bCs/>
          <w:i/>
        </w:rPr>
        <w:t xml:space="preserve">in terms of supporting the selected approach for missing data </w:t>
      </w:r>
      <w:r w:rsidR="008F7E67" w:rsidRPr="00131D3E">
        <w:rPr>
          <w:rFonts w:cstheme="minorHAnsi"/>
          <w:bCs/>
          <w:i/>
        </w:rPr>
        <w:t>and what are the norms for the test conducted</w:t>
      </w:r>
      <w:r w:rsidR="00145D4F" w:rsidRPr="00131D3E">
        <w:rPr>
          <w:rFonts w:cstheme="minorHAnsi"/>
          <w:bCs/>
          <w:i/>
        </w:rPr>
        <w:t xml:space="preserve">; </w:t>
      </w:r>
      <w:r w:rsidR="00145D4F" w:rsidRPr="00131D3E">
        <w:rPr>
          <w:rFonts w:cstheme="minorHAnsi"/>
          <w:bCs/>
          <w:i/>
          <w:u w:val="single"/>
        </w:rPr>
        <w:t>if no empirical analysis</w:t>
      </w:r>
      <w:r w:rsidR="00145D4F" w:rsidRPr="00131D3E">
        <w:rPr>
          <w:rFonts w:cstheme="minorHAnsi"/>
          <w:bCs/>
          <w:i/>
        </w:rPr>
        <w:t>, provide rationale for the selected approach for missing data</w:t>
      </w:r>
      <w:r w:rsidR="008F7E67" w:rsidRPr="00131D3E">
        <w:rPr>
          <w:rFonts w:cstheme="minorHAnsi"/>
          <w:bCs/>
        </w:rPr>
        <w:t>)</w:t>
      </w:r>
    </w:p>
    <w:p w14:paraId="687FED44" w14:textId="77777777" w:rsidR="00E47A4F" w:rsidRDefault="00E47A4F" w:rsidP="00E47A4F">
      <w:pPr>
        <w:autoSpaceDE w:val="0"/>
        <w:autoSpaceDN w:val="0"/>
        <w:adjustRightInd w:val="0"/>
        <w:spacing w:before="120" w:after="0" w:line="240" w:lineRule="auto"/>
        <w:rPr>
          <w:rFonts w:cstheme="minorHAnsi"/>
          <w:bCs/>
        </w:rPr>
      </w:pPr>
      <w:r>
        <w:rPr>
          <w:rFonts w:cstheme="minorHAnsi"/>
          <w:bCs/>
          <w:color w:val="7030A0"/>
        </w:rPr>
        <w:t>N/A</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2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E4431" w14:textId="77777777" w:rsidR="0085378A" w:rsidRDefault="0085378A" w:rsidP="005C73CA">
      <w:pPr>
        <w:spacing w:after="0" w:line="240" w:lineRule="auto"/>
      </w:pPr>
      <w:r>
        <w:separator/>
      </w:r>
    </w:p>
  </w:endnote>
  <w:endnote w:type="continuationSeparator" w:id="0">
    <w:p w14:paraId="1D473C12" w14:textId="77777777" w:rsidR="0085378A" w:rsidRDefault="0085378A"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6DC2C03F" w:rsidR="00C84098" w:rsidRDefault="00C84098">
    <w:pPr>
      <w:pStyle w:val="Footer"/>
    </w:pPr>
    <w:r>
      <w:t>Version 7.1 9/6/2017</w:t>
    </w:r>
    <w:r>
      <w:ptab w:relativeTo="margin" w:alignment="right" w:leader="none"/>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9818C" w14:textId="77777777" w:rsidR="0085378A" w:rsidRDefault="0085378A" w:rsidP="005C73CA">
      <w:pPr>
        <w:spacing w:after="0" w:line="240" w:lineRule="auto"/>
      </w:pPr>
      <w:r>
        <w:separator/>
      </w:r>
    </w:p>
  </w:footnote>
  <w:footnote w:type="continuationSeparator" w:id="0">
    <w:p w14:paraId="7F933838" w14:textId="77777777" w:rsidR="0085378A" w:rsidRDefault="0085378A"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77777777" w:rsidR="00C84098" w:rsidRPr="00105D8B" w:rsidRDefault="00C84098"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8244D4"/>
    <w:multiLevelType w:val="hybridMultilevel"/>
    <w:tmpl w:val="88827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324F96"/>
    <w:multiLevelType w:val="hybridMultilevel"/>
    <w:tmpl w:val="E528D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31E33"/>
    <w:multiLevelType w:val="hybridMultilevel"/>
    <w:tmpl w:val="06D6B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BD5256"/>
    <w:multiLevelType w:val="hybridMultilevel"/>
    <w:tmpl w:val="E5545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3418A5"/>
    <w:multiLevelType w:val="hybridMultilevel"/>
    <w:tmpl w:val="8A844CBE"/>
    <w:lvl w:ilvl="0" w:tplc="62F6E6CA">
      <w:start w:val="1"/>
      <w:numFmt w:val="decimal"/>
      <w:lvlText w:val="%1."/>
      <w:lvlJc w:val="left"/>
      <w:pPr>
        <w:ind w:left="720" w:hanging="360"/>
      </w:pPr>
      <w:rPr>
        <w:rFonts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7C5102"/>
    <w:multiLevelType w:val="multilevel"/>
    <w:tmpl w:val="FC94661E"/>
    <w:lvl w:ilvl="0">
      <w:start w:val="1"/>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F7DC0"/>
    <w:multiLevelType w:val="hybridMultilevel"/>
    <w:tmpl w:val="1068B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5"/>
  </w:num>
  <w:num w:numId="4">
    <w:abstractNumId w:val="8"/>
  </w:num>
  <w:num w:numId="5">
    <w:abstractNumId w:val="3"/>
  </w:num>
  <w:num w:numId="6">
    <w:abstractNumId w:val="2"/>
  </w:num>
  <w:num w:numId="7">
    <w:abstractNumId w:val="6"/>
  </w:num>
  <w:num w:numId="8">
    <w:abstractNumId w:val="26"/>
  </w:num>
  <w:num w:numId="9">
    <w:abstractNumId w:val="14"/>
  </w:num>
  <w:num w:numId="10">
    <w:abstractNumId w:val="31"/>
  </w:num>
  <w:num w:numId="11">
    <w:abstractNumId w:val="16"/>
  </w:num>
  <w:num w:numId="12">
    <w:abstractNumId w:val="29"/>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1"/>
  </w:num>
  <w:num w:numId="17">
    <w:abstractNumId w:val="30"/>
  </w:num>
  <w:num w:numId="18">
    <w:abstractNumId w:val="28"/>
  </w:num>
  <w:num w:numId="19">
    <w:abstractNumId w:val="27"/>
  </w:num>
  <w:num w:numId="20">
    <w:abstractNumId w:val="20"/>
  </w:num>
  <w:num w:numId="21">
    <w:abstractNumId w:val="24"/>
  </w:num>
  <w:num w:numId="22">
    <w:abstractNumId w:val="19"/>
  </w:num>
  <w:num w:numId="23">
    <w:abstractNumId w:val="10"/>
  </w:num>
  <w:num w:numId="24">
    <w:abstractNumId w:val="18"/>
  </w:num>
  <w:num w:numId="25">
    <w:abstractNumId w:val="17"/>
  </w:num>
  <w:num w:numId="26">
    <w:abstractNumId w:val="33"/>
  </w:num>
  <w:num w:numId="27">
    <w:abstractNumId w:val="0"/>
  </w:num>
  <w:num w:numId="28">
    <w:abstractNumId w:val="13"/>
  </w:num>
  <w:num w:numId="29">
    <w:abstractNumId w:val="21"/>
  </w:num>
  <w:num w:numId="30">
    <w:abstractNumId w:val="1"/>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9"/>
  </w:num>
  <w:num w:numId="35">
    <w:abstractNumId w:val="1"/>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2618"/>
    <w:rsid w:val="00003469"/>
    <w:rsid w:val="0001094F"/>
    <w:rsid w:val="00015748"/>
    <w:rsid w:val="00021170"/>
    <w:rsid w:val="0002128B"/>
    <w:rsid w:val="00024DFD"/>
    <w:rsid w:val="00027AB8"/>
    <w:rsid w:val="000309DD"/>
    <w:rsid w:val="00031414"/>
    <w:rsid w:val="00033038"/>
    <w:rsid w:val="00033D63"/>
    <w:rsid w:val="0003436F"/>
    <w:rsid w:val="000414E8"/>
    <w:rsid w:val="00042BAD"/>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2E8D"/>
    <w:rsid w:val="000B3880"/>
    <w:rsid w:val="000B7D57"/>
    <w:rsid w:val="000C036D"/>
    <w:rsid w:val="000C0FF8"/>
    <w:rsid w:val="000D2722"/>
    <w:rsid w:val="000D7948"/>
    <w:rsid w:val="000D7C84"/>
    <w:rsid w:val="000E4E13"/>
    <w:rsid w:val="000E78F6"/>
    <w:rsid w:val="000E799F"/>
    <w:rsid w:val="000F034A"/>
    <w:rsid w:val="000F06B5"/>
    <w:rsid w:val="000F11C9"/>
    <w:rsid w:val="000F1B7A"/>
    <w:rsid w:val="000F39E9"/>
    <w:rsid w:val="00104B45"/>
    <w:rsid w:val="00105D8B"/>
    <w:rsid w:val="0011342F"/>
    <w:rsid w:val="0011504A"/>
    <w:rsid w:val="001161A1"/>
    <w:rsid w:val="001202E9"/>
    <w:rsid w:val="0012454F"/>
    <w:rsid w:val="00125273"/>
    <w:rsid w:val="0012575E"/>
    <w:rsid w:val="00127C06"/>
    <w:rsid w:val="00131D3E"/>
    <w:rsid w:val="00133C69"/>
    <w:rsid w:val="0014019E"/>
    <w:rsid w:val="00145149"/>
    <w:rsid w:val="00145D4F"/>
    <w:rsid w:val="0014773C"/>
    <w:rsid w:val="00154056"/>
    <w:rsid w:val="0017696D"/>
    <w:rsid w:val="00181A6D"/>
    <w:rsid w:val="001848FC"/>
    <w:rsid w:val="00192F6F"/>
    <w:rsid w:val="00193F21"/>
    <w:rsid w:val="00195391"/>
    <w:rsid w:val="001969C5"/>
    <w:rsid w:val="001A6CDD"/>
    <w:rsid w:val="001C12EE"/>
    <w:rsid w:val="001C7B02"/>
    <w:rsid w:val="001E4DD4"/>
    <w:rsid w:val="001E69DC"/>
    <w:rsid w:val="001F169D"/>
    <w:rsid w:val="001F1DA1"/>
    <w:rsid w:val="001F31D6"/>
    <w:rsid w:val="001F6F93"/>
    <w:rsid w:val="001F7A20"/>
    <w:rsid w:val="002022C2"/>
    <w:rsid w:val="00205612"/>
    <w:rsid w:val="00206A8F"/>
    <w:rsid w:val="0021054A"/>
    <w:rsid w:val="0021195A"/>
    <w:rsid w:val="00213383"/>
    <w:rsid w:val="00220250"/>
    <w:rsid w:val="00222444"/>
    <w:rsid w:val="0022691B"/>
    <w:rsid w:val="002311A7"/>
    <w:rsid w:val="00232163"/>
    <w:rsid w:val="002376F8"/>
    <w:rsid w:val="002408E4"/>
    <w:rsid w:val="00241591"/>
    <w:rsid w:val="00250B4F"/>
    <w:rsid w:val="0025762F"/>
    <w:rsid w:val="0026070E"/>
    <w:rsid w:val="00275563"/>
    <w:rsid w:val="0028114D"/>
    <w:rsid w:val="00287649"/>
    <w:rsid w:val="00287E84"/>
    <w:rsid w:val="0029286C"/>
    <w:rsid w:val="0029300E"/>
    <w:rsid w:val="002A4C6C"/>
    <w:rsid w:val="002B0C3A"/>
    <w:rsid w:val="002B2116"/>
    <w:rsid w:val="002B2D9B"/>
    <w:rsid w:val="002B3ECD"/>
    <w:rsid w:val="002B5016"/>
    <w:rsid w:val="002B742C"/>
    <w:rsid w:val="002B7F4D"/>
    <w:rsid w:val="002C0065"/>
    <w:rsid w:val="002C276F"/>
    <w:rsid w:val="002C285C"/>
    <w:rsid w:val="002C7BE4"/>
    <w:rsid w:val="002D417D"/>
    <w:rsid w:val="002D5E5D"/>
    <w:rsid w:val="002E78A0"/>
    <w:rsid w:val="002F185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1122"/>
    <w:rsid w:val="00372FE3"/>
    <w:rsid w:val="0037549C"/>
    <w:rsid w:val="003755CB"/>
    <w:rsid w:val="00383F85"/>
    <w:rsid w:val="00387BA1"/>
    <w:rsid w:val="003A306C"/>
    <w:rsid w:val="003A7DE7"/>
    <w:rsid w:val="003B1006"/>
    <w:rsid w:val="003C3C7A"/>
    <w:rsid w:val="003C5F11"/>
    <w:rsid w:val="003D131C"/>
    <w:rsid w:val="003D294B"/>
    <w:rsid w:val="003D5C1D"/>
    <w:rsid w:val="003D6401"/>
    <w:rsid w:val="003E1863"/>
    <w:rsid w:val="004049EC"/>
    <w:rsid w:val="004065CD"/>
    <w:rsid w:val="0041606D"/>
    <w:rsid w:val="00416962"/>
    <w:rsid w:val="004206A8"/>
    <w:rsid w:val="00422535"/>
    <w:rsid w:val="00423069"/>
    <w:rsid w:val="004269E2"/>
    <w:rsid w:val="004348CC"/>
    <w:rsid w:val="0044496A"/>
    <w:rsid w:val="00446D4B"/>
    <w:rsid w:val="00450C58"/>
    <w:rsid w:val="00453E9E"/>
    <w:rsid w:val="004658FF"/>
    <w:rsid w:val="004672A6"/>
    <w:rsid w:val="00471E95"/>
    <w:rsid w:val="00473DB3"/>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E0698"/>
    <w:rsid w:val="004F453C"/>
    <w:rsid w:val="004F68EE"/>
    <w:rsid w:val="005038D5"/>
    <w:rsid w:val="00511BA4"/>
    <w:rsid w:val="005149E7"/>
    <w:rsid w:val="005232D6"/>
    <w:rsid w:val="005333CC"/>
    <w:rsid w:val="00533BD1"/>
    <w:rsid w:val="005363F1"/>
    <w:rsid w:val="00537C1B"/>
    <w:rsid w:val="00544F97"/>
    <w:rsid w:val="0055007C"/>
    <w:rsid w:val="00550BFC"/>
    <w:rsid w:val="00554922"/>
    <w:rsid w:val="00554D8E"/>
    <w:rsid w:val="00555282"/>
    <w:rsid w:val="005560E7"/>
    <w:rsid w:val="005612CC"/>
    <w:rsid w:val="00563029"/>
    <w:rsid w:val="00567D12"/>
    <w:rsid w:val="00576062"/>
    <w:rsid w:val="0059559F"/>
    <w:rsid w:val="005A215E"/>
    <w:rsid w:val="005A49FF"/>
    <w:rsid w:val="005A7634"/>
    <w:rsid w:val="005B6F04"/>
    <w:rsid w:val="005C0447"/>
    <w:rsid w:val="005C739F"/>
    <w:rsid w:val="005C73CA"/>
    <w:rsid w:val="005D4768"/>
    <w:rsid w:val="005E2CAB"/>
    <w:rsid w:val="005E429E"/>
    <w:rsid w:val="005F25D4"/>
    <w:rsid w:val="00601686"/>
    <w:rsid w:val="00601ED4"/>
    <w:rsid w:val="006030BC"/>
    <w:rsid w:val="00606440"/>
    <w:rsid w:val="00612866"/>
    <w:rsid w:val="00616EB5"/>
    <w:rsid w:val="006269D4"/>
    <w:rsid w:val="006327D8"/>
    <w:rsid w:val="00632EF4"/>
    <w:rsid w:val="0064070A"/>
    <w:rsid w:val="006437EF"/>
    <w:rsid w:val="00643A01"/>
    <w:rsid w:val="00651D44"/>
    <w:rsid w:val="006574D2"/>
    <w:rsid w:val="00663563"/>
    <w:rsid w:val="006676D4"/>
    <w:rsid w:val="00675535"/>
    <w:rsid w:val="00681359"/>
    <w:rsid w:val="00687D4F"/>
    <w:rsid w:val="0069157C"/>
    <w:rsid w:val="00696262"/>
    <w:rsid w:val="006C3A4F"/>
    <w:rsid w:val="006C4845"/>
    <w:rsid w:val="006D04FA"/>
    <w:rsid w:val="006D6BC1"/>
    <w:rsid w:val="006E21D2"/>
    <w:rsid w:val="006E2BFC"/>
    <w:rsid w:val="006E5C57"/>
    <w:rsid w:val="006F22A5"/>
    <w:rsid w:val="00702C73"/>
    <w:rsid w:val="00711269"/>
    <w:rsid w:val="00713394"/>
    <w:rsid w:val="00715974"/>
    <w:rsid w:val="00722E3C"/>
    <w:rsid w:val="00724677"/>
    <w:rsid w:val="00725AC2"/>
    <w:rsid w:val="00732880"/>
    <w:rsid w:val="007416B9"/>
    <w:rsid w:val="007422FD"/>
    <w:rsid w:val="00743E46"/>
    <w:rsid w:val="00747C45"/>
    <w:rsid w:val="00756FDB"/>
    <w:rsid w:val="00761EAE"/>
    <w:rsid w:val="007629B6"/>
    <w:rsid w:val="007665BF"/>
    <w:rsid w:val="00771B2A"/>
    <w:rsid w:val="007757CE"/>
    <w:rsid w:val="00775800"/>
    <w:rsid w:val="0077796B"/>
    <w:rsid w:val="00784253"/>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1549"/>
    <w:rsid w:val="00842F3C"/>
    <w:rsid w:val="008505D1"/>
    <w:rsid w:val="0085378A"/>
    <w:rsid w:val="00855158"/>
    <w:rsid w:val="00857EE8"/>
    <w:rsid w:val="0086464B"/>
    <w:rsid w:val="008647FC"/>
    <w:rsid w:val="00864CA8"/>
    <w:rsid w:val="00865E2D"/>
    <w:rsid w:val="00870E6C"/>
    <w:rsid w:val="00875846"/>
    <w:rsid w:val="00880FF4"/>
    <w:rsid w:val="00881B8C"/>
    <w:rsid w:val="00884486"/>
    <w:rsid w:val="008871A9"/>
    <w:rsid w:val="008876A2"/>
    <w:rsid w:val="008916BA"/>
    <w:rsid w:val="00892176"/>
    <w:rsid w:val="008A1DB7"/>
    <w:rsid w:val="008A403A"/>
    <w:rsid w:val="008A4C13"/>
    <w:rsid w:val="008B1D8C"/>
    <w:rsid w:val="008B5A4F"/>
    <w:rsid w:val="008B604D"/>
    <w:rsid w:val="008C4DF5"/>
    <w:rsid w:val="008C54A9"/>
    <w:rsid w:val="008E67C3"/>
    <w:rsid w:val="008F4AF6"/>
    <w:rsid w:val="008F589F"/>
    <w:rsid w:val="008F76A9"/>
    <w:rsid w:val="008F7E67"/>
    <w:rsid w:val="00900745"/>
    <w:rsid w:val="00900DBF"/>
    <w:rsid w:val="009048B9"/>
    <w:rsid w:val="00904E91"/>
    <w:rsid w:val="009100EC"/>
    <w:rsid w:val="00915886"/>
    <w:rsid w:val="009214DC"/>
    <w:rsid w:val="00927027"/>
    <w:rsid w:val="00932DB1"/>
    <w:rsid w:val="009344BA"/>
    <w:rsid w:val="009458E6"/>
    <w:rsid w:val="00946E61"/>
    <w:rsid w:val="00947F78"/>
    <w:rsid w:val="009531A4"/>
    <w:rsid w:val="00953234"/>
    <w:rsid w:val="00961EAF"/>
    <w:rsid w:val="0096278F"/>
    <w:rsid w:val="009726E1"/>
    <w:rsid w:val="00972A04"/>
    <w:rsid w:val="00977591"/>
    <w:rsid w:val="00980E75"/>
    <w:rsid w:val="00981B25"/>
    <w:rsid w:val="00985431"/>
    <w:rsid w:val="00994BE0"/>
    <w:rsid w:val="00994C43"/>
    <w:rsid w:val="009A25B1"/>
    <w:rsid w:val="009A4608"/>
    <w:rsid w:val="009A6A57"/>
    <w:rsid w:val="009A70BF"/>
    <w:rsid w:val="009B1A15"/>
    <w:rsid w:val="009C0852"/>
    <w:rsid w:val="009C13CA"/>
    <w:rsid w:val="009C32C6"/>
    <w:rsid w:val="009C665F"/>
    <w:rsid w:val="009C7513"/>
    <w:rsid w:val="009D3882"/>
    <w:rsid w:val="009D7027"/>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E0431"/>
    <w:rsid w:val="00AF2D68"/>
    <w:rsid w:val="00AF7D0A"/>
    <w:rsid w:val="00B037BA"/>
    <w:rsid w:val="00B113BE"/>
    <w:rsid w:val="00B20139"/>
    <w:rsid w:val="00B218DA"/>
    <w:rsid w:val="00B2362C"/>
    <w:rsid w:val="00B3023E"/>
    <w:rsid w:val="00B342FA"/>
    <w:rsid w:val="00B53E8B"/>
    <w:rsid w:val="00B55F09"/>
    <w:rsid w:val="00B576FC"/>
    <w:rsid w:val="00B774D2"/>
    <w:rsid w:val="00B8015A"/>
    <w:rsid w:val="00B81657"/>
    <w:rsid w:val="00B82A57"/>
    <w:rsid w:val="00BA053B"/>
    <w:rsid w:val="00BB1D7A"/>
    <w:rsid w:val="00BB35AE"/>
    <w:rsid w:val="00BC03A1"/>
    <w:rsid w:val="00BC0D25"/>
    <w:rsid w:val="00BD2505"/>
    <w:rsid w:val="00BE22E1"/>
    <w:rsid w:val="00BE592D"/>
    <w:rsid w:val="00BF512E"/>
    <w:rsid w:val="00BF52B0"/>
    <w:rsid w:val="00BF5697"/>
    <w:rsid w:val="00C14CCC"/>
    <w:rsid w:val="00C1624E"/>
    <w:rsid w:val="00C1695E"/>
    <w:rsid w:val="00C22C1C"/>
    <w:rsid w:val="00C33F2E"/>
    <w:rsid w:val="00C34936"/>
    <w:rsid w:val="00C34C14"/>
    <w:rsid w:val="00C355B9"/>
    <w:rsid w:val="00C36FD7"/>
    <w:rsid w:val="00C37EF1"/>
    <w:rsid w:val="00C401C4"/>
    <w:rsid w:val="00C41680"/>
    <w:rsid w:val="00C47FA7"/>
    <w:rsid w:val="00C60A25"/>
    <w:rsid w:val="00C765C5"/>
    <w:rsid w:val="00C775CE"/>
    <w:rsid w:val="00C82479"/>
    <w:rsid w:val="00C84098"/>
    <w:rsid w:val="00C867F0"/>
    <w:rsid w:val="00C9293D"/>
    <w:rsid w:val="00C944A3"/>
    <w:rsid w:val="00CA06D8"/>
    <w:rsid w:val="00CA345A"/>
    <w:rsid w:val="00CB3DDB"/>
    <w:rsid w:val="00CB49FF"/>
    <w:rsid w:val="00CB6368"/>
    <w:rsid w:val="00CC02CF"/>
    <w:rsid w:val="00CC086A"/>
    <w:rsid w:val="00CD0E24"/>
    <w:rsid w:val="00CD0F66"/>
    <w:rsid w:val="00CD364B"/>
    <w:rsid w:val="00CE23B8"/>
    <w:rsid w:val="00CE284E"/>
    <w:rsid w:val="00CE50D7"/>
    <w:rsid w:val="00CF4CBE"/>
    <w:rsid w:val="00D00344"/>
    <w:rsid w:val="00D1754D"/>
    <w:rsid w:val="00D2223F"/>
    <w:rsid w:val="00D2353D"/>
    <w:rsid w:val="00D274A4"/>
    <w:rsid w:val="00D2759E"/>
    <w:rsid w:val="00D277AF"/>
    <w:rsid w:val="00D31163"/>
    <w:rsid w:val="00D320B1"/>
    <w:rsid w:val="00D33AFD"/>
    <w:rsid w:val="00D36489"/>
    <w:rsid w:val="00D369E9"/>
    <w:rsid w:val="00D42195"/>
    <w:rsid w:val="00D43CFF"/>
    <w:rsid w:val="00D50704"/>
    <w:rsid w:val="00D5760A"/>
    <w:rsid w:val="00D61410"/>
    <w:rsid w:val="00D8181D"/>
    <w:rsid w:val="00D83AD8"/>
    <w:rsid w:val="00D968D8"/>
    <w:rsid w:val="00DA563D"/>
    <w:rsid w:val="00DA7277"/>
    <w:rsid w:val="00DB3627"/>
    <w:rsid w:val="00DB4724"/>
    <w:rsid w:val="00DB6944"/>
    <w:rsid w:val="00DC463A"/>
    <w:rsid w:val="00DC4746"/>
    <w:rsid w:val="00DD3171"/>
    <w:rsid w:val="00DE7149"/>
    <w:rsid w:val="00E0314C"/>
    <w:rsid w:val="00E065AF"/>
    <w:rsid w:val="00E1508F"/>
    <w:rsid w:val="00E261DF"/>
    <w:rsid w:val="00E27240"/>
    <w:rsid w:val="00E27EDD"/>
    <w:rsid w:val="00E30584"/>
    <w:rsid w:val="00E310B9"/>
    <w:rsid w:val="00E349B2"/>
    <w:rsid w:val="00E37E1B"/>
    <w:rsid w:val="00E47A4F"/>
    <w:rsid w:val="00E562C0"/>
    <w:rsid w:val="00E57FAF"/>
    <w:rsid w:val="00E672D6"/>
    <w:rsid w:val="00E675E7"/>
    <w:rsid w:val="00E76024"/>
    <w:rsid w:val="00E81AB5"/>
    <w:rsid w:val="00E84ACB"/>
    <w:rsid w:val="00E856A2"/>
    <w:rsid w:val="00E967AD"/>
    <w:rsid w:val="00E96884"/>
    <w:rsid w:val="00EA5435"/>
    <w:rsid w:val="00EA5F47"/>
    <w:rsid w:val="00EA6065"/>
    <w:rsid w:val="00EB17A5"/>
    <w:rsid w:val="00EB455E"/>
    <w:rsid w:val="00EB4676"/>
    <w:rsid w:val="00EC298D"/>
    <w:rsid w:val="00EC79DE"/>
    <w:rsid w:val="00ED4030"/>
    <w:rsid w:val="00ED4ACE"/>
    <w:rsid w:val="00EE2989"/>
    <w:rsid w:val="00EE4D35"/>
    <w:rsid w:val="00EF2DA7"/>
    <w:rsid w:val="00F1412B"/>
    <w:rsid w:val="00F15BFA"/>
    <w:rsid w:val="00F27945"/>
    <w:rsid w:val="00F279C2"/>
    <w:rsid w:val="00F34FAB"/>
    <w:rsid w:val="00F435AA"/>
    <w:rsid w:val="00F5738A"/>
    <w:rsid w:val="00F612D4"/>
    <w:rsid w:val="00F7389E"/>
    <w:rsid w:val="00F77F1D"/>
    <w:rsid w:val="00F87CCB"/>
    <w:rsid w:val="00FA48C7"/>
    <w:rsid w:val="00FB51FB"/>
    <w:rsid w:val="00FB73C1"/>
    <w:rsid w:val="00FC5D2C"/>
    <w:rsid w:val="00FD138F"/>
    <w:rsid w:val="00FD2935"/>
    <w:rsid w:val="00FE0738"/>
    <w:rsid w:val="00FF26EC"/>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ListTable3-Accent112">
    <w:name w:val="List Table 3 - Accent 112"/>
    <w:basedOn w:val="TableNormal"/>
    <w:next w:val="TableNormal"/>
    <w:uiPriority w:val="48"/>
    <w:rsid w:val="00195391"/>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Caption">
    <w:name w:val="caption"/>
    <w:basedOn w:val="Normal"/>
    <w:next w:val="Normal"/>
    <w:uiPriority w:val="35"/>
    <w:unhideWhenUsed/>
    <w:qFormat/>
    <w:rsid w:val="00195391"/>
    <w:pPr>
      <w:spacing w:line="240" w:lineRule="auto"/>
    </w:pPr>
    <w:rPr>
      <w:i/>
      <w:iCs/>
      <w:color w:val="1F497D" w:themeColor="text2"/>
      <w:sz w:val="18"/>
      <w:szCs w:val="18"/>
    </w:rPr>
  </w:style>
  <w:style w:type="table" w:customStyle="1" w:styleId="TableGrid2">
    <w:name w:val="Table Grid2"/>
    <w:basedOn w:val="TableNormal"/>
    <w:uiPriority w:val="59"/>
    <w:rsid w:val="0071126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0738"/>
    <w:pPr>
      <w:widowControl w:val="0"/>
      <w:autoSpaceDE w:val="0"/>
      <w:autoSpaceDN w:val="0"/>
      <w:adjustRightInd w:val="0"/>
      <w:spacing w:before="120" w:after="0" w:line="240" w:lineRule="auto"/>
    </w:pPr>
    <w:rPr>
      <w:rFonts w:ascii="Trebuchet MS" w:eastAsia="Times New Roman" w:hAnsi="Trebuchet MS" w:cs="Trebuchet MS"/>
      <w:color w:val="000000"/>
      <w:sz w:val="24"/>
      <w:szCs w:val="24"/>
    </w:rPr>
  </w:style>
  <w:style w:type="character" w:styleId="UnresolvedMention">
    <w:name w:val="Unresolved Mention"/>
    <w:basedOn w:val="DefaultParagraphFont"/>
    <w:uiPriority w:val="99"/>
    <w:semiHidden/>
    <w:unhideWhenUsed/>
    <w:rsid w:val="00784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87405">
      <w:bodyDiv w:val="1"/>
      <w:marLeft w:val="0"/>
      <w:marRight w:val="0"/>
      <w:marTop w:val="0"/>
      <w:marBottom w:val="0"/>
      <w:divBdr>
        <w:top w:val="none" w:sz="0" w:space="0" w:color="auto"/>
        <w:left w:val="none" w:sz="0" w:space="0" w:color="auto"/>
        <w:bottom w:val="none" w:sz="0" w:space="0" w:color="auto"/>
        <w:right w:val="none" w:sz="0" w:space="0" w:color="auto"/>
      </w:divBdr>
    </w:div>
    <w:div w:id="46759426">
      <w:bodyDiv w:val="1"/>
      <w:marLeft w:val="0"/>
      <w:marRight w:val="0"/>
      <w:marTop w:val="0"/>
      <w:marBottom w:val="0"/>
      <w:divBdr>
        <w:top w:val="none" w:sz="0" w:space="0" w:color="auto"/>
        <w:left w:val="none" w:sz="0" w:space="0" w:color="auto"/>
        <w:bottom w:val="none" w:sz="0" w:space="0" w:color="auto"/>
        <w:right w:val="none" w:sz="0" w:space="0" w:color="auto"/>
      </w:divBdr>
    </w:div>
    <w:div w:id="48305911">
      <w:bodyDiv w:val="1"/>
      <w:marLeft w:val="0"/>
      <w:marRight w:val="0"/>
      <w:marTop w:val="0"/>
      <w:marBottom w:val="0"/>
      <w:divBdr>
        <w:top w:val="none" w:sz="0" w:space="0" w:color="auto"/>
        <w:left w:val="none" w:sz="0" w:space="0" w:color="auto"/>
        <w:bottom w:val="none" w:sz="0" w:space="0" w:color="auto"/>
        <w:right w:val="none" w:sz="0" w:space="0" w:color="auto"/>
      </w:divBdr>
    </w:div>
    <w:div w:id="112217516">
      <w:bodyDiv w:val="1"/>
      <w:marLeft w:val="0"/>
      <w:marRight w:val="0"/>
      <w:marTop w:val="0"/>
      <w:marBottom w:val="0"/>
      <w:divBdr>
        <w:top w:val="none" w:sz="0" w:space="0" w:color="auto"/>
        <w:left w:val="none" w:sz="0" w:space="0" w:color="auto"/>
        <w:bottom w:val="none" w:sz="0" w:space="0" w:color="auto"/>
        <w:right w:val="none" w:sz="0" w:space="0" w:color="auto"/>
      </w:divBdr>
    </w:div>
    <w:div w:id="115219480">
      <w:bodyDiv w:val="1"/>
      <w:marLeft w:val="0"/>
      <w:marRight w:val="0"/>
      <w:marTop w:val="0"/>
      <w:marBottom w:val="0"/>
      <w:divBdr>
        <w:top w:val="none" w:sz="0" w:space="0" w:color="auto"/>
        <w:left w:val="none" w:sz="0" w:space="0" w:color="auto"/>
        <w:bottom w:val="none" w:sz="0" w:space="0" w:color="auto"/>
        <w:right w:val="none" w:sz="0" w:space="0" w:color="auto"/>
      </w:divBdr>
    </w:div>
    <w:div w:id="183061887">
      <w:bodyDiv w:val="1"/>
      <w:marLeft w:val="0"/>
      <w:marRight w:val="0"/>
      <w:marTop w:val="0"/>
      <w:marBottom w:val="0"/>
      <w:divBdr>
        <w:top w:val="none" w:sz="0" w:space="0" w:color="auto"/>
        <w:left w:val="none" w:sz="0" w:space="0" w:color="auto"/>
        <w:bottom w:val="none" w:sz="0" w:space="0" w:color="auto"/>
        <w:right w:val="none" w:sz="0" w:space="0" w:color="auto"/>
      </w:divBdr>
    </w:div>
    <w:div w:id="307906513">
      <w:bodyDiv w:val="1"/>
      <w:marLeft w:val="0"/>
      <w:marRight w:val="0"/>
      <w:marTop w:val="0"/>
      <w:marBottom w:val="0"/>
      <w:divBdr>
        <w:top w:val="none" w:sz="0" w:space="0" w:color="auto"/>
        <w:left w:val="none" w:sz="0" w:space="0" w:color="auto"/>
        <w:bottom w:val="none" w:sz="0" w:space="0" w:color="auto"/>
        <w:right w:val="none" w:sz="0" w:space="0" w:color="auto"/>
      </w:divBdr>
    </w:div>
    <w:div w:id="409279024">
      <w:bodyDiv w:val="1"/>
      <w:marLeft w:val="0"/>
      <w:marRight w:val="0"/>
      <w:marTop w:val="0"/>
      <w:marBottom w:val="0"/>
      <w:divBdr>
        <w:top w:val="none" w:sz="0" w:space="0" w:color="auto"/>
        <w:left w:val="none" w:sz="0" w:space="0" w:color="auto"/>
        <w:bottom w:val="none" w:sz="0" w:space="0" w:color="auto"/>
        <w:right w:val="none" w:sz="0" w:space="0" w:color="auto"/>
      </w:divBdr>
    </w:div>
    <w:div w:id="414088685">
      <w:bodyDiv w:val="1"/>
      <w:marLeft w:val="0"/>
      <w:marRight w:val="0"/>
      <w:marTop w:val="0"/>
      <w:marBottom w:val="0"/>
      <w:divBdr>
        <w:top w:val="none" w:sz="0" w:space="0" w:color="auto"/>
        <w:left w:val="none" w:sz="0" w:space="0" w:color="auto"/>
        <w:bottom w:val="none" w:sz="0" w:space="0" w:color="auto"/>
        <w:right w:val="none" w:sz="0" w:space="0" w:color="auto"/>
      </w:divBdr>
    </w:div>
    <w:div w:id="44723768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6455839">
      <w:bodyDiv w:val="1"/>
      <w:marLeft w:val="0"/>
      <w:marRight w:val="0"/>
      <w:marTop w:val="0"/>
      <w:marBottom w:val="0"/>
      <w:divBdr>
        <w:top w:val="none" w:sz="0" w:space="0" w:color="auto"/>
        <w:left w:val="none" w:sz="0" w:space="0" w:color="auto"/>
        <w:bottom w:val="none" w:sz="0" w:space="0" w:color="auto"/>
        <w:right w:val="none" w:sz="0" w:space="0" w:color="auto"/>
      </w:divBdr>
    </w:div>
    <w:div w:id="568460467">
      <w:bodyDiv w:val="1"/>
      <w:marLeft w:val="0"/>
      <w:marRight w:val="0"/>
      <w:marTop w:val="0"/>
      <w:marBottom w:val="0"/>
      <w:divBdr>
        <w:top w:val="none" w:sz="0" w:space="0" w:color="auto"/>
        <w:left w:val="none" w:sz="0" w:space="0" w:color="auto"/>
        <w:bottom w:val="none" w:sz="0" w:space="0" w:color="auto"/>
        <w:right w:val="none" w:sz="0" w:space="0" w:color="auto"/>
      </w:divBdr>
    </w:div>
    <w:div w:id="581644404">
      <w:bodyDiv w:val="1"/>
      <w:marLeft w:val="0"/>
      <w:marRight w:val="0"/>
      <w:marTop w:val="0"/>
      <w:marBottom w:val="0"/>
      <w:divBdr>
        <w:top w:val="none" w:sz="0" w:space="0" w:color="auto"/>
        <w:left w:val="none" w:sz="0" w:space="0" w:color="auto"/>
        <w:bottom w:val="none" w:sz="0" w:space="0" w:color="auto"/>
        <w:right w:val="none" w:sz="0" w:space="0" w:color="auto"/>
      </w:divBdr>
    </w:div>
    <w:div w:id="861675671">
      <w:bodyDiv w:val="1"/>
      <w:marLeft w:val="0"/>
      <w:marRight w:val="0"/>
      <w:marTop w:val="0"/>
      <w:marBottom w:val="0"/>
      <w:divBdr>
        <w:top w:val="none" w:sz="0" w:space="0" w:color="auto"/>
        <w:left w:val="none" w:sz="0" w:space="0" w:color="auto"/>
        <w:bottom w:val="none" w:sz="0" w:space="0" w:color="auto"/>
        <w:right w:val="none" w:sz="0" w:space="0" w:color="auto"/>
      </w:divBdr>
    </w:div>
    <w:div w:id="883785004">
      <w:bodyDiv w:val="1"/>
      <w:marLeft w:val="0"/>
      <w:marRight w:val="0"/>
      <w:marTop w:val="0"/>
      <w:marBottom w:val="0"/>
      <w:divBdr>
        <w:top w:val="none" w:sz="0" w:space="0" w:color="auto"/>
        <w:left w:val="none" w:sz="0" w:space="0" w:color="auto"/>
        <w:bottom w:val="none" w:sz="0" w:space="0" w:color="auto"/>
        <w:right w:val="none" w:sz="0" w:space="0" w:color="auto"/>
      </w:divBdr>
    </w:div>
    <w:div w:id="886524379">
      <w:bodyDiv w:val="1"/>
      <w:marLeft w:val="0"/>
      <w:marRight w:val="0"/>
      <w:marTop w:val="0"/>
      <w:marBottom w:val="0"/>
      <w:divBdr>
        <w:top w:val="none" w:sz="0" w:space="0" w:color="auto"/>
        <w:left w:val="none" w:sz="0" w:space="0" w:color="auto"/>
        <w:bottom w:val="none" w:sz="0" w:space="0" w:color="auto"/>
        <w:right w:val="none" w:sz="0" w:space="0" w:color="auto"/>
      </w:divBdr>
    </w:div>
    <w:div w:id="1128469767">
      <w:bodyDiv w:val="1"/>
      <w:marLeft w:val="0"/>
      <w:marRight w:val="0"/>
      <w:marTop w:val="0"/>
      <w:marBottom w:val="0"/>
      <w:divBdr>
        <w:top w:val="none" w:sz="0" w:space="0" w:color="auto"/>
        <w:left w:val="none" w:sz="0" w:space="0" w:color="auto"/>
        <w:bottom w:val="none" w:sz="0" w:space="0" w:color="auto"/>
        <w:right w:val="none" w:sz="0" w:space="0" w:color="auto"/>
      </w:divBdr>
    </w:div>
    <w:div w:id="1177616941">
      <w:bodyDiv w:val="1"/>
      <w:marLeft w:val="0"/>
      <w:marRight w:val="0"/>
      <w:marTop w:val="0"/>
      <w:marBottom w:val="0"/>
      <w:divBdr>
        <w:top w:val="none" w:sz="0" w:space="0" w:color="auto"/>
        <w:left w:val="none" w:sz="0" w:space="0" w:color="auto"/>
        <w:bottom w:val="none" w:sz="0" w:space="0" w:color="auto"/>
        <w:right w:val="none" w:sz="0" w:space="0" w:color="auto"/>
      </w:divBdr>
    </w:div>
    <w:div w:id="1184444966">
      <w:bodyDiv w:val="1"/>
      <w:marLeft w:val="0"/>
      <w:marRight w:val="0"/>
      <w:marTop w:val="0"/>
      <w:marBottom w:val="0"/>
      <w:divBdr>
        <w:top w:val="none" w:sz="0" w:space="0" w:color="auto"/>
        <w:left w:val="none" w:sz="0" w:space="0" w:color="auto"/>
        <w:bottom w:val="none" w:sz="0" w:space="0" w:color="auto"/>
        <w:right w:val="none" w:sz="0" w:space="0" w:color="auto"/>
      </w:divBdr>
    </w:div>
    <w:div w:id="1207986852">
      <w:bodyDiv w:val="1"/>
      <w:marLeft w:val="0"/>
      <w:marRight w:val="0"/>
      <w:marTop w:val="0"/>
      <w:marBottom w:val="0"/>
      <w:divBdr>
        <w:top w:val="none" w:sz="0" w:space="0" w:color="auto"/>
        <w:left w:val="none" w:sz="0" w:space="0" w:color="auto"/>
        <w:bottom w:val="none" w:sz="0" w:space="0" w:color="auto"/>
        <w:right w:val="none" w:sz="0" w:space="0" w:color="auto"/>
      </w:divBdr>
    </w:div>
    <w:div w:id="1295717155">
      <w:bodyDiv w:val="1"/>
      <w:marLeft w:val="0"/>
      <w:marRight w:val="0"/>
      <w:marTop w:val="0"/>
      <w:marBottom w:val="0"/>
      <w:divBdr>
        <w:top w:val="none" w:sz="0" w:space="0" w:color="auto"/>
        <w:left w:val="none" w:sz="0" w:space="0" w:color="auto"/>
        <w:bottom w:val="none" w:sz="0" w:space="0" w:color="auto"/>
        <w:right w:val="none" w:sz="0" w:space="0" w:color="auto"/>
      </w:divBdr>
    </w:div>
    <w:div w:id="1295719705">
      <w:bodyDiv w:val="1"/>
      <w:marLeft w:val="0"/>
      <w:marRight w:val="0"/>
      <w:marTop w:val="0"/>
      <w:marBottom w:val="0"/>
      <w:divBdr>
        <w:top w:val="none" w:sz="0" w:space="0" w:color="auto"/>
        <w:left w:val="none" w:sz="0" w:space="0" w:color="auto"/>
        <w:bottom w:val="none" w:sz="0" w:space="0" w:color="auto"/>
        <w:right w:val="none" w:sz="0" w:space="0" w:color="auto"/>
      </w:divBdr>
    </w:div>
    <w:div w:id="1325278756">
      <w:bodyDiv w:val="1"/>
      <w:marLeft w:val="0"/>
      <w:marRight w:val="0"/>
      <w:marTop w:val="0"/>
      <w:marBottom w:val="0"/>
      <w:divBdr>
        <w:top w:val="none" w:sz="0" w:space="0" w:color="auto"/>
        <w:left w:val="none" w:sz="0" w:space="0" w:color="auto"/>
        <w:bottom w:val="none" w:sz="0" w:space="0" w:color="auto"/>
        <w:right w:val="none" w:sz="0" w:space="0" w:color="auto"/>
      </w:divBdr>
    </w:div>
    <w:div w:id="1353998446">
      <w:bodyDiv w:val="1"/>
      <w:marLeft w:val="0"/>
      <w:marRight w:val="0"/>
      <w:marTop w:val="0"/>
      <w:marBottom w:val="0"/>
      <w:divBdr>
        <w:top w:val="none" w:sz="0" w:space="0" w:color="auto"/>
        <w:left w:val="none" w:sz="0" w:space="0" w:color="auto"/>
        <w:bottom w:val="none" w:sz="0" w:space="0" w:color="auto"/>
        <w:right w:val="none" w:sz="0" w:space="0" w:color="auto"/>
      </w:divBdr>
    </w:div>
    <w:div w:id="1366250733">
      <w:bodyDiv w:val="1"/>
      <w:marLeft w:val="0"/>
      <w:marRight w:val="0"/>
      <w:marTop w:val="0"/>
      <w:marBottom w:val="0"/>
      <w:divBdr>
        <w:top w:val="none" w:sz="0" w:space="0" w:color="auto"/>
        <w:left w:val="none" w:sz="0" w:space="0" w:color="auto"/>
        <w:bottom w:val="none" w:sz="0" w:space="0" w:color="auto"/>
        <w:right w:val="none" w:sz="0" w:space="0" w:color="auto"/>
      </w:divBdr>
    </w:div>
    <w:div w:id="142587708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80221123">
      <w:bodyDiv w:val="1"/>
      <w:marLeft w:val="0"/>
      <w:marRight w:val="0"/>
      <w:marTop w:val="0"/>
      <w:marBottom w:val="0"/>
      <w:divBdr>
        <w:top w:val="none" w:sz="0" w:space="0" w:color="auto"/>
        <w:left w:val="none" w:sz="0" w:space="0" w:color="auto"/>
        <w:bottom w:val="none" w:sz="0" w:space="0" w:color="auto"/>
        <w:right w:val="none" w:sz="0" w:space="0" w:color="auto"/>
      </w:divBdr>
    </w:div>
    <w:div w:id="1551722160">
      <w:bodyDiv w:val="1"/>
      <w:marLeft w:val="0"/>
      <w:marRight w:val="0"/>
      <w:marTop w:val="0"/>
      <w:marBottom w:val="0"/>
      <w:divBdr>
        <w:top w:val="none" w:sz="0" w:space="0" w:color="auto"/>
        <w:left w:val="none" w:sz="0" w:space="0" w:color="auto"/>
        <w:bottom w:val="none" w:sz="0" w:space="0" w:color="auto"/>
        <w:right w:val="none" w:sz="0" w:space="0" w:color="auto"/>
      </w:divBdr>
    </w:div>
    <w:div w:id="1577938849">
      <w:bodyDiv w:val="1"/>
      <w:marLeft w:val="0"/>
      <w:marRight w:val="0"/>
      <w:marTop w:val="0"/>
      <w:marBottom w:val="0"/>
      <w:divBdr>
        <w:top w:val="none" w:sz="0" w:space="0" w:color="auto"/>
        <w:left w:val="none" w:sz="0" w:space="0" w:color="auto"/>
        <w:bottom w:val="none" w:sz="0" w:space="0" w:color="auto"/>
        <w:right w:val="none" w:sz="0" w:space="0" w:color="auto"/>
      </w:divBdr>
    </w:div>
    <w:div w:id="1578401547">
      <w:bodyDiv w:val="1"/>
      <w:marLeft w:val="0"/>
      <w:marRight w:val="0"/>
      <w:marTop w:val="0"/>
      <w:marBottom w:val="0"/>
      <w:divBdr>
        <w:top w:val="none" w:sz="0" w:space="0" w:color="auto"/>
        <w:left w:val="none" w:sz="0" w:space="0" w:color="auto"/>
        <w:bottom w:val="none" w:sz="0" w:space="0" w:color="auto"/>
        <w:right w:val="none" w:sz="0" w:space="0" w:color="auto"/>
      </w:divBdr>
    </w:div>
    <w:div w:id="1585988694">
      <w:bodyDiv w:val="1"/>
      <w:marLeft w:val="0"/>
      <w:marRight w:val="0"/>
      <w:marTop w:val="0"/>
      <w:marBottom w:val="0"/>
      <w:divBdr>
        <w:top w:val="none" w:sz="0" w:space="0" w:color="auto"/>
        <w:left w:val="none" w:sz="0" w:space="0" w:color="auto"/>
        <w:bottom w:val="none" w:sz="0" w:space="0" w:color="auto"/>
        <w:right w:val="none" w:sz="0" w:space="0" w:color="auto"/>
      </w:divBdr>
    </w:div>
    <w:div w:id="1609389727">
      <w:bodyDiv w:val="1"/>
      <w:marLeft w:val="0"/>
      <w:marRight w:val="0"/>
      <w:marTop w:val="0"/>
      <w:marBottom w:val="0"/>
      <w:divBdr>
        <w:top w:val="none" w:sz="0" w:space="0" w:color="auto"/>
        <w:left w:val="none" w:sz="0" w:space="0" w:color="auto"/>
        <w:bottom w:val="none" w:sz="0" w:space="0" w:color="auto"/>
        <w:right w:val="none" w:sz="0" w:space="0" w:color="auto"/>
      </w:divBdr>
    </w:div>
    <w:div w:id="1652100974">
      <w:bodyDiv w:val="1"/>
      <w:marLeft w:val="0"/>
      <w:marRight w:val="0"/>
      <w:marTop w:val="0"/>
      <w:marBottom w:val="0"/>
      <w:divBdr>
        <w:top w:val="none" w:sz="0" w:space="0" w:color="auto"/>
        <w:left w:val="none" w:sz="0" w:space="0" w:color="auto"/>
        <w:bottom w:val="none" w:sz="0" w:space="0" w:color="auto"/>
        <w:right w:val="none" w:sz="0" w:space="0" w:color="auto"/>
      </w:divBdr>
    </w:div>
    <w:div w:id="1674333136">
      <w:bodyDiv w:val="1"/>
      <w:marLeft w:val="0"/>
      <w:marRight w:val="0"/>
      <w:marTop w:val="0"/>
      <w:marBottom w:val="0"/>
      <w:divBdr>
        <w:top w:val="none" w:sz="0" w:space="0" w:color="auto"/>
        <w:left w:val="none" w:sz="0" w:space="0" w:color="auto"/>
        <w:bottom w:val="none" w:sz="0" w:space="0" w:color="auto"/>
        <w:right w:val="none" w:sz="0" w:space="0" w:color="auto"/>
      </w:divBdr>
    </w:div>
    <w:div w:id="1680352282">
      <w:bodyDiv w:val="1"/>
      <w:marLeft w:val="0"/>
      <w:marRight w:val="0"/>
      <w:marTop w:val="0"/>
      <w:marBottom w:val="0"/>
      <w:divBdr>
        <w:top w:val="none" w:sz="0" w:space="0" w:color="auto"/>
        <w:left w:val="none" w:sz="0" w:space="0" w:color="auto"/>
        <w:bottom w:val="none" w:sz="0" w:space="0" w:color="auto"/>
        <w:right w:val="none" w:sz="0" w:space="0" w:color="auto"/>
      </w:divBdr>
    </w:div>
    <w:div w:id="1787846454">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82671798">
      <w:bodyDiv w:val="1"/>
      <w:marLeft w:val="0"/>
      <w:marRight w:val="0"/>
      <w:marTop w:val="0"/>
      <w:marBottom w:val="0"/>
      <w:divBdr>
        <w:top w:val="none" w:sz="0" w:space="0" w:color="auto"/>
        <w:left w:val="none" w:sz="0" w:space="0" w:color="auto"/>
        <w:bottom w:val="none" w:sz="0" w:space="0" w:color="auto"/>
        <w:right w:val="none" w:sz="0" w:space="0" w:color="auto"/>
      </w:divBdr>
    </w:div>
    <w:div w:id="2071420671">
      <w:bodyDiv w:val="1"/>
      <w:marLeft w:val="0"/>
      <w:marRight w:val="0"/>
      <w:marTop w:val="0"/>
      <w:marBottom w:val="0"/>
      <w:divBdr>
        <w:top w:val="none" w:sz="0" w:space="0" w:color="auto"/>
        <w:left w:val="none" w:sz="0" w:space="0" w:color="auto"/>
        <w:bottom w:val="none" w:sz="0" w:space="0" w:color="auto"/>
        <w:right w:val="none" w:sz="0" w:space="0" w:color="auto"/>
      </w:divBdr>
    </w:div>
    <w:div w:id="2119792889">
      <w:bodyDiv w:val="1"/>
      <w:marLeft w:val="0"/>
      <w:marRight w:val="0"/>
      <w:marTop w:val="0"/>
      <w:marBottom w:val="0"/>
      <w:divBdr>
        <w:top w:val="none" w:sz="0" w:space="0" w:color="auto"/>
        <w:left w:val="none" w:sz="0" w:space="0" w:color="auto"/>
        <w:bottom w:val="none" w:sz="0" w:space="0" w:color="auto"/>
        <w:right w:val="none" w:sz="0" w:space="0" w:color="auto"/>
      </w:divBdr>
    </w:div>
    <w:div w:id="2121870622">
      <w:bodyDiv w:val="1"/>
      <w:marLeft w:val="0"/>
      <w:marRight w:val="0"/>
      <w:marTop w:val="0"/>
      <w:marBottom w:val="0"/>
      <w:divBdr>
        <w:top w:val="none" w:sz="0" w:space="0" w:color="auto"/>
        <w:left w:val="none" w:sz="0" w:space="0" w:color="auto"/>
        <w:bottom w:val="none" w:sz="0" w:space="0" w:color="auto"/>
        <w:right w:val="none" w:sz="0" w:space="0" w:color="auto"/>
      </w:divBdr>
    </w:div>
    <w:div w:id="21368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qualitynet.cms.gov/files/5d0d3b4e764be766b0105350?filename=HF_Pymnt_MeasMeth_Rprt_092313.pdf"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aspe.hhs.gov/pdf-report/second-impact-report-to-congress"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qualitynet.cms.gov/inpatient/measures/mspb" TargetMode="Externa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s://qualitynet.cms.gov/files/5ea9c5876a6cce001fbe04e5?filename=2020_Payment_MU_SpecsReport.pdf" TargetMode="External"/><Relationship Id="rId20" Type="http://schemas.openxmlformats.org/officeDocument/2006/relationships/hyperlink" Target="https://aspe.hhs.gov/pdf-report/report-congress-social-risk-factors-and-performance-under-medicares-value-based-purchasing-programs"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qualitynet.cms.gov/files/5d0d3b4e764be766b0105350?filename=HF_Pymnt_MeasMeth_Rprt_092313.pdf" TargetMode="External"/><Relationship Id="rId5" Type="http://schemas.openxmlformats.org/officeDocument/2006/relationships/customXml" Target="../customXml/item5.xml"/><Relationship Id="rId15" Type="http://schemas.openxmlformats.org/officeDocument/2006/relationships/hyperlink" Target="https://aspe.hhs.gov/pdf-report/second-impact-report-to-congress" TargetMode="External"/><Relationship Id="rId23" Type="http://schemas.openxmlformats.org/officeDocument/2006/relationships/hyperlink" Target="https://qualitynet.cms.gov/files/5ea9c5876a6cce001fbe04e5?filename=2020_Payment_MU_SpecsReport.pdf"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ncbi.nlm.nih.gov/books/NBK338754/doi:10.17226/21858"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pe.hhs.gov/pdf-report/report-congress-social-risk-factors-and-performance-under-medicares-value-based-purchasing-programs" TargetMode="External"/><Relationship Id="rId22" Type="http://schemas.openxmlformats.org/officeDocument/2006/relationships/hyperlink" Target="https://aspe.hhs.gov/pdf-report/second-impact-report-to-congress" TargetMode="External"/><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C905B989F466441583344F96BD2A3603"/>
        <w:category>
          <w:name w:val="General"/>
          <w:gallery w:val="placeholder"/>
        </w:category>
        <w:types>
          <w:type w:val="bbPlcHdr"/>
        </w:types>
        <w:behaviors>
          <w:behavior w:val="content"/>
        </w:behaviors>
        <w:guid w:val="{F187AF2A-368F-4174-8A7C-F7F03FB62FBC}"/>
      </w:docPartPr>
      <w:docPartBody>
        <w:p w:rsidR="0006500E" w:rsidRDefault="0006500E" w:rsidP="0006500E">
          <w:pPr>
            <w:pStyle w:val="C905B989F466441583344F96BD2A3603"/>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6500E"/>
    <w:rsid w:val="0007516A"/>
    <w:rsid w:val="00127222"/>
    <w:rsid w:val="00165925"/>
    <w:rsid w:val="001736D7"/>
    <w:rsid w:val="00190AF4"/>
    <w:rsid w:val="0019321A"/>
    <w:rsid w:val="002145C1"/>
    <w:rsid w:val="00223FA3"/>
    <w:rsid w:val="0022469A"/>
    <w:rsid w:val="002A288F"/>
    <w:rsid w:val="002C65A7"/>
    <w:rsid w:val="002F052A"/>
    <w:rsid w:val="003363B4"/>
    <w:rsid w:val="00350176"/>
    <w:rsid w:val="003840F0"/>
    <w:rsid w:val="00437537"/>
    <w:rsid w:val="004A7465"/>
    <w:rsid w:val="004D737E"/>
    <w:rsid w:val="004D785E"/>
    <w:rsid w:val="00513FC9"/>
    <w:rsid w:val="0053654E"/>
    <w:rsid w:val="00610196"/>
    <w:rsid w:val="00632A7E"/>
    <w:rsid w:val="00632AB6"/>
    <w:rsid w:val="00703D92"/>
    <w:rsid w:val="00716FC3"/>
    <w:rsid w:val="00730B33"/>
    <w:rsid w:val="00772B2A"/>
    <w:rsid w:val="007C672A"/>
    <w:rsid w:val="007D4368"/>
    <w:rsid w:val="007E7AD7"/>
    <w:rsid w:val="00822666"/>
    <w:rsid w:val="00823ECC"/>
    <w:rsid w:val="00826796"/>
    <w:rsid w:val="00866C97"/>
    <w:rsid w:val="009017AE"/>
    <w:rsid w:val="00922BC9"/>
    <w:rsid w:val="0094336E"/>
    <w:rsid w:val="009C542D"/>
    <w:rsid w:val="00A01A18"/>
    <w:rsid w:val="00A95183"/>
    <w:rsid w:val="00AB4AF7"/>
    <w:rsid w:val="00AD7C4F"/>
    <w:rsid w:val="00AF7B94"/>
    <w:rsid w:val="00B445F5"/>
    <w:rsid w:val="00BD40CB"/>
    <w:rsid w:val="00C362A2"/>
    <w:rsid w:val="00C90121"/>
    <w:rsid w:val="00C96E73"/>
    <w:rsid w:val="00CA1FE8"/>
    <w:rsid w:val="00CA344F"/>
    <w:rsid w:val="00D1676E"/>
    <w:rsid w:val="00D70403"/>
    <w:rsid w:val="00D715C0"/>
    <w:rsid w:val="00D814AB"/>
    <w:rsid w:val="00DA4723"/>
    <w:rsid w:val="00DC0246"/>
    <w:rsid w:val="00E25218"/>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0E"/>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C905B989F466441583344F96BD2A3603">
    <w:name w:val="C905B989F466441583344F96BD2A3603"/>
    <w:rsid w:val="0006500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1C5D1-5768-4810-AD8F-7EE4824E16E2}">
  <ds:schemaRefs>
    <ds:schemaRef ds:uri="http://schemas.openxmlformats.org/officeDocument/2006/bibliography"/>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38</Pages>
  <Words>16058</Words>
  <Characters>91535</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107379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Hassan, Sapha</cp:lastModifiedBy>
  <cp:revision>22</cp:revision>
  <dcterms:created xsi:type="dcterms:W3CDTF">2020-12-27T13:43:00Z</dcterms:created>
  <dcterms:modified xsi:type="dcterms:W3CDTF">2021-04-16T19:35:00Z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