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2B3B3A">
      <w:pPr>
        <w:contextualSpacing/>
        <w:jc w:val="center"/>
        <w:outlineLvl w:val="0"/>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298DE25F" w14:textId="0D99817F" w:rsidR="0039476F" w:rsidRDefault="00797624" w:rsidP="002B3B3A">
      <w:pPr>
        <w:contextualSpacing/>
        <w:outlineLvl w:val="0"/>
        <w:rPr>
          <w:rStyle w:val="Style1"/>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5B5EA3">
            <w:rPr>
              <w:rStyle w:val="Style1"/>
            </w:rPr>
            <w:t>2558</w:t>
          </w:r>
        </w:sdtContent>
      </w:sdt>
    </w:p>
    <w:p w14:paraId="0CABCF56" w14:textId="55F73D51" w:rsidR="00105D8B" w:rsidRPr="0039476F" w:rsidRDefault="00105D8B" w:rsidP="0039476F">
      <w:pPr>
        <w:contextualSpacing/>
        <w:rPr>
          <w:rFonts w:cstheme="minorHAnsi"/>
          <w:b/>
          <w:noProof/>
        </w:rPr>
      </w:pPr>
      <w:r w:rsidRPr="00A25024">
        <w:rPr>
          <w:rFonts w:cstheme="minorHAnsi"/>
          <w:b/>
          <w:noProof/>
        </w:rPr>
        <w:t>Measure Title</w:t>
      </w:r>
      <w:r w:rsidR="00D14E62">
        <w:rPr>
          <w:rFonts w:cstheme="minorHAnsi"/>
          <w:noProof/>
        </w:rPr>
        <w:t xml:space="preserve">: </w:t>
      </w:r>
      <w:r w:rsidR="0039476F" w:rsidRPr="0073282A">
        <w:t xml:space="preserve">Hospital 30-Day, All-Cause, Risk-Standardized Mortality Rate (RSMR) Following Coronary Artery Bypass Graft (CABG) Surgery </w:t>
      </w:r>
    </w:p>
    <w:p w14:paraId="0CABCF57" w14:textId="06AE5FA1"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8-01-05T00:00:00Z">
            <w:dateFormat w:val="M/d/yyyy"/>
            <w:lid w:val="en-US"/>
            <w:storeMappedDataAs w:val="dateTime"/>
            <w:calendar w:val="gregorian"/>
          </w:date>
        </w:sdtPr>
        <w:sdtEndPr>
          <w:rPr>
            <w:rStyle w:val="DefaultParagraphFont"/>
            <w:noProof/>
            <w:color w:val="auto"/>
            <w:u w:val="none"/>
          </w:rPr>
        </w:sdtEndPr>
        <w:sdtContent>
          <w:r w:rsidR="005B5EA3">
            <w:rPr>
              <w:rStyle w:val="Style2"/>
              <w:rFonts w:cstheme="minorHAnsi"/>
            </w:rPr>
            <w:t>1/5/2018</w:t>
          </w:r>
        </w:sdtContent>
      </w:sdt>
    </w:p>
    <w:p w14:paraId="0CABCF58" w14:textId="77777777" w:rsidR="00CD364B" w:rsidRPr="00450C58" w:rsidRDefault="009E1846" w:rsidP="002B3B3A">
      <w:pPr>
        <w:spacing w:after="0"/>
        <w:outlineLvl w:val="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22EC22C2" w:rsidR="000B7D57" w:rsidRPr="00C775CE" w:rsidRDefault="00A15FB4"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C36B31">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36B31">
              <w:rPr>
                <w:rFonts w:cstheme="minorHAnsi"/>
                <w:bCs/>
                <w:shd w:val="clear" w:color="auto" w:fill="FFFF00"/>
              </w:rPr>
              <w:t>Outcome</w:t>
            </w:r>
            <w:r w:rsidR="000B7D57" w:rsidRPr="00C775CE">
              <w:rPr>
                <w:rFonts w:cstheme="minorHAnsi"/>
                <w:bCs/>
              </w:rPr>
              <w:t xml:space="preserv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A15FB4"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A15FB4"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A15FB4"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A15FB4"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A15FB4"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A15FB4"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321D592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w:t>
            </w:r>
            <w:r w:rsidR="00D14E62">
              <w:t>-</w:t>
            </w:r>
            <w:r w:rsidR="008F589F">
              <w:t>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08F8212C" w:rsidR="00145149" w:rsidRPr="000F034A" w:rsidRDefault="00145149" w:rsidP="00145149">
            <w:pPr>
              <w:rPr>
                <w:rFonts w:cstheme="minorHAnsi"/>
              </w:rPr>
            </w:pPr>
            <w:r w:rsidRPr="000F034A">
              <w:rPr>
                <w:rFonts w:cstheme="minorHAnsi"/>
              </w:rPr>
              <w:t>If patient preference (e.g., informed decision</w:t>
            </w:r>
            <w:r w:rsidR="00D14E62">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11"/>
        <w:gridCol w:w="5007"/>
      </w:tblGrid>
      <w:tr w:rsidR="00A01494" w:rsidRPr="00A01494" w14:paraId="0CABCF9A" w14:textId="77777777" w:rsidTr="00FC0FA7">
        <w:trPr>
          <w:jc w:val="center"/>
        </w:trPr>
        <w:tc>
          <w:tcPr>
            <w:tcW w:w="4811"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500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FC0FA7">
        <w:trPr>
          <w:jc w:val="center"/>
        </w:trPr>
        <w:tc>
          <w:tcPr>
            <w:tcW w:w="4811" w:type="dxa"/>
          </w:tcPr>
          <w:p w14:paraId="0CABCF9B" w14:textId="77777777" w:rsidR="00A01494" w:rsidRPr="00A01494" w:rsidRDefault="00A15FB4"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5007" w:type="dxa"/>
          </w:tcPr>
          <w:p w14:paraId="0CABCF9C" w14:textId="77777777" w:rsidR="00A01494" w:rsidRPr="00A01494" w:rsidRDefault="00A15FB4"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FC0FA7">
        <w:trPr>
          <w:jc w:val="center"/>
        </w:trPr>
        <w:tc>
          <w:tcPr>
            <w:tcW w:w="4811" w:type="dxa"/>
          </w:tcPr>
          <w:p w14:paraId="0CABCF9E" w14:textId="6AA6DBE6" w:rsidR="00A01494" w:rsidRPr="000F1B7A" w:rsidRDefault="00A15FB4"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D15E4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D15E44">
              <w:rPr>
                <w:rFonts w:cstheme="minorHAnsi"/>
                <w:bCs/>
                <w:highlight w:val="yellow"/>
              </w:rPr>
              <w:t>claims</w:t>
            </w:r>
          </w:p>
        </w:tc>
        <w:tc>
          <w:tcPr>
            <w:tcW w:w="5007" w:type="dxa"/>
          </w:tcPr>
          <w:p w14:paraId="0CABCF9F" w14:textId="5871DBAE" w:rsidR="00A01494" w:rsidRPr="000F1B7A" w:rsidRDefault="00A15FB4"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31E00">
              <w:rPr>
                <w:rFonts w:cstheme="minorHAnsi"/>
                <w:bCs/>
                <w:highlight w:val="yellow"/>
              </w:rPr>
              <w:t>c</w:t>
            </w:r>
            <w:r w:rsidR="00A01494" w:rsidRPr="00031E00">
              <w:rPr>
                <w:rFonts w:cstheme="minorHAnsi"/>
                <w:bCs/>
                <w:highlight w:val="yellow"/>
              </w:rPr>
              <w:t>laims</w:t>
            </w:r>
          </w:p>
        </w:tc>
      </w:tr>
      <w:tr w:rsidR="00A01494" w:rsidRPr="00A01494" w14:paraId="0CABCFA3" w14:textId="77777777" w:rsidTr="00FC0FA7">
        <w:trPr>
          <w:jc w:val="center"/>
        </w:trPr>
        <w:tc>
          <w:tcPr>
            <w:tcW w:w="4811" w:type="dxa"/>
          </w:tcPr>
          <w:p w14:paraId="0CABCFA1" w14:textId="640643CC" w:rsidR="00A01494" w:rsidRPr="000F1B7A" w:rsidRDefault="00A15FB4"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Content>
                <w:r w:rsidR="002B3B3A">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2B3B3A">
              <w:rPr>
                <w:rFonts w:eastAsia="MS Gothic" w:cstheme="minorHAnsi"/>
                <w:bCs/>
                <w:highlight w:val="yellow"/>
              </w:rPr>
              <w:t>registry</w:t>
            </w:r>
          </w:p>
        </w:tc>
        <w:tc>
          <w:tcPr>
            <w:tcW w:w="5007" w:type="dxa"/>
          </w:tcPr>
          <w:p w14:paraId="0CABCFA2" w14:textId="562084B1" w:rsidR="00A01494" w:rsidRPr="000F1B7A" w:rsidRDefault="00A15FB4"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FC0FA7">
        <w:trPr>
          <w:jc w:val="center"/>
        </w:trPr>
        <w:tc>
          <w:tcPr>
            <w:tcW w:w="4811" w:type="dxa"/>
          </w:tcPr>
          <w:p w14:paraId="0CABCFA4" w14:textId="77777777" w:rsidR="00A01494" w:rsidRPr="000F1B7A" w:rsidRDefault="00A15FB4"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5007" w:type="dxa"/>
          </w:tcPr>
          <w:p w14:paraId="0CABCFA5" w14:textId="77777777" w:rsidR="00A01494" w:rsidRPr="000F1B7A" w:rsidRDefault="00A15FB4"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FC0FA7">
        <w:trPr>
          <w:jc w:val="center"/>
        </w:trPr>
        <w:tc>
          <w:tcPr>
            <w:tcW w:w="4811" w:type="dxa"/>
          </w:tcPr>
          <w:p w14:paraId="0CABCFA7" w14:textId="77777777" w:rsidR="00A01494" w:rsidRPr="000F1B7A" w:rsidRDefault="00A15FB4"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5007" w:type="dxa"/>
          </w:tcPr>
          <w:p w14:paraId="0CABCFA8" w14:textId="77777777" w:rsidR="00A01494" w:rsidRPr="000F1B7A" w:rsidRDefault="00A15FB4"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FC0FA7">
        <w:trPr>
          <w:trHeight w:val="255"/>
          <w:jc w:val="center"/>
        </w:trPr>
        <w:tc>
          <w:tcPr>
            <w:tcW w:w="4811" w:type="dxa"/>
          </w:tcPr>
          <w:p w14:paraId="0CABCFAA" w14:textId="704098AF" w:rsidR="00A01494" w:rsidRPr="000F1B7A" w:rsidRDefault="00A15FB4" w:rsidP="00FC0FA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Content>
                <w:r w:rsidR="00D15E4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p>
        </w:tc>
        <w:tc>
          <w:tcPr>
            <w:tcW w:w="5007" w:type="dxa"/>
          </w:tcPr>
          <w:p w14:paraId="0CABCFAB" w14:textId="48A589B0" w:rsidR="00A01494" w:rsidRPr="000F1B7A" w:rsidRDefault="00A15FB4" w:rsidP="00FC0FA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Content>
                <w:r w:rsidR="00FC0FA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FC0FA7">
              <w:rPr>
                <w:rFonts w:cstheme="minorHAnsi"/>
                <w:bCs/>
                <w:highlight w:val="yellow"/>
              </w:rPr>
              <w:t>other</w:t>
            </w:r>
            <w:r w:rsidR="00A01494" w:rsidRPr="000F1B7A">
              <w:rPr>
                <w:rFonts w:cstheme="minorHAnsi"/>
                <w:bCs/>
              </w:rPr>
              <w:t xml:space="preserve">:  </w:t>
            </w:r>
            <w:sdt>
              <w:sdtPr>
                <w:rPr>
                  <w:rStyle w:val="Style1"/>
                </w:rPr>
                <w:id w:val="1976178076"/>
                <w:text/>
              </w:sdtPr>
              <w:sdtEndPr>
                <w:rPr>
                  <w:rStyle w:val="DefaultParagraphFont"/>
                  <w:rFonts w:cstheme="minorHAnsi"/>
                  <w:bCs/>
                  <w:color w:val="auto"/>
                </w:rPr>
              </w:sdtEndPr>
              <w:sdtContent>
                <w:r w:rsidR="00FC0FA7" w:rsidRPr="00725B5A">
                  <w:rPr>
                    <w:rFonts w:cstheme="minorHAnsi"/>
                    <w:bCs/>
                  </w:rPr>
                  <w:t>Census Data/American Community Survey</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2564E256" w14:textId="1048D466" w:rsidR="00800BAA" w:rsidRDefault="002B5016" w:rsidP="00C74DC0">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5091968" w14:textId="77777777" w:rsidR="00C74DC0" w:rsidRPr="00C74DC0" w:rsidRDefault="00C74DC0" w:rsidP="00C74DC0">
      <w:pPr>
        <w:autoSpaceDE w:val="0"/>
        <w:autoSpaceDN w:val="0"/>
        <w:adjustRightInd w:val="0"/>
        <w:spacing w:after="0" w:line="240" w:lineRule="auto"/>
        <w:rPr>
          <w:rFonts w:cstheme="minorHAnsi"/>
          <w:bCs/>
        </w:rPr>
      </w:pPr>
    </w:p>
    <w:p w14:paraId="7FE33CAB" w14:textId="2230D222" w:rsidR="00897D70" w:rsidRPr="0073282A" w:rsidRDefault="00CB6A4B" w:rsidP="00D14E62">
      <w:pPr>
        <w:pBdr>
          <w:top w:val="single" w:sz="4" w:space="1" w:color="auto"/>
          <w:left w:val="single" w:sz="4" w:space="4" w:color="auto"/>
          <w:bottom w:val="single" w:sz="4" w:space="1" w:color="auto"/>
          <w:right w:val="single" w:sz="4" w:space="4" w:color="auto"/>
        </w:pBdr>
        <w:rPr>
          <w:rFonts w:ascii="Calibri" w:eastAsia="Times New Roman" w:hAnsi="Calibri" w:cs="Arial"/>
          <w:lang w:eastAsia="x-none"/>
        </w:rPr>
      </w:pPr>
      <w:r w:rsidRPr="0073282A">
        <w:rPr>
          <w:rFonts w:ascii="Calibri" w:eastAsia="Times New Roman" w:hAnsi="Calibri" w:cs="Arial"/>
          <w:lang w:val="x-none" w:eastAsia="x-none"/>
        </w:rPr>
        <w:t xml:space="preserve">The datasets used for testing included Medicare Parts A and B claims as well as the Medicare Enrollment Database (EDB). </w:t>
      </w:r>
      <w:r w:rsidR="00897D70" w:rsidRPr="0073282A">
        <w:rPr>
          <w:rFonts w:ascii="Calibri" w:eastAsia="Times New Roman" w:hAnsi="Calibri" w:cs="Arial"/>
          <w:lang w:eastAsia="x-none"/>
        </w:rPr>
        <w:t>In addition, we used</w:t>
      </w:r>
      <w:r w:rsidRPr="0073282A">
        <w:rPr>
          <w:rFonts w:ascii="Calibri" w:eastAsia="Times New Roman" w:hAnsi="Calibri" w:cs="Arial"/>
          <w:lang w:val="x-none" w:eastAsia="x-none"/>
        </w:rPr>
        <w:t xml:space="preserve"> </w:t>
      </w:r>
      <w:r w:rsidR="00897D70" w:rsidRPr="0073282A">
        <w:rPr>
          <w:rFonts w:cstheme="minorHAnsi"/>
          <w:noProof/>
        </w:rPr>
        <w:t xml:space="preserve">clinical data from </w:t>
      </w:r>
      <w:r w:rsidR="00897D70" w:rsidRPr="0073282A">
        <w:t xml:space="preserve">New York State Cardiac Surgery Reporting System, </w:t>
      </w:r>
      <w:r w:rsidR="005B3673" w:rsidRPr="0073282A">
        <w:t xml:space="preserve">and the </w:t>
      </w:r>
      <w:r w:rsidR="00897D70" w:rsidRPr="0073282A">
        <w:rPr>
          <w:rFonts w:cstheme="minorHAnsi"/>
          <w:noProof/>
        </w:rPr>
        <w:t>California all-payer dataset.</w:t>
      </w:r>
      <w:r w:rsidR="00DF0B97" w:rsidRPr="0073282A">
        <w:rPr>
          <w:rFonts w:cstheme="minorHAnsi"/>
          <w:noProof/>
        </w:rPr>
        <w:t xml:space="preserve"> </w:t>
      </w:r>
      <w:r w:rsidR="00897D70" w:rsidRPr="0073282A">
        <w:rPr>
          <w:rFonts w:ascii="Calibri" w:eastAsia="Times New Roman" w:hAnsi="Calibri" w:cs="Arial"/>
          <w:lang w:val="x-none" w:eastAsia="x-none"/>
        </w:rPr>
        <w:t>To assess socioeconomic factors</w:t>
      </w:r>
      <w:r w:rsidR="00DF0B97" w:rsidRPr="0073282A">
        <w:rPr>
          <w:rFonts w:ascii="Calibri" w:eastAsia="Times New Roman" w:hAnsi="Calibri" w:cs="Arial"/>
          <w:lang w:eastAsia="x-none"/>
        </w:rPr>
        <w:t>,</w:t>
      </w:r>
      <w:r w:rsidR="00897D70" w:rsidRPr="0073282A">
        <w:rPr>
          <w:rFonts w:ascii="Calibri" w:eastAsia="Times New Roman" w:hAnsi="Calibri" w:cs="Arial"/>
          <w:lang w:val="x-none" w:eastAsia="x-none"/>
        </w:rPr>
        <w:t xml:space="preserve"> </w:t>
      </w:r>
      <w:r w:rsidR="00897D70" w:rsidRPr="0073282A">
        <w:rPr>
          <w:rFonts w:ascii="Calibri" w:eastAsia="Times New Roman" w:hAnsi="Calibri" w:cs="Arial"/>
          <w:lang w:eastAsia="x-none"/>
        </w:rPr>
        <w:t xml:space="preserve">we used </w:t>
      </w:r>
      <w:r w:rsidR="00897D70" w:rsidRPr="0073282A">
        <w:rPr>
          <w:rFonts w:ascii="Calibri" w:eastAsia="Times New Roman" w:hAnsi="Calibri" w:cs="Arial"/>
          <w:lang w:val="x-none" w:eastAsia="x-none"/>
        </w:rPr>
        <w:t>census as well as claims data</w:t>
      </w:r>
      <w:r w:rsidR="00897D70" w:rsidRPr="0073282A">
        <w:rPr>
          <w:rFonts w:ascii="Calibri" w:eastAsia="Times New Roman" w:hAnsi="Calibri" w:cs="Arial"/>
          <w:lang w:eastAsia="x-none"/>
        </w:rPr>
        <w:t xml:space="preserve"> </w:t>
      </w:r>
      <w:r w:rsidR="00897D70" w:rsidRPr="0073282A">
        <w:rPr>
          <w:rFonts w:ascii="Calibri" w:eastAsia="Times New Roman" w:hAnsi="Calibri" w:cs="Arial"/>
          <w:lang w:val="x-none" w:eastAsia="x-none"/>
        </w:rPr>
        <w:t xml:space="preserve">(dual eligible </w:t>
      </w:r>
      <w:r w:rsidR="00897D70" w:rsidRPr="0073282A">
        <w:rPr>
          <w:rFonts w:ascii="Calibri" w:eastAsia="Times New Roman" w:hAnsi="Calibri" w:cs="Arial"/>
          <w:lang w:eastAsia="x-none"/>
        </w:rPr>
        <w:t xml:space="preserve">status </w:t>
      </w:r>
      <w:r w:rsidR="00897D70" w:rsidRPr="0073282A">
        <w:rPr>
          <w:rFonts w:ascii="Calibri" w:eastAsia="Times New Roman" w:hAnsi="Calibri" w:cs="Arial"/>
          <w:lang w:val="x-none" w:eastAsia="x-none"/>
        </w:rPr>
        <w:t>obtained through enrollment data; Agency for Healthcare Research and Quality (AHRQ) socioeconomic status (SES) index score obtained through census data).</w:t>
      </w:r>
      <w:r w:rsidR="00DF0B97" w:rsidRPr="0073282A">
        <w:rPr>
          <w:rFonts w:ascii="Calibri" w:eastAsia="Times New Roman" w:hAnsi="Calibri" w:cs="Arial"/>
          <w:lang w:eastAsia="x-none"/>
        </w:rPr>
        <w:t xml:space="preserve"> </w:t>
      </w:r>
      <w:r w:rsidR="00186F40" w:rsidRPr="0073282A">
        <w:rPr>
          <w:rFonts w:ascii="Calibri" w:hAnsi="Calibri" w:cs="Arial"/>
        </w:rPr>
        <w:t>The dataset used varies by testing type; see Section 1.7 for details.</w:t>
      </w:r>
    </w:p>
    <w:p w14:paraId="0CABCFB1" w14:textId="31353B54" w:rsidR="000574AB"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D14E62">
        <w:rPr>
          <w:rFonts w:cstheme="minorHAnsi"/>
        </w:rPr>
        <w:tab/>
      </w:r>
      <w:sdt>
        <w:sdtPr>
          <w:rPr>
            <w:rStyle w:val="Style1"/>
            <w:color w:val="auto"/>
          </w:rPr>
          <w:id w:val="950514773"/>
          <w:text/>
        </w:sdtPr>
        <w:sdtEndPr>
          <w:rPr>
            <w:rStyle w:val="DefaultParagraphFont"/>
            <w:rFonts w:cstheme="minorHAnsi"/>
          </w:rPr>
        </w:sdtEndPr>
        <w:sdtContent>
          <w:r w:rsidR="003844B7" w:rsidRPr="0073282A">
            <w:rPr>
              <w:rStyle w:val="Style1"/>
              <w:color w:val="auto"/>
            </w:rPr>
            <w:t>2008-2016</w:t>
          </w:r>
        </w:sdtContent>
      </w:sdt>
    </w:p>
    <w:p w14:paraId="20E9BFEC" w14:textId="427478C8" w:rsidR="00F16E3D" w:rsidRPr="0073282A" w:rsidRDefault="00F16E3D"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t>The dates used vary by testing type; see Section 1.7 for details</w:t>
      </w:r>
    </w:p>
    <w:p w14:paraId="5C7573D6" w14:textId="77777777" w:rsidR="00F16E3D" w:rsidRDefault="00F16E3D"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A15FB4"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A15FB4"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A15FB4"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A15FB4"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52C5C200" w:rsidR="000414E8" w:rsidRPr="00A01494" w:rsidRDefault="00A15FB4"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BA0EA9">
                  <w:rPr>
                    <w:rFonts w:ascii="MS Gothic" w:eastAsia="MS Gothic" w:hAnsi="MS Gothic" w:cstheme="minorHAnsi" w:hint="eastAsia"/>
                    <w:bCs/>
                    <w:color w:val="0000FF"/>
                  </w:rPr>
                  <w:t>☒</w:t>
                </w:r>
              </w:sdtContent>
            </w:sdt>
            <w:r w:rsidR="000414E8">
              <w:rPr>
                <w:rFonts w:cstheme="minorHAnsi"/>
                <w:bCs/>
              </w:rPr>
              <w:t xml:space="preserve"> </w:t>
            </w:r>
            <w:r w:rsidR="000414E8" w:rsidRPr="00BA0EA9">
              <w:rPr>
                <w:rFonts w:eastAsia="MS Gothic" w:cstheme="minorHAnsi"/>
                <w:bCs/>
                <w:highlight w:val="yellow"/>
              </w:rPr>
              <w:t>hospital/facility/agency</w:t>
            </w:r>
          </w:p>
        </w:tc>
        <w:tc>
          <w:tcPr>
            <w:tcW w:w="5028" w:type="dxa"/>
          </w:tcPr>
          <w:p w14:paraId="0CABCFBE" w14:textId="77A99A05" w:rsidR="000414E8" w:rsidRPr="00A01494" w:rsidRDefault="00A15FB4"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307E2D">
                  <w:rPr>
                    <w:rFonts w:ascii="MS Gothic" w:eastAsia="MS Gothic" w:hAnsi="MS Gothic" w:cstheme="minorHAnsi" w:hint="eastAsia"/>
                    <w:bCs/>
                    <w:color w:val="0000FF"/>
                  </w:rPr>
                  <w:t>☒</w:t>
                </w:r>
              </w:sdtContent>
            </w:sdt>
            <w:r w:rsidR="000414E8">
              <w:rPr>
                <w:rFonts w:cstheme="minorHAnsi"/>
                <w:bCs/>
              </w:rPr>
              <w:t xml:space="preserve"> </w:t>
            </w:r>
            <w:r w:rsidR="000414E8" w:rsidRPr="00307E2D">
              <w:rPr>
                <w:rFonts w:eastAsia="MS Gothic" w:cstheme="minorHAnsi"/>
                <w:bCs/>
                <w:highlight w:val="yellow"/>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A15FB4"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A15FB4"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257B0D43" w:rsidR="000414E8" w:rsidRPr="00A01494" w:rsidRDefault="00A15FB4"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54C6E68F" w:rsidR="000414E8" w:rsidRPr="00A01494" w:rsidRDefault="00A15FB4"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CAAD288" w14:textId="77777777" w:rsidR="004463B3" w:rsidRDefault="004463B3" w:rsidP="00DB3627">
      <w:pPr>
        <w:autoSpaceDE w:val="0"/>
        <w:autoSpaceDN w:val="0"/>
        <w:adjustRightInd w:val="0"/>
        <w:spacing w:after="0" w:line="240" w:lineRule="auto"/>
        <w:rPr>
          <w:rFonts w:cstheme="minorHAnsi"/>
          <w:bCs/>
        </w:rPr>
      </w:pPr>
    </w:p>
    <w:p w14:paraId="0CABCFC8" w14:textId="55C26FF1" w:rsidR="002B5016" w:rsidRPr="0073282A" w:rsidRDefault="004463B3"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 xml:space="preserve">For this measure, hospitals are the measured entities. All non-federal, acute inpatient US hospitals (including territories) with Medicare </w:t>
      </w:r>
      <w:r w:rsidR="001F0208" w:rsidRPr="0073282A">
        <w:rPr>
          <w:rFonts w:cstheme="minorHAnsi"/>
          <w:bCs/>
        </w:rPr>
        <w:t>F</w:t>
      </w:r>
      <w:r w:rsidRPr="0073282A">
        <w:rPr>
          <w:rFonts w:cstheme="minorHAnsi"/>
          <w:bCs/>
        </w:rPr>
        <w:t>ee-</w:t>
      </w:r>
      <w:r w:rsidR="001F0208" w:rsidRPr="0073282A">
        <w:rPr>
          <w:rFonts w:cstheme="minorHAnsi"/>
          <w:bCs/>
        </w:rPr>
        <w:t>f</w:t>
      </w:r>
      <w:r w:rsidRPr="0073282A">
        <w:rPr>
          <w:rFonts w:cstheme="minorHAnsi"/>
          <w:bCs/>
        </w:rPr>
        <w:t>or-</w:t>
      </w:r>
      <w:r w:rsidR="001F0208" w:rsidRPr="0073282A">
        <w:rPr>
          <w:rFonts w:cstheme="minorHAnsi"/>
          <w:bCs/>
        </w:rPr>
        <w:t>S</w:t>
      </w:r>
      <w:r w:rsidRPr="0073282A">
        <w:rPr>
          <w:rFonts w:cstheme="minorHAnsi"/>
          <w:bCs/>
        </w:rPr>
        <w:t>ervice (FFS) beneficiaries aged 65 years or over are included. The number of measured entities (hospitals) varies by testing type; see Section 1.7 for details</w:t>
      </w:r>
      <w:r w:rsidR="00847CE8" w:rsidRPr="0073282A">
        <w:rPr>
          <w:rFonts w:cstheme="minorHAnsi"/>
          <w:bCs/>
        </w:rPr>
        <w:t>.</w:t>
      </w:r>
    </w:p>
    <w:p w14:paraId="6BE1BD9A" w14:textId="05A482E8" w:rsidR="00202D27" w:rsidRPr="00A25024" w:rsidRDefault="00202D27" w:rsidP="00DB3627">
      <w:pPr>
        <w:autoSpaceDE w:val="0"/>
        <w:autoSpaceDN w:val="0"/>
        <w:adjustRightInd w:val="0"/>
        <w:spacing w:after="0" w:line="240" w:lineRule="auto"/>
        <w:rPr>
          <w:rFonts w:cstheme="minorHAnsi"/>
          <w:bCs/>
        </w:rPr>
      </w:pPr>
    </w:p>
    <w:p w14:paraId="037743B6" w14:textId="77777777" w:rsidR="00C13ED3"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460A3C3B" w14:textId="77777777" w:rsidR="00E45CBC" w:rsidRDefault="00E45CBC" w:rsidP="00DB3627">
      <w:pPr>
        <w:autoSpaceDE w:val="0"/>
        <w:autoSpaceDN w:val="0"/>
        <w:adjustRightInd w:val="0"/>
        <w:spacing w:after="0" w:line="240" w:lineRule="auto"/>
        <w:rPr>
          <w:rFonts w:cstheme="minorHAnsi"/>
          <w:bCs/>
        </w:rPr>
      </w:pPr>
    </w:p>
    <w:p w14:paraId="2A354355" w14:textId="6B94C9AF" w:rsidR="00C13ED3" w:rsidRPr="0073282A" w:rsidRDefault="00E45CBC"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bCs/>
        </w:rPr>
      </w:pPr>
      <w:r w:rsidRPr="0073282A">
        <w:rPr>
          <w:rFonts w:cstheme="minorHAnsi"/>
          <w:bCs/>
        </w:rPr>
        <w:t>The number of admissions/patients varies by testing type; see Section 1.7 for details.</w:t>
      </w:r>
    </w:p>
    <w:p w14:paraId="0CABCFC9" w14:textId="67A51ED3" w:rsidR="007422FD" w:rsidRPr="00C13ED3" w:rsidRDefault="007422FD" w:rsidP="00DB3627">
      <w:pPr>
        <w:autoSpaceDE w:val="0"/>
        <w:autoSpaceDN w:val="0"/>
        <w:adjustRightInd w:val="0"/>
        <w:spacing w:after="0" w:line="240" w:lineRule="auto"/>
        <w:rPr>
          <w:rFonts w:cstheme="minorHAnsi"/>
          <w:bCs/>
          <w:color w:val="FF0000"/>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CABCFCB" w14:textId="77777777" w:rsidR="00E37E1B" w:rsidRDefault="00E37E1B" w:rsidP="00E37E1B">
      <w:pPr>
        <w:autoSpaceDE w:val="0"/>
        <w:autoSpaceDN w:val="0"/>
        <w:adjustRightInd w:val="0"/>
        <w:spacing w:after="0" w:line="240" w:lineRule="auto"/>
        <w:rPr>
          <w:rFonts w:cstheme="minorHAnsi"/>
          <w:bCs/>
        </w:rPr>
      </w:pPr>
    </w:p>
    <w:p w14:paraId="32299673" w14:textId="77777777" w:rsidR="002F08C3" w:rsidRPr="0073282A" w:rsidRDefault="002F08C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bookmarkStart w:id="11" w:name="_Hlk500503463"/>
      <w:r w:rsidRPr="0073282A">
        <w:rPr>
          <w:rFonts w:cstheme="minorHAnsi"/>
          <w:noProof/>
        </w:rPr>
        <w:t>The datasets, dates, number of measured hospitals, and number of admissions used in each type of testing are as follows:</w:t>
      </w:r>
    </w:p>
    <w:p w14:paraId="007D77D2" w14:textId="635F4F87" w:rsidR="002F08C3" w:rsidRPr="0073282A" w:rsidRDefault="002F08C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p>
    <w:p w14:paraId="573FA47E" w14:textId="4B9EE093" w:rsidR="002F08C3" w:rsidRPr="0073282A" w:rsidRDefault="002F08C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noProof/>
          <w:u w:val="single"/>
        </w:rPr>
      </w:pPr>
      <w:r w:rsidRPr="0073282A">
        <w:rPr>
          <w:rFonts w:cstheme="minorHAnsi"/>
          <w:noProof/>
          <w:u w:val="single"/>
        </w:rPr>
        <w:t xml:space="preserve">For </w:t>
      </w:r>
      <w:r w:rsidR="005528AA" w:rsidRPr="0073282A">
        <w:rPr>
          <w:rFonts w:cstheme="minorHAnsi"/>
          <w:noProof/>
          <w:u w:val="single"/>
        </w:rPr>
        <w:t>R</w:t>
      </w:r>
      <w:r w:rsidRPr="0073282A">
        <w:rPr>
          <w:rFonts w:cstheme="minorHAnsi"/>
          <w:noProof/>
          <w:u w:val="single"/>
        </w:rPr>
        <w:t xml:space="preserve">eliability </w:t>
      </w:r>
      <w:r w:rsidR="005528AA" w:rsidRPr="0073282A">
        <w:rPr>
          <w:rFonts w:cstheme="minorHAnsi"/>
          <w:noProof/>
          <w:u w:val="single"/>
        </w:rPr>
        <w:t>T</w:t>
      </w:r>
      <w:r w:rsidRPr="0073282A">
        <w:rPr>
          <w:rFonts w:cstheme="minorHAnsi"/>
          <w:noProof/>
          <w:u w:val="single"/>
        </w:rPr>
        <w:t>esting</w:t>
      </w:r>
    </w:p>
    <w:p w14:paraId="65B42989" w14:textId="291A3FBF" w:rsidR="00C00D19" w:rsidRPr="0073282A" w:rsidRDefault="003B7E4D"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F</w:t>
      </w:r>
      <w:r w:rsidR="00847CE8" w:rsidRPr="0073282A">
        <w:rPr>
          <w:rFonts w:cstheme="minorHAnsi"/>
          <w:noProof/>
        </w:rPr>
        <w:t xml:space="preserve">or reliability testing, we randomly split </w:t>
      </w:r>
      <w:r w:rsidR="002D1611" w:rsidRPr="0073282A">
        <w:rPr>
          <w:rFonts w:cstheme="minorHAnsi"/>
          <w:b/>
          <w:noProof/>
        </w:rPr>
        <w:t xml:space="preserve">Dataset </w:t>
      </w:r>
      <w:r w:rsidR="005D0A4D" w:rsidRPr="0073282A">
        <w:rPr>
          <w:rFonts w:cstheme="minorHAnsi"/>
          <w:b/>
          <w:noProof/>
        </w:rPr>
        <w:t>1</w:t>
      </w:r>
      <w:r w:rsidR="00847CE8" w:rsidRPr="0073282A">
        <w:rPr>
          <w:rFonts w:cstheme="minorHAnsi"/>
          <w:noProof/>
        </w:rPr>
        <w:t xml:space="preserve"> into two samples</w:t>
      </w:r>
      <w:r w:rsidR="00C00D19" w:rsidRPr="0073282A">
        <w:rPr>
          <w:rFonts w:cstheme="minorHAnsi"/>
          <w:noProof/>
        </w:rPr>
        <w:t xml:space="preserve">. The reliability of the model was tested by randomly selecting 50% of the Medicare patients aged 65 years and over in the most recent three-year cohort and </w:t>
      </w:r>
      <w:r w:rsidR="005B3673" w:rsidRPr="0073282A">
        <w:rPr>
          <w:rFonts w:cstheme="minorHAnsi"/>
          <w:noProof/>
        </w:rPr>
        <w:t>calculating the risk-standardized mortality rates</w:t>
      </w:r>
      <w:r w:rsidR="001F0208" w:rsidRPr="0073282A">
        <w:rPr>
          <w:rFonts w:cstheme="minorHAnsi"/>
          <w:noProof/>
        </w:rPr>
        <w:t xml:space="preserve"> </w:t>
      </w:r>
      <w:r w:rsidR="00C00D19" w:rsidRPr="0073282A">
        <w:rPr>
          <w:rFonts w:cstheme="minorHAnsi"/>
          <w:noProof/>
        </w:rPr>
        <w:t xml:space="preserve">for this group. We then </w:t>
      </w:r>
      <w:r w:rsidR="005B3673" w:rsidRPr="0073282A">
        <w:rPr>
          <w:rFonts w:cstheme="minorHAnsi"/>
          <w:noProof/>
        </w:rPr>
        <w:t>calculated risk</w:t>
      </w:r>
      <w:r w:rsidR="001F0208" w:rsidRPr="0073282A">
        <w:rPr>
          <w:rFonts w:cstheme="minorHAnsi"/>
          <w:noProof/>
        </w:rPr>
        <w:t>-</w:t>
      </w:r>
      <w:r w:rsidR="005B3673" w:rsidRPr="0073282A">
        <w:rPr>
          <w:rFonts w:cstheme="minorHAnsi"/>
          <w:noProof/>
        </w:rPr>
        <w:t xml:space="preserve">standardized mortality rates in </w:t>
      </w:r>
      <w:r w:rsidR="00C00D19" w:rsidRPr="0073282A">
        <w:rPr>
          <w:rFonts w:cstheme="minorHAnsi"/>
          <w:noProof/>
        </w:rPr>
        <w:t xml:space="preserve">the remaining 50% of patients and compared the </w:t>
      </w:r>
      <w:r w:rsidR="005B3673" w:rsidRPr="0073282A">
        <w:rPr>
          <w:rFonts w:cstheme="minorHAnsi"/>
          <w:noProof/>
        </w:rPr>
        <w:t>results</w:t>
      </w:r>
      <w:r w:rsidR="00C00D19" w:rsidRPr="0073282A">
        <w:rPr>
          <w:rFonts w:cstheme="minorHAnsi"/>
          <w:noProof/>
        </w:rPr>
        <w:t xml:space="preserve"> </w:t>
      </w:r>
      <w:r w:rsidR="005B3673" w:rsidRPr="0073282A">
        <w:rPr>
          <w:rFonts w:cstheme="minorHAnsi"/>
          <w:noProof/>
        </w:rPr>
        <w:t xml:space="preserve">from each sample </w:t>
      </w:r>
      <w:r w:rsidR="00C00D19" w:rsidRPr="0073282A">
        <w:rPr>
          <w:rFonts w:cstheme="minorHAnsi"/>
          <w:noProof/>
        </w:rPr>
        <w:t>to assess reliability of the measure score (</w:t>
      </w:r>
      <w:r w:rsidR="00C00D19" w:rsidRPr="0073282A">
        <w:rPr>
          <w:rFonts w:cstheme="minorHAnsi"/>
          <w:b/>
          <w:noProof/>
        </w:rPr>
        <w:t>Dataset 1</w:t>
      </w:r>
      <w:r w:rsidR="00C00D19" w:rsidRPr="0073282A">
        <w:rPr>
          <w:rFonts w:cstheme="minorHAnsi"/>
          <w:noProof/>
        </w:rPr>
        <w:t xml:space="preserve"> below).</w:t>
      </w:r>
    </w:p>
    <w:p w14:paraId="359AD7E7" w14:textId="286C7ECF" w:rsidR="00FE2CDD" w:rsidRPr="0073282A" w:rsidRDefault="00FE2CDD"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p>
    <w:p w14:paraId="7B891A48" w14:textId="4C1D8C95" w:rsidR="002D1611" w:rsidRPr="0073282A" w:rsidRDefault="002D161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bookmarkStart w:id="12" w:name="_Hlk497397523"/>
      <w:r w:rsidRPr="0073282A">
        <w:rPr>
          <w:rFonts w:cstheme="minorHAnsi"/>
          <w:b/>
          <w:noProof/>
        </w:rPr>
        <w:t xml:space="preserve">Dataset </w:t>
      </w:r>
      <w:r w:rsidR="005D0A4D" w:rsidRPr="0073282A">
        <w:rPr>
          <w:rFonts w:cstheme="minorHAnsi"/>
          <w:b/>
          <w:noProof/>
        </w:rPr>
        <w:t>1</w:t>
      </w:r>
      <w:r w:rsidRPr="0073282A">
        <w:rPr>
          <w:rFonts w:cstheme="minorHAnsi"/>
          <w:noProof/>
        </w:rPr>
        <w:t xml:space="preserve"> (2017 public reporting</w:t>
      </w:r>
      <w:r w:rsidR="00041E38" w:rsidRPr="0073282A">
        <w:rPr>
          <w:rFonts w:cstheme="minorHAnsi"/>
          <w:noProof/>
        </w:rPr>
        <w:t xml:space="preserve"> cohort</w:t>
      </w:r>
      <w:r w:rsidRPr="0073282A">
        <w:rPr>
          <w:rFonts w:cstheme="minorHAnsi"/>
          <w:noProof/>
        </w:rPr>
        <w:t>): Medicare Part A Inpatient and Outpatient and Part B Outpatient claims</w:t>
      </w:r>
      <w:r w:rsidR="00041E38" w:rsidRPr="0073282A">
        <w:rPr>
          <w:rFonts w:cstheme="minorHAnsi"/>
          <w:noProof/>
        </w:rPr>
        <w:t xml:space="preserve"> Data</w:t>
      </w:r>
    </w:p>
    <w:p w14:paraId="55C23BD5" w14:textId="5FEC0B81" w:rsidR="002D1611" w:rsidRPr="0073282A" w:rsidRDefault="002D161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Dates of Data: July 1, 201</w:t>
      </w:r>
      <w:r w:rsidR="00041E38" w:rsidRPr="0073282A">
        <w:rPr>
          <w:rFonts w:cstheme="minorHAnsi"/>
          <w:noProof/>
        </w:rPr>
        <w:t>3 – June 30, 2016</w:t>
      </w:r>
    </w:p>
    <w:p w14:paraId="177E4800" w14:textId="6F0C3BC7" w:rsidR="002D1611" w:rsidRPr="0073282A" w:rsidRDefault="002D161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 xml:space="preserve">Number of Admissions: </w:t>
      </w:r>
      <w:r w:rsidR="00054A89" w:rsidRPr="0073282A">
        <w:rPr>
          <w:rFonts w:cstheme="minorHAnsi"/>
          <w:noProof/>
        </w:rPr>
        <w:t>138</w:t>
      </w:r>
      <w:r w:rsidR="00256D0D" w:rsidRPr="0073282A">
        <w:rPr>
          <w:rFonts w:cstheme="minorHAnsi"/>
          <w:noProof/>
        </w:rPr>
        <w:t>,</w:t>
      </w:r>
      <w:r w:rsidR="00054A89" w:rsidRPr="0073282A">
        <w:rPr>
          <w:rFonts w:cstheme="minorHAnsi"/>
          <w:noProof/>
        </w:rPr>
        <w:t>661</w:t>
      </w:r>
    </w:p>
    <w:p w14:paraId="629CF7DF" w14:textId="1AEEA3A3" w:rsidR="002D1611" w:rsidRPr="0073282A" w:rsidRDefault="002D161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Patient Descriptive Characteristics: average age=</w:t>
      </w:r>
      <w:r w:rsidR="001A5F2A" w:rsidRPr="0073282A">
        <w:rPr>
          <w:rFonts w:cstheme="minorHAnsi"/>
          <w:noProof/>
        </w:rPr>
        <w:t>73.7</w:t>
      </w:r>
      <w:r w:rsidRPr="0073282A">
        <w:rPr>
          <w:rFonts w:cstheme="minorHAnsi"/>
          <w:noProof/>
        </w:rPr>
        <w:t>, % male=</w:t>
      </w:r>
      <w:r w:rsidR="006F506D" w:rsidRPr="0073282A">
        <w:rPr>
          <w:rFonts w:cstheme="minorHAnsi"/>
          <w:noProof/>
        </w:rPr>
        <w:t>71.7</w:t>
      </w:r>
    </w:p>
    <w:p w14:paraId="495C3335" w14:textId="108D14E2" w:rsidR="002D1611" w:rsidRPr="0073282A" w:rsidRDefault="002D161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 xml:space="preserve">Number of Measured Hospitals: </w:t>
      </w:r>
      <w:r w:rsidR="00054A89" w:rsidRPr="0073282A">
        <w:rPr>
          <w:rFonts w:cstheme="minorHAnsi"/>
          <w:noProof/>
        </w:rPr>
        <w:t>1</w:t>
      </w:r>
      <w:r w:rsidRPr="0073282A">
        <w:rPr>
          <w:rFonts w:cstheme="minorHAnsi"/>
          <w:noProof/>
        </w:rPr>
        <w:t>,</w:t>
      </w:r>
      <w:r w:rsidR="00054A89" w:rsidRPr="0073282A">
        <w:rPr>
          <w:rFonts w:cstheme="minorHAnsi"/>
          <w:noProof/>
        </w:rPr>
        <w:t>185</w:t>
      </w:r>
    </w:p>
    <w:bookmarkEnd w:id="12"/>
    <w:p w14:paraId="714E2AE0" w14:textId="457DF405" w:rsidR="00847CE8" w:rsidRPr="0073282A" w:rsidRDefault="00847CE8"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p>
    <w:p w14:paraId="3F965DED" w14:textId="0B71BE89" w:rsidR="002F08C3" w:rsidRPr="0073282A" w:rsidRDefault="002F08C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noProof/>
          <w:u w:val="single"/>
        </w:rPr>
      </w:pPr>
      <w:r w:rsidRPr="0073282A">
        <w:rPr>
          <w:rFonts w:cstheme="minorHAnsi"/>
          <w:noProof/>
          <w:u w:val="single"/>
        </w:rPr>
        <w:t xml:space="preserve">For </w:t>
      </w:r>
      <w:r w:rsidR="005528AA" w:rsidRPr="0073282A">
        <w:rPr>
          <w:rFonts w:cstheme="minorHAnsi"/>
          <w:noProof/>
          <w:u w:val="single"/>
        </w:rPr>
        <w:t>V</w:t>
      </w:r>
      <w:r w:rsidRPr="0073282A">
        <w:rPr>
          <w:rFonts w:cstheme="minorHAnsi"/>
          <w:noProof/>
          <w:u w:val="single"/>
        </w:rPr>
        <w:t xml:space="preserve">alidity </w:t>
      </w:r>
      <w:r w:rsidR="005528AA" w:rsidRPr="0073282A">
        <w:rPr>
          <w:rFonts w:cstheme="minorHAnsi"/>
          <w:noProof/>
          <w:u w:val="single"/>
        </w:rPr>
        <w:t>T</w:t>
      </w:r>
      <w:r w:rsidRPr="0073282A">
        <w:rPr>
          <w:rFonts w:cstheme="minorHAnsi"/>
          <w:noProof/>
          <w:u w:val="single"/>
        </w:rPr>
        <w:t>esting</w:t>
      </w:r>
    </w:p>
    <w:p w14:paraId="10FA561B" w14:textId="418BB465" w:rsidR="00E93557" w:rsidRPr="0073282A" w:rsidRDefault="003A756B"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noProof/>
        </w:rPr>
      </w:pPr>
      <w:r w:rsidRPr="0073282A">
        <w:rPr>
          <w:rFonts w:cstheme="minorHAnsi"/>
          <w:noProof/>
        </w:rPr>
        <w:t>We assessed the face validity of the measure score using the Technical Expert Panel</w:t>
      </w:r>
      <w:r w:rsidR="00256D0D" w:rsidRPr="0073282A">
        <w:rPr>
          <w:rFonts w:cstheme="minorHAnsi"/>
          <w:noProof/>
        </w:rPr>
        <w:t xml:space="preserve"> (TEP)</w:t>
      </w:r>
      <w:r w:rsidRPr="0073282A">
        <w:rPr>
          <w:rFonts w:cstheme="minorHAnsi"/>
          <w:noProof/>
        </w:rPr>
        <w:t>.</w:t>
      </w:r>
    </w:p>
    <w:p w14:paraId="6606073D" w14:textId="08B968C2"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noProof/>
        </w:rPr>
      </w:pPr>
    </w:p>
    <w:p w14:paraId="76DB11F0" w14:textId="6F753E80"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u w:val="single"/>
        </w:rPr>
      </w:pPr>
      <w:r w:rsidRPr="0073282A">
        <w:rPr>
          <w:rFonts w:cstheme="minorHAnsi"/>
          <w:noProof/>
          <w:u w:val="single"/>
        </w:rPr>
        <w:t xml:space="preserve">For </w:t>
      </w:r>
      <w:r w:rsidR="005528AA" w:rsidRPr="0073282A">
        <w:rPr>
          <w:rFonts w:cstheme="minorHAnsi"/>
          <w:noProof/>
          <w:u w:val="single"/>
        </w:rPr>
        <w:t xml:space="preserve">Testing of Measure Exclusion </w:t>
      </w:r>
    </w:p>
    <w:p w14:paraId="608FCAE5" w14:textId="4712C4D2"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noProof/>
        </w:rPr>
      </w:pPr>
      <w:bookmarkStart w:id="13" w:name="_Hlk500494966"/>
      <w:r w:rsidRPr="0073282A">
        <w:rPr>
          <w:rFonts w:cstheme="minorHAnsi"/>
          <w:b/>
          <w:noProof/>
        </w:rPr>
        <w:t>Dataset 1</w:t>
      </w:r>
      <w:r w:rsidRPr="0073282A">
        <w:rPr>
          <w:rFonts w:cstheme="minorHAnsi"/>
          <w:noProof/>
        </w:rPr>
        <w:t xml:space="preserve"> (2017 public reporting cohort)</w:t>
      </w:r>
    </w:p>
    <w:bookmarkEnd w:id="13"/>
    <w:p w14:paraId="5CAA41AD" w14:textId="5EACBABD"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noProof/>
        </w:rPr>
      </w:pPr>
    </w:p>
    <w:p w14:paraId="2384CD0A" w14:textId="7FEBB3F3"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u w:val="single"/>
        </w:rPr>
      </w:pPr>
      <w:r w:rsidRPr="0073282A">
        <w:rPr>
          <w:rFonts w:cstheme="minorHAnsi"/>
          <w:noProof/>
          <w:u w:val="single"/>
        </w:rPr>
        <w:t xml:space="preserve">For </w:t>
      </w:r>
      <w:r w:rsidR="005528AA" w:rsidRPr="0073282A">
        <w:rPr>
          <w:rFonts w:cstheme="minorHAnsi"/>
          <w:noProof/>
          <w:u w:val="single"/>
        </w:rPr>
        <w:t>Testing of Measure Risk Adjustment</w:t>
      </w:r>
    </w:p>
    <w:p w14:paraId="7622F708" w14:textId="77777777"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noProof/>
        </w:rPr>
      </w:pPr>
      <w:r w:rsidRPr="0073282A">
        <w:rPr>
          <w:rFonts w:cstheme="minorHAnsi"/>
          <w:b/>
          <w:noProof/>
        </w:rPr>
        <w:t>Dataset 1</w:t>
      </w:r>
      <w:r w:rsidRPr="0073282A">
        <w:rPr>
          <w:rFonts w:cstheme="minorHAnsi"/>
          <w:noProof/>
        </w:rPr>
        <w:t xml:space="preserve"> (2017 public reporting cohort)</w:t>
      </w:r>
    </w:p>
    <w:p w14:paraId="2ED940EC" w14:textId="77777777" w:rsidR="00747D86"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noProof/>
          <w:color w:val="FF0000"/>
        </w:rPr>
      </w:pPr>
    </w:p>
    <w:p w14:paraId="128938F1" w14:textId="77777777"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noProof/>
        </w:rPr>
      </w:pPr>
    </w:p>
    <w:p w14:paraId="3166C2E1" w14:textId="2B87C47A"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b/>
          <w:noProof/>
        </w:rPr>
        <w:t>Dataset 2</w:t>
      </w:r>
      <w:r w:rsidRPr="0073282A">
        <w:rPr>
          <w:rFonts w:cstheme="minorHAnsi"/>
          <w:noProof/>
        </w:rPr>
        <w:t xml:space="preserve"> (</w:t>
      </w:r>
      <w:r w:rsidRPr="0073282A">
        <w:t>development dataset</w:t>
      </w:r>
      <w:r w:rsidRPr="0073282A">
        <w:rPr>
          <w:rFonts w:cstheme="minorHAnsi"/>
          <w:noProof/>
        </w:rPr>
        <w:t>): Medicare Part A Inpatient and Outpatient and Part B Outpatient claims Data</w:t>
      </w:r>
    </w:p>
    <w:p w14:paraId="4E4EF7A6" w14:textId="77777777"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Dates of Data: January 1, 2008 – December 31, 2010</w:t>
      </w:r>
    </w:p>
    <w:p w14:paraId="467F6C57" w14:textId="1D067B97"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 xml:space="preserve">Number of Admissions: </w:t>
      </w:r>
      <w:r w:rsidR="00104513" w:rsidRPr="0073282A">
        <w:rPr>
          <w:rFonts w:cstheme="minorHAnsi"/>
          <w:noProof/>
        </w:rPr>
        <w:t>173,291</w:t>
      </w:r>
    </w:p>
    <w:p w14:paraId="216C1D46" w14:textId="77777777"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Patient Descriptive Characteristics: average age=81.0, % male=46.1</w:t>
      </w:r>
    </w:p>
    <w:p w14:paraId="4BABCDD6" w14:textId="103AE3CD"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 xml:space="preserve">Number of Measured Hospitals: </w:t>
      </w:r>
      <w:r w:rsidR="00104513" w:rsidRPr="0073282A">
        <w:rPr>
          <w:rFonts w:cstheme="minorHAnsi"/>
          <w:noProof/>
        </w:rPr>
        <w:t>1,170</w:t>
      </w:r>
    </w:p>
    <w:p w14:paraId="7B666520" w14:textId="77777777"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noProof/>
        </w:rPr>
      </w:pPr>
    </w:p>
    <w:p w14:paraId="2A005068" w14:textId="5186F3F9"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b/>
          <w:noProof/>
        </w:rPr>
        <w:t xml:space="preserve">Dataset </w:t>
      </w:r>
      <w:r w:rsidR="001A29BE" w:rsidRPr="0073282A">
        <w:rPr>
          <w:rFonts w:cstheme="minorHAnsi"/>
          <w:b/>
          <w:noProof/>
        </w:rPr>
        <w:t>3</w:t>
      </w:r>
      <w:r w:rsidRPr="0073282A">
        <w:rPr>
          <w:rFonts w:cstheme="minorHAnsi"/>
          <w:b/>
          <w:noProof/>
        </w:rPr>
        <w:t xml:space="preserve"> </w:t>
      </w:r>
      <w:r w:rsidRPr="0073282A">
        <w:rPr>
          <w:rFonts w:cstheme="minorHAnsi"/>
          <w:noProof/>
        </w:rPr>
        <w:t xml:space="preserve">(clinical data): </w:t>
      </w:r>
      <w:r w:rsidRPr="0073282A">
        <w:t>New York State Cardiac Surgery Reporting System (CSRS) - New York Department of Health</w:t>
      </w:r>
    </w:p>
    <w:p w14:paraId="69197CFF" w14:textId="77777777"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Dates of Data: July 1, 2008 – June 30, 2</w:t>
      </w:r>
      <w:bookmarkStart w:id="14" w:name="_Hlk500495526"/>
      <w:r w:rsidRPr="0073282A">
        <w:rPr>
          <w:rFonts w:cstheme="minorHAnsi"/>
          <w:noProof/>
        </w:rPr>
        <w:t>010</w:t>
      </w:r>
    </w:p>
    <w:p w14:paraId="11DD2CF7" w14:textId="77777777"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Number of Admissions: 8,228</w:t>
      </w:r>
    </w:p>
    <w:p w14:paraId="6D12A98A" w14:textId="0914B21A"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Patient Descriptive Ch</w:t>
      </w:r>
      <w:bookmarkEnd w:id="14"/>
      <w:r w:rsidRPr="0073282A">
        <w:rPr>
          <w:rFonts w:cstheme="minorHAnsi"/>
          <w:noProof/>
        </w:rPr>
        <w:t>aracteristics: average age=</w:t>
      </w:r>
      <w:r w:rsidR="00A32A4D" w:rsidRPr="0073282A">
        <w:rPr>
          <w:rFonts w:cstheme="minorHAnsi"/>
          <w:noProof/>
        </w:rPr>
        <w:t xml:space="preserve"> </w:t>
      </w:r>
      <w:r w:rsidR="00B54209" w:rsidRPr="0073282A">
        <w:rPr>
          <w:rFonts w:cstheme="minorHAnsi"/>
          <w:noProof/>
        </w:rPr>
        <w:t>-</w:t>
      </w:r>
      <w:r w:rsidR="00A32A4D" w:rsidRPr="0073282A">
        <w:rPr>
          <w:rFonts w:cstheme="minorHAnsi"/>
          <w:noProof/>
        </w:rPr>
        <w:t>-</w:t>
      </w:r>
      <w:r w:rsidRPr="0073282A">
        <w:rPr>
          <w:rFonts w:cstheme="minorHAnsi"/>
          <w:noProof/>
        </w:rPr>
        <w:t>, % male=67.8</w:t>
      </w:r>
    </w:p>
    <w:p w14:paraId="7FFEFA9B" w14:textId="77777777" w:rsidR="00747D86" w:rsidRPr="0073282A" w:rsidRDefault="00747D8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Number of Measured Hospitals: 35</w:t>
      </w:r>
    </w:p>
    <w:p w14:paraId="68F844B0" w14:textId="4A2BBAB8" w:rsidR="00997A03" w:rsidRPr="0073282A" w:rsidRDefault="00997A0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bookmarkStart w:id="15" w:name="_Hlk497404119"/>
    </w:p>
    <w:p w14:paraId="62CEF1EE" w14:textId="77777777" w:rsidR="00BD6461" w:rsidRPr="0073282A" w:rsidRDefault="00BD64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noProof/>
        </w:rPr>
      </w:pPr>
      <w:r w:rsidRPr="0073282A">
        <w:rPr>
          <w:rFonts w:cstheme="minorHAnsi"/>
          <w:noProof/>
        </w:rPr>
        <w:t>For Optional Additional Testing  for Risk Adjustment (in an adult all-payer popultaion of patients who were 18 years and older)</w:t>
      </w:r>
    </w:p>
    <w:p w14:paraId="38241C77" w14:textId="77777777" w:rsidR="00BD6461" w:rsidRPr="0073282A" w:rsidRDefault="00BD64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noProof/>
        </w:rPr>
      </w:pPr>
    </w:p>
    <w:p w14:paraId="5C64D560" w14:textId="23DCB0F9" w:rsidR="00BD6461" w:rsidRPr="0073282A" w:rsidRDefault="00BD64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noProof/>
        </w:rPr>
      </w:pPr>
      <w:r w:rsidRPr="0073282A">
        <w:rPr>
          <w:rFonts w:cstheme="minorHAnsi"/>
          <w:b/>
          <w:noProof/>
        </w:rPr>
        <w:t xml:space="preserve">Dataset </w:t>
      </w:r>
      <w:r w:rsidR="001A29BE" w:rsidRPr="0073282A">
        <w:rPr>
          <w:rFonts w:cstheme="minorHAnsi"/>
          <w:b/>
          <w:noProof/>
        </w:rPr>
        <w:t>4</w:t>
      </w:r>
      <w:r w:rsidR="001A29BE" w:rsidRPr="0073282A">
        <w:rPr>
          <w:rFonts w:cstheme="minorHAnsi"/>
          <w:noProof/>
        </w:rPr>
        <w:t xml:space="preserve"> </w:t>
      </w:r>
      <w:r w:rsidRPr="0073282A">
        <w:rPr>
          <w:rFonts w:cstheme="minorHAnsi"/>
          <w:noProof/>
        </w:rPr>
        <w:t>(all-payer dataset): California all-payer dataset 2006</w:t>
      </w:r>
    </w:p>
    <w:p w14:paraId="235A9D0B" w14:textId="77777777" w:rsidR="00BD6461" w:rsidRPr="0073282A" w:rsidRDefault="00BD64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Dates of Data: July 1, 2013 – June 30, 2016</w:t>
      </w:r>
    </w:p>
    <w:p w14:paraId="66476850" w14:textId="77777777" w:rsidR="00BD6461" w:rsidRPr="0073282A" w:rsidRDefault="00BD64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Number of Admissions: 14,889</w:t>
      </w:r>
    </w:p>
    <w:p w14:paraId="5C79C38A" w14:textId="77777777" w:rsidR="00BD6461" w:rsidRPr="0073282A" w:rsidRDefault="00BD64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Patient Descriptive Characteristics: average age=66, % male=74.9</w:t>
      </w:r>
    </w:p>
    <w:p w14:paraId="464F7659" w14:textId="77777777" w:rsidR="00BD6461" w:rsidRPr="0073282A" w:rsidRDefault="00BD64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Number of Measured Hospitals: About 450</w:t>
      </w:r>
    </w:p>
    <w:p w14:paraId="5D876B19" w14:textId="48BFBE56" w:rsidR="00BD6461" w:rsidRPr="0073282A" w:rsidRDefault="00BD64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p>
    <w:bookmarkEnd w:id="15"/>
    <w:p w14:paraId="794BF942" w14:textId="435E46BE" w:rsidR="002F08C3" w:rsidRPr="0073282A" w:rsidRDefault="002F08C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noProof/>
          <w:u w:val="single"/>
        </w:rPr>
      </w:pPr>
      <w:r w:rsidRPr="0073282A">
        <w:rPr>
          <w:rFonts w:cstheme="minorHAnsi"/>
          <w:noProof/>
          <w:u w:val="single"/>
        </w:rPr>
        <w:t xml:space="preserve">For </w:t>
      </w:r>
      <w:r w:rsidR="005528AA" w:rsidRPr="0073282A">
        <w:rPr>
          <w:rFonts w:cstheme="minorHAnsi"/>
          <w:noProof/>
          <w:u w:val="single"/>
        </w:rPr>
        <w:t>Testing of Measure Exclusions</w:t>
      </w:r>
    </w:p>
    <w:p w14:paraId="7BD8AAE0" w14:textId="72C07203" w:rsidR="00E97A86" w:rsidRPr="0073282A" w:rsidRDefault="007E30E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b/>
          <w:noProof/>
        </w:rPr>
        <w:t>Dataset 1</w:t>
      </w:r>
      <w:r w:rsidRPr="0073282A">
        <w:rPr>
          <w:rFonts w:cstheme="minorHAnsi"/>
          <w:noProof/>
        </w:rPr>
        <w:t xml:space="preserve"> (2017 public reporting cohort): Medicare Part A Inpatient and Outpatient and Part B Outpatient claims Data</w:t>
      </w:r>
    </w:p>
    <w:p w14:paraId="29D02802" w14:textId="4C38374E" w:rsidR="007E30E1" w:rsidRPr="0073282A" w:rsidRDefault="007E30E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u w:val="single"/>
        </w:rPr>
      </w:pPr>
    </w:p>
    <w:p w14:paraId="3D8605EA" w14:textId="513590CE" w:rsidR="002F08C3" w:rsidRPr="0073282A" w:rsidRDefault="002F08C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bCs/>
          <w:u w:val="single"/>
        </w:rPr>
      </w:pPr>
      <w:r w:rsidRPr="0073282A">
        <w:rPr>
          <w:rFonts w:cstheme="minorHAnsi"/>
          <w:bCs/>
          <w:u w:val="single"/>
        </w:rPr>
        <w:t xml:space="preserve">For </w:t>
      </w:r>
      <w:r w:rsidR="005528AA" w:rsidRPr="0073282A">
        <w:rPr>
          <w:rFonts w:cstheme="minorHAnsi"/>
          <w:bCs/>
          <w:u w:val="single"/>
        </w:rPr>
        <w:t>Testing to Identify Meaningful Differences in Performance</w:t>
      </w:r>
    </w:p>
    <w:p w14:paraId="11EEC83D" w14:textId="77777777" w:rsidR="007F1C07" w:rsidRPr="0073282A" w:rsidRDefault="007F1C07"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b/>
          <w:noProof/>
        </w:rPr>
        <w:t>Dataset 1</w:t>
      </w:r>
      <w:r w:rsidRPr="0073282A">
        <w:rPr>
          <w:rFonts w:cstheme="minorHAnsi"/>
          <w:noProof/>
        </w:rPr>
        <w:t xml:space="preserve"> (2017 public reporting cohort): Medicare Part A Inpatient and Outpatient and Part B Outpatient claims Data</w:t>
      </w:r>
    </w:p>
    <w:p w14:paraId="70FA87DE" w14:textId="2EEB52A2" w:rsidR="007F1C07" w:rsidRPr="0073282A" w:rsidRDefault="007F1C07"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u w:val="single"/>
        </w:rPr>
      </w:pPr>
    </w:p>
    <w:p w14:paraId="14D75303" w14:textId="3749146A" w:rsidR="002F08C3" w:rsidRPr="0073282A" w:rsidRDefault="002F08C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noProof/>
        </w:rPr>
      </w:pPr>
      <w:r w:rsidRPr="0073282A">
        <w:rPr>
          <w:u w:val="single"/>
        </w:rPr>
        <w:t xml:space="preserve">For </w:t>
      </w:r>
      <w:r w:rsidR="005528AA" w:rsidRPr="0073282A">
        <w:rPr>
          <w:u w:val="single"/>
        </w:rPr>
        <w:t>Testing of Social Risk Factors in Risk Models</w:t>
      </w:r>
    </w:p>
    <w:p w14:paraId="72AB36F9" w14:textId="77777777" w:rsidR="009F76F1" w:rsidRPr="0073282A" w:rsidRDefault="009F76F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b/>
          <w:noProof/>
        </w:rPr>
        <w:t>Dataset 1</w:t>
      </w:r>
      <w:r w:rsidRPr="0073282A">
        <w:rPr>
          <w:rFonts w:cstheme="minorHAnsi"/>
          <w:noProof/>
        </w:rPr>
        <w:t xml:space="preserve"> (2017 public reporting cohort): Medicare Part A Inpatient and Outpatient and Part B Outpatient claims Data</w:t>
      </w:r>
    </w:p>
    <w:p w14:paraId="1D395A54" w14:textId="74AF734C" w:rsidR="009F76F1" w:rsidRPr="0073282A" w:rsidRDefault="009F76F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noProof/>
        </w:rPr>
      </w:pPr>
    </w:p>
    <w:p w14:paraId="7EC12FD3" w14:textId="59DBF0C4" w:rsidR="009F76F1" w:rsidRPr="0073282A" w:rsidRDefault="002F08C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b/>
          <w:noProof/>
        </w:rPr>
        <w:t xml:space="preserve">Dataset </w:t>
      </w:r>
      <w:r w:rsidR="001A29BE" w:rsidRPr="0073282A">
        <w:rPr>
          <w:rFonts w:cstheme="minorHAnsi"/>
          <w:b/>
          <w:noProof/>
        </w:rPr>
        <w:t>5</w:t>
      </w:r>
      <w:r w:rsidRPr="0073282A">
        <w:rPr>
          <w:rFonts w:cstheme="minorHAnsi"/>
          <w:noProof/>
        </w:rPr>
        <w:t>: The American Community Survey (200</w:t>
      </w:r>
      <w:r w:rsidR="00511533" w:rsidRPr="0073282A">
        <w:rPr>
          <w:rFonts w:cstheme="minorHAnsi"/>
          <w:noProof/>
        </w:rPr>
        <w:t>8</w:t>
      </w:r>
      <w:r w:rsidRPr="0073282A">
        <w:rPr>
          <w:rFonts w:cstheme="minorHAnsi"/>
          <w:noProof/>
        </w:rPr>
        <w:t>-201</w:t>
      </w:r>
      <w:r w:rsidR="00511533" w:rsidRPr="0073282A">
        <w:rPr>
          <w:rFonts w:cstheme="minorHAnsi"/>
          <w:noProof/>
        </w:rPr>
        <w:t>2</w:t>
      </w:r>
      <w:r w:rsidRPr="0073282A">
        <w:rPr>
          <w:rFonts w:cstheme="minorHAnsi"/>
          <w:noProof/>
        </w:rPr>
        <w:t>)</w:t>
      </w:r>
    </w:p>
    <w:p w14:paraId="064A1DE5" w14:textId="004C6B5F" w:rsidR="009226DB" w:rsidRPr="0073282A" w:rsidRDefault="009226DB"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We examined disparities in performance according to the proportion of patients in each hospital who were dual eligible for both Medicare and Medicaid insurances. We also used the AHRQ SES index score derived from the American Community Survey (200</w:t>
      </w:r>
      <w:r w:rsidR="00511533" w:rsidRPr="0073282A">
        <w:rPr>
          <w:rFonts w:cstheme="minorHAnsi"/>
          <w:noProof/>
        </w:rPr>
        <w:t>8</w:t>
      </w:r>
      <w:r w:rsidRPr="0073282A">
        <w:rPr>
          <w:rFonts w:cstheme="minorHAnsi"/>
          <w:noProof/>
        </w:rPr>
        <w:t>-201</w:t>
      </w:r>
      <w:r w:rsidR="00511533" w:rsidRPr="0073282A">
        <w:rPr>
          <w:rFonts w:cstheme="minorHAnsi"/>
          <w:noProof/>
        </w:rPr>
        <w:t>2</w:t>
      </w:r>
      <w:r w:rsidRPr="0073282A">
        <w:rPr>
          <w:rFonts w:cstheme="minorHAnsi"/>
          <w:noProof/>
        </w:rPr>
        <w:t>) (</w:t>
      </w:r>
      <w:r w:rsidRPr="0073282A">
        <w:rPr>
          <w:rFonts w:cstheme="minorHAnsi"/>
          <w:b/>
          <w:noProof/>
        </w:rPr>
        <w:t>Dataset 2</w:t>
      </w:r>
      <w:r w:rsidRPr="0073282A">
        <w:rPr>
          <w:rFonts w:cstheme="minorHAnsi"/>
          <w:noProof/>
        </w:rPr>
        <w:t xml:space="preserve">) to study the association between performance measures and </w:t>
      </w:r>
      <w:r w:rsidR="006B467B" w:rsidRPr="0073282A">
        <w:rPr>
          <w:rFonts w:cstheme="minorHAnsi"/>
          <w:noProof/>
        </w:rPr>
        <w:t>SES</w:t>
      </w:r>
      <w:r w:rsidRPr="0073282A">
        <w:rPr>
          <w:rFonts w:cstheme="minorHAnsi"/>
          <w:noProof/>
        </w:rPr>
        <w:t>.</w:t>
      </w:r>
    </w:p>
    <w:p w14:paraId="3E27573A" w14:textId="77777777" w:rsidR="009226DB" w:rsidRPr="0073282A" w:rsidRDefault="009226DB"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p>
    <w:p w14:paraId="0C4C5DB9" w14:textId="51515F98" w:rsidR="009226DB" w:rsidRPr="0073282A" w:rsidRDefault="009226DB"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i/>
          <w:noProof/>
        </w:rPr>
      </w:pPr>
      <w:r w:rsidRPr="0073282A">
        <w:rPr>
          <w:rFonts w:cstheme="minorHAnsi"/>
          <w:i/>
          <w:noProof/>
        </w:rPr>
        <w:t xml:space="preserve">Data Elements </w:t>
      </w:r>
      <w:r w:rsidR="005B3673" w:rsidRPr="0073282A">
        <w:rPr>
          <w:rFonts w:cstheme="minorHAnsi"/>
          <w:i/>
          <w:noProof/>
        </w:rPr>
        <w:t>Tested</w:t>
      </w:r>
    </w:p>
    <w:p w14:paraId="68B4311C" w14:textId="77777777" w:rsidR="009226DB" w:rsidRPr="0073282A" w:rsidRDefault="009226DB"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 Dual eligible status (i.e., enrolled in both Medicare and Medicaid) patient-level data is obtained from CMS enrollment data (</w:t>
      </w:r>
      <w:r w:rsidRPr="0073282A">
        <w:rPr>
          <w:rFonts w:cstheme="minorHAnsi"/>
          <w:b/>
          <w:noProof/>
        </w:rPr>
        <w:t>Dataset 1</w:t>
      </w:r>
      <w:r w:rsidRPr="0073282A">
        <w:rPr>
          <w:rFonts w:cstheme="minorHAnsi"/>
          <w:noProof/>
        </w:rPr>
        <w:t>)</w:t>
      </w:r>
    </w:p>
    <w:p w14:paraId="70FE28FA" w14:textId="7632ACDA" w:rsidR="00D3777C" w:rsidRPr="0073282A" w:rsidRDefault="009226DB"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noProof/>
        </w:rPr>
      </w:pPr>
      <w:r w:rsidRPr="0073282A">
        <w:rPr>
          <w:rFonts w:cstheme="minorHAnsi"/>
          <w:noProof/>
        </w:rPr>
        <w:t xml:space="preserve">• Validated AHRQ SES index score is a composite of 7 different variables found in the census data </w:t>
      </w:r>
    </w:p>
    <w:bookmarkEnd w:id="11"/>
    <w:p w14:paraId="5A03E1D9" w14:textId="77777777" w:rsidR="001A29BE" w:rsidRDefault="001A29BE" w:rsidP="00E37E1B">
      <w:pPr>
        <w:autoSpaceDE w:val="0"/>
        <w:autoSpaceDN w:val="0"/>
        <w:adjustRightInd w:val="0"/>
        <w:spacing w:after="0" w:line="240" w:lineRule="auto"/>
        <w:rPr>
          <w:rFonts w:cstheme="minorHAnsi"/>
          <w:bCs/>
        </w:rPr>
      </w:pPr>
    </w:p>
    <w:p w14:paraId="63774358" w14:textId="69154F18" w:rsidR="00B12E42" w:rsidRPr="00273A75" w:rsidRDefault="0021054A" w:rsidP="00E37E1B">
      <w:pPr>
        <w:autoSpaceDE w:val="0"/>
        <w:autoSpaceDN w:val="0"/>
        <w:adjustRightInd w:val="0"/>
        <w:spacing w:after="0" w:line="240" w:lineRule="auto"/>
        <w:rPr>
          <w:rFonts w:cstheme="minorHAnsi"/>
          <w:bCs/>
        </w:rPr>
      </w:pPr>
      <w:r w:rsidRPr="009C7513">
        <w:rPr>
          <w:rFonts w:cstheme="minorHAnsi"/>
          <w:b/>
          <w:bCs/>
        </w:rPr>
        <w:lastRenderedPageBreak/>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40939580" w14:textId="77777777" w:rsidR="002641E4" w:rsidRDefault="002641E4" w:rsidP="00E37E1B">
      <w:pPr>
        <w:autoSpaceDE w:val="0"/>
        <w:autoSpaceDN w:val="0"/>
        <w:adjustRightInd w:val="0"/>
        <w:spacing w:after="0" w:line="240" w:lineRule="auto"/>
        <w:rPr>
          <w:rFonts w:cstheme="minorHAnsi"/>
          <w:noProof/>
          <w:color w:val="FF0000"/>
        </w:rPr>
      </w:pPr>
    </w:p>
    <w:p w14:paraId="51D328B4" w14:textId="18E52E37" w:rsidR="002641E4" w:rsidRPr="0073282A" w:rsidRDefault="002641E4"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r w:rsidRPr="0073282A">
        <w:rPr>
          <w:rFonts w:cstheme="minorHAnsi"/>
          <w:noProof/>
        </w:rPr>
        <w:t>We selected SES</w:t>
      </w:r>
      <w:r w:rsidR="006B467B" w:rsidRPr="0073282A">
        <w:rPr>
          <w:rFonts w:cstheme="minorHAnsi"/>
          <w:noProof/>
        </w:rPr>
        <w:t xml:space="preserve"> </w:t>
      </w:r>
      <w:r w:rsidRPr="0073282A">
        <w:rPr>
          <w:rFonts w:cstheme="minorHAnsi"/>
          <w:noProof/>
        </w:rPr>
        <w:t>variables to analyze after reviewing the literature and examining available national data sources. There is a large body of literature linking various SES factors to worse health status and higher mortality over a lifetime (</w:t>
      </w:r>
      <w:r w:rsidR="00140C53" w:rsidRPr="0073282A">
        <w:rPr>
          <w:rFonts w:cstheme="minorHAnsi"/>
          <w:noProof/>
        </w:rPr>
        <w:t xml:space="preserve">see, e.g., </w:t>
      </w:r>
      <w:r w:rsidRPr="0073282A">
        <w:rPr>
          <w:rFonts w:cstheme="minorHAnsi"/>
          <w:noProof/>
        </w:rPr>
        <w:t xml:space="preserve"> van Oeffelen et al., 2012). Income, education, and occupation</w:t>
      </w:r>
      <w:r w:rsidR="005B3673" w:rsidRPr="0073282A">
        <w:rPr>
          <w:rFonts w:cstheme="minorHAnsi"/>
          <w:noProof/>
        </w:rPr>
        <w:t xml:space="preserve"> </w:t>
      </w:r>
      <w:r w:rsidRPr="0073282A">
        <w:rPr>
          <w:rFonts w:cstheme="minorHAnsi"/>
          <w:noProof/>
        </w:rPr>
        <w:t xml:space="preserve">are the most commonly examined </w:t>
      </w:r>
      <w:r w:rsidR="003A756B" w:rsidRPr="0073282A">
        <w:rPr>
          <w:rFonts w:cstheme="minorHAnsi"/>
          <w:noProof/>
        </w:rPr>
        <w:t>socioeconomic</w:t>
      </w:r>
      <w:r w:rsidR="00DD6CFC" w:rsidRPr="0073282A">
        <w:rPr>
          <w:rFonts w:cstheme="minorHAnsi"/>
          <w:noProof/>
        </w:rPr>
        <w:t xml:space="preserve"> </w:t>
      </w:r>
      <w:r w:rsidR="005B3673" w:rsidRPr="0073282A">
        <w:rPr>
          <w:rFonts w:cstheme="minorHAnsi"/>
          <w:noProof/>
        </w:rPr>
        <w:t xml:space="preserve">factors </w:t>
      </w:r>
      <w:r w:rsidR="003A756B" w:rsidRPr="0073282A">
        <w:rPr>
          <w:rFonts w:cstheme="minorHAnsi"/>
          <w:noProof/>
        </w:rPr>
        <w:t>studied</w:t>
      </w:r>
      <w:r w:rsidRPr="0073282A">
        <w:rPr>
          <w:rFonts w:cstheme="minorHAnsi"/>
          <w:noProof/>
        </w:rPr>
        <w:t xml:space="preserve">. </w:t>
      </w:r>
      <w:r w:rsidR="005B3673" w:rsidRPr="0073282A">
        <w:rPr>
          <w:rFonts w:cstheme="minorHAnsi"/>
          <w:noProof/>
        </w:rPr>
        <w:t>H</w:t>
      </w:r>
      <w:r w:rsidRPr="0073282A">
        <w:rPr>
          <w:rFonts w:cstheme="minorHAnsi"/>
          <w:noProof/>
        </w:rPr>
        <w:t xml:space="preserve">owever, the literature contains few studies directly examining how different SES factors might influence the likelihood of older, insured, Medicare patients dying within 30 days of an admission for a </w:t>
      </w:r>
      <w:r w:rsidR="00052395" w:rsidRPr="0073282A">
        <w:rPr>
          <w:rFonts w:cstheme="minorHAnsi"/>
          <w:noProof/>
        </w:rPr>
        <w:t>CA</w:t>
      </w:r>
      <w:r w:rsidR="00EC0E06" w:rsidRPr="0073282A">
        <w:rPr>
          <w:rFonts w:cstheme="minorHAnsi"/>
          <w:noProof/>
        </w:rPr>
        <w:t xml:space="preserve">BG </w:t>
      </w:r>
      <w:r w:rsidR="0006793B" w:rsidRPr="0073282A">
        <w:rPr>
          <w:rFonts w:cstheme="minorHAnsi"/>
          <w:noProof/>
        </w:rPr>
        <w:t xml:space="preserve"> </w:t>
      </w:r>
      <w:r w:rsidR="00052395" w:rsidRPr="0073282A">
        <w:rPr>
          <w:rFonts w:cstheme="minorHAnsi"/>
          <w:noProof/>
        </w:rPr>
        <w:t>procedure</w:t>
      </w:r>
      <w:r w:rsidRPr="0073282A">
        <w:rPr>
          <w:rFonts w:cstheme="minorHAnsi"/>
          <w:noProof/>
        </w:rPr>
        <w:t>. The causal pathways for SES variable selection are described below in Section 2b4.3.</w:t>
      </w:r>
    </w:p>
    <w:p w14:paraId="13D37615" w14:textId="77777777" w:rsidR="001B0C1B" w:rsidRPr="0073282A" w:rsidRDefault="001B0C1B"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p>
    <w:p w14:paraId="2CCD559D" w14:textId="57EEBD8F" w:rsidR="002641E4" w:rsidRPr="0073282A" w:rsidRDefault="002641E4"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r w:rsidRPr="0073282A">
        <w:rPr>
          <w:rFonts w:cstheme="minorHAnsi"/>
          <w:noProof/>
        </w:rPr>
        <w:t>The SES variables used for analysis were:</w:t>
      </w:r>
    </w:p>
    <w:p w14:paraId="5C5A21CE" w14:textId="649E7E04" w:rsidR="002641E4" w:rsidRPr="0073282A" w:rsidRDefault="00297461"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r w:rsidRPr="0073282A">
        <w:rPr>
          <w:rFonts w:cstheme="minorHAnsi"/>
          <w:noProof/>
        </w:rPr>
        <w:t xml:space="preserve">• </w:t>
      </w:r>
      <w:r w:rsidR="002641E4" w:rsidRPr="0073282A">
        <w:rPr>
          <w:rFonts w:cstheme="minorHAnsi"/>
          <w:noProof/>
        </w:rPr>
        <w:t>Dual eligible status (Dataset 1)</w:t>
      </w:r>
    </w:p>
    <w:p w14:paraId="23BB9C8C" w14:textId="5725619F" w:rsidR="002641E4" w:rsidRPr="0073282A" w:rsidRDefault="00297461"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r w:rsidRPr="0073282A">
        <w:rPr>
          <w:rFonts w:cstheme="minorHAnsi"/>
          <w:noProof/>
        </w:rPr>
        <w:t xml:space="preserve">• </w:t>
      </w:r>
      <w:r w:rsidR="002641E4" w:rsidRPr="0073282A">
        <w:rPr>
          <w:rFonts w:cstheme="minorHAnsi"/>
          <w:noProof/>
        </w:rPr>
        <w:t xml:space="preserve">AHRQ-validated SES index score using </w:t>
      </w:r>
      <w:r w:rsidR="001B0C1B" w:rsidRPr="0073282A">
        <w:rPr>
          <w:rFonts w:cstheme="minorHAnsi"/>
          <w:noProof/>
        </w:rPr>
        <w:t>9</w:t>
      </w:r>
      <w:r w:rsidR="002641E4" w:rsidRPr="0073282A">
        <w:rPr>
          <w:rFonts w:cstheme="minorHAnsi"/>
          <w:noProof/>
        </w:rPr>
        <w:t xml:space="preserve">-digit zip code data (percentage of people in the labor force who are unemployed, percentage of people living below poverty level, median household income, median value of owner-occupied dwellings, percentage of people ≥25 years of age with less than a 12th-grade education, percentage of people ≥25 years of age completing ≥4 years of college, and percentage of households that average ≥1 people per room) </w:t>
      </w:r>
      <w:r w:rsidR="002641E4" w:rsidRPr="008D47CF">
        <w:rPr>
          <w:rFonts w:cstheme="minorHAnsi"/>
          <w:noProof/>
          <w:highlight w:val="yellow"/>
        </w:rPr>
        <w:t xml:space="preserve">(Dataset </w:t>
      </w:r>
      <w:r w:rsidR="00B97EFC" w:rsidRPr="008D47CF">
        <w:rPr>
          <w:rFonts w:cstheme="minorHAnsi"/>
          <w:noProof/>
          <w:highlight w:val="yellow"/>
        </w:rPr>
        <w:t>5</w:t>
      </w:r>
      <w:r w:rsidR="002641E4" w:rsidRPr="008D47CF">
        <w:rPr>
          <w:rFonts w:cstheme="minorHAnsi"/>
          <w:noProof/>
          <w:highlight w:val="yellow"/>
        </w:rPr>
        <w:t>)</w:t>
      </w:r>
      <w:r w:rsidRPr="008D47CF">
        <w:rPr>
          <w:rFonts w:cstheme="minorHAnsi"/>
          <w:noProof/>
          <w:highlight w:val="yellow"/>
        </w:rPr>
        <w:t>.</w:t>
      </w:r>
    </w:p>
    <w:p w14:paraId="03101AFF" w14:textId="77777777" w:rsidR="007B4998" w:rsidRPr="0073282A" w:rsidRDefault="007B4998"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p>
    <w:p w14:paraId="3BBB1ADE" w14:textId="0E72EB5B" w:rsidR="007B4998" w:rsidRPr="0073282A" w:rsidRDefault="007B4998"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noProof/>
          <w:u w:val="single"/>
        </w:rPr>
      </w:pPr>
      <w:r w:rsidRPr="0073282A">
        <w:rPr>
          <w:rFonts w:cstheme="minorHAnsi"/>
          <w:noProof/>
          <w:u w:val="single"/>
        </w:rPr>
        <w:t>References</w:t>
      </w:r>
    </w:p>
    <w:p w14:paraId="1B649AAF" w14:textId="77777777" w:rsidR="007B4998" w:rsidRPr="0073282A" w:rsidRDefault="007B4998"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r w:rsidRPr="0073282A">
        <w:rPr>
          <w:rFonts w:cstheme="minorHAnsi"/>
          <w:noProof/>
        </w:rPr>
        <w:t>Boan AD, Feng WW, Ovbiagele B, et al. Persistent racial disparity in stroke hospitalization and economic impact in young adults in the buckle of stroke belt. Stroke; a journal of cerebral circulation. Jul 2014;45(7):1932-1938.</w:t>
      </w:r>
    </w:p>
    <w:p w14:paraId="7D8EF560" w14:textId="77777777" w:rsidR="007B4998" w:rsidRPr="0073282A" w:rsidRDefault="007B4998"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r w:rsidRPr="0073282A">
        <w:rPr>
          <w:rFonts w:cstheme="minorHAnsi"/>
          <w:noProof/>
        </w:rPr>
        <w:t>Clark CJ, Guo H, Lunos S, et al. Neighborhood cohesion is associated with reduced risk of stroke mortality. Stroke; a journal of cerebral circulation. May 2011;42(5):1212-1217.</w:t>
      </w:r>
    </w:p>
    <w:p w14:paraId="706860DA" w14:textId="77777777" w:rsidR="007B4998" w:rsidRPr="0073282A" w:rsidRDefault="007B4998"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r w:rsidRPr="0073282A">
        <w:rPr>
          <w:rFonts w:cstheme="minorHAnsi"/>
          <w:noProof/>
        </w:rPr>
        <w:t>Glymour MM, Kosheleva A, Boden-Albala B. Birth and adult residence in the Stroke Belt independently predict stroke mortality. Neurology. Dec 1 2009;73(22):1858-1865.</w:t>
      </w:r>
    </w:p>
    <w:p w14:paraId="6F588A7F" w14:textId="77777777" w:rsidR="007B4998" w:rsidRPr="0073282A" w:rsidRDefault="007B4998"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r w:rsidRPr="0073282A">
        <w:rPr>
          <w:rFonts w:cstheme="minorHAnsi"/>
          <w:noProof/>
        </w:rPr>
        <w:t>Howard VJ, Kleindorfer DO, Judd SE, et al. Disparities in stroke incidence contributing to disparities in stroke mortality. Ann Neurol 2011;69:619–627.</w:t>
      </w:r>
    </w:p>
    <w:p w14:paraId="32C61B5B" w14:textId="77777777" w:rsidR="007B4998" w:rsidRPr="0073282A" w:rsidRDefault="007B4998"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r w:rsidRPr="0073282A">
        <w:rPr>
          <w:rFonts w:cstheme="minorHAnsi"/>
          <w:noProof/>
        </w:rPr>
        <w:t>Khan JA, Casper M, Asimos AW, et al. Geographic and sociodemographic disparities in drive times to Joint Commission-certified primary stroke centers in North Carolina, South Carolina, and Georgia. Preventing chronic disease. Jul 2011;8(4):A79.</w:t>
      </w:r>
    </w:p>
    <w:p w14:paraId="23972BEC" w14:textId="77777777" w:rsidR="007B4998" w:rsidRPr="0073282A" w:rsidRDefault="007B4998"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r w:rsidRPr="0073282A">
        <w:rPr>
          <w:rFonts w:cstheme="minorHAnsi"/>
          <w:noProof/>
        </w:rPr>
        <w:t>Pedigo A, Seaver W, Odoi A. Identifying unique neighborhood characteristics to guide health planning for stroke and heart attack: fuzzy cluster and discriminant analyses approaches. PloS one. 2011;6(7):e22693.</w:t>
      </w:r>
    </w:p>
    <w:p w14:paraId="6118BDFF" w14:textId="77777777" w:rsidR="00E840EF" w:rsidRPr="0073282A" w:rsidRDefault="00E840EF"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noProof/>
        </w:rPr>
      </w:pPr>
      <w:r w:rsidRPr="0073282A">
        <w:rPr>
          <w:rFonts w:cstheme="minorHAnsi"/>
          <w:noProof/>
          <w:lang w:val="en-GB"/>
        </w:rPr>
        <w:t xml:space="preserve">van Oeffelen AA, Agyemang C, Bots ML, et al. </w:t>
      </w:r>
      <w:r w:rsidRPr="0073282A">
        <w:rPr>
          <w:rFonts w:cstheme="minorHAnsi"/>
          <w:noProof/>
        </w:rPr>
        <w:t>The relation between socioeconomic status and short-term mortality after acute myocardial infarction persists in the elderly: results from a nationwide study. European journal of epidemiology. Aug 2012; 27(8):605-613.</w:t>
      </w:r>
    </w:p>
    <w:p w14:paraId="3B0529BE" w14:textId="77777777" w:rsidR="00FB2EC7" w:rsidRPr="00636373" w:rsidRDefault="00FB2EC7" w:rsidP="00E37E1B">
      <w:pPr>
        <w:autoSpaceDE w:val="0"/>
        <w:autoSpaceDN w:val="0"/>
        <w:adjustRightInd w:val="0"/>
        <w:spacing w:after="0" w:line="240" w:lineRule="auto"/>
        <w:rPr>
          <w:rFonts w:cstheme="minorHAnsi"/>
          <w:noProof/>
          <w:color w:val="FF0000"/>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3CB5EE9B" w:rsidR="001969C5" w:rsidRPr="00A25024" w:rsidRDefault="00092566" w:rsidP="008C54A9">
      <w:pPr>
        <w:autoSpaceDE w:val="0"/>
        <w:autoSpaceDN w:val="0"/>
        <w:adjustRightInd w:val="0"/>
        <w:spacing w:after="0" w:line="240" w:lineRule="auto"/>
        <w:rPr>
          <w:rFonts w:cstheme="minorHAnsi"/>
          <w:bCs/>
        </w:rPr>
      </w:pPr>
      <w:r>
        <w:rPr>
          <w:rFonts w:cstheme="minorHAnsi"/>
          <w:b/>
          <w:bCs/>
        </w:rPr>
        <w:lastRenderedPageBreak/>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3A756B">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sidRPr="00DD6CFC">
        <w:rPr>
          <w:rFonts w:cstheme="minorHAnsi"/>
          <w:b/>
          <w:bCs/>
        </w:rPr>
        <w:t>Critical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C7102D">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sidRPr="00EE2D94">
        <w:rPr>
          <w:rFonts w:cstheme="minorHAnsi"/>
          <w:b/>
          <w:bCs/>
          <w:highlight w:val="yellow"/>
        </w:rPr>
        <w:t>Performance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28CA8FD" w14:textId="3CA262D2" w:rsidR="005B213D" w:rsidRDefault="005B213D" w:rsidP="00794E48">
      <w:pPr>
        <w:autoSpaceDE w:val="0"/>
        <w:autoSpaceDN w:val="0"/>
        <w:adjustRightInd w:val="0"/>
        <w:spacing w:after="0" w:line="240" w:lineRule="auto"/>
        <w:rPr>
          <w:rFonts w:cstheme="minorHAnsi"/>
          <w:bCs/>
          <w:color w:val="FF0000"/>
          <w:u w:val="single"/>
        </w:rPr>
      </w:pPr>
    </w:p>
    <w:p w14:paraId="6076C034" w14:textId="77777777" w:rsidR="00CF0CE0" w:rsidRPr="0073282A" w:rsidRDefault="00794E48"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u w:val="single"/>
        </w:rPr>
        <w:t>Measure Score Reliability</w:t>
      </w:r>
    </w:p>
    <w:p w14:paraId="22AF54C9" w14:textId="48C59F22" w:rsidR="00085154" w:rsidRPr="0073282A" w:rsidRDefault="00085154"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 xml:space="preserve">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In line with this thinking, our approach to assessing reliability is to consider the extent to which assessments of a hospital using different but randomly selected subsets of patients produces similar measures of hospital performance. That is, we take a "test-retest" approach in which hospital performance is measured once using a random subset of patients, then measured again using a second random subset exclusive of the first, and finally </w:t>
      </w:r>
      <w:r w:rsidR="005B3673" w:rsidRPr="0073282A">
        <w:rPr>
          <w:rFonts w:cstheme="minorHAnsi"/>
          <w:bCs/>
        </w:rPr>
        <w:t xml:space="preserve">compare </w:t>
      </w:r>
      <w:r w:rsidRPr="0073282A">
        <w:rPr>
          <w:rFonts w:cstheme="minorHAnsi"/>
          <w:bCs/>
        </w:rPr>
        <w:t>the agreement between the two resulting performance measures across hospitals (Rousson et al., 2002).</w:t>
      </w:r>
    </w:p>
    <w:p w14:paraId="73F4982C" w14:textId="77777777" w:rsidR="00085154" w:rsidRPr="0073282A" w:rsidRDefault="00085154"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062BF886" w14:textId="107F9C79" w:rsidR="00A34CC6" w:rsidRPr="0073282A" w:rsidRDefault="00085154"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 xml:space="preserve">For test-retest reliability, we combined index admissions from successive measurement periods into one dataset, randomly sampled half of the patients within each hospital, calculated the measure for each hospital, and repeated the calculation using the second half. Thus, each hospital is measured twice, but each measurement is made using an entirely distinct set of patients. To the extent that the calculated measures of these two subsets agree, we have evidence that the measure is assessing an attribute of the hospital, not of the patients. As a metric of </w:t>
      </w:r>
      <w:r w:rsidR="006932F4" w:rsidRPr="0073282A">
        <w:rPr>
          <w:rFonts w:cstheme="minorHAnsi"/>
          <w:bCs/>
        </w:rPr>
        <w:t>agreement,</w:t>
      </w:r>
      <w:r w:rsidRPr="0073282A">
        <w:rPr>
          <w:rFonts w:cstheme="minorHAnsi"/>
          <w:bCs/>
        </w:rPr>
        <w:t xml:space="preserve"> we calculated the intra-class correlation coefficient (ICC) (Shrout and Fleiss, 1979), and assessed the values according to conventional standards (Landis and Koch, 1977). Specifically, we used </w:t>
      </w:r>
      <w:r w:rsidR="00523777" w:rsidRPr="0073282A">
        <w:rPr>
          <w:rFonts w:cstheme="minorHAnsi"/>
          <w:bCs/>
        </w:rPr>
        <w:t>D</w:t>
      </w:r>
      <w:r w:rsidRPr="0073282A">
        <w:rPr>
          <w:rFonts w:cstheme="minorHAnsi"/>
          <w:bCs/>
        </w:rPr>
        <w:t>ataset 1 split sample and calculated the RSMR for each hospital for each sample. The agreement of the two RSMRs was quantified for hospitals using the intra-class correlation as defined by ICC (2, 1) by Shrout and Fleiss (1979).</w:t>
      </w:r>
    </w:p>
    <w:p w14:paraId="5DFEF2BB" w14:textId="77777777" w:rsidR="00794E48" w:rsidRPr="0073282A" w:rsidRDefault="00794E48"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07C08E9F" w14:textId="585E1D90" w:rsidR="00773D55" w:rsidRPr="0073282A" w:rsidRDefault="00085154"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 xml:space="preserve">Using two independent samples provides a stringent estimate of the measure’s reliability, </w:t>
      </w:r>
      <w:r w:rsidR="00CC4DC9" w:rsidRPr="0073282A">
        <w:rPr>
          <w:rFonts w:cstheme="minorHAnsi"/>
          <w:bCs/>
        </w:rPr>
        <w:t>in comparison to</w:t>
      </w:r>
      <w:r w:rsidRPr="0073282A">
        <w:rPr>
          <w:rFonts w:cstheme="minorHAnsi"/>
          <w:bCs/>
        </w:rPr>
        <w:t xml:space="preserve"> using two random</w:t>
      </w:r>
      <w:r w:rsidR="00CC4DC9" w:rsidRPr="0073282A">
        <w:rPr>
          <w:rFonts w:cstheme="minorHAnsi"/>
          <w:bCs/>
        </w:rPr>
        <w:t xml:space="preserve">, </w:t>
      </w:r>
      <w:r w:rsidRPr="0073282A">
        <w:rPr>
          <w:rFonts w:cstheme="minorHAnsi"/>
          <w:bCs/>
        </w:rPr>
        <w:t>but potentially overlapping</w:t>
      </w:r>
      <w:r w:rsidR="000477D6" w:rsidRPr="0073282A">
        <w:rPr>
          <w:rFonts w:cstheme="minorHAnsi"/>
          <w:bCs/>
        </w:rPr>
        <w:t xml:space="preserve">, </w:t>
      </w:r>
      <w:r w:rsidRPr="0073282A">
        <w:rPr>
          <w:rFonts w:cstheme="minorHAnsi"/>
          <w:bCs/>
        </w:rPr>
        <w:t>samples</w:t>
      </w:r>
      <w:r w:rsidR="000477D6" w:rsidRPr="0073282A">
        <w:rPr>
          <w:rFonts w:cstheme="minorHAnsi"/>
          <w:bCs/>
        </w:rPr>
        <w:t xml:space="preserve"> </w:t>
      </w:r>
      <w:r w:rsidRPr="0073282A">
        <w:rPr>
          <w:rFonts w:cstheme="minorHAnsi"/>
          <w:bCs/>
        </w:rPr>
        <w:t xml:space="preserve">which </w:t>
      </w:r>
      <w:r w:rsidR="00F63FAE" w:rsidRPr="0073282A">
        <w:rPr>
          <w:rFonts w:cstheme="minorHAnsi"/>
          <w:bCs/>
        </w:rPr>
        <w:t xml:space="preserve">would exaggerate the agreement. </w:t>
      </w:r>
      <w:r w:rsidRPr="0073282A">
        <w:rPr>
          <w:rFonts w:cstheme="minorHAnsi"/>
          <w:bCs/>
        </w:rPr>
        <w:t>Moreover, because our final measure is derived using hierarchical logistic regression, and a known property of hierarchical logistic regression models is that smaller</w:t>
      </w:r>
      <w:r w:rsidR="000A2783" w:rsidRPr="0073282A">
        <w:rPr>
          <w:rFonts w:cstheme="minorHAnsi"/>
          <w:bCs/>
        </w:rPr>
        <w:t>-v</w:t>
      </w:r>
      <w:r w:rsidRPr="0073282A">
        <w:rPr>
          <w:rFonts w:cstheme="minorHAnsi"/>
          <w:bCs/>
        </w:rPr>
        <w:t>olume hospitals contribute less ´signal´, a split sample using a single measurement period would introduce extra noise. This leads to an underestimate in the actual test-retest reliability that would be achieved if the measure were reported using the full measurement period, as evidenced by the Spearman Brown prophecy formula (Spearman, 1910; Brown, 1910). We use this to estimate the reliability of the measure if the whole cohort were used, based on an estimate from half the cohort.</w:t>
      </w:r>
    </w:p>
    <w:p w14:paraId="5735A075" w14:textId="0CB246EC" w:rsidR="00085154" w:rsidRPr="0073282A" w:rsidRDefault="00085154"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5669232" w14:textId="7814D9A9" w:rsidR="00967CBF" w:rsidRPr="0073282A" w:rsidRDefault="001131FA"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Test-retest reliability is considered the lower bound of any reliability estimate (Yu, Mehrotra, and Adam, 2013).</w:t>
      </w:r>
      <w:r w:rsidR="00200D3B" w:rsidRPr="0073282A">
        <w:rPr>
          <w:rFonts w:cstheme="minorHAnsi"/>
          <w:bCs/>
        </w:rPr>
        <w:t xml:space="preserve"> </w:t>
      </w:r>
      <w:r w:rsidR="00967CBF" w:rsidRPr="0073282A">
        <w:rPr>
          <w:rFonts w:cstheme="minorHAnsi"/>
          <w:bCs/>
        </w:rPr>
        <w:t xml:space="preserve">While </w:t>
      </w:r>
      <w:r w:rsidR="00200D3B" w:rsidRPr="0073282A">
        <w:rPr>
          <w:rFonts w:cstheme="minorHAnsi"/>
          <w:bCs/>
        </w:rPr>
        <w:t>it</w:t>
      </w:r>
      <w:r w:rsidR="00967CBF" w:rsidRPr="0073282A">
        <w:rPr>
          <w:rFonts w:cstheme="minorHAnsi"/>
          <w:bCs/>
        </w:rPr>
        <w:t xml:space="preserve"> is the most relevant metric from the perspective of measure reliability, it is also meaningful to consider the separate notion of “unit” reliability, that is, the reliability with which individual units (here, hospitals) are measured. </w:t>
      </w:r>
      <w:r w:rsidR="00200D3B" w:rsidRPr="0073282A">
        <w:rPr>
          <w:rFonts w:cstheme="minorHAnsi"/>
          <w:bCs/>
        </w:rPr>
        <w:t xml:space="preserve">Therefore, we also use the approach used by Adams and colleagues to calculate reliability for this measure (2010). </w:t>
      </w:r>
      <w:r w:rsidR="00967CBF" w:rsidRPr="0073282A">
        <w:rPr>
          <w:rFonts w:cstheme="minorHAnsi"/>
          <w:bCs/>
        </w:rPr>
        <w:t>Because this metric has been reported for other measures in other contexts</w:t>
      </w:r>
      <w:r w:rsidR="00210ED0" w:rsidRPr="0073282A">
        <w:rPr>
          <w:rFonts w:cstheme="minorHAnsi"/>
          <w:bCs/>
        </w:rPr>
        <w:t xml:space="preserve"> (see e.g., Adams et al 2010)</w:t>
      </w:r>
      <w:r w:rsidR="00967CBF" w:rsidRPr="0073282A">
        <w:rPr>
          <w:rFonts w:cstheme="minorHAnsi"/>
          <w:bCs/>
        </w:rPr>
        <w:t xml:space="preserve">, and to provide an additional, complementary metric, we also report this average unit reliability. </w:t>
      </w:r>
    </w:p>
    <w:p w14:paraId="6A9D8791" w14:textId="77777777" w:rsidR="00967CBF" w:rsidRPr="0073282A" w:rsidRDefault="00967CBF"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034B856" w14:textId="3CCF6F2F" w:rsidR="00773D55" w:rsidRPr="0073282A" w:rsidRDefault="00773D55"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Cs/>
        </w:rPr>
      </w:pPr>
      <w:r w:rsidRPr="0073282A">
        <w:rPr>
          <w:rFonts w:cstheme="minorHAnsi"/>
          <w:bCs/>
          <w:u w:val="single"/>
        </w:rPr>
        <w:t>References</w:t>
      </w:r>
      <w:r w:rsidRPr="0073282A">
        <w:rPr>
          <w:rFonts w:cstheme="minorHAnsi"/>
          <w:bCs/>
        </w:rPr>
        <w:tab/>
      </w:r>
    </w:p>
    <w:p w14:paraId="794934A4" w14:textId="1AD4E42F" w:rsidR="00727A71" w:rsidRPr="0073282A" w:rsidRDefault="00727A71"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Cs/>
        </w:rPr>
      </w:pPr>
      <w:r w:rsidRPr="0073282A">
        <w:rPr>
          <w:rFonts w:cstheme="minorHAnsi"/>
          <w:bCs/>
        </w:rPr>
        <w:t>AdamsJ, Mehrota, A, Thoman J, McGlynn, E. (2010). Physician cost profiling – reliability and risk of misclassification. NEJM, 362(11): 1014-1021.</w:t>
      </w:r>
    </w:p>
    <w:p w14:paraId="4CFE4527" w14:textId="0621938B" w:rsidR="00DC3281" w:rsidRPr="0073282A" w:rsidRDefault="00773D55"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Brown, W. (1910). Some experimental results in the correlation of mental abilities. British Journal of Psychology, 3, 296–322.</w:t>
      </w:r>
    </w:p>
    <w:p w14:paraId="4C36C404" w14:textId="303042F0" w:rsidR="00DC3281" w:rsidRPr="0073282A" w:rsidRDefault="00773D55"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 xml:space="preserve">Landis J, Koch G, The measurement of observer agreement for categorical data. Biometrics 1977;33:159-174. </w:t>
      </w:r>
    </w:p>
    <w:p w14:paraId="381598AD" w14:textId="5F4EB350" w:rsidR="00DC3281" w:rsidRPr="0073282A" w:rsidRDefault="00773D55"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Rousson V, Gasser T, Seifert B. Assessing intrarater, interrater and test–retest reliability of continuous measurements. Statistics in Medicine 2002;21:3431-3446.</w:t>
      </w:r>
    </w:p>
    <w:p w14:paraId="48896B84" w14:textId="5A6F6764" w:rsidR="00DC3281" w:rsidRPr="0073282A" w:rsidRDefault="00773D55"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Shrout P, Fleiss J. Intraclass correlations: uses in assessing rater reliability. Psychological Bulletin 1979;86:420-428.</w:t>
      </w:r>
    </w:p>
    <w:p w14:paraId="012C2170" w14:textId="1A345F94" w:rsidR="00773D55" w:rsidRPr="0073282A" w:rsidRDefault="00773D55"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Spearman, Charles, C. (1910). Correlation calculated from faulty data. British Journal of Psychology, 3,</w:t>
      </w:r>
      <w:r w:rsidR="00D056E7" w:rsidRPr="0073282A">
        <w:rPr>
          <w:rFonts w:cstheme="minorHAnsi"/>
          <w:bCs/>
        </w:rPr>
        <w:t xml:space="preserve"> 271-295</w:t>
      </w:r>
    </w:p>
    <w:p w14:paraId="54E842D0" w14:textId="77777777" w:rsidR="00727A71" w:rsidRPr="0073282A" w:rsidRDefault="00727A71"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Yu, H, Mehrota, A, Adams J. (2013). Reliability of utilization measures for primary care physician profiling. Healthcare, 1, 22-29.</w:t>
      </w:r>
    </w:p>
    <w:p w14:paraId="3D38AC24" w14:textId="77777777" w:rsidR="00727A71" w:rsidRPr="009D2558" w:rsidRDefault="00727A71" w:rsidP="00773D55">
      <w:pPr>
        <w:autoSpaceDE w:val="0"/>
        <w:autoSpaceDN w:val="0"/>
        <w:adjustRightInd w:val="0"/>
        <w:spacing w:after="0" w:line="240" w:lineRule="auto"/>
        <w:rPr>
          <w:rFonts w:cstheme="minorHAnsi"/>
          <w:bCs/>
          <w:color w:val="FF0000"/>
        </w:rPr>
      </w:pPr>
    </w:p>
    <w:p w14:paraId="0BDC87BF" w14:textId="77777777" w:rsidR="00257832" w:rsidRPr="00A25024" w:rsidRDefault="00257832" w:rsidP="008C54A9">
      <w:pPr>
        <w:autoSpaceDE w:val="0"/>
        <w:autoSpaceDN w:val="0"/>
        <w:adjustRightInd w:val="0"/>
        <w:spacing w:after="0" w:line="240" w:lineRule="auto"/>
        <w:rPr>
          <w:rFonts w:cstheme="minorHAnsi"/>
          <w:bCs/>
        </w:rPr>
      </w:pPr>
    </w:p>
    <w:p w14:paraId="6813E309" w14:textId="79DDF32E" w:rsidR="00972A88" w:rsidRPr="009676DC" w:rsidRDefault="00092566" w:rsidP="009676DC">
      <w:pPr>
        <w:autoSpaceDE w:val="0"/>
        <w:autoSpaceDN w:val="0"/>
        <w:adjustRightInd w:val="0"/>
        <w:spacing w:after="0" w:line="240" w:lineRule="auto"/>
        <w:rPr>
          <w:rFonts w:ascii="Calibri" w:hAnsi="Calibri" w:cs="Calibri"/>
          <w:bCs/>
          <w:color w:val="FF0000"/>
          <w:sz w:val="23"/>
          <w:szCs w:val="23"/>
        </w:rPr>
      </w:pPr>
      <w:bookmarkStart w:id="16" w:name="_Hlk502921460"/>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bookmarkEnd w:id="16"/>
    <w:p w14:paraId="10643CE4" w14:textId="1632C34A" w:rsidR="009676DC" w:rsidRPr="0073282A" w:rsidRDefault="009676DC"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ascii="Calibri" w:hAnsi="Calibri" w:cs="Calibri"/>
          <w:bCs/>
          <w:sz w:val="23"/>
          <w:szCs w:val="23"/>
          <w:u w:val="single"/>
        </w:rPr>
      </w:pPr>
      <w:r w:rsidRPr="0073282A">
        <w:rPr>
          <w:rFonts w:ascii="Calibri" w:hAnsi="Calibri" w:cs="Calibri"/>
          <w:bCs/>
          <w:sz w:val="23"/>
          <w:szCs w:val="23"/>
          <w:u w:val="single"/>
        </w:rPr>
        <w:t>Measure Score Reliability Results</w:t>
      </w:r>
      <w:r w:rsidR="004C7897" w:rsidRPr="0073282A">
        <w:rPr>
          <w:rFonts w:ascii="Calibri" w:hAnsi="Calibri" w:cs="Calibri"/>
          <w:bCs/>
          <w:sz w:val="23"/>
          <w:szCs w:val="23"/>
          <w:u w:val="single"/>
        </w:rPr>
        <w:t xml:space="preserve"> (Dataset 1)</w:t>
      </w:r>
    </w:p>
    <w:p w14:paraId="100C712A" w14:textId="194DEF34" w:rsidR="00475BB7" w:rsidRPr="0073282A" w:rsidRDefault="00633BD0"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hAnsi="Calibri" w:cs="Calibri"/>
          <w:bCs/>
          <w:sz w:val="23"/>
          <w:szCs w:val="23"/>
        </w:rPr>
      </w:pPr>
      <w:r w:rsidRPr="0073282A">
        <w:rPr>
          <w:rFonts w:ascii="Calibri" w:hAnsi="Calibri" w:cs="Calibri"/>
          <w:bCs/>
          <w:sz w:val="23"/>
          <w:szCs w:val="23"/>
        </w:rPr>
        <w:t xml:space="preserve">There were 138,661 admissions in the 2017 public reported </w:t>
      </w:r>
      <w:r w:rsidR="005B3673" w:rsidRPr="0073282A">
        <w:rPr>
          <w:rFonts w:ascii="Calibri" w:hAnsi="Calibri" w:cs="Calibri"/>
          <w:bCs/>
          <w:sz w:val="23"/>
          <w:szCs w:val="23"/>
        </w:rPr>
        <w:t xml:space="preserve">CABG mortality </w:t>
      </w:r>
      <w:r w:rsidRPr="0073282A">
        <w:rPr>
          <w:rFonts w:ascii="Calibri" w:hAnsi="Calibri" w:cs="Calibri"/>
          <w:bCs/>
          <w:sz w:val="23"/>
          <w:szCs w:val="23"/>
        </w:rPr>
        <w:t>measure (</w:t>
      </w:r>
      <w:r w:rsidRPr="0073282A">
        <w:rPr>
          <w:rFonts w:ascii="Calibri" w:hAnsi="Calibri" w:cs="Calibri"/>
          <w:b/>
          <w:bCs/>
          <w:sz w:val="23"/>
          <w:szCs w:val="23"/>
        </w:rPr>
        <w:t>Dataset</w:t>
      </w:r>
      <w:r w:rsidRPr="0073282A">
        <w:rPr>
          <w:rFonts w:ascii="Calibri" w:hAnsi="Calibri" w:cs="Calibri"/>
          <w:bCs/>
          <w:sz w:val="23"/>
          <w:szCs w:val="23"/>
        </w:rPr>
        <w:t xml:space="preserve"> </w:t>
      </w:r>
      <w:r w:rsidRPr="0073282A">
        <w:rPr>
          <w:rFonts w:ascii="Calibri" w:hAnsi="Calibri" w:cs="Calibri"/>
          <w:b/>
          <w:bCs/>
          <w:sz w:val="23"/>
          <w:szCs w:val="23"/>
        </w:rPr>
        <w:t>1</w:t>
      </w:r>
      <w:r w:rsidRPr="0073282A">
        <w:rPr>
          <w:rFonts w:ascii="Calibri" w:hAnsi="Calibri" w:cs="Calibri"/>
          <w:bCs/>
          <w:sz w:val="23"/>
          <w:szCs w:val="23"/>
        </w:rPr>
        <w:t xml:space="preserve">), with 69,040 in one sample and 69,621 in the other randomly selected sample. The agreement between the two RSMRs for each hospital was 0.35, which according to the conventional interpretation is “fair” (Landis J &amp; Koch G, 1977). </w:t>
      </w:r>
    </w:p>
    <w:p w14:paraId="0C1D6A25" w14:textId="0EFD50F8" w:rsidR="00475BB7" w:rsidRPr="0073282A" w:rsidRDefault="00475BB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hAnsi="Calibri" w:cs="Calibri"/>
          <w:bCs/>
          <w:sz w:val="23"/>
          <w:szCs w:val="23"/>
        </w:rPr>
      </w:pPr>
    </w:p>
    <w:p w14:paraId="3B651465" w14:textId="7DC30F5F" w:rsidR="00CA4107" w:rsidRPr="0073282A" w:rsidRDefault="00CA410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hAnsi="Calibri" w:cs="Calibri"/>
          <w:bCs/>
          <w:sz w:val="23"/>
          <w:szCs w:val="23"/>
        </w:rPr>
      </w:pPr>
      <w:bookmarkStart w:id="17" w:name="_Hlk502921468"/>
      <w:r w:rsidRPr="0073282A">
        <w:rPr>
          <w:rFonts w:ascii="Calibri" w:hAnsi="Calibri" w:cs="Calibri"/>
          <w:bCs/>
          <w:sz w:val="23"/>
          <w:szCs w:val="23"/>
        </w:rPr>
        <w:t xml:space="preserve">Please note that the above reliability represents the lower bound of any reliability estimate of this measure. Using the approach by Adams </w:t>
      </w:r>
      <w:r w:rsidR="00B238A2" w:rsidRPr="0073282A">
        <w:rPr>
          <w:rFonts w:ascii="Calibri" w:hAnsi="Calibri" w:cs="Calibri"/>
          <w:bCs/>
          <w:sz w:val="23"/>
          <w:szCs w:val="23"/>
        </w:rPr>
        <w:t>et al (201</w:t>
      </w:r>
      <w:r w:rsidR="00FD3412" w:rsidRPr="0073282A">
        <w:rPr>
          <w:rFonts w:ascii="Calibri" w:hAnsi="Calibri" w:cs="Calibri"/>
          <w:bCs/>
          <w:sz w:val="23"/>
          <w:szCs w:val="23"/>
        </w:rPr>
        <w:t>0</w:t>
      </w:r>
      <w:r w:rsidR="00B238A2" w:rsidRPr="0073282A">
        <w:rPr>
          <w:rFonts w:ascii="Calibri" w:hAnsi="Calibri" w:cs="Calibri"/>
          <w:bCs/>
          <w:sz w:val="23"/>
          <w:szCs w:val="23"/>
        </w:rPr>
        <w:t>)</w:t>
      </w:r>
      <w:r w:rsidRPr="0073282A">
        <w:rPr>
          <w:rFonts w:ascii="Calibri" w:hAnsi="Calibri" w:cs="Calibri"/>
          <w:bCs/>
          <w:sz w:val="23"/>
          <w:szCs w:val="23"/>
        </w:rPr>
        <w:t xml:space="preserve">, we found the mean reliability score to be 0.851. This </w:t>
      </w:r>
      <w:r w:rsidR="00B238A2" w:rsidRPr="0073282A">
        <w:rPr>
          <w:rFonts w:ascii="Calibri" w:hAnsi="Calibri" w:cs="Calibri"/>
          <w:bCs/>
          <w:sz w:val="23"/>
          <w:szCs w:val="23"/>
        </w:rPr>
        <w:t>is</w:t>
      </w:r>
      <w:r w:rsidRPr="0073282A">
        <w:rPr>
          <w:rFonts w:ascii="Calibri" w:hAnsi="Calibri" w:cs="Calibri"/>
          <w:bCs/>
          <w:sz w:val="23"/>
          <w:szCs w:val="23"/>
        </w:rPr>
        <w:t xml:space="preserve"> considered to be high (Yu, Mehrotra, and Adams, 2013).</w:t>
      </w:r>
    </w:p>
    <w:bookmarkEnd w:id="17"/>
    <w:p w14:paraId="54301B65" w14:textId="1F0CDE0E" w:rsidR="009676DC" w:rsidRPr="0073282A" w:rsidRDefault="009676DC"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hAnsi="Calibri" w:cs="Calibri"/>
          <w:bCs/>
          <w:sz w:val="23"/>
          <w:szCs w:val="23"/>
        </w:rPr>
      </w:pPr>
    </w:p>
    <w:p w14:paraId="5497DA71" w14:textId="682A085A" w:rsidR="009676DC" w:rsidRPr="0073282A" w:rsidRDefault="009676DC"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hAnsi="Calibri" w:cs="Calibri"/>
          <w:bCs/>
          <w:sz w:val="23"/>
          <w:szCs w:val="23"/>
        </w:rPr>
      </w:pPr>
      <w:bookmarkStart w:id="18" w:name="_Hlk502921540"/>
      <w:r w:rsidRPr="0073282A">
        <w:rPr>
          <w:rFonts w:ascii="Calibri" w:hAnsi="Calibri" w:cs="Calibri"/>
          <w:bCs/>
          <w:sz w:val="23"/>
          <w:szCs w:val="23"/>
          <w:u w:val="single"/>
        </w:rPr>
        <w:t>Reference</w:t>
      </w:r>
      <w:r w:rsidR="00101ED3" w:rsidRPr="0073282A">
        <w:rPr>
          <w:rFonts w:ascii="Calibri" w:hAnsi="Calibri" w:cs="Calibri"/>
          <w:bCs/>
          <w:sz w:val="23"/>
          <w:szCs w:val="23"/>
          <w:u w:val="single"/>
        </w:rPr>
        <w:t>s</w:t>
      </w:r>
    </w:p>
    <w:p w14:paraId="26049721" w14:textId="77777777" w:rsidR="002B1922" w:rsidRPr="0073282A" w:rsidRDefault="002B1922"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Cs/>
        </w:rPr>
      </w:pPr>
      <w:r w:rsidRPr="0073282A">
        <w:rPr>
          <w:rFonts w:cstheme="minorHAnsi"/>
          <w:bCs/>
        </w:rPr>
        <w:t>Adams J, Mehrota, A, Thoman J, McGlynn, E. (2010). Physician cost profiling – reliability and risk of misclassification. NEJM, 362(11): 1014-1021.</w:t>
      </w:r>
    </w:p>
    <w:p w14:paraId="7DCD223A" w14:textId="36007FAC" w:rsidR="00BE0DF6" w:rsidRPr="0073282A" w:rsidRDefault="009676DC"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ascii="Calibri" w:hAnsi="Calibri" w:cs="Calibri"/>
          <w:bCs/>
          <w:sz w:val="23"/>
          <w:szCs w:val="23"/>
        </w:rPr>
        <w:t>Landis J, Koch G. The measurement of observer agreement for categorical data, Biometrics 1977;33:159-174.</w:t>
      </w:r>
    </w:p>
    <w:p w14:paraId="2CA71FA3" w14:textId="4CA8B6A6" w:rsidR="00972A88" w:rsidRDefault="00972A88"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73282A">
        <w:rPr>
          <w:rFonts w:cstheme="minorHAnsi"/>
          <w:bCs/>
        </w:rPr>
        <w:t xml:space="preserve">Simoes J, Grady J, DeBuhr J et al., 2017 Procedure-Specific Measure Updates and Specifications Report Hospital-Level 30-Day Risk-Standardized Mortality Measure Isolated Coronary Artery Bypass Graft (CABG) Surgery – Version 4.0. Available at: </w:t>
      </w:r>
      <w:hyperlink r:id="rId13" w:history="1">
        <w:r w:rsidR="0052237D" w:rsidRPr="00D437B9">
          <w:rPr>
            <w:rStyle w:val="Hyperlink"/>
            <w:rFonts w:cstheme="minorHAnsi"/>
            <w:bCs/>
          </w:rPr>
          <w:t>https://www.qualitynet.org/dcs/ContentServer?c=Page&amp;pagename=QnetPublic%2FPage%2FQnetTier2&amp;cid=1163010398556</w:t>
        </w:r>
      </w:hyperlink>
    </w:p>
    <w:p w14:paraId="7F73DDAF" w14:textId="77777777" w:rsidR="0052237D" w:rsidRPr="0073282A" w:rsidRDefault="0052237D"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Yu, H, Mehrota, A, Adams J. (2013). Reliability of utilization measures for primary care physician profiling. Healthcare, 1, 22-29.</w:t>
      </w:r>
    </w:p>
    <w:bookmarkEnd w:id="18"/>
    <w:p w14:paraId="7A9D7B34" w14:textId="77777777" w:rsidR="0052237D" w:rsidRPr="00972A88" w:rsidRDefault="0052237D" w:rsidP="008C54A9">
      <w:pPr>
        <w:autoSpaceDE w:val="0"/>
        <w:autoSpaceDN w:val="0"/>
        <w:adjustRightInd w:val="0"/>
        <w:spacing w:after="0" w:line="240" w:lineRule="auto"/>
        <w:rPr>
          <w:rFonts w:cstheme="minorHAnsi"/>
          <w:bCs/>
          <w:color w:val="FF0000"/>
        </w:rPr>
      </w:pPr>
    </w:p>
    <w:p w14:paraId="102B619C" w14:textId="5F53A2A3" w:rsidR="00972A88" w:rsidRPr="00A25024" w:rsidRDefault="00972A88" w:rsidP="008C54A9">
      <w:pPr>
        <w:autoSpaceDE w:val="0"/>
        <w:autoSpaceDN w:val="0"/>
        <w:adjustRightInd w:val="0"/>
        <w:spacing w:after="0" w:line="240" w:lineRule="auto"/>
        <w:rPr>
          <w:rFonts w:cstheme="minorHAnsi"/>
          <w:bCs/>
        </w:rPr>
      </w:pPr>
    </w:p>
    <w:p w14:paraId="0CABCFD4" w14:textId="77777777" w:rsidR="007422FD" w:rsidRDefault="00092566" w:rsidP="00DB3627">
      <w:pPr>
        <w:autoSpaceDE w:val="0"/>
        <w:autoSpaceDN w:val="0"/>
        <w:adjustRightInd w:val="0"/>
        <w:spacing w:after="0" w:line="240" w:lineRule="auto"/>
        <w:rPr>
          <w:rFonts w:cstheme="minorHAnsi"/>
          <w:bCs/>
        </w:rPr>
      </w:pPr>
      <w:bookmarkStart w:id="19" w:name="_Hlk502921547"/>
      <w:bookmarkStart w:id="20" w:name="_Hlk500507842"/>
      <w:r>
        <w:rPr>
          <w:rFonts w:cstheme="minorHAnsi"/>
          <w:b/>
          <w:bCs/>
        </w:rPr>
        <w:lastRenderedPageBreak/>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 xml:space="preserve">.e., what do the results mean and what are the norms for the test </w:t>
      </w:r>
      <w:r w:rsidR="000B2DF7" w:rsidRPr="00C01609">
        <w:rPr>
          <w:rFonts w:cstheme="minorHAnsi"/>
          <w:bCs/>
          <w:i/>
          <w:u w:val="single"/>
        </w:rPr>
        <w:t>conducted</w:t>
      </w:r>
      <w:r w:rsidR="007757CE" w:rsidRPr="00A25024">
        <w:rPr>
          <w:rFonts w:cstheme="minorHAnsi"/>
          <w:bCs/>
          <w:i/>
        </w:rPr>
        <w:t>?</w:t>
      </w:r>
      <w:r w:rsidR="000B2DF7" w:rsidRPr="00A25024">
        <w:rPr>
          <w:rFonts w:cstheme="minorHAnsi"/>
          <w:bCs/>
        </w:rPr>
        <w:t>)</w:t>
      </w:r>
      <w:r w:rsidR="007422FD" w:rsidRPr="00A25024">
        <w:rPr>
          <w:rFonts w:cstheme="minorHAnsi"/>
          <w:bCs/>
        </w:rPr>
        <w:br/>
      </w:r>
    </w:p>
    <w:bookmarkEnd w:id="19"/>
    <w:p w14:paraId="451925DD" w14:textId="77777777" w:rsidR="00C01609" w:rsidRPr="0073282A" w:rsidRDefault="00C0160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 xml:space="preserve">The ICC demonstrates fair agreement in measure score reliability. </w:t>
      </w:r>
    </w:p>
    <w:p w14:paraId="70CE5D5C" w14:textId="77777777" w:rsidR="00C01609" w:rsidRPr="0073282A" w:rsidRDefault="00C0160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37E0769A" w14:textId="14E59172" w:rsidR="00C01609" w:rsidRPr="0073282A" w:rsidRDefault="00C0160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The ICC[2,1] is a conservative measure of test-retest reliability because it assumes that the multiple measurements are drawn from a larger sample of tests, and that the measured providers are drawn from a larger sample of providers. Given, the conservative nature of the ICC[2,1] and the complex constructs of risk-adjust</w:t>
      </w:r>
      <w:r w:rsidR="000A2783" w:rsidRPr="0073282A">
        <w:rPr>
          <w:rFonts w:cstheme="minorHAnsi"/>
          <w:bCs/>
        </w:rPr>
        <w:t xml:space="preserve">ed </w:t>
      </w:r>
      <w:r w:rsidRPr="0073282A">
        <w:rPr>
          <w:rFonts w:cstheme="minorHAnsi"/>
          <w:bCs/>
        </w:rPr>
        <w:t xml:space="preserve">outcome measures, a lower reliability score is expected. </w:t>
      </w:r>
    </w:p>
    <w:p w14:paraId="3932C63E" w14:textId="77777777" w:rsidR="00C01609" w:rsidRPr="0073282A" w:rsidRDefault="00C0160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BEBF942" w14:textId="77777777" w:rsidR="00C01609" w:rsidRPr="0073282A" w:rsidRDefault="00C0160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 xml:space="preserve">Guidelines for the interpretation of the ICC[2,1] statistic are limited. Landis &amp; Koch (Landis, Koch 1977) created a convention to assess the reliability but stated “In order to maintain consistent nomenclature when describing the relative strength of agreement associated with kappa statistics, the following labels will be assigned to the corresponding ranges of kappa … </w:t>
      </w:r>
      <w:r w:rsidRPr="0073282A">
        <w:rPr>
          <w:rFonts w:cstheme="minorHAnsi"/>
          <w:b/>
          <w:bCs/>
        </w:rPr>
        <w:t>Although these divisions are clearly arbitrary,</w:t>
      </w:r>
      <w:r w:rsidRPr="0073282A">
        <w:rPr>
          <w:rFonts w:cstheme="minorHAnsi"/>
          <w:bCs/>
        </w:rPr>
        <w:t xml:space="preserve"> they do provide useful “benchmarks” for the discussion of the specific example in Table 1”. </w:t>
      </w:r>
    </w:p>
    <w:p w14:paraId="56C656C8" w14:textId="77777777" w:rsidR="00C01609" w:rsidRPr="0073282A" w:rsidRDefault="00C0160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11FC0F99" w14:textId="6361D219" w:rsidR="00C01609" w:rsidRPr="0073282A" w:rsidRDefault="00C0160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3282A">
        <w:rPr>
          <w:bCs/>
        </w:rPr>
        <w:t>In other words</w:t>
      </w:r>
      <w:r w:rsidRPr="0073282A">
        <w:t>, ‘acceptability’ depends on context. For example, if we were measuring adolescent weight twice with the same scale, and assessing whether the weights were above a certain threshold, we would expect the two measurements to agree almost exactly (ICC[2,1] ~ 1); otherwise, we would discard the scale. At the other extreme, if we were measuring a latent personality trait such as a personality disorder, we would expect a much lower level of agreement. In fact, Nestadt et al</w:t>
      </w:r>
      <w:r w:rsidR="00875638" w:rsidRPr="0073282A">
        <w:t>.</w:t>
      </w:r>
      <w:r w:rsidRPr="0073282A">
        <w:t xml:space="preserve"> assessed ICCs for several standard tools for assessing personality disorder and found test-retest reliabilities in the range of 0.06-0.27 (Nestadt 2012). Notably, Nestadt et al</w:t>
      </w:r>
      <w:r w:rsidR="00875638" w:rsidRPr="0073282A">
        <w:t>.</w:t>
      </w:r>
      <w:r w:rsidRPr="0073282A">
        <w:t xml:space="preserve"> conclude that these tools “may still be useful for identifying [personality disorder] constructs.”</w:t>
      </w:r>
    </w:p>
    <w:p w14:paraId="0DEF2B5D" w14:textId="77777777" w:rsidR="00C01609" w:rsidRPr="0073282A" w:rsidRDefault="00C0160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2B5F4CE7" w14:textId="42595A56" w:rsidR="00C01609" w:rsidRPr="0073282A" w:rsidRDefault="00C0160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3282A">
        <w:t>The current context is measuring provider quality, or</w:t>
      </w:r>
      <w:r w:rsidR="00875638" w:rsidRPr="0073282A">
        <w:t xml:space="preserve">, </w:t>
      </w:r>
      <w:r w:rsidRPr="0073282A">
        <w:t>specifically</w:t>
      </w:r>
      <w:r w:rsidR="00875638" w:rsidRPr="0073282A">
        <w:t xml:space="preserve">, </w:t>
      </w:r>
      <w:r w:rsidRPr="0073282A">
        <w:t xml:space="preserve">provider propensity to provide appropriate care as measured by subsequent outcomes. </w:t>
      </w:r>
      <w:r w:rsidRPr="0073282A">
        <w:rPr>
          <w:rFonts w:ascii="Calibri" w:hAnsi="Calibri" w:cs="Calibri"/>
        </w:rPr>
        <w:t>Cruz et al</w:t>
      </w:r>
      <w:r w:rsidR="00875638" w:rsidRPr="0073282A">
        <w:rPr>
          <w:rFonts w:ascii="Calibri" w:hAnsi="Calibri" w:cs="Calibri"/>
        </w:rPr>
        <w:t xml:space="preserve">. </w:t>
      </w:r>
      <w:r w:rsidRPr="0073282A">
        <w:rPr>
          <w:rFonts w:ascii="Calibri" w:hAnsi="Calibri" w:cs="Calibri"/>
        </w:rPr>
        <w:t xml:space="preserve">report reliabilities for collecting risk factor information from patients presenting to an emergency department with potential acute coronary syndrome </w:t>
      </w:r>
      <w:r w:rsidR="005A6F33" w:rsidRPr="0073282A">
        <w:rPr>
          <w:rFonts w:ascii="Calibri" w:hAnsi="Calibri" w:cs="Calibri"/>
        </w:rPr>
        <w:t>(</w:t>
      </w:r>
      <w:r w:rsidRPr="0073282A">
        <w:rPr>
          <w:rFonts w:ascii="Calibri" w:hAnsi="Calibri" w:cs="Calibri"/>
        </w:rPr>
        <w:t>Cruz et al</w:t>
      </w:r>
      <w:r w:rsidR="005A6F33" w:rsidRPr="0073282A">
        <w:rPr>
          <w:rFonts w:ascii="Calibri" w:hAnsi="Calibri" w:cs="Calibri"/>
        </w:rPr>
        <w:t>.)</w:t>
      </w:r>
      <w:r w:rsidRPr="0073282A">
        <w:rPr>
          <w:rFonts w:ascii="Calibri" w:hAnsi="Calibri" w:cs="Calibri"/>
        </w:rPr>
        <w:t>. Each patient was queried twice, once by a clinician and once by a trained research assistant, and the reliabilities for a range of risk factors were calculated; these ranged from 0.28 (associated symptoms) to 0.69 (cardiac risk factors), with all other factors in the 0.30-0.56 range.  Hand et al</w:t>
      </w:r>
      <w:r w:rsidR="00952A4C" w:rsidRPr="0073282A">
        <w:rPr>
          <w:rFonts w:ascii="Calibri" w:hAnsi="Calibri" w:cs="Calibri"/>
        </w:rPr>
        <w:t>.</w:t>
      </w:r>
      <w:r w:rsidRPr="0073282A">
        <w:rPr>
          <w:rFonts w:ascii="Calibri" w:hAnsi="Calibri" w:cs="Calibri"/>
        </w:rPr>
        <w:t xml:space="preserve"> report test-retest reliabilities for bedside clinical assessment of suspected stroke </w:t>
      </w:r>
      <w:r w:rsidR="005528AA" w:rsidRPr="0073282A">
        <w:rPr>
          <w:rFonts w:ascii="Calibri" w:hAnsi="Calibri" w:cs="Calibri"/>
        </w:rPr>
        <w:t>(</w:t>
      </w:r>
      <w:r w:rsidRPr="0073282A">
        <w:rPr>
          <w:rFonts w:ascii="Calibri" w:hAnsi="Calibri" w:cs="Calibri"/>
        </w:rPr>
        <w:t>Hand et al</w:t>
      </w:r>
      <w:r w:rsidR="00952A4C" w:rsidRPr="0073282A">
        <w:rPr>
          <w:rFonts w:ascii="Calibri" w:hAnsi="Calibri" w:cs="Calibri"/>
        </w:rPr>
        <w:t>.</w:t>
      </w:r>
      <w:r w:rsidR="002272DD" w:rsidRPr="0073282A">
        <w:rPr>
          <w:rFonts w:ascii="Calibri" w:hAnsi="Calibri" w:cs="Calibri"/>
        </w:rPr>
        <w:t>)</w:t>
      </w:r>
      <w:r w:rsidRPr="0073282A">
        <w:rPr>
          <w:rFonts w:ascii="Calibri" w:hAnsi="Calibri" w:cs="Calibri"/>
        </w:rPr>
        <w:t>. Pairs of observers independently assessed suspected stroke patients; findings were recorded on a standard form to promote consistency. The reliabilities were calculated for the full range of diagnostic factors: for vascular factors</w:t>
      </w:r>
      <w:r w:rsidR="00952A4C" w:rsidRPr="0073282A">
        <w:rPr>
          <w:rFonts w:ascii="Calibri" w:hAnsi="Calibri" w:cs="Calibri"/>
        </w:rPr>
        <w:t>,</w:t>
      </w:r>
      <w:r w:rsidRPr="0073282A">
        <w:rPr>
          <w:rFonts w:ascii="Calibri" w:hAnsi="Calibri" w:cs="Calibri"/>
        </w:rPr>
        <w:t xml:space="preserve"> reliabilities ranged from 0.47-0.69 with only four of eight above 0.6; for history</w:t>
      </w:r>
      <w:r w:rsidR="00952A4C" w:rsidRPr="0073282A">
        <w:rPr>
          <w:rFonts w:ascii="Calibri" w:hAnsi="Calibri" w:cs="Calibri"/>
        </w:rPr>
        <w:t xml:space="preserve">, </w:t>
      </w:r>
      <w:r w:rsidRPr="0073282A">
        <w:rPr>
          <w:rFonts w:ascii="Calibri" w:hAnsi="Calibri" w:cs="Calibri"/>
        </w:rPr>
        <w:t xml:space="preserve">they ranged from 0.37-0.65 with only five of 12 above 0.6; other categories were similar (though reliability=1 for whether the patients were conscious). </w:t>
      </w:r>
    </w:p>
    <w:p w14:paraId="021603A7" w14:textId="77777777" w:rsidR="00C01609" w:rsidRPr="0073282A" w:rsidRDefault="00C0160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2196C6F5" w14:textId="74580990" w:rsidR="00C01609" w:rsidRPr="0073282A" w:rsidRDefault="00A47DA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bookmarkStart w:id="21" w:name="_Hlk502921568"/>
      <w:r w:rsidRPr="0073282A">
        <w:rPr>
          <w:rFonts w:cstheme="minorHAnsi"/>
          <w:bCs/>
        </w:rPr>
        <w:t xml:space="preserve">Our test-retest reliability score of 0.35 represents the lower bound of any reliability estimate. Using the approach used by </w:t>
      </w:r>
      <w:r w:rsidR="00763245" w:rsidRPr="0073282A">
        <w:rPr>
          <w:rFonts w:cstheme="minorHAnsi"/>
          <w:bCs/>
        </w:rPr>
        <w:t>Adams</w:t>
      </w:r>
      <w:r w:rsidRPr="0073282A">
        <w:rPr>
          <w:rFonts w:cstheme="minorHAnsi"/>
          <w:bCs/>
        </w:rPr>
        <w:t xml:space="preserve"> </w:t>
      </w:r>
      <w:r w:rsidR="00221C54" w:rsidRPr="0073282A">
        <w:rPr>
          <w:rFonts w:cstheme="minorHAnsi"/>
          <w:bCs/>
        </w:rPr>
        <w:t>et al (</w:t>
      </w:r>
      <w:r w:rsidR="00763245" w:rsidRPr="0073282A">
        <w:rPr>
          <w:rFonts w:cstheme="minorHAnsi"/>
          <w:bCs/>
        </w:rPr>
        <w:t>2010</w:t>
      </w:r>
      <w:r w:rsidR="00221C54" w:rsidRPr="0073282A">
        <w:rPr>
          <w:rFonts w:cstheme="minorHAnsi"/>
          <w:bCs/>
        </w:rPr>
        <w:t>)</w:t>
      </w:r>
      <w:r w:rsidRPr="0073282A">
        <w:rPr>
          <w:rFonts w:cstheme="minorHAnsi"/>
          <w:bCs/>
        </w:rPr>
        <w:t xml:space="preserve">, we obtained mean reliability score of 0.851. This pattern was also </w:t>
      </w:r>
      <w:r w:rsidR="00763245" w:rsidRPr="0073282A">
        <w:rPr>
          <w:rFonts w:cstheme="minorHAnsi"/>
          <w:bCs/>
        </w:rPr>
        <w:t>observed by Yu, Mehrotra and Ad</w:t>
      </w:r>
      <w:r w:rsidRPr="0073282A">
        <w:rPr>
          <w:rFonts w:cstheme="minorHAnsi"/>
          <w:bCs/>
        </w:rPr>
        <w:t>ams (2013). For example, they found mean reliability for a PCP visits utilization measure to be 0.94 using the approach used by Adams and colleagues (2010), although the rest-retest reliability score was 0.68. Taking together these results</w:t>
      </w:r>
      <w:r w:rsidR="00C01609" w:rsidRPr="0073282A">
        <w:rPr>
          <w:rFonts w:cstheme="minorHAnsi"/>
          <w:bCs/>
        </w:rPr>
        <w:t xml:space="preserve"> </w:t>
      </w:r>
      <w:r w:rsidR="00A83017" w:rsidRPr="0073282A">
        <w:rPr>
          <w:rFonts w:cstheme="minorHAnsi"/>
          <w:bCs/>
        </w:rPr>
        <w:t>indicate</w:t>
      </w:r>
      <w:r w:rsidR="00C01609" w:rsidRPr="0073282A">
        <w:rPr>
          <w:rFonts w:cstheme="minorHAnsi"/>
          <w:bCs/>
        </w:rPr>
        <w:t xml:space="preserve"> that there is sufficient reliability in the measure score. </w:t>
      </w:r>
    </w:p>
    <w:bookmarkEnd w:id="21"/>
    <w:p w14:paraId="4DE03F4C" w14:textId="77777777" w:rsidR="00ED0A42" w:rsidRPr="0073282A" w:rsidRDefault="00ED0A42" w:rsidP="00C01609">
      <w:pPr>
        <w:autoSpaceDE w:val="0"/>
        <w:autoSpaceDN w:val="0"/>
        <w:adjustRightInd w:val="0"/>
        <w:spacing w:after="0" w:line="240" w:lineRule="auto"/>
        <w:rPr>
          <w:rFonts w:cstheme="minorHAnsi"/>
          <w:bCs/>
        </w:rPr>
      </w:pPr>
    </w:p>
    <w:bookmarkEnd w:id="20"/>
    <w:p w14:paraId="0CABCFD5" w14:textId="3D03EDD5"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DF47F72" w:rsidR="00696262" w:rsidRPr="00A25024" w:rsidRDefault="00A15FB4"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C50F2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C50F21">
        <w:rPr>
          <w:rFonts w:eastAsia="MS Gothic" w:cstheme="minorHAnsi"/>
          <w:b/>
          <w:bCs/>
          <w:highlight w:val="yellow"/>
        </w:rPr>
        <w:t>P</w:t>
      </w:r>
      <w:r w:rsidR="00696262" w:rsidRPr="00C50F21">
        <w:rPr>
          <w:rFonts w:eastAsia="MS Gothic" w:cstheme="minorHAnsi"/>
          <w:b/>
          <w:bCs/>
          <w:highlight w:val="yellow"/>
        </w:rPr>
        <w:t xml:space="preserve">erformance </w:t>
      </w:r>
      <w:r w:rsidR="00696262" w:rsidRPr="00C50F21">
        <w:rPr>
          <w:rFonts w:cstheme="minorHAnsi"/>
          <w:b/>
          <w:bCs/>
          <w:highlight w:val="yellow"/>
        </w:rPr>
        <w:t>measure score</w:t>
      </w:r>
    </w:p>
    <w:p w14:paraId="0CABCFD9" w14:textId="7DAD78FA" w:rsidR="000574AB" w:rsidRPr="00A25024" w:rsidRDefault="00A15FB4"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Content>
          <w:r w:rsidR="004439A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DD6CFC">
        <w:rPr>
          <w:rFonts w:eastAsia="MS Mincho" w:cstheme="minorHAnsi"/>
          <w:b/>
          <w:bCs/>
        </w:rPr>
        <w:t>E</w:t>
      </w:r>
      <w:r w:rsidR="00696262" w:rsidRPr="00DD6CFC">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C50F2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sidRPr="00C50F21">
        <w:rPr>
          <w:rFonts w:cstheme="minorHAnsi"/>
          <w:b/>
          <w:bCs/>
          <w:highlight w:val="yellow"/>
        </w:rPr>
        <w:t>S</w:t>
      </w:r>
      <w:r w:rsidR="00D50704" w:rsidRPr="00C50F21">
        <w:rPr>
          <w:rFonts w:cstheme="minorHAnsi"/>
          <w:b/>
          <w:bCs/>
          <w:highlight w:val="yellow"/>
        </w:rPr>
        <w:t xml:space="preserve">ystematic assessment of </w:t>
      </w:r>
      <w:r w:rsidR="004B6CEE" w:rsidRPr="00C50F21">
        <w:rPr>
          <w:rFonts w:cstheme="minorHAnsi"/>
          <w:b/>
          <w:bCs/>
          <w:highlight w:val="yellow"/>
        </w:rPr>
        <w:t xml:space="preserve">face </w:t>
      </w:r>
      <w:r w:rsidR="004B6CEE" w:rsidRPr="00C50F21">
        <w:rPr>
          <w:rFonts w:eastAsia="MS Gothic" w:cstheme="minorHAnsi"/>
          <w:b/>
          <w:bCs/>
          <w:highlight w:val="yellow"/>
        </w:rPr>
        <w:t>validity</w:t>
      </w:r>
      <w:r w:rsidR="004B6CEE" w:rsidRPr="00A25024">
        <w:rPr>
          <w:rFonts w:eastAsia="MS Gothic" w:cstheme="minorHAnsi"/>
          <w:b/>
          <w:bCs/>
        </w:rPr>
        <w:t xml:space="preserve">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7E80DEFA" w14:textId="51EC6F5B" w:rsidR="001E061C" w:rsidRPr="0073282A" w:rsidRDefault="001E061C"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sz w:val="23"/>
          <w:szCs w:val="23"/>
        </w:rPr>
      </w:pPr>
      <w:r w:rsidRPr="0073282A">
        <w:rPr>
          <w:sz w:val="23"/>
          <w:szCs w:val="23"/>
        </w:rPr>
        <w:t>Measure validity is demonstrated through prior validity testing done on our other claims-based measures, through use of established measure development guidelines, and by systematic assessment of measure face validity by a TEP of national experts and stakeholder organizations.</w:t>
      </w:r>
    </w:p>
    <w:p w14:paraId="3F280CD3" w14:textId="77777777" w:rsidR="001E061C" w:rsidRPr="0073282A" w:rsidRDefault="001E061C"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246F3779" w14:textId="77777777" w:rsidR="004439AC" w:rsidRPr="0073282A" w:rsidRDefault="004439AC" w:rsidP="00D14E62">
      <w:pPr>
        <w:pStyle w:val="Default"/>
        <w:pBdr>
          <w:top w:val="single" w:sz="4" w:space="1" w:color="auto"/>
          <w:left w:val="single" w:sz="4" w:space="1" w:color="auto"/>
          <w:bottom w:val="single" w:sz="4" w:space="1" w:color="auto"/>
          <w:right w:val="single" w:sz="4" w:space="1" w:color="auto"/>
        </w:pBdr>
        <w:outlineLvl w:val="0"/>
        <w:rPr>
          <w:bCs/>
          <w:color w:val="auto"/>
          <w:sz w:val="23"/>
          <w:szCs w:val="23"/>
          <w:u w:val="single"/>
        </w:rPr>
      </w:pPr>
      <w:r w:rsidRPr="0073282A">
        <w:rPr>
          <w:bCs/>
          <w:color w:val="auto"/>
          <w:sz w:val="23"/>
          <w:szCs w:val="23"/>
          <w:u w:val="single"/>
        </w:rPr>
        <w:t>Face Validity as Determined by TEP</w:t>
      </w:r>
    </w:p>
    <w:p w14:paraId="4E0088C4" w14:textId="7678D9B6" w:rsidR="004439AC" w:rsidRPr="0073282A" w:rsidRDefault="004439AC" w:rsidP="00D14E62">
      <w:pPr>
        <w:pStyle w:val="Default"/>
        <w:pBdr>
          <w:top w:val="single" w:sz="4" w:space="1" w:color="auto"/>
          <w:left w:val="single" w:sz="4" w:space="1" w:color="auto"/>
          <w:bottom w:val="single" w:sz="4" w:space="1" w:color="auto"/>
          <w:right w:val="single" w:sz="4" w:space="1" w:color="auto"/>
        </w:pBdr>
        <w:outlineLvl w:val="0"/>
        <w:rPr>
          <w:bCs/>
          <w:color w:val="auto"/>
          <w:sz w:val="23"/>
          <w:szCs w:val="23"/>
        </w:rPr>
      </w:pPr>
      <w:r w:rsidRPr="0073282A">
        <w:rPr>
          <w:bCs/>
          <w:color w:val="auto"/>
          <w:sz w:val="23"/>
          <w:szCs w:val="23"/>
        </w:rPr>
        <w:t xml:space="preserve">To systematically assess face validity, we surveyed the </w:t>
      </w:r>
      <w:r w:rsidR="00952A4C" w:rsidRPr="0073282A">
        <w:rPr>
          <w:bCs/>
          <w:color w:val="auto"/>
          <w:sz w:val="23"/>
          <w:szCs w:val="23"/>
        </w:rPr>
        <w:t xml:space="preserve">TEP </w:t>
      </w:r>
      <w:r w:rsidRPr="0073282A">
        <w:rPr>
          <w:bCs/>
          <w:color w:val="auto"/>
          <w:sz w:val="23"/>
          <w:szCs w:val="23"/>
        </w:rPr>
        <w:t>and asked each member to rate the following statement using a six-point scale (1=Strongly Disagree, 2=Moderately Disagree, 3=Somewhat Disagree, 4=Somewhat Agree, 5= Moderately Agree, and 6=Strongly Agree): “The mortality rates obtained from the mortality measure as specified will provide an accurate reflection of quality.”</w:t>
      </w:r>
    </w:p>
    <w:p w14:paraId="3DDF3C0E" w14:textId="77777777" w:rsidR="00352F32" w:rsidRPr="0073282A" w:rsidRDefault="00352F32" w:rsidP="00D14E62">
      <w:pPr>
        <w:pStyle w:val="Default"/>
        <w:pBdr>
          <w:top w:val="single" w:sz="4" w:space="1" w:color="auto"/>
          <w:left w:val="single" w:sz="4" w:space="1" w:color="auto"/>
          <w:bottom w:val="single" w:sz="4" w:space="1" w:color="auto"/>
          <w:right w:val="single" w:sz="4" w:space="1" w:color="auto"/>
        </w:pBdr>
        <w:outlineLvl w:val="0"/>
        <w:rPr>
          <w:bCs/>
          <w:color w:val="auto"/>
          <w:sz w:val="23"/>
          <w:szCs w:val="23"/>
          <w:u w:val="single"/>
        </w:rPr>
      </w:pPr>
    </w:p>
    <w:p w14:paraId="483B2B0E" w14:textId="77777777" w:rsidR="007A06A4" w:rsidRPr="0073282A" w:rsidRDefault="007A06A4" w:rsidP="00D14E62">
      <w:pPr>
        <w:pStyle w:val="Default"/>
        <w:pBdr>
          <w:top w:val="single" w:sz="4" w:space="1" w:color="auto"/>
          <w:left w:val="single" w:sz="4" w:space="1" w:color="auto"/>
          <w:bottom w:val="single" w:sz="4" w:space="1" w:color="auto"/>
          <w:right w:val="single" w:sz="4" w:space="1" w:color="auto"/>
        </w:pBdr>
        <w:spacing w:after="120"/>
        <w:outlineLvl w:val="0"/>
        <w:rPr>
          <w:color w:val="auto"/>
          <w:sz w:val="23"/>
          <w:szCs w:val="23"/>
          <w:u w:val="single"/>
        </w:rPr>
      </w:pPr>
      <w:r w:rsidRPr="0073282A">
        <w:rPr>
          <w:bCs/>
          <w:color w:val="auto"/>
          <w:sz w:val="23"/>
          <w:szCs w:val="23"/>
          <w:u w:val="single"/>
        </w:rPr>
        <w:t xml:space="preserve">Measure Score Validity - Validity as Assessed by External Groups </w:t>
      </w:r>
    </w:p>
    <w:p w14:paraId="20EF9440" w14:textId="2714389C" w:rsidR="007A06A4" w:rsidRPr="0073282A" w:rsidRDefault="007A06A4"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Throughout measure development, we obtained expert and stakeholder input via three mechanisms: regular discussions with an advisory working group, a national TEP, and a 30-day public comment period to increase transparency and to gain broader input into the measure.</w:t>
      </w:r>
    </w:p>
    <w:p w14:paraId="22171EC3" w14:textId="77777777" w:rsidR="007A06A4" w:rsidRPr="0073282A" w:rsidRDefault="007A06A4"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6C03EB90" w14:textId="5DDC4CEA" w:rsidR="007A06A4" w:rsidRPr="0073282A" w:rsidRDefault="007A06A4"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pPr>
      <w:r w:rsidRPr="0073282A">
        <w:rPr>
          <w:rFonts w:cstheme="minorHAnsi"/>
          <w:bCs/>
        </w:rPr>
        <w:t xml:space="preserve">The working group was comprised of two cardiothoracic surgeons with expertise in quality measure development, one of whom was the lead for the development of the </w:t>
      </w:r>
      <w:r w:rsidR="002272DD" w:rsidRPr="0073282A">
        <w:rPr>
          <w:rFonts w:cstheme="minorHAnsi"/>
          <w:bCs/>
        </w:rPr>
        <w:t>Society of Thoracic Surgeons (STS)</w:t>
      </w:r>
      <w:r w:rsidR="002272DD" w:rsidRPr="0073282A" w:rsidDel="002272DD">
        <w:rPr>
          <w:rFonts w:cstheme="minorHAnsi"/>
          <w:bCs/>
        </w:rPr>
        <w:t xml:space="preserve"> </w:t>
      </w:r>
      <w:r w:rsidR="002272DD" w:rsidRPr="0073282A">
        <w:rPr>
          <w:rFonts w:cstheme="minorHAnsi"/>
          <w:bCs/>
        </w:rPr>
        <w:t>r</w:t>
      </w:r>
      <w:r w:rsidRPr="0073282A">
        <w:rPr>
          <w:rFonts w:cstheme="minorHAnsi"/>
          <w:bCs/>
        </w:rPr>
        <w:t xml:space="preserve">egistry-based CABG readmission measure. In addition, two members of the claims-based measure development team served on the working group for the STS CABG readmission measure. Through frequent (weekly or more frequent) conference calls, all aspects of measure development were discussed among the two measure developers, including the cohort definitions, outcome attribution, and risk-adjustment. The </w:t>
      </w:r>
      <w:r w:rsidRPr="0073282A">
        <w:t>collaboration allowed real-time harmonization of the measures throughout the entire measure development process. The working group meetings addressed key issues surrounding measure development, including detailed discussions regarding the appropriate cohort for inclusion in the measure. The working group provided a forum for focused expert review and discussion of technical issues during measure development prior to consideration by the broader, combined TEP, which was convened to address all three CABG outcome</w:t>
      </w:r>
      <w:r w:rsidR="00EF4544" w:rsidRPr="0073282A">
        <w:t xml:space="preserve"> </w:t>
      </w:r>
      <w:r w:rsidRPr="0073282A">
        <w:t xml:space="preserve">measures under development (the two claims-based readmission and mortality measures as well as the registry-based readmission measure). This allowed for continuation of the close collaboration between measure developers achieved earlier in measure development. </w:t>
      </w:r>
    </w:p>
    <w:p w14:paraId="6D70F383" w14:textId="77777777" w:rsidR="007A06A4" w:rsidRPr="0073282A" w:rsidRDefault="007A06A4"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213AE0B4" w14:textId="7B22749D" w:rsidR="007A06A4" w:rsidRPr="0073282A" w:rsidRDefault="007A06A4" w:rsidP="00D14E62">
      <w:pPr>
        <w:pStyle w:val="Default"/>
        <w:pBdr>
          <w:top w:val="single" w:sz="4" w:space="1" w:color="auto"/>
          <w:left w:val="single" w:sz="4" w:space="1" w:color="auto"/>
          <w:bottom w:val="single" w:sz="4" w:space="1" w:color="auto"/>
          <w:right w:val="single" w:sz="4" w:space="1" w:color="auto"/>
        </w:pBdr>
        <w:spacing w:after="200"/>
        <w:rPr>
          <w:color w:val="auto"/>
          <w:sz w:val="22"/>
          <w:szCs w:val="22"/>
        </w:rPr>
      </w:pPr>
      <w:r w:rsidRPr="0073282A">
        <w:rPr>
          <w:color w:val="auto"/>
          <w:sz w:val="22"/>
          <w:szCs w:val="22"/>
        </w:rPr>
        <w:lastRenderedPageBreak/>
        <w:t>In addition to the working group, and in alignment with the CMS Measure Management System</w:t>
      </w:r>
      <w:r w:rsidR="00B43EA7" w:rsidRPr="0073282A">
        <w:rPr>
          <w:color w:val="auto"/>
          <w:sz w:val="22"/>
          <w:szCs w:val="22"/>
        </w:rPr>
        <w:t xml:space="preserve"> (MMS)</w:t>
      </w:r>
      <w:r w:rsidRPr="0073282A">
        <w:rPr>
          <w:color w:val="auto"/>
          <w:sz w:val="22"/>
          <w:szCs w:val="22"/>
        </w:rPr>
        <w:t xml:space="preserve">, we convened a TEP to provide input and feedback during measure development from a group of recognized experts in relevant fields. To convene the TEP, we released a public call for nominations and selected individuals to represent a range of perspectives including clinicians, consumers, and purchasers, as well as individuals with experience in quality improvement, performance measurement, and health care disparities. We held three structured TEP conference calls consisting of presentation of key issues, our proposed approach, and relevant data, followed by open discussion among TEP members. We made minor modifications to the measure cohort (i.e., excluding additional concomitant non-cardiac procedures from the cohort such as lung resection and mastectomy), and risk-adjustment variables (i.e., including a history of prior CABG surgery in the risk adjustment) based on TEP feedback on the measures. </w:t>
      </w:r>
    </w:p>
    <w:p w14:paraId="2AB6F754" w14:textId="70B62175" w:rsidR="007A06A4" w:rsidRPr="0073282A" w:rsidRDefault="007A06A4"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pPr>
      <w:r w:rsidRPr="0073282A">
        <w:t xml:space="preserve">Following completion of the model, we solicited public comment on the measure through the CMS site link </w:t>
      </w:r>
      <w:r w:rsidRPr="0073282A">
        <w:rPr>
          <w:u w:val="single"/>
        </w:rPr>
        <w:t>https://www.CMS.gov/MMS/17_CallforPublicComment.asp</w:t>
      </w:r>
      <w:r w:rsidRPr="0073282A">
        <w:t>. The public comments were then posted publicly for 30 days.</w:t>
      </w:r>
    </w:p>
    <w:p w14:paraId="577782A2" w14:textId="77777777" w:rsidR="004439AC" w:rsidRPr="0073282A" w:rsidRDefault="004439AC" w:rsidP="00D14E62">
      <w:pPr>
        <w:pStyle w:val="Default"/>
        <w:pBdr>
          <w:top w:val="single" w:sz="4" w:space="1" w:color="auto"/>
          <w:left w:val="single" w:sz="4" w:space="1" w:color="auto"/>
          <w:bottom w:val="single" w:sz="4" w:space="1" w:color="auto"/>
          <w:right w:val="single" w:sz="4" w:space="1" w:color="auto"/>
        </w:pBdr>
        <w:outlineLvl w:val="0"/>
        <w:rPr>
          <w:b/>
          <w:bCs/>
          <w:color w:val="auto"/>
          <w:sz w:val="23"/>
          <w:szCs w:val="23"/>
          <w:u w:val="single"/>
        </w:rPr>
      </w:pPr>
    </w:p>
    <w:p w14:paraId="66CC84F8" w14:textId="058B98F4" w:rsidR="001E061C" w:rsidRPr="0073282A" w:rsidRDefault="001E061C" w:rsidP="00D14E62">
      <w:pPr>
        <w:pStyle w:val="Default"/>
        <w:pBdr>
          <w:top w:val="single" w:sz="4" w:space="1" w:color="auto"/>
          <w:left w:val="single" w:sz="4" w:space="1" w:color="auto"/>
          <w:bottom w:val="single" w:sz="4" w:space="1" w:color="auto"/>
          <w:right w:val="single" w:sz="4" w:space="1" w:color="auto"/>
        </w:pBdr>
        <w:outlineLvl w:val="0"/>
        <w:rPr>
          <w:color w:val="auto"/>
          <w:sz w:val="23"/>
          <w:szCs w:val="23"/>
          <w:u w:val="single"/>
        </w:rPr>
      </w:pPr>
      <w:r w:rsidRPr="0073282A">
        <w:rPr>
          <w:bCs/>
          <w:color w:val="auto"/>
          <w:sz w:val="23"/>
          <w:szCs w:val="23"/>
          <w:u w:val="single"/>
        </w:rPr>
        <w:t xml:space="preserve">Data Element Validity – Validity of Claims-Based Measures </w:t>
      </w:r>
    </w:p>
    <w:p w14:paraId="4F1614EE" w14:textId="41193B7B" w:rsidR="001E061C" w:rsidRPr="0073282A" w:rsidRDefault="001E061C"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sz w:val="23"/>
          <w:szCs w:val="23"/>
        </w:rPr>
      </w:pPr>
      <w:r w:rsidRPr="0073282A">
        <w:rPr>
          <w:sz w:val="23"/>
          <w:szCs w:val="23"/>
        </w:rPr>
        <w:t>Our team has demonstrated for a number of prior measures the validity of claims-based measures for profiling hospitals by comparing either the measure results or individual data elements against medical records. CMS validated the six NQF-endorsed, claim-based measures currently in public reporting (</w:t>
      </w:r>
      <w:r w:rsidR="00F470C9" w:rsidRPr="0073282A">
        <w:rPr>
          <w:sz w:val="23"/>
          <w:szCs w:val="23"/>
        </w:rPr>
        <w:t>acute myocardial i</w:t>
      </w:r>
      <w:r w:rsidR="00AE515C" w:rsidRPr="0073282A">
        <w:rPr>
          <w:sz w:val="23"/>
          <w:szCs w:val="23"/>
        </w:rPr>
        <w:t>nfarction (</w:t>
      </w:r>
      <w:r w:rsidRPr="0073282A">
        <w:rPr>
          <w:sz w:val="23"/>
          <w:szCs w:val="23"/>
        </w:rPr>
        <w:t>AMI</w:t>
      </w:r>
      <w:r w:rsidR="00AE515C" w:rsidRPr="0073282A">
        <w:rPr>
          <w:sz w:val="23"/>
          <w:szCs w:val="23"/>
        </w:rPr>
        <w:t>)</w:t>
      </w:r>
      <w:r w:rsidRPr="0073282A">
        <w:rPr>
          <w:sz w:val="23"/>
          <w:szCs w:val="23"/>
        </w:rPr>
        <w:t xml:space="preserve">, heart failure, and pneumonia mortality and readmission) with models that used medical record-abstracted data for risk adjustment. Specifically, claims model validation was conducted by building comparable models using abstracted medical record data for risk adjustment for heart failure patients (National Heart Failure data), AMI patients (Cooperative Cardiovascular Project data) and pneumonia patients (National Pneumonia Project dataset). When both models were applied to the same patient population, the hospital risk-standardized rates estimated using the claims-based risk-adjustment models had a high level of agreement with the results based on </w:t>
      </w:r>
    </w:p>
    <w:p w14:paraId="1D2DCB73" w14:textId="77777777" w:rsidR="001E061C" w:rsidRPr="0073282A" w:rsidRDefault="001E061C" w:rsidP="00D14E62">
      <w:pPr>
        <w:pStyle w:val="Default"/>
        <w:pBdr>
          <w:top w:val="single" w:sz="4" w:space="1" w:color="auto"/>
          <w:left w:val="single" w:sz="4" w:space="1" w:color="auto"/>
          <w:bottom w:val="single" w:sz="4" w:space="1" w:color="auto"/>
          <w:right w:val="single" w:sz="4" w:space="1" w:color="auto"/>
        </w:pBdr>
        <w:spacing w:after="120"/>
        <w:rPr>
          <w:color w:val="auto"/>
          <w:sz w:val="16"/>
          <w:szCs w:val="16"/>
        </w:rPr>
      </w:pPr>
      <w:r w:rsidRPr="0073282A">
        <w:rPr>
          <w:color w:val="auto"/>
          <w:sz w:val="23"/>
          <w:szCs w:val="23"/>
        </w:rPr>
        <w:t>the medical record model, thus supporting the use of the claims-based models for public reporting. Our group has reported these findings in the peer-reviewed literature (Krumholz et al. 2006; Krumholz et al. 2011; Krumholz et al. 2006a; Keenan et al. 2008; Bratzler 2011; Lindenauer 2011).</w:t>
      </w:r>
    </w:p>
    <w:p w14:paraId="00E2BE38" w14:textId="77777777" w:rsidR="001E061C" w:rsidRPr="0073282A" w:rsidRDefault="001E061C" w:rsidP="00D14E62">
      <w:pPr>
        <w:pStyle w:val="Default"/>
        <w:pBdr>
          <w:top w:val="single" w:sz="4" w:space="1" w:color="auto"/>
          <w:left w:val="single" w:sz="4" w:space="1" w:color="auto"/>
          <w:bottom w:val="single" w:sz="4" w:space="1" w:color="auto"/>
          <w:right w:val="single" w:sz="4" w:space="1" w:color="auto"/>
        </w:pBdr>
        <w:spacing w:after="120"/>
        <w:outlineLvl w:val="0"/>
        <w:rPr>
          <w:color w:val="auto"/>
          <w:sz w:val="23"/>
          <w:szCs w:val="23"/>
          <w:u w:val="single"/>
        </w:rPr>
      </w:pPr>
      <w:r w:rsidRPr="0073282A">
        <w:rPr>
          <w:bCs/>
          <w:color w:val="auto"/>
          <w:sz w:val="23"/>
          <w:szCs w:val="23"/>
          <w:u w:val="single"/>
        </w:rPr>
        <w:t xml:space="preserve">Measure Score Validity -Validity Indicated by Established Measure Development Guidelines  </w:t>
      </w:r>
    </w:p>
    <w:p w14:paraId="15A809BE" w14:textId="7877B72E" w:rsidR="001E061C" w:rsidRPr="0073282A" w:rsidRDefault="001E061C" w:rsidP="00D14E62">
      <w:pPr>
        <w:pStyle w:val="Default"/>
        <w:pBdr>
          <w:top w:val="single" w:sz="4" w:space="1" w:color="auto"/>
          <w:left w:val="single" w:sz="4" w:space="1" w:color="auto"/>
          <w:bottom w:val="single" w:sz="4" w:space="1" w:color="auto"/>
          <w:right w:val="single" w:sz="4" w:space="1" w:color="auto"/>
        </w:pBdr>
        <w:spacing w:after="120"/>
        <w:rPr>
          <w:color w:val="auto"/>
          <w:sz w:val="16"/>
          <w:szCs w:val="16"/>
        </w:rPr>
      </w:pPr>
      <w:r w:rsidRPr="0073282A">
        <w:rPr>
          <w:color w:val="auto"/>
          <w:sz w:val="23"/>
          <w:szCs w:val="23"/>
        </w:rPr>
        <w:t>We developed this measure in consultation with national guidelines for publicly reported outcome measures, with outside experts, and with the public. The measure is consistent with the technical approach to outcome</w:t>
      </w:r>
      <w:r w:rsidR="00B43EA7" w:rsidRPr="0073282A">
        <w:rPr>
          <w:color w:val="auto"/>
          <w:sz w:val="23"/>
          <w:szCs w:val="23"/>
        </w:rPr>
        <w:t xml:space="preserve"> </w:t>
      </w:r>
      <w:r w:rsidRPr="0073282A">
        <w:rPr>
          <w:color w:val="auto"/>
          <w:sz w:val="23"/>
          <w:szCs w:val="23"/>
        </w:rPr>
        <w:t>measurement set forth in NQF guidance for outcome measures,</w:t>
      </w:r>
      <w:r w:rsidRPr="0073282A">
        <w:rPr>
          <w:color w:val="auto"/>
          <w:sz w:val="16"/>
          <w:szCs w:val="16"/>
        </w:rPr>
        <w:t xml:space="preserve"> </w:t>
      </w:r>
      <w:r w:rsidRPr="0073282A">
        <w:rPr>
          <w:color w:val="auto"/>
          <w:sz w:val="23"/>
          <w:szCs w:val="23"/>
        </w:rPr>
        <w:t>CMS</w:t>
      </w:r>
      <w:r w:rsidR="00B43EA7" w:rsidRPr="0073282A">
        <w:rPr>
          <w:color w:val="auto"/>
          <w:sz w:val="23"/>
          <w:szCs w:val="23"/>
        </w:rPr>
        <w:t xml:space="preserve"> </w:t>
      </w:r>
      <w:r w:rsidRPr="0073282A">
        <w:rPr>
          <w:color w:val="auto"/>
          <w:sz w:val="23"/>
          <w:szCs w:val="23"/>
        </w:rPr>
        <w:t>MMS</w:t>
      </w:r>
      <w:r w:rsidR="00B43EA7" w:rsidRPr="0073282A">
        <w:rPr>
          <w:color w:val="auto"/>
          <w:sz w:val="23"/>
          <w:szCs w:val="23"/>
        </w:rPr>
        <w:t xml:space="preserve"> </w:t>
      </w:r>
      <w:r w:rsidRPr="0073282A">
        <w:rPr>
          <w:color w:val="auto"/>
          <w:sz w:val="23"/>
          <w:szCs w:val="23"/>
        </w:rPr>
        <w:t>guidance, and the guidance articulated in the American Heart Association scientific statement, “Standards for Statistical Models Used for Public Reporting of Health Outcomes”</w:t>
      </w:r>
      <w:r w:rsidRPr="0073282A">
        <w:rPr>
          <w:color w:val="auto"/>
        </w:rPr>
        <w:t xml:space="preserve"> </w:t>
      </w:r>
      <w:r w:rsidRPr="0073282A">
        <w:rPr>
          <w:color w:val="auto"/>
          <w:sz w:val="23"/>
          <w:szCs w:val="23"/>
        </w:rPr>
        <w:t xml:space="preserve">(Krumholz, Brindis, et al. 2006; NQF 2010). </w:t>
      </w:r>
    </w:p>
    <w:p w14:paraId="406D6FF7" w14:textId="7DE5D193"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2BB906E2" w14:textId="648F7A72"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bCs/>
          <w:u w:val="single"/>
        </w:rPr>
      </w:pPr>
      <w:r w:rsidRPr="0073282A">
        <w:rPr>
          <w:rFonts w:cstheme="minorHAnsi"/>
          <w:bCs/>
          <w:u w:val="single"/>
        </w:rPr>
        <w:t xml:space="preserve">Validation </w:t>
      </w:r>
      <w:r w:rsidR="00FC1354" w:rsidRPr="0073282A">
        <w:rPr>
          <w:rFonts w:cstheme="minorHAnsi"/>
          <w:bCs/>
          <w:u w:val="single"/>
        </w:rPr>
        <w:t>of the Administrative Risk-Adjustment Model</w:t>
      </w:r>
    </w:p>
    <w:p w14:paraId="3684600D" w14:textId="0F65A1A0" w:rsidR="00A15FB4" w:rsidRPr="00A15FB4" w:rsidRDefault="009C19A3" w:rsidP="00A15FB4">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To validate the administrative risk-adjustment model, we calculated hospital-level, RSMRs</w:t>
      </w:r>
      <w:r w:rsidR="00F470C9" w:rsidRPr="0073282A">
        <w:rPr>
          <w:rFonts w:cstheme="minorHAnsi"/>
          <w:bCs/>
        </w:rPr>
        <w:t xml:space="preserve"> </w:t>
      </w:r>
      <w:r w:rsidRPr="0073282A">
        <w:rPr>
          <w:rFonts w:cstheme="minorHAnsi"/>
          <w:bCs/>
        </w:rPr>
        <w:t>using the claims-based CABG mortality measure risk model and a risk model created using clinical registry data in a common cohort of isolated CABG patients (2008-2010) from the New York State Cardiac Surgery Reporting System (CSRS) from the New York Department of Health and compared the results.</w:t>
      </w:r>
      <w:r w:rsidR="00A15FB4" w:rsidRPr="00A15FB4">
        <w:rPr>
          <w:rFonts w:eastAsiaTheme="minorHAnsi"/>
        </w:rPr>
        <w:t xml:space="preserve"> </w:t>
      </w:r>
      <w:r w:rsidR="00A15FB4" w:rsidRPr="00C20C7B">
        <w:rPr>
          <w:rFonts w:cstheme="minorHAnsi"/>
          <w:bCs/>
          <w:highlight w:val="yellow"/>
        </w:rPr>
        <w:t>We matched claims from the 2008-2010 data sets to the 2008-2011 NY Registry data.</w:t>
      </w:r>
      <w:r w:rsidR="00A15FB4" w:rsidRPr="00A15FB4">
        <w:rPr>
          <w:rFonts w:cstheme="minorHAnsi"/>
          <w:bCs/>
        </w:rPr>
        <w:t xml:space="preserve">   </w:t>
      </w:r>
    </w:p>
    <w:p w14:paraId="228B8FEC" w14:textId="5B51B9F4" w:rsidR="007A6995"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lastRenderedPageBreak/>
        <w:t xml:space="preserve">We measured the correlation between the two sets of results at the hospital level. In addition, we used a bootstrapping approach similar to that used for public reporting of the AMI, heart failure and pneumonia mortality measures to categorize hospital performance as better, worse or no different than the average hospital observed mortality rate. </w:t>
      </w:r>
      <w:r w:rsidR="007A6995" w:rsidRPr="005B17A5">
        <w:rPr>
          <w:rFonts w:cstheme="minorHAnsi"/>
          <w:bCs/>
          <w:highlight w:val="yellow"/>
        </w:rPr>
        <w:t>The bootstrapping algorithm used is described below:</w:t>
      </w:r>
    </w:p>
    <w:p w14:paraId="6957A745" w14:textId="199C278D" w:rsidR="007A6995" w:rsidRDefault="007A6995"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16A604DF" w14:textId="6CFFF4B3" w:rsidR="007A6995" w:rsidRDefault="00106B8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106B81">
        <w:drawing>
          <wp:inline distT="0" distB="0" distL="0" distR="0" wp14:anchorId="532D8962" wp14:editId="41DFCD79">
            <wp:extent cx="5943600" cy="418895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4188950"/>
                    </a:xfrm>
                    <a:prstGeom prst="rect">
                      <a:avLst/>
                    </a:prstGeom>
                    <a:noFill/>
                    <a:ln>
                      <a:noFill/>
                    </a:ln>
                  </pic:spPr>
                </pic:pic>
              </a:graphicData>
            </a:graphic>
          </wp:inline>
        </w:drawing>
      </w:r>
    </w:p>
    <w:p w14:paraId="05751D1A" w14:textId="77777777" w:rsidR="007A6995" w:rsidRDefault="007A6995"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3287CC8F" w14:textId="5C496193"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We then performed a reclassification analysis to determine how many hospitals might be reclassified to a different performance category if assessed by the administrative model as compared to the registry model. In order to isolate differences due to the method of risk adjustment, both measures were calculated in the same cohort of patients, used the sam</w:t>
      </w:r>
      <w:bookmarkStart w:id="22" w:name="_GoBack"/>
      <w:bookmarkEnd w:id="22"/>
      <w:r w:rsidRPr="0073282A">
        <w:rPr>
          <w:rFonts w:cstheme="minorHAnsi"/>
          <w:bCs/>
        </w:rPr>
        <w:t>e outcome definition (30-day all-cause mortality defined by administrative claims data) and a consistent approach to risk-adjustment modeling (the hierarchical logistic regression model approach used in CMS’s publicly reported claims-based outcome measures).</w:t>
      </w:r>
    </w:p>
    <w:p w14:paraId="0CABCFDD" w14:textId="1CBE288C" w:rsidR="00833325" w:rsidRPr="0073282A" w:rsidRDefault="00833325"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19045951" w14:textId="77777777" w:rsidR="003D7661" w:rsidRPr="0073282A" w:rsidRDefault="003D76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b/>
          <w:bCs/>
        </w:rPr>
      </w:pPr>
      <w:r w:rsidRPr="0073282A">
        <w:rPr>
          <w:rFonts w:cstheme="minorHAnsi"/>
          <w:b/>
          <w:bCs/>
        </w:rPr>
        <w:t>ICD-9 to ICD-10 Conversion</w:t>
      </w:r>
    </w:p>
    <w:p w14:paraId="1B2B762B" w14:textId="77777777" w:rsidR="003D7661" w:rsidRPr="0073282A" w:rsidRDefault="003D76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56E3454D" w14:textId="77777777" w:rsidR="003D7661" w:rsidRPr="0073282A" w:rsidRDefault="003D76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bCs/>
          <w:u w:val="single"/>
        </w:rPr>
      </w:pPr>
      <w:r w:rsidRPr="0073282A">
        <w:rPr>
          <w:rFonts w:cstheme="minorHAnsi"/>
          <w:bCs/>
          <w:u w:val="single"/>
        </w:rPr>
        <w:t>Statement of Intent</w:t>
      </w:r>
    </w:p>
    <w:p w14:paraId="67E682BF" w14:textId="77777777" w:rsidR="003D7661" w:rsidRPr="0073282A" w:rsidRDefault="003D76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 xml:space="preserve">[X] Goal was to convert this measure to a new code set, fully consistent with the intent of the original measure. </w:t>
      </w:r>
    </w:p>
    <w:p w14:paraId="1132C92F" w14:textId="77777777" w:rsidR="003D7661" w:rsidRPr="0073282A" w:rsidRDefault="003D76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 xml:space="preserve">[ ] Goal was to take advantage of the more specific code set to form a new version of the measure, but fully consistent with the original intent. </w:t>
      </w:r>
    </w:p>
    <w:p w14:paraId="645CC3D9" w14:textId="77777777" w:rsidR="003D7661" w:rsidRPr="0073282A" w:rsidRDefault="003D76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 xml:space="preserve">[ ] The intent of the measure has changed. </w:t>
      </w:r>
    </w:p>
    <w:p w14:paraId="4C02204F" w14:textId="77777777" w:rsidR="00F311AA" w:rsidRPr="0073282A" w:rsidRDefault="00F311AA"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55D24960" w14:textId="77777777" w:rsidR="003D7661" w:rsidRPr="0073282A" w:rsidRDefault="003D766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bCs/>
          <w:u w:val="single"/>
        </w:rPr>
      </w:pPr>
      <w:r w:rsidRPr="0073282A">
        <w:rPr>
          <w:rFonts w:cstheme="minorHAnsi"/>
          <w:bCs/>
          <w:u w:val="single"/>
        </w:rPr>
        <w:lastRenderedPageBreak/>
        <w:t>Process of Conversion</w:t>
      </w:r>
    </w:p>
    <w:p w14:paraId="073D38D0" w14:textId="77777777" w:rsidR="002F64D1" w:rsidRPr="0073282A" w:rsidRDefault="002F64D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We re-specified the measure to accommodate the implementation of ICD-10 coding. Specifically:</w:t>
      </w:r>
    </w:p>
    <w:p w14:paraId="52B92787" w14:textId="401BBD16" w:rsidR="002F64D1" w:rsidRPr="0073282A" w:rsidRDefault="002F64D1" w:rsidP="00D14E62">
      <w:pPr>
        <w:pStyle w:val="ListParagraph"/>
        <w:numPr>
          <w:ilvl w:val="0"/>
          <w:numId w:val="36"/>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We expanded the cohort definition to include ICD-10 codes for use with discharges on or after October 1, 2015. (Previously-specified ICD-9 codes continue to be used for discharges before October 1, 2015.)</w:t>
      </w:r>
    </w:p>
    <w:p w14:paraId="242E4714" w14:textId="1B87ED42" w:rsidR="002F64D1" w:rsidRPr="0073282A" w:rsidRDefault="002F64D1" w:rsidP="00D14E62">
      <w:pPr>
        <w:pStyle w:val="ListParagraph"/>
        <w:numPr>
          <w:ilvl w:val="0"/>
          <w:numId w:val="36"/>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We re-specified the risk model:</w:t>
      </w:r>
    </w:p>
    <w:p w14:paraId="1E69865C" w14:textId="31D4DC7F" w:rsidR="002F64D1" w:rsidRPr="0073282A" w:rsidRDefault="002F64D1" w:rsidP="00D14E62">
      <w:pPr>
        <w:pStyle w:val="ListParagraph"/>
        <w:numPr>
          <w:ilvl w:val="0"/>
          <w:numId w:val="36"/>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The CC-based risk variables were updated to the ICD-10-compatible HCC system version 22, maintained by RTI International; and,</w:t>
      </w:r>
    </w:p>
    <w:p w14:paraId="515444D2" w14:textId="7D541A2D" w:rsidR="002F64D1" w:rsidRPr="0073282A" w:rsidRDefault="002F64D1" w:rsidP="00D14E62">
      <w:pPr>
        <w:pStyle w:val="ListParagraph"/>
        <w:numPr>
          <w:ilvl w:val="0"/>
          <w:numId w:val="36"/>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Certain risk variables (for example, cardiogenic shock)</w:t>
      </w:r>
      <w:r w:rsidR="00F470C9" w:rsidRPr="0073282A">
        <w:rPr>
          <w:rFonts w:cstheme="minorHAnsi"/>
          <w:bCs/>
        </w:rPr>
        <w:t xml:space="preserve">, </w:t>
      </w:r>
      <w:r w:rsidRPr="0073282A">
        <w:rPr>
          <w:rFonts w:cstheme="minorHAnsi"/>
          <w:bCs/>
        </w:rPr>
        <w:t>previously defined using ICD-9 codes</w:t>
      </w:r>
      <w:r w:rsidR="00F470C9" w:rsidRPr="0073282A">
        <w:rPr>
          <w:rFonts w:cstheme="minorHAnsi"/>
          <w:bCs/>
        </w:rPr>
        <w:t xml:space="preserve">, </w:t>
      </w:r>
      <w:r w:rsidRPr="0073282A">
        <w:rPr>
          <w:rFonts w:cstheme="minorHAnsi"/>
          <w:bCs/>
        </w:rPr>
        <w:t>were re-defined using ICD-10 codes</w:t>
      </w:r>
      <w:r w:rsidR="00F470C9" w:rsidRPr="0073282A">
        <w:rPr>
          <w:rFonts w:cstheme="minorHAnsi"/>
          <w:bCs/>
        </w:rPr>
        <w:t xml:space="preserve"> </w:t>
      </w:r>
      <w:r w:rsidRPr="0073282A">
        <w:rPr>
          <w:rFonts w:cstheme="minorHAnsi"/>
          <w:bCs/>
        </w:rPr>
        <w:t>for use with inpatient, outpatient, and/or physician Medicare administrative claims on or after October 1, 2015.</w:t>
      </w:r>
    </w:p>
    <w:p w14:paraId="60291230" w14:textId="77777777" w:rsidR="002821AE" w:rsidRPr="0073282A" w:rsidRDefault="002821AE"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3870F425" w14:textId="77777777" w:rsidR="002F64D1" w:rsidRPr="0073282A" w:rsidRDefault="002F64D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bCs/>
        </w:rPr>
      </w:pPr>
      <w:r w:rsidRPr="0073282A">
        <w:rPr>
          <w:rFonts w:cstheme="minorHAnsi"/>
          <w:bCs/>
        </w:rPr>
        <w:t>The goal of this re-specification was to maintain the intent and validity of the measure.</w:t>
      </w:r>
    </w:p>
    <w:p w14:paraId="22ABAA7C" w14:textId="77777777" w:rsidR="002821AE" w:rsidRPr="0073282A" w:rsidRDefault="002821AE"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60530190" w14:textId="77777777" w:rsidR="002F64D1" w:rsidRPr="0073282A" w:rsidRDefault="002F64D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bCs/>
          <w:u w:val="single"/>
        </w:rPr>
      </w:pPr>
      <w:r w:rsidRPr="0073282A">
        <w:rPr>
          <w:rFonts w:cstheme="minorHAnsi"/>
          <w:bCs/>
          <w:u w:val="single"/>
        </w:rPr>
        <w:t>The ICD-10 Transition Process</w:t>
      </w:r>
    </w:p>
    <w:p w14:paraId="6B6FCE25" w14:textId="736A4B8A" w:rsidR="002F64D1" w:rsidRPr="0073282A" w:rsidRDefault="002F64D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 xml:space="preserve">In developing the ICD-10 code lists that define the cohort for the measure, we created cohort crosswalks using the General Equivalence Mappings (GEMs), a tool created by CMS and the Centers for Disease Control and Prevention (CDC) to assist with the conversion of ICD-9 codes to ICD-10 codes. To validate the cohort crosswalks, we compared the cohort size using ICD-10 codes in a set of claims submitted between October 2015 and March 2016 with the cohort size using previously-defined ICD-9 codes in a set of claims submitted between October 2014 and March 2015. We conducted clinical review </w:t>
      </w:r>
      <w:r w:rsidR="00BC2ACE" w:rsidRPr="0073282A">
        <w:rPr>
          <w:rFonts w:cstheme="minorHAnsi"/>
          <w:bCs/>
        </w:rPr>
        <w:t>of the results of this analysis to further refine the set of</w:t>
      </w:r>
      <w:r w:rsidRPr="0073282A">
        <w:rPr>
          <w:rFonts w:cstheme="minorHAnsi"/>
          <w:bCs/>
        </w:rPr>
        <w:t xml:space="preserve"> codes appropriate for cohort definition.</w:t>
      </w:r>
    </w:p>
    <w:p w14:paraId="3B4463AB" w14:textId="77777777" w:rsidR="002F64D1" w:rsidRPr="0073282A" w:rsidRDefault="002F64D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49B06545" w14:textId="77777777" w:rsidR="002F64D1" w:rsidRPr="0073282A" w:rsidRDefault="002F64D1"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The risk variables were updated to the ICD-10-compatible HCC version 22 map. The intent was to keep the risk-adjustment model as similar as possible to the model previously defined using HCC version 12. Specifically:</w:t>
      </w:r>
    </w:p>
    <w:p w14:paraId="0F29F338" w14:textId="6AF9F87C" w:rsidR="002F64D1" w:rsidRPr="0073282A" w:rsidRDefault="002F64D1" w:rsidP="00D14E62">
      <w:pPr>
        <w:pStyle w:val="ListParagraph"/>
        <w:numPr>
          <w:ilvl w:val="0"/>
          <w:numId w:val="32"/>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360"/>
        <w:rPr>
          <w:rFonts w:cstheme="minorHAnsi"/>
          <w:bCs/>
        </w:rPr>
      </w:pPr>
      <w:r w:rsidRPr="0073282A">
        <w:rPr>
          <w:rFonts w:cstheme="minorHAnsi"/>
          <w:bCs/>
        </w:rPr>
        <w:t xml:space="preserve">Experts examined the ICD-9 code-based HCC version 12 and version 22 maps and reviewed shifts that occurred (where an ICD-9 code had moved from one CC to another). Based on these examinations, they recommended new risk variables using version 22 CCs. </w:t>
      </w:r>
    </w:p>
    <w:p w14:paraId="57645514" w14:textId="71C661BE" w:rsidR="002F64D1" w:rsidRPr="0073282A" w:rsidRDefault="002F64D1" w:rsidP="00D14E62">
      <w:pPr>
        <w:pStyle w:val="ListParagraph"/>
        <w:numPr>
          <w:ilvl w:val="0"/>
          <w:numId w:val="32"/>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360"/>
        <w:rPr>
          <w:rFonts w:cstheme="minorHAnsi"/>
          <w:bCs/>
        </w:rPr>
      </w:pPr>
      <w:r w:rsidRPr="0073282A">
        <w:rPr>
          <w:rFonts w:cstheme="minorHAnsi"/>
          <w:bCs/>
        </w:rPr>
        <w:t>Following re-specification of the risk variables using the HCC version 22 map, we ran risk-adjustment models on several outcome measures, to ensure testing of all variables where shifts in the ICD-9 codes included in the CCs had occurred.</w:t>
      </w:r>
    </w:p>
    <w:p w14:paraId="00BE621F" w14:textId="41329CF9" w:rsidR="002F64D1" w:rsidRPr="0073282A" w:rsidRDefault="002F64D1" w:rsidP="00D14E62">
      <w:pPr>
        <w:pStyle w:val="ListParagraph"/>
        <w:numPr>
          <w:ilvl w:val="0"/>
          <w:numId w:val="32"/>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360"/>
        <w:rPr>
          <w:rFonts w:cstheme="minorHAnsi"/>
          <w:bCs/>
        </w:rPr>
      </w:pPr>
      <w:r w:rsidRPr="0073282A">
        <w:rPr>
          <w:rFonts w:cstheme="minorHAnsi"/>
          <w:bCs/>
        </w:rPr>
        <w:t xml:space="preserve">For each tested measure, we used the same claims dataset to calculate and compare two separate sets of measure results using two separate risk-adjustment models: One set using the previously-specified version 12 risk variables, and the other using the newly-specified version 22 risk variables. For this </w:t>
      </w:r>
      <w:r w:rsidR="00A326B2" w:rsidRPr="0073282A">
        <w:rPr>
          <w:rFonts w:cstheme="minorHAnsi"/>
          <w:bCs/>
        </w:rPr>
        <w:t>analysis,</w:t>
      </w:r>
      <w:r w:rsidRPr="0073282A">
        <w:rPr>
          <w:rFonts w:cstheme="minorHAnsi"/>
          <w:bCs/>
        </w:rPr>
        <w:t xml:space="preserve"> we used the ICD-9-coded data from the 2016 measurement period.</w:t>
      </w:r>
    </w:p>
    <w:p w14:paraId="669043F8" w14:textId="22C6DD9C" w:rsidR="002F64D1" w:rsidRPr="0073282A" w:rsidRDefault="002F64D1" w:rsidP="00D14E62">
      <w:pPr>
        <w:pStyle w:val="ListParagraph"/>
        <w:numPr>
          <w:ilvl w:val="0"/>
          <w:numId w:val="31"/>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360"/>
        <w:rPr>
          <w:rFonts w:cstheme="minorHAnsi"/>
          <w:bCs/>
        </w:rPr>
      </w:pPr>
      <w:r w:rsidRPr="0073282A">
        <w:rPr>
          <w:rFonts w:cstheme="minorHAnsi"/>
          <w:bCs/>
        </w:rPr>
        <w:t>We compared the frequencies and model coefficients of the two sets of risk-adjustment variables, to ensure that they were similar.</w:t>
      </w:r>
    </w:p>
    <w:p w14:paraId="478C6B58" w14:textId="36A0DD6B" w:rsidR="002F64D1" w:rsidRPr="0073282A" w:rsidRDefault="002F64D1" w:rsidP="00D14E62">
      <w:pPr>
        <w:pStyle w:val="ListParagraph"/>
        <w:numPr>
          <w:ilvl w:val="0"/>
          <w:numId w:val="31"/>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360"/>
        <w:rPr>
          <w:rFonts w:cstheme="minorHAnsi"/>
          <w:bCs/>
        </w:rPr>
      </w:pPr>
      <w:r w:rsidRPr="0073282A">
        <w:rPr>
          <w:rFonts w:cstheme="minorHAnsi"/>
          <w:bCs/>
        </w:rPr>
        <w:t>We compared the performance of each risk-adjustment model by calculating each model’s c-statistic and predictive ability.</w:t>
      </w:r>
    </w:p>
    <w:p w14:paraId="70FED82C" w14:textId="68355C69" w:rsidR="002F64D1" w:rsidRPr="0073282A" w:rsidRDefault="002F64D1" w:rsidP="00D14E62">
      <w:pPr>
        <w:pStyle w:val="ListParagraph"/>
        <w:numPr>
          <w:ilvl w:val="0"/>
          <w:numId w:val="31"/>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360"/>
        <w:rPr>
          <w:rFonts w:cstheme="minorHAnsi"/>
          <w:bCs/>
        </w:rPr>
      </w:pPr>
      <w:r w:rsidRPr="0073282A">
        <w:rPr>
          <w:rFonts w:cstheme="minorHAnsi"/>
          <w:bCs/>
        </w:rPr>
        <w:t>We examined the correlation in the risk-standardized outcome rates produced by the two risk-adjustment models, to ensure that they produced similar measure results.</w:t>
      </w:r>
    </w:p>
    <w:p w14:paraId="7BB7FB94" w14:textId="3DAD54FC" w:rsidR="002F64D1" w:rsidRPr="0073282A" w:rsidRDefault="002F64D1" w:rsidP="00D14E62">
      <w:pPr>
        <w:pStyle w:val="ListParagraph"/>
        <w:numPr>
          <w:ilvl w:val="0"/>
          <w:numId w:val="31"/>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360"/>
        <w:rPr>
          <w:rFonts w:cstheme="minorHAnsi"/>
          <w:bCs/>
        </w:rPr>
      </w:pPr>
      <w:r w:rsidRPr="0073282A">
        <w:rPr>
          <w:rFonts w:cstheme="minorHAnsi"/>
          <w:bCs/>
        </w:rPr>
        <w:t>We examined the degree to which the models produced similar risk-standardized outcome rates at the hospital level by assessing whether individual hospitals’ risk-standardized rates fell into the same quintile in the distribution of risk-standardized rates calculated by each of the two models.</w:t>
      </w:r>
    </w:p>
    <w:p w14:paraId="5C3B56AC" w14:textId="29E80C8C" w:rsidR="002F64D1" w:rsidRPr="0073282A" w:rsidRDefault="002F64D1" w:rsidP="00D14E62">
      <w:pPr>
        <w:pStyle w:val="ListParagraph"/>
        <w:numPr>
          <w:ilvl w:val="0"/>
          <w:numId w:val="31"/>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360"/>
        <w:rPr>
          <w:rFonts w:cstheme="minorHAnsi"/>
          <w:bCs/>
        </w:rPr>
      </w:pPr>
      <w:r w:rsidRPr="0073282A">
        <w:rPr>
          <w:rFonts w:cstheme="minorHAnsi"/>
          <w:bCs/>
        </w:rPr>
        <w:t xml:space="preserve">Based on the results of these analyses, we made minor modifications to the re-specified risk-adjustment variables to ensure that the performance of the risk-adjustment model was as similar as </w:t>
      </w:r>
      <w:r w:rsidRPr="0073282A">
        <w:rPr>
          <w:rFonts w:cstheme="minorHAnsi"/>
          <w:bCs/>
        </w:rPr>
        <w:lastRenderedPageBreak/>
        <w:t>possible to the performance of the previously-specified model, and that the hospital-level results were as similar as possible.</w:t>
      </w:r>
    </w:p>
    <w:p w14:paraId="2E5EEF0A" w14:textId="77777777" w:rsidR="00B52696" w:rsidRPr="0073282A" w:rsidRDefault="00B52696"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2EB811DE" w14:textId="77777777" w:rsidR="002821AE" w:rsidRPr="0073282A" w:rsidRDefault="002821AE"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bCs/>
        </w:rPr>
      </w:pPr>
      <w:r w:rsidRPr="0073282A">
        <w:rPr>
          <w:rFonts w:cstheme="minorHAnsi"/>
          <w:bCs/>
        </w:rPr>
        <w:t>ICD-9 and ICD-10 codes are attached in the Data Dictionary.</w:t>
      </w:r>
    </w:p>
    <w:p w14:paraId="32328CD7" w14:textId="77777777" w:rsidR="009C19A3" w:rsidRPr="0073282A" w:rsidRDefault="009C19A3" w:rsidP="00D14E62">
      <w:pPr>
        <w:pBdr>
          <w:top w:val="single" w:sz="4" w:space="1" w:color="auto"/>
          <w:left w:val="single" w:sz="4" w:space="1" w:color="auto"/>
          <w:bottom w:val="single" w:sz="4" w:space="1" w:color="auto"/>
          <w:right w:val="single" w:sz="4" w:space="1" w:color="auto"/>
        </w:pBdr>
        <w:tabs>
          <w:tab w:val="left" w:pos="3094"/>
        </w:tabs>
        <w:autoSpaceDE w:val="0"/>
        <w:autoSpaceDN w:val="0"/>
        <w:adjustRightInd w:val="0"/>
        <w:spacing w:after="0" w:line="240" w:lineRule="auto"/>
        <w:rPr>
          <w:rFonts w:cstheme="minorHAnsi"/>
          <w:bCs/>
        </w:rPr>
      </w:pPr>
    </w:p>
    <w:p w14:paraId="0B88110F" w14:textId="77777777"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outlineLvl w:val="0"/>
        <w:rPr>
          <w:rFonts w:cstheme="minorHAnsi"/>
          <w:bCs/>
          <w:u w:val="single"/>
        </w:rPr>
      </w:pPr>
      <w:r w:rsidRPr="0073282A">
        <w:rPr>
          <w:rFonts w:cstheme="minorHAnsi"/>
          <w:bCs/>
          <w:u w:val="single"/>
        </w:rPr>
        <w:t>References</w:t>
      </w:r>
    </w:p>
    <w:p w14:paraId="7E032A09" w14:textId="77777777"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lang w:val="en-GB"/>
        </w:rPr>
        <w:t xml:space="preserve">Bratzler DW, Normand SL, Wang Y, et al. </w:t>
      </w:r>
      <w:r w:rsidRPr="0073282A">
        <w:rPr>
          <w:rFonts w:cstheme="minorHAnsi"/>
          <w:bCs/>
        </w:rPr>
        <w:t>An administrative claims model for profiling hospital 30-day mortality rates for pneumonia patients. PLoS One 2011;6(4):e17401.</w:t>
      </w:r>
    </w:p>
    <w:p w14:paraId="5A70A74F" w14:textId="77777777"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Keenan PS, Normand SL, Lin Z, et al. An administrative claims measure suitable for profiling hospital performance on the basis of 30-day all-cause readmission rates among patients with heart failure. Circulation 2008;1(1):29-37.</w:t>
      </w:r>
    </w:p>
    <w:p w14:paraId="2ECF6E46" w14:textId="77777777"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Krumholz HM, Brindis RG,Brush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January 24, 2006 2006;113(3):456-462.</w:t>
      </w:r>
    </w:p>
    <w:p w14:paraId="66C62E79" w14:textId="77777777"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Krumholz HM, Wang Y, Mattera JA, et al. An administrative claims model suitable for profiling hospital performance based on 30-day mortality rates among patients with an acute myocardial infarction. Circulation 2006;113(13):1683-92.</w:t>
      </w:r>
    </w:p>
    <w:p w14:paraId="5BF1B6E4" w14:textId="77777777"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Krumholz HM, Wang Y, Mattera JA, et al. An administrative claims model suitable for profiling hospital performance based on 30-day mortality rates among patients with heart failure. Circulation 2006;113:1693-1701.</w:t>
      </w:r>
    </w:p>
    <w:p w14:paraId="630227FC" w14:textId="77777777"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National Quality Forum. National voluntary consensus standards for patient outcomes, first report for phases 1 and 2: A consensus report http://www.qualityforum.org/projects/Patient_Outcome_Measures_Phases1-2.aspx. Accessed August 19, 2010.</w:t>
      </w:r>
    </w:p>
    <w:p w14:paraId="64C4E29C" w14:textId="77777777"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Shahian DM, He X, O’Brien S, et al. Development of a Clinical Registry-Based 30-Day Readmission Measure for Coronary Artery Bypass Grafting Surgery. Circulation 2014; DOI: 0.1161/CIRCULATIONAHA.113.007541. Published online before print June 10, 2014</w:t>
      </w:r>
    </w:p>
    <w:p w14:paraId="7036625F" w14:textId="77777777"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Suter L, Wang C, Araas M, et al. Hospital-Level 30-Day All-Cause Unplanned Readmission Following Coronary Artery Bypass Graft Surgery (CABG): Updated Measure Methodology Report. 2014; http://www.qualitynet.org/dcs/BlobServer?blobkey=id&amp;blobnocache=true&amp;blobwhere=1228890352615&amp;blobheader=multipart%2Foctet-stream&amp;blobheadername1=Content-Disposition&amp;blobheadervalue1=attachment%3Bfilename%3DRdmsn_CABG_MeasMethd_Rpt_060314.pdf&amp;blobcol=urldata&amp;blobtable=MungoBlobs. Accessed November 4, 2015.</w:t>
      </w:r>
    </w:p>
    <w:p w14:paraId="7168BF55" w14:textId="77777777" w:rsidR="009C19A3" w:rsidRPr="0073282A" w:rsidRDefault="009C19A3" w:rsidP="00D14E62">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3282A">
        <w:rPr>
          <w:rFonts w:cstheme="minorHAnsi"/>
          <w:bCs/>
        </w:rPr>
        <w:t>Xian Y, Fonarow GC, Reeves MJ, et al. Data quality in the American Heart Association Get With The Guidelines-Stroke (GWTG-Stroke): Results from a National Data Validation Audit. American Heart Journal. 2012;163(3):392-398.e391. http://www.ahjonline.com/article/S0002-8703%2811%2900894-5/abstract</w:t>
      </w:r>
    </w:p>
    <w:p w14:paraId="3EFA6D8C" w14:textId="3AF44779" w:rsidR="003D7661" w:rsidRPr="00A25024" w:rsidRDefault="00273990" w:rsidP="00273990">
      <w:pPr>
        <w:tabs>
          <w:tab w:val="left" w:pos="3094"/>
        </w:tabs>
        <w:autoSpaceDE w:val="0"/>
        <w:autoSpaceDN w:val="0"/>
        <w:adjustRightInd w:val="0"/>
        <w:spacing w:after="0" w:line="240" w:lineRule="auto"/>
        <w:rPr>
          <w:rFonts w:cstheme="minorHAnsi"/>
          <w:bCs/>
        </w:rPr>
      </w:pPr>
      <w:r>
        <w:rPr>
          <w:rFonts w:cstheme="minorHAnsi"/>
          <w:bCs/>
        </w:rPr>
        <w:tab/>
      </w:r>
    </w:p>
    <w:p w14:paraId="6AD4CECE" w14:textId="77777777" w:rsidR="00804489" w:rsidRDefault="009C7513" w:rsidP="00092566">
      <w:pPr>
        <w:autoSpaceDE w:val="0"/>
        <w:autoSpaceDN w:val="0"/>
        <w:adjustRightInd w:val="0"/>
        <w:spacing w:after="0" w:line="240" w:lineRule="auto"/>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2A6A3D9E" w14:textId="26A0F340" w:rsidR="00804489" w:rsidRPr="0073282A" w:rsidRDefault="0080448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u w:val="single"/>
        </w:rPr>
      </w:pPr>
      <w:r w:rsidRPr="0073282A">
        <w:rPr>
          <w:u w:val="single"/>
        </w:rPr>
        <w:t>Validity as Assessed by External Groups</w:t>
      </w:r>
    </w:p>
    <w:p w14:paraId="0CABCFDE" w14:textId="65E557E8" w:rsidR="007422FD" w:rsidRPr="0073282A" w:rsidRDefault="00804489"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t>Fourteen TEP members responded to the survey question as follows: Strongly Disagreed (1), Moderately Disagreed (1), Somewhat Disagreed (1), Somewhat Agreed (1), Moderately Agreed (8), and Strongly Agreed (2). Hence, 79% of TEP members agreed (71% moderately or strongly agreed) that the measure will provide an accurate reflection of quality.</w:t>
      </w:r>
    </w:p>
    <w:p w14:paraId="07280D14" w14:textId="2166CE49" w:rsidR="00BD7076" w:rsidRPr="0073282A" w:rsidRDefault="00BD7076"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43F55893" w14:textId="4098D828" w:rsidR="00804489" w:rsidRPr="0073282A" w:rsidRDefault="00BD7076"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Cs/>
          <w:u w:val="single"/>
        </w:rPr>
      </w:pPr>
      <w:r w:rsidRPr="0073282A">
        <w:rPr>
          <w:rFonts w:cstheme="minorHAnsi"/>
          <w:bCs/>
          <w:u w:val="single"/>
        </w:rPr>
        <w:lastRenderedPageBreak/>
        <w:t xml:space="preserve">Validation </w:t>
      </w:r>
      <w:r w:rsidR="00101ED3" w:rsidRPr="0073282A">
        <w:rPr>
          <w:rFonts w:cstheme="minorHAnsi"/>
          <w:bCs/>
          <w:u w:val="single"/>
        </w:rPr>
        <w:t>of Administrative Risk Adjustment Model</w:t>
      </w:r>
    </w:p>
    <w:p w14:paraId="4EC8529C" w14:textId="1D5601EA" w:rsidR="00BD7076" w:rsidRPr="0073282A" w:rsidRDefault="00BD7076"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The validation of the administrative risk model demonstrated similar distributions in hospital RSMRs for the claims-based and clinical-based models, although the claims-based model showed a narrower range of outcome rates. The C-statistics for the two models were similar: 0.74 for the claims-based model and 0.75 for the clinical-based model. Overall agreement between hospital performance categorization between the claims-based and clinical-based models was 94.3% (33 of 35 hospitals had concordant performance categorization) and the correlation was 0.90 (weighted Spearman correlation). The clinical-based model identified two worse</w:t>
      </w:r>
      <w:r w:rsidR="009E1083" w:rsidRPr="0073282A">
        <w:rPr>
          <w:rFonts w:cstheme="minorHAnsi"/>
          <w:bCs/>
        </w:rPr>
        <w:t>-</w:t>
      </w:r>
      <w:r w:rsidRPr="0073282A">
        <w:rPr>
          <w:rFonts w:cstheme="minorHAnsi"/>
          <w:bCs/>
        </w:rPr>
        <w:t>performing outlier hospitals, while the claims-based model identified none; neither model identified any better</w:t>
      </w:r>
      <w:r w:rsidR="00EE2F9F" w:rsidRPr="0073282A">
        <w:rPr>
          <w:rFonts w:cstheme="minorHAnsi"/>
          <w:bCs/>
        </w:rPr>
        <w:t>-</w:t>
      </w:r>
      <w:r w:rsidRPr="0073282A">
        <w:rPr>
          <w:rFonts w:cstheme="minorHAnsi"/>
          <w:bCs/>
        </w:rPr>
        <w:t>performing outliers in the matched sample.</w:t>
      </w:r>
    </w:p>
    <w:p w14:paraId="204F5987" w14:textId="77777777" w:rsidR="00BD7076" w:rsidRPr="0073282A" w:rsidRDefault="00BD7076"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16FE7754" w14:textId="6493F5C7" w:rsidR="00BD7076" w:rsidRPr="0073282A" w:rsidRDefault="00BD7076"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Full results of the validation study can be found in the Appendix of the attached CABG Mortality Measure Methodology Report.</w:t>
      </w:r>
    </w:p>
    <w:p w14:paraId="00047E92" w14:textId="77777777" w:rsidR="0006142A" w:rsidRPr="0073282A" w:rsidRDefault="0006142A"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Cs/>
          <w:u w:val="single"/>
        </w:rPr>
      </w:pPr>
    </w:p>
    <w:p w14:paraId="11CF474F" w14:textId="2E609926" w:rsidR="00BD7076" w:rsidRPr="0073282A" w:rsidRDefault="00BD7076"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Cs/>
          <w:u w:val="single"/>
        </w:rPr>
      </w:pPr>
      <w:r w:rsidRPr="0073282A">
        <w:rPr>
          <w:rFonts w:cstheme="minorHAnsi"/>
          <w:bCs/>
          <w:u w:val="single"/>
        </w:rPr>
        <w:t>References</w:t>
      </w:r>
    </w:p>
    <w:p w14:paraId="57EF69C7" w14:textId="585DA0DC" w:rsidR="00BD7076" w:rsidRPr="0073282A" w:rsidRDefault="00BD7076"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Krumholz HM, Lin Z, Drye EE, Desai MM, Han LF, Rapp MT, Mattera JA, Normand SL. An administrative claims measure suitable for profiling hospital performance based on 30-day all-cause readmission rates among patients with acute myocardial infarction. Circulation: Cardiovascular Quality and Outcomes. 2011 Mar 1;4(2):243-52.</w:t>
      </w:r>
    </w:p>
    <w:p w14:paraId="16B9ED75" w14:textId="14348DBF" w:rsidR="00BD7076" w:rsidRPr="0073282A" w:rsidRDefault="00BD7076"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Keenan PS, Normand SL, Lin Z, Drye EE, Bhat KR, Ross JS, Schuur JD, Stauffer BD, Bernheim SM, Epstein AJ, Wang Y-F, Herrin J, Chen J, Federer JJ, Mattera JA, Wang Y, Krumholz HM. An administrative claims measure suitable for profiling hospital performance on the basis of 30-day all-cause readmission rates among patients with heart failure. Circulation: Cardiovascular Quality and Outcomes. 2008 Sep;1(1):29-37.</w:t>
      </w:r>
    </w:p>
    <w:p w14:paraId="75D76623" w14:textId="2881281B" w:rsidR="00BD7076" w:rsidRPr="0073282A" w:rsidRDefault="00BD7076"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Lindenauer PK, Normand SL, Drye EE, Lin Z, Goodrich K, Desai MM, Bratzler DW, O´Donnell WJ, Metersky ML, Krumholz HM. Development, validation, and results of a measure of 30-day readmission following hospitalization for pneumonia. Journal of Hospital Medicine. 2011 Mar;6(3):142-50.</w:t>
      </w:r>
    </w:p>
    <w:p w14:paraId="6376353D" w14:textId="37718198" w:rsidR="00BD7076" w:rsidRPr="0073282A" w:rsidRDefault="00BD7076"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Shahian DM, Silverstein T, Lovett AF, Wolf RE, Normand SLT. “Comparison of Clinical and Administrative Data Sources for Hospital Coronary Artery Bypass Graft Surgery Report Cards.” Circulation. 2007; 115: 1518-1527.</w:t>
      </w:r>
    </w:p>
    <w:p w14:paraId="79FECDBF" w14:textId="06E58267" w:rsidR="001E061C" w:rsidRPr="0073282A" w:rsidRDefault="00BD7076"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Curtis J, Drye E, Geary L, et al. Hospital 30-Day Percutaneous Coronary Intervention Mortality Measure: Center for Outcomes Research and Evaluation;2010.</w:t>
      </w:r>
    </w:p>
    <w:p w14:paraId="42AC8735" w14:textId="7FA538AE" w:rsidR="00BD7076" w:rsidRPr="00092566" w:rsidRDefault="00BD7076" w:rsidP="00092566">
      <w:pPr>
        <w:autoSpaceDE w:val="0"/>
        <w:autoSpaceDN w:val="0"/>
        <w:adjustRightInd w:val="0"/>
        <w:spacing w:after="0" w:line="240" w:lineRule="auto"/>
        <w:rPr>
          <w:rFonts w:cstheme="minorHAnsi"/>
          <w:bCs/>
        </w:rPr>
      </w:pPr>
    </w:p>
    <w:p w14:paraId="642F3F52" w14:textId="77777777" w:rsidR="00B6210C" w:rsidRDefault="009C7513" w:rsidP="005E3F30">
      <w:pPr>
        <w:pStyle w:val="Default"/>
        <w:rPr>
          <w:b/>
          <w:bCs/>
          <w:color w:val="FF0000"/>
          <w:sz w:val="22"/>
          <w:szCs w:val="22"/>
          <w:u w:val="single"/>
        </w:rPr>
      </w:pPr>
      <w:r w:rsidRPr="007F7588">
        <w:rPr>
          <w:rFonts w:cstheme="minorHAnsi"/>
          <w:b/>
          <w:bCs/>
        </w:rPr>
        <w:t>2b1</w:t>
      </w:r>
      <w:r w:rsidR="00092566" w:rsidRPr="007F7588">
        <w:rPr>
          <w:rFonts w:cstheme="minorHAnsi"/>
          <w:b/>
          <w:bCs/>
        </w:rPr>
        <w:t>.</w:t>
      </w:r>
      <w:r w:rsidR="007757CE" w:rsidRPr="007F7588">
        <w:rPr>
          <w:rFonts w:cstheme="minorHAnsi"/>
          <w:b/>
          <w:bCs/>
        </w:rPr>
        <w:t xml:space="preserve">4. </w:t>
      </w:r>
      <w:r w:rsidR="000B2DF7" w:rsidRPr="007F7588">
        <w:rPr>
          <w:rFonts w:cstheme="minorHAnsi"/>
          <w:b/>
          <w:bCs/>
        </w:rPr>
        <w:t xml:space="preserve">What is your interpretation of the results </w:t>
      </w:r>
      <w:r w:rsidR="007422FD" w:rsidRPr="007F7588">
        <w:rPr>
          <w:rFonts w:cstheme="minorHAnsi"/>
          <w:b/>
          <w:bCs/>
        </w:rPr>
        <w:t>in terms of demonstrating validity</w:t>
      </w:r>
      <w:r w:rsidR="007422FD" w:rsidRPr="007F7588">
        <w:rPr>
          <w:rFonts w:cstheme="minorHAnsi"/>
          <w:bCs/>
        </w:rPr>
        <w:t>?</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797FC040" w14:textId="15E097E1" w:rsidR="005E3F30" w:rsidRPr="0073282A" w:rsidRDefault="005E3F30" w:rsidP="00D14E62">
      <w:pPr>
        <w:pStyle w:val="Default"/>
        <w:pBdr>
          <w:top w:val="single" w:sz="4" w:space="1" w:color="auto"/>
          <w:left w:val="single" w:sz="4" w:space="4" w:color="auto"/>
          <w:bottom w:val="single" w:sz="4" w:space="1" w:color="auto"/>
          <w:right w:val="single" w:sz="4" w:space="4" w:color="auto"/>
        </w:pBdr>
        <w:outlineLvl w:val="0"/>
        <w:rPr>
          <w:color w:val="auto"/>
        </w:rPr>
      </w:pPr>
      <w:r w:rsidRPr="0073282A">
        <w:rPr>
          <w:bCs/>
          <w:color w:val="auto"/>
          <w:sz w:val="22"/>
          <w:szCs w:val="22"/>
          <w:u w:val="single"/>
        </w:rPr>
        <w:t xml:space="preserve">Validity as Assessed by External Groups </w:t>
      </w:r>
    </w:p>
    <w:p w14:paraId="3D0219F3" w14:textId="4CE97D14" w:rsidR="005E3F30" w:rsidRPr="0073282A" w:rsidRDefault="005E3F30" w:rsidP="00D14E62">
      <w:pPr>
        <w:pStyle w:val="Default"/>
        <w:pBdr>
          <w:top w:val="single" w:sz="4" w:space="1" w:color="auto"/>
          <w:left w:val="single" w:sz="4" w:space="4" w:color="auto"/>
          <w:bottom w:val="single" w:sz="4" w:space="1" w:color="auto"/>
          <w:right w:val="single" w:sz="4" w:space="4" w:color="auto"/>
        </w:pBdr>
        <w:spacing w:after="200"/>
        <w:rPr>
          <w:rFonts w:cstheme="minorHAnsi"/>
          <w:bCs/>
          <w:color w:val="auto"/>
        </w:rPr>
      </w:pPr>
      <w:r w:rsidRPr="0073282A">
        <w:rPr>
          <w:color w:val="auto"/>
          <w:sz w:val="22"/>
          <w:szCs w:val="22"/>
        </w:rPr>
        <w:t xml:space="preserve">The results demonstrate TEP agreement with overall face validity of the measure as specified. Measure validity is also ensured through the processes employed during development, including regular expert and clinical input, and modeling methodologies with demonstrated validity in claims-based measures. </w:t>
      </w:r>
    </w:p>
    <w:p w14:paraId="37794428" w14:textId="1E7D3E57" w:rsidR="005E3F30" w:rsidRPr="0073282A" w:rsidRDefault="005E3F30" w:rsidP="00D14E62">
      <w:pPr>
        <w:pStyle w:val="Default"/>
        <w:pBdr>
          <w:top w:val="single" w:sz="4" w:space="1" w:color="auto"/>
          <w:left w:val="single" w:sz="4" w:space="4" w:color="auto"/>
          <w:bottom w:val="single" w:sz="4" w:space="1" w:color="auto"/>
          <w:right w:val="single" w:sz="4" w:space="4" w:color="auto"/>
        </w:pBdr>
        <w:outlineLvl w:val="0"/>
        <w:rPr>
          <w:color w:val="auto"/>
        </w:rPr>
      </w:pPr>
      <w:r w:rsidRPr="0073282A">
        <w:rPr>
          <w:color w:val="auto"/>
          <w:sz w:val="22"/>
          <w:szCs w:val="22"/>
          <w:u w:val="single"/>
        </w:rPr>
        <w:t xml:space="preserve">Validation </w:t>
      </w:r>
      <w:r w:rsidR="00101ED3" w:rsidRPr="0073282A">
        <w:rPr>
          <w:color w:val="auto"/>
          <w:sz w:val="22"/>
          <w:szCs w:val="22"/>
          <w:u w:val="single"/>
        </w:rPr>
        <w:t xml:space="preserve">of Administrative Risk Adjustment Model </w:t>
      </w:r>
    </w:p>
    <w:p w14:paraId="42387D3C" w14:textId="3A18C8FC" w:rsidR="005E3F30" w:rsidRPr="0073282A" w:rsidRDefault="005E3F30" w:rsidP="00D14E62">
      <w:pPr>
        <w:pStyle w:val="Default"/>
        <w:pBdr>
          <w:top w:val="single" w:sz="4" w:space="1" w:color="auto"/>
          <w:left w:val="single" w:sz="4" w:space="4" w:color="auto"/>
          <w:bottom w:val="single" w:sz="4" w:space="1" w:color="auto"/>
          <w:right w:val="single" w:sz="4" w:space="4" w:color="auto"/>
        </w:pBdr>
        <w:rPr>
          <w:color w:val="auto"/>
          <w:sz w:val="22"/>
          <w:szCs w:val="22"/>
        </w:rPr>
      </w:pPr>
      <w:r w:rsidRPr="0073282A">
        <w:rPr>
          <w:color w:val="auto"/>
          <w:sz w:val="22"/>
          <w:szCs w:val="22"/>
        </w:rPr>
        <w:t>Thorough evaluation adherent to nationally</w:t>
      </w:r>
      <w:r w:rsidR="004E4758" w:rsidRPr="0073282A">
        <w:rPr>
          <w:color w:val="auto"/>
          <w:sz w:val="22"/>
          <w:szCs w:val="22"/>
        </w:rPr>
        <w:t xml:space="preserve"> </w:t>
      </w:r>
      <w:r w:rsidRPr="0073282A">
        <w:rPr>
          <w:color w:val="auto"/>
          <w:sz w:val="22"/>
          <w:szCs w:val="22"/>
        </w:rPr>
        <w:t>accepted standards for outcome measure development</w:t>
      </w:r>
      <w:r w:rsidR="003A23B3" w:rsidRPr="0073282A">
        <w:rPr>
          <w:color w:val="auto"/>
          <w:sz w:val="22"/>
          <w:szCs w:val="22"/>
        </w:rPr>
        <w:t xml:space="preserve"> (Krumholz et al. 2008; Shahian et al. 2007) </w:t>
      </w:r>
      <w:r w:rsidRPr="0073282A">
        <w:rPr>
          <w:color w:val="auto"/>
          <w:sz w:val="22"/>
          <w:szCs w:val="22"/>
        </w:rPr>
        <w:t xml:space="preserve">indicate that the model has similar discrimination and calibration to a New York state-derived clinical risk model, although the relative discrimination was lower when a risk variable (shock), whose pre-operative status was unknown, was removed from the claims-based model. Although both the mortality rate and range of performance in the matched sample was less than that of US hospitals overall, the frequency and effect of risk variables was similar in the matched sample and national data. The models produce similar estimates of hospital performance. </w:t>
      </w:r>
      <w:r w:rsidRPr="0073282A">
        <w:rPr>
          <w:color w:val="auto"/>
          <w:sz w:val="22"/>
          <w:szCs w:val="22"/>
        </w:rPr>
        <w:lastRenderedPageBreak/>
        <w:t>However, the claims-based model generally produced lower RSMR estimates compared with the clinical-based model among hospitals with higher estimated RSMRs, and higher RSMR estimates among those hospitals with lower RSMRs. Assuming that the clinical-based model is the gold standard (and does not over-estimate poor performing hospitals’ RSMRs), our findings suggest that the claims-based model may underestimate poor performing hospitals’ RSMRs and may be less likely to identify poor performance outliers compared with the clinical-based model. Similarly, the claims-based model may be less likely to identify hospitals with significantly better</w:t>
      </w:r>
      <w:r w:rsidR="004841AC" w:rsidRPr="0073282A">
        <w:rPr>
          <w:color w:val="auto"/>
          <w:sz w:val="22"/>
          <w:szCs w:val="22"/>
        </w:rPr>
        <w:t>-</w:t>
      </w:r>
      <w:r w:rsidRPr="0073282A">
        <w:rPr>
          <w:color w:val="auto"/>
          <w:sz w:val="22"/>
          <w:szCs w:val="22"/>
        </w:rPr>
        <w:t>than</w:t>
      </w:r>
      <w:r w:rsidR="004841AC" w:rsidRPr="0073282A">
        <w:rPr>
          <w:color w:val="auto"/>
          <w:sz w:val="22"/>
          <w:szCs w:val="22"/>
        </w:rPr>
        <w:t>-</w:t>
      </w:r>
      <w:r w:rsidRPr="0073282A">
        <w:rPr>
          <w:color w:val="auto"/>
          <w:sz w:val="22"/>
          <w:szCs w:val="22"/>
        </w:rPr>
        <w:t xml:space="preserve">average performance, although this validation study cannot assess this as the clinical-based model did not identify high performing outlier hospitals in the validation sample. </w:t>
      </w:r>
    </w:p>
    <w:p w14:paraId="050259ED" w14:textId="77777777" w:rsidR="005E3F30" w:rsidRPr="0073282A" w:rsidRDefault="005E3F30" w:rsidP="00D14E62">
      <w:pPr>
        <w:pStyle w:val="Default"/>
        <w:pBdr>
          <w:top w:val="single" w:sz="4" w:space="1" w:color="auto"/>
          <w:left w:val="single" w:sz="4" w:space="4" w:color="auto"/>
          <w:bottom w:val="single" w:sz="4" w:space="1" w:color="auto"/>
          <w:right w:val="single" w:sz="4" w:space="4" w:color="auto"/>
        </w:pBdr>
        <w:rPr>
          <w:color w:val="auto"/>
          <w:sz w:val="22"/>
          <w:szCs w:val="22"/>
        </w:rPr>
      </w:pPr>
    </w:p>
    <w:p w14:paraId="0C294450" w14:textId="34704A46" w:rsidR="005E3F30" w:rsidRPr="0073282A" w:rsidRDefault="005E3F30" w:rsidP="00D14E62">
      <w:pPr>
        <w:pStyle w:val="Default"/>
        <w:pBdr>
          <w:top w:val="single" w:sz="4" w:space="1" w:color="auto"/>
          <w:left w:val="single" w:sz="4" w:space="4" w:color="auto"/>
          <w:bottom w:val="single" w:sz="4" w:space="1" w:color="auto"/>
          <w:right w:val="single" w:sz="4" w:space="4" w:color="auto"/>
        </w:pBdr>
        <w:rPr>
          <w:color w:val="auto"/>
          <w:sz w:val="22"/>
          <w:szCs w:val="22"/>
          <w:u w:val="single"/>
        </w:rPr>
      </w:pPr>
      <w:r w:rsidRPr="0073282A">
        <w:rPr>
          <w:color w:val="auto"/>
          <w:sz w:val="22"/>
          <w:szCs w:val="22"/>
          <w:u w:val="single"/>
        </w:rPr>
        <w:t>Reference</w:t>
      </w:r>
      <w:r w:rsidR="0006142A" w:rsidRPr="0073282A">
        <w:rPr>
          <w:color w:val="auto"/>
          <w:sz w:val="22"/>
          <w:szCs w:val="22"/>
          <w:u w:val="single"/>
        </w:rPr>
        <w:t>s</w:t>
      </w:r>
    </w:p>
    <w:p w14:paraId="262E588D" w14:textId="76F2AF05" w:rsidR="005E3F30" w:rsidRPr="0073282A" w:rsidRDefault="005E3F30" w:rsidP="00D14E62">
      <w:pPr>
        <w:pStyle w:val="Default"/>
        <w:pBdr>
          <w:top w:val="single" w:sz="4" w:space="1" w:color="auto"/>
          <w:left w:val="single" w:sz="4" w:space="4" w:color="auto"/>
          <w:bottom w:val="single" w:sz="4" w:space="1" w:color="auto"/>
          <w:right w:val="single" w:sz="4" w:space="4" w:color="auto"/>
        </w:pBdr>
        <w:rPr>
          <w:color w:val="auto"/>
          <w:sz w:val="22"/>
          <w:szCs w:val="22"/>
          <w:lang w:val="fr-CH"/>
        </w:rPr>
      </w:pPr>
      <w:r w:rsidRPr="0073282A">
        <w:rPr>
          <w:color w:val="auto"/>
          <w:sz w:val="22"/>
          <w:szCs w:val="22"/>
        </w:rPr>
        <w:t xml:space="preserve">Shahian DM, Silverstein T, Lovett AF, Wolf RE, Normand SLT. “Comparison of Clinical and Administrative Data Sources for Hospital Coronary Artery Bypass Graft Surgery Report Cards.” </w:t>
      </w:r>
      <w:r w:rsidRPr="0073282A">
        <w:rPr>
          <w:i/>
          <w:iCs/>
          <w:color w:val="auto"/>
          <w:sz w:val="22"/>
          <w:szCs w:val="22"/>
          <w:lang w:val="fr-CH"/>
        </w:rPr>
        <w:t xml:space="preserve">Circulation. </w:t>
      </w:r>
      <w:r w:rsidRPr="0073282A">
        <w:rPr>
          <w:color w:val="auto"/>
          <w:sz w:val="22"/>
          <w:szCs w:val="22"/>
          <w:lang w:val="fr-CH"/>
        </w:rPr>
        <w:t xml:space="preserve">2007; 115: 1518-1527. </w:t>
      </w:r>
    </w:p>
    <w:p w14:paraId="2F6EA467" w14:textId="1A7B769B" w:rsidR="005E3F30" w:rsidRPr="0073282A" w:rsidRDefault="005E3F30"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lang w:val="fr-CH"/>
        </w:rPr>
        <w:t xml:space="preserve">Krumholz HM, Keenan PS, Brush JE, Jr., et al. </w:t>
      </w:r>
      <w:r w:rsidRPr="0073282A">
        <w:t xml:space="preserve">Standards for measures used for public reporting of efficiency in health care: a scientific statement from the American Heart Association Interdisciplinary Council on Quality of Care and Outcomes Research and the American College of Cardiology Foundation. </w:t>
      </w:r>
      <w:r w:rsidRPr="0073282A">
        <w:rPr>
          <w:i/>
          <w:iCs/>
        </w:rPr>
        <w:t xml:space="preserve">Circulation. </w:t>
      </w:r>
      <w:r w:rsidRPr="0073282A">
        <w:t>Oct 28 2008;118(18):1885-1893.</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2B3B3A">
      <w:pPr>
        <w:autoSpaceDE w:val="0"/>
        <w:autoSpaceDN w:val="0"/>
        <w:adjustRightInd w:val="0"/>
        <w:spacing w:after="0" w:line="240" w:lineRule="auto"/>
        <w:outlineLvl w:val="0"/>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1DCE9E4C" w14:textId="6F852789" w:rsidR="00CD3957" w:rsidRPr="0073282A" w:rsidRDefault="00CD395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All exclusions were determined by careful clinical review and have been made based on clinically relevant decisions and to ensure accurate calculation of the measure. To ascertain impact of exclusions on the cohort, we examined overall frequencies and proportions of the total cohort excluded for each exclusion criterion (</w:t>
      </w:r>
      <w:r w:rsidRPr="0073282A">
        <w:rPr>
          <w:rFonts w:cstheme="minorHAnsi"/>
          <w:b/>
          <w:bCs/>
        </w:rPr>
        <w:t>Dataset 1</w:t>
      </w:r>
      <w:r w:rsidRPr="0073282A">
        <w:rPr>
          <w:rFonts w:cstheme="minorHAnsi"/>
          <w:bCs/>
        </w:rPr>
        <w:t>). These exclusions are consistent with similar NQF-endorsed outcome measures. Rationales for the exclusions are detailed in field S.</w:t>
      </w:r>
      <w:r w:rsidR="00644F45" w:rsidRPr="0073282A">
        <w:rPr>
          <w:rFonts w:cstheme="minorHAnsi"/>
          <w:bCs/>
        </w:rPr>
        <w:t xml:space="preserve">9 of the measure submission form </w:t>
      </w:r>
      <w:r w:rsidRPr="0073282A">
        <w:rPr>
          <w:rFonts w:cstheme="minorHAnsi"/>
          <w:bCs/>
        </w:rPr>
        <w:t>(Denominator Exclusions</w:t>
      </w:r>
      <w:r w:rsidR="00767F22" w:rsidRPr="0073282A">
        <w:rPr>
          <w:rFonts w:cstheme="minorHAnsi"/>
          <w:bCs/>
        </w:rPr>
        <w:t xml:space="preserve"> Details</w:t>
      </w:r>
      <w:r w:rsidRPr="0073282A">
        <w:rPr>
          <w:rFonts w:cstheme="minorHAnsi"/>
          <w:bCs/>
        </w:rPr>
        <w:t>).</w:t>
      </w:r>
    </w:p>
    <w:p w14:paraId="59B745F0" w14:textId="2ED948FE" w:rsidR="00C92919" w:rsidRPr="00A25024" w:rsidRDefault="00C92919"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702DCB4" w14:textId="71AE70A8" w:rsidR="00C92919" w:rsidRPr="0073282A" w:rsidRDefault="00C92919" w:rsidP="00092566">
      <w:pPr>
        <w:autoSpaceDE w:val="0"/>
        <w:autoSpaceDN w:val="0"/>
        <w:adjustRightInd w:val="0"/>
        <w:spacing w:after="0" w:line="240" w:lineRule="auto"/>
        <w:rPr>
          <w:rFonts w:cstheme="minorHAnsi"/>
          <w:bCs/>
        </w:rPr>
      </w:pPr>
      <w:r w:rsidRPr="0073282A">
        <w:rPr>
          <w:rFonts w:cstheme="minorHAnsi"/>
          <w:bCs/>
        </w:rPr>
        <w:t>In Dataset 1 (prior to exclusions being applied):</w:t>
      </w:r>
    </w:p>
    <w:tbl>
      <w:tblPr>
        <w:tblStyle w:val="TableGrid"/>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4088"/>
        <w:gridCol w:w="1201"/>
        <w:gridCol w:w="2154"/>
        <w:gridCol w:w="1907"/>
      </w:tblGrid>
      <w:tr w:rsidR="002C0F25" w:rsidRPr="0073282A" w14:paraId="5D5A9A11" w14:textId="77777777" w:rsidTr="009B4B65">
        <w:trPr>
          <w:cantSplit/>
          <w:tblHeader/>
        </w:trPr>
        <w:tc>
          <w:tcPr>
            <w:tcW w:w="4088" w:type="dxa"/>
            <w:shd w:val="clear" w:color="auto" w:fill="F2F2F2" w:themeFill="background1" w:themeFillShade="F2"/>
            <w:vAlign w:val="center"/>
          </w:tcPr>
          <w:p w14:paraId="7387661E" w14:textId="77777777" w:rsidR="002C0F25" w:rsidRPr="0073282A" w:rsidRDefault="002C0F25" w:rsidP="00A95F04">
            <w:pPr>
              <w:jc w:val="center"/>
              <w:rPr>
                <w:b/>
                <w:sz w:val="20"/>
                <w:szCs w:val="20"/>
              </w:rPr>
            </w:pPr>
            <w:r w:rsidRPr="0073282A">
              <w:rPr>
                <w:b/>
                <w:sz w:val="20"/>
                <w:szCs w:val="20"/>
              </w:rPr>
              <w:lastRenderedPageBreak/>
              <w:t>Exclusion</w:t>
            </w:r>
          </w:p>
        </w:tc>
        <w:tc>
          <w:tcPr>
            <w:tcW w:w="1201" w:type="dxa"/>
            <w:shd w:val="clear" w:color="auto" w:fill="F2F2F2" w:themeFill="background1" w:themeFillShade="F2"/>
            <w:vAlign w:val="center"/>
          </w:tcPr>
          <w:p w14:paraId="2C658BFA" w14:textId="77777777" w:rsidR="002C0F25" w:rsidRPr="0073282A" w:rsidRDefault="002C0F25" w:rsidP="00A95F04">
            <w:pPr>
              <w:jc w:val="center"/>
              <w:rPr>
                <w:b/>
                <w:sz w:val="20"/>
                <w:szCs w:val="20"/>
              </w:rPr>
            </w:pPr>
            <w:r w:rsidRPr="0073282A">
              <w:rPr>
                <w:b/>
                <w:sz w:val="20"/>
                <w:szCs w:val="20"/>
              </w:rPr>
              <w:t>N</w:t>
            </w:r>
          </w:p>
        </w:tc>
        <w:tc>
          <w:tcPr>
            <w:tcW w:w="2154" w:type="dxa"/>
            <w:shd w:val="clear" w:color="auto" w:fill="F2F2F2" w:themeFill="background1" w:themeFillShade="F2"/>
            <w:vAlign w:val="center"/>
          </w:tcPr>
          <w:p w14:paraId="4EB7D20E" w14:textId="77777777" w:rsidR="002C0F25" w:rsidRPr="0073282A" w:rsidRDefault="002C0F25" w:rsidP="00A95F04">
            <w:pPr>
              <w:jc w:val="center"/>
              <w:rPr>
                <w:b/>
                <w:sz w:val="20"/>
                <w:szCs w:val="20"/>
              </w:rPr>
            </w:pPr>
            <w:r w:rsidRPr="0073282A">
              <w:rPr>
                <w:b/>
                <w:sz w:val="20"/>
                <w:szCs w:val="20"/>
              </w:rPr>
              <w:t>%</w:t>
            </w:r>
          </w:p>
        </w:tc>
        <w:tc>
          <w:tcPr>
            <w:tcW w:w="1907" w:type="dxa"/>
            <w:shd w:val="clear" w:color="auto" w:fill="F2F2F2" w:themeFill="background1" w:themeFillShade="F2"/>
            <w:vAlign w:val="center"/>
          </w:tcPr>
          <w:p w14:paraId="7D0253ED" w14:textId="77777777" w:rsidR="002C0F25" w:rsidRPr="0073282A" w:rsidRDefault="002C0F25" w:rsidP="00A95F04">
            <w:pPr>
              <w:jc w:val="center"/>
              <w:rPr>
                <w:b/>
                <w:sz w:val="20"/>
                <w:szCs w:val="20"/>
              </w:rPr>
            </w:pPr>
            <w:r w:rsidRPr="0073282A">
              <w:rPr>
                <w:b/>
                <w:sz w:val="20"/>
                <w:szCs w:val="20"/>
              </w:rPr>
              <w:t>Distribution across hospitals (N=1,039): Min, 25</w:t>
            </w:r>
            <w:r w:rsidRPr="0073282A">
              <w:rPr>
                <w:b/>
                <w:sz w:val="20"/>
                <w:szCs w:val="20"/>
                <w:vertAlign w:val="superscript"/>
              </w:rPr>
              <w:t>th</w:t>
            </w:r>
            <w:r w:rsidRPr="0073282A">
              <w:rPr>
                <w:b/>
                <w:sz w:val="20"/>
                <w:szCs w:val="20"/>
              </w:rPr>
              <w:t>, 50</w:t>
            </w:r>
            <w:r w:rsidRPr="0073282A">
              <w:rPr>
                <w:b/>
                <w:sz w:val="20"/>
                <w:szCs w:val="20"/>
                <w:vertAlign w:val="superscript"/>
              </w:rPr>
              <w:t>th</w:t>
            </w:r>
            <w:r w:rsidRPr="0073282A">
              <w:rPr>
                <w:b/>
                <w:sz w:val="20"/>
                <w:szCs w:val="20"/>
              </w:rPr>
              <w:t>, 75</w:t>
            </w:r>
            <w:r w:rsidRPr="0073282A">
              <w:rPr>
                <w:b/>
                <w:sz w:val="20"/>
                <w:szCs w:val="20"/>
                <w:vertAlign w:val="superscript"/>
              </w:rPr>
              <w:t>th</w:t>
            </w:r>
            <w:r w:rsidRPr="0073282A">
              <w:rPr>
                <w:b/>
                <w:sz w:val="20"/>
                <w:szCs w:val="20"/>
              </w:rPr>
              <w:t xml:space="preserve"> percentile, max</w:t>
            </w:r>
          </w:p>
        </w:tc>
      </w:tr>
      <w:tr w:rsidR="00D91817" w:rsidRPr="0073282A" w14:paraId="562FD22D" w14:textId="77777777" w:rsidTr="00A95F04">
        <w:trPr>
          <w:cantSplit/>
          <w:trHeight w:val="548"/>
          <w:tblHeader/>
        </w:trPr>
        <w:tc>
          <w:tcPr>
            <w:tcW w:w="4088" w:type="dxa"/>
          </w:tcPr>
          <w:p w14:paraId="77D55876" w14:textId="77777777" w:rsidR="002C0F25" w:rsidRPr="0073282A" w:rsidRDefault="002C0F25" w:rsidP="00A95F04">
            <w:pPr>
              <w:rPr>
                <w:sz w:val="20"/>
                <w:szCs w:val="20"/>
              </w:rPr>
            </w:pPr>
            <w:r w:rsidRPr="0073282A">
              <w:rPr>
                <w:rFonts w:cs="Arial"/>
                <w:sz w:val="20"/>
                <w:szCs w:val="20"/>
              </w:rPr>
              <w:t>1. Inconsistent or unknown vital status or other unreliable demographic data</w:t>
            </w:r>
          </w:p>
        </w:tc>
        <w:tc>
          <w:tcPr>
            <w:tcW w:w="1201" w:type="dxa"/>
          </w:tcPr>
          <w:p w14:paraId="4EAFA259" w14:textId="77777777" w:rsidR="002C0F25" w:rsidRPr="0073282A" w:rsidRDefault="002C0F25" w:rsidP="00A95F04">
            <w:pPr>
              <w:jc w:val="center"/>
              <w:rPr>
                <w:sz w:val="20"/>
                <w:szCs w:val="20"/>
              </w:rPr>
            </w:pPr>
            <w:r w:rsidRPr="0073282A">
              <w:rPr>
                <w:sz w:val="20"/>
                <w:szCs w:val="20"/>
              </w:rPr>
              <w:t>1</w:t>
            </w:r>
          </w:p>
        </w:tc>
        <w:tc>
          <w:tcPr>
            <w:tcW w:w="2154" w:type="dxa"/>
          </w:tcPr>
          <w:p w14:paraId="42F4175C" w14:textId="77777777" w:rsidR="002C0F25" w:rsidRPr="0073282A" w:rsidRDefault="002C0F25" w:rsidP="00A95F04">
            <w:pPr>
              <w:jc w:val="center"/>
              <w:rPr>
                <w:sz w:val="20"/>
                <w:szCs w:val="20"/>
              </w:rPr>
            </w:pPr>
            <w:r w:rsidRPr="0073282A">
              <w:rPr>
                <w:sz w:val="20"/>
                <w:szCs w:val="20"/>
              </w:rPr>
              <w:t>&lt;0.01%</w:t>
            </w:r>
          </w:p>
        </w:tc>
        <w:tc>
          <w:tcPr>
            <w:tcW w:w="1907" w:type="dxa"/>
          </w:tcPr>
          <w:p w14:paraId="2930F4E6" w14:textId="77777777" w:rsidR="002C0F25" w:rsidRPr="0073282A" w:rsidRDefault="002C0F25" w:rsidP="00A95F04">
            <w:pPr>
              <w:jc w:val="center"/>
              <w:rPr>
                <w:sz w:val="20"/>
                <w:szCs w:val="20"/>
              </w:rPr>
            </w:pPr>
            <w:r w:rsidRPr="0073282A">
              <w:rPr>
                <w:sz w:val="20"/>
                <w:szCs w:val="20"/>
              </w:rPr>
              <w:t>(0, 0, 0, 0, 0.25)</w:t>
            </w:r>
          </w:p>
        </w:tc>
      </w:tr>
      <w:tr w:rsidR="00D91817" w:rsidRPr="0073282A" w14:paraId="63DF798E" w14:textId="77777777" w:rsidTr="00A95F04">
        <w:trPr>
          <w:cantSplit/>
          <w:trHeight w:val="996"/>
          <w:tblHeader/>
        </w:trPr>
        <w:tc>
          <w:tcPr>
            <w:tcW w:w="4088" w:type="dxa"/>
          </w:tcPr>
          <w:p w14:paraId="039EF227" w14:textId="6C1DFDDB" w:rsidR="002C0F25" w:rsidRPr="0073282A" w:rsidRDefault="002C0F25" w:rsidP="00A95F04">
            <w:pPr>
              <w:rPr>
                <w:rFonts w:cs="Arial"/>
                <w:sz w:val="20"/>
                <w:szCs w:val="20"/>
              </w:rPr>
            </w:pPr>
            <w:r w:rsidRPr="0073282A">
              <w:rPr>
                <w:rFonts w:cs="Arial"/>
                <w:sz w:val="20"/>
                <w:szCs w:val="20"/>
              </w:rPr>
              <w:t xml:space="preserve">2. </w:t>
            </w:r>
            <w:bookmarkStart w:id="23" w:name="_Hlk499040112"/>
            <w:r w:rsidRPr="0073282A">
              <w:rPr>
                <w:rFonts w:cs="Arial"/>
                <w:sz w:val="20"/>
                <w:szCs w:val="20"/>
              </w:rPr>
              <w:t>Admissions for subsequent qualifying CABG procedures during the measurement period</w:t>
            </w:r>
            <w:bookmarkEnd w:id="23"/>
          </w:p>
        </w:tc>
        <w:tc>
          <w:tcPr>
            <w:tcW w:w="1201" w:type="dxa"/>
            <w:shd w:val="clear" w:color="auto" w:fill="auto"/>
          </w:tcPr>
          <w:p w14:paraId="03BC6191" w14:textId="77777777" w:rsidR="002C0F25" w:rsidRPr="0073282A" w:rsidRDefault="002C0F25" w:rsidP="00A95F04">
            <w:pPr>
              <w:jc w:val="center"/>
              <w:rPr>
                <w:sz w:val="20"/>
                <w:szCs w:val="20"/>
              </w:rPr>
            </w:pPr>
            <w:r w:rsidRPr="0073282A">
              <w:rPr>
                <w:sz w:val="20"/>
                <w:szCs w:val="20"/>
              </w:rPr>
              <w:t>88</w:t>
            </w:r>
          </w:p>
        </w:tc>
        <w:tc>
          <w:tcPr>
            <w:tcW w:w="2154" w:type="dxa"/>
          </w:tcPr>
          <w:p w14:paraId="6CF7AF45" w14:textId="77777777" w:rsidR="002C0F25" w:rsidRPr="0073282A" w:rsidRDefault="002C0F25" w:rsidP="00A95F04">
            <w:pPr>
              <w:tabs>
                <w:tab w:val="left" w:pos="1390"/>
              </w:tabs>
              <w:jc w:val="center"/>
              <w:rPr>
                <w:sz w:val="20"/>
                <w:szCs w:val="20"/>
              </w:rPr>
            </w:pPr>
            <w:r w:rsidRPr="0073282A">
              <w:rPr>
                <w:sz w:val="20"/>
                <w:szCs w:val="20"/>
              </w:rPr>
              <w:t>0.06%</w:t>
            </w:r>
          </w:p>
        </w:tc>
        <w:tc>
          <w:tcPr>
            <w:tcW w:w="1907" w:type="dxa"/>
          </w:tcPr>
          <w:p w14:paraId="750BE1B9" w14:textId="77777777" w:rsidR="002C0F25" w:rsidRPr="0073282A" w:rsidRDefault="002C0F25" w:rsidP="00A95F04">
            <w:pPr>
              <w:jc w:val="center"/>
              <w:rPr>
                <w:sz w:val="20"/>
                <w:szCs w:val="20"/>
              </w:rPr>
            </w:pPr>
            <w:r w:rsidRPr="0073282A">
              <w:rPr>
                <w:sz w:val="20"/>
                <w:szCs w:val="20"/>
              </w:rPr>
              <w:t>(0, 0, 0, 1.19, 3.45)</w:t>
            </w:r>
          </w:p>
        </w:tc>
      </w:tr>
      <w:tr w:rsidR="00D91817" w:rsidRPr="0073282A" w14:paraId="79F781A6" w14:textId="77777777" w:rsidTr="00A95F04">
        <w:trPr>
          <w:cantSplit/>
          <w:trHeight w:val="241"/>
          <w:tblHeader/>
        </w:trPr>
        <w:tc>
          <w:tcPr>
            <w:tcW w:w="4088" w:type="dxa"/>
          </w:tcPr>
          <w:p w14:paraId="0F472677" w14:textId="77777777" w:rsidR="002C0F25" w:rsidRPr="0073282A" w:rsidRDefault="002C0F25" w:rsidP="00A95F04">
            <w:pPr>
              <w:rPr>
                <w:sz w:val="20"/>
                <w:szCs w:val="20"/>
              </w:rPr>
            </w:pPr>
            <w:r w:rsidRPr="0073282A">
              <w:rPr>
                <w:rFonts w:cs="Arial"/>
                <w:sz w:val="20"/>
                <w:szCs w:val="20"/>
              </w:rPr>
              <w:t>3. Discharged against medical advice (AMA)</w:t>
            </w:r>
          </w:p>
        </w:tc>
        <w:tc>
          <w:tcPr>
            <w:tcW w:w="1201" w:type="dxa"/>
          </w:tcPr>
          <w:p w14:paraId="379B4998" w14:textId="77777777" w:rsidR="002C0F25" w:rsidRPr="0073282A" w:rsidRDefault="002C0F25" w:rsidP="00A95F04">
            <w:pPr>
              <w:jc w:val="center"/>
              <w:rPr>
                <w:sz w:val="20"/>
                <w:szCs w:val="20"/>
              </w:rPr>
            </w:pPr>
            <w:r w:rsidRPr="0073282A">
              <w:rPr>
                <w:sz w:val="20"/>
                <w:szCs w:val="20"/>
              </w:rPr>
              <w:t>46</w:t>
            </w:r>
          </w:p>
        </w:tc>
        <w:tc>
          <w:tcPr>
            <w:tcW w:w="2154" w:type="dxa"/>
          </w:tcPr>
          <w:p w14:paraId="5B63260E" w14:textId="77777777" w:rsidR="002C0F25" w:rsidRPr="0073282A" w:rsidRDefault="002C0F25" w:rsidP="00A95F04">
            <w:pPr>
              <w:jc w:val="center"/>
              <w:rPr>
                <w:sz w:val="20"/>
                <w:szCs w:val="20"/>
              </w:rPr>
            </w:pPr>
            <w:r w:rsidRPr="0073282A">
              <w:rPr>
                <w:sz w:val="20"/>
                <w:szCs w:val="20"/>
              </w:rPr>
              <w:t>0.03%</w:t>
            </w:r>
          </w:p>
        </w:tc>
        <w:tc>
          <w:tcPr>
            <w:tcW w:w="1907" w:type="dxa"/>
          </w:tcPr>
          <w:p w14:paraId="05B7DF20" w14:textId="77777777" w:rsidR="002C0F25" w:rsidRPr="0073282A" w:rsidRDefault="002C0F25" w:rsidP="00A95F04">
            <w:pPr>
              <w:jc w:val="center"/>
              <w:rPr>
                <w:sz w:val="20"/>
                <w:szCs w:val="20"/>
              </w:rPr>
            </w:pPr>
            <w:r w:rsidRPr="0073282A">
              <w:rPr>
                <w:sz w:val="20"/>
                <w:szCs w:val="20"/>
              </w:rPr>
              <w:t>(0, 0, 0, 0, 3.70)</w:t>
            </w:r>
          </w:p>
        </w:tc>
      </w:tr>
    </w:tbl>
    <w:p w14:paraId="73D9E165" w14:textId="77777777" w:rsidR="00C92919" w:rsidRPr="00D91817" w:rsidRDefault="00C92919" w:rsidP="00092566">
      <w:pPr>
        <w:autoSpaceDE w:val="0"/>
        <w:autoSpaceDN w:val="0"/>
        <w:adjustRightInd w:val="0"/>
        <w:spacing w:after="0" w:line="240" w:lineRule="auto"/>
        <w:rPr>
          <w:rFonts w:cstheme="minorHAnsi"/>
          <w:bCs/>
          <w:color w:val="FF0000"/>
        </w:rPr>
      </w:pPr>
    </w:p>
    <w:p w14:paraId="08A8D123" w14:textId="664CA8F2" w:rsidR="00C92919" w:rsidRDefault="00C92919" w:rsidP="00092566">
      <w:pPr>
        <w:autoSpaceDE w:val="0"/>
        <w:autoSpaceDN w:val="0"/>
        <w:adjustRightInd w:val="0"/>
        <w:spacing w:after="0" w:line="240" w:lineRule="auto"/>
        <w:rPr>
          <w:rFonts w:cstheme="minorHAnsi"/>
          <w:bCs/>
        </w:rPr>
      </w:pPr>
    </w:p>
    <w:p w14:paraId="25FA265B" w14:textId="77777777" w:rsidR="00842135" w:rsidRDefault="00842135"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3EEC1682" w14:textId="3FED6B25" w:rsidR="00FA666D" w:rsidRDefault="00092566" w:rsidP="00DB3627">
      <w:pPr>
        <w:autoSpaceDE w:val="0"/>
        <w:autoSpaceDN w:val="0"/>
        <w:adjustRightInd w:val="0"/>
        <w:spacing w:after="0" w:line="240" w:lineRule="auto"/>
        <w:rPr>
          <w:color w:val="FF0000"/>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566DC5CA" w14:textId="32AA1CBE" w:rsidR="00AE3BAC" w:rsidRPr="0073282A" w:rsidRDefault="00D91817" w:rsidP="00D14E6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cstheme="minorHAnsi"/>
          <w:bCs/>
        </w:rPr>
      </w:pPr>
      <w:r w:rsidRPr="0073282A">
        <w:rPr>
          <w:b/>
        </w:rPr>
        <w:t>Exclusion 1</w:t>
      </w:r>
      <w:r w:rsidRPr="0073282A">
        <w:t xml:space="preserve"> is necessary for valid calculation of the measure. </w:t>
      </w:r>
      <w:r w:rsidR="00AE3BAC" w:rsidRPr="0073282A">
        <w:rPr>
          <w:rFonts w:cstheme="minorHAnsi"/>
          <w:bCs/>
        </w:rPr>
        <w:t xml:space="preserve">Patients with </w:t>
      </w:r>
      <w:r w:rsidR="003B32BE" w:rsidRPr="0073282A">
        <w:rPr>
          <w:rFonts w:cstheme="minorHAnsi"/>
          <w:bCs/>
        </w:rPr>
        <w:t xml:space="preserve">an </w:t>
      </w:r>
      <w:r w:rsidR="00AE3BAC" w:rsidRPr="0073282A">
        <w:rPr>
          <w:rFonts w:cstheme="minorHAnsi"/>
          <w:bCs/>
        </w:rPr>
        <w:t>inconsistent or unknown vital status or other unreliable demographic account</w:t>
      </w:r>
      <w:r w:rsidR="003B32BE" w:rsidRPr="0073282A">
        <w:rPr>
          <w:rFonts w:cstheme="minorHAnsi"/>
          <w:bCs/>
        </w:rPr>
        <w:t xml:space="preserve"> </w:t>
      </w:r>
      <w:r w:rsidR="00AE3BAC" w:rsidRPr="0073282A">
        <w:rPr>
          <w:rFonts w:cstheme="minorHAnsi"/>
          <w:bCs/>
        </w:rPr>
        <w:t xml:space="preserve">for </w:t>
      </w:r>
      <w:r w:rsidR="00AE3BAC" w:rsidRPr="0073282A">
        <w:rPr>
          <w:sz w:val="20"/>
          <w:szCs w:val="20"/>
        </w:rPr>
        <w:t>&lt;</w:t>
      </w:r>
      <w:r w:rsidR="00AE3BAC" w:rsidRPr="0073282A">
        <w:rPr>
          <w:rFonts w:cstheme="minorHAnsi"/>
          <w:bCs/>
        </w:rPr>
        <w:t xml:space="preserve">0.01% of all index admissions excluded from the initial index cohort. </w:t>
      </w:r>
    </w:p>
    <w:p w14:paraId="13AD12E8" w14:textId="0C288A5B" w:rsidR="00FA666D" w:rsidRPr="0073282A" w:rsidRDefault="00FA666D"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b/>
        </w:rPr>
      </w:pPr>
      <w:r w:rsidRPr="0073282A">
        <w:rPr>
          <w:b/>
        </w:rPr>
        <w:t>Exclusion 2</w:t>
      </w:r>
      <w:r w:rsidR="00AE3BAC" w:rsidRPr="0073282A">
        <w:rPr>
          <w:b/>
        </w:rPr>
        <w:t xml:space="preserve"> </w:t>
      </w:r>
      <w:r w:rsidR="00FC1670" w:rsidRPr="0073282A">
        <w:rPr>
          <w:rFonts w:cs="Arial"/>
        </w:rPr>
        <w:t xml:space="preserve">(admissions for subsequent qualifying CABG procedures during the measurement period) </w:t>
      </w:r>
      <w:r w:rsidR="00FC1670" w:rsidRPr="0073282A">
        <w:rPr>
          <w:rFonts w:cstheme="minorHAnsi"/>
          <w:bCs/>
        </w:rPr>
        <w:t xml:space="preserve">accounts for 0.06% of all index admissions excluded from the initial index cohort. This exclusion </w:t>
      </w:r>
      <w:r w:rsidR="007A06A4" w:rsidRPr="0073282A">
        <w:rPr>
          <w:rFonts w:cstheme="minorHAnsi"/>
          <w:bCs/>
        </w:rPr>
        <w:t>was applied to align with the Society of Thoracic Surgeons 30-day mortality measure.</w:t>
      </w:r>
      <w:r w:rsidR="00A50E70" w:rsidRPr="0073282A">
        <w:t xml:space="preserve"> </w:t>
      </w:r>
      <w:r w:rsidR="00A50E70" w:rsidRPr="0073282A">
        <w:rPr>
          <w:rFonts w:cstheme="minorHAnsi"/>
          <w:bCs/>
        </w:rPr>
        <w:t>The experts believed that a second CABG procedure within 30 days of an initial procedure is most likely due to a complication of the initial CABG procedure or the peri-operative care the patient received, and as such, the care provided by the hospital performing the initial CABG procedure likely dominates mortality risk.</w:t>
      </w:r>
    </w:p>
    <w:p w14:paraId="2A8A91D6" w14:textId="6B177D47" w:rsidR="00FA666D" w:rsidRPr="0073282A" w:rsidRDefault="00FA666D"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31983CB0" w14:textId="6C6BE64B" w:rsidR="00FA666D" w:rsidRPr="0073282A" w:rsidRDefault="00556DEA"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3282A">
        <w:rPr>
          <w:b/>
        </w:rPr>
        <w:t>Exclusion 3</w:t>
      </w:r>
      <w:r w:rsidR="00AE3BAC" w:rsidRPr="0073282A">
        <w:t xml:space="preserve"> </w:t>
      </w:r>
      <w:r w:rsidR="00AE3BAC" w:rsidRPr="0073282A">
        <w:rPr>
          <w:rFonts w:cstheme="minorHAnsi"/>
          <w:bCs/>
        </w:rPr>
        <w:t xml:space="preserve">(patients who are discharged AMA) accounts for 0.03% of all index admissions excluded from the initial index cohort. This exclusion is needed </w:t>
      </w:r>
      <w:bookmarkStart w:id="24" w:name="_Hlk499040219"/>
      <w:r w:rsidR="00AE3BAC" w:rsidRPr="0073282A">
        <w:rPr>
          <w:rFonts w:cstheme="minorHAnsi"/>
          <w:bCs/>
        </w:rPr>
        <w:t>for acceptability of the measure to hospitals</w:t>
      </w:r>
      <w:bookmarkEnd w:id="24"/>
      <w:r w:rsidR="00AE3BAC" w:rsidRPr="0073282A">
        <w:rPr>
          <w:rFonts w:cstheme="minorHAnsi"/>
          <w:bCs/>
        </w:rPr>
        <w:t>, who do not have the opportunity to deliver full care and prepare the patient for discharge.</w:t>
      </w:r>
    </w:p>
    <w:p w14:paraId="7F2DEB93" w14:textId="77777777" w:rsidR="00FA666D" w:rsidRDefault="00FA666D" w:rsidP="00DB3627">
      <w:pPr>
        <w:autoSpaceDE w:val="0"/>
        <w:autoSpaceDN w:val="0"/>
        <w:adjustRightInd w:val="0"/>
        <w:spacing w:after="0" w:line="240" w:lineRule="auto"/>
        <w:rPr>
          <w:color w:val="FF0000"/>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25" w:name="section2b4"/>
      <w:bookmarkEnd w:id="25"/>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7777777" w:rsidR="00033038" w:rsidRPr="005232D6" w:rsidRDefault="00A15FB4"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67F85279" w:rsidR="00743E46" w:rsidRPr="005232D6" w:rsidRDefault="00A15FB4"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BA35F7">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BA35F7">
        <w:rPr>
          <w:rFonts w:cstheme="minorHAnsi"/>
          <w:b/>
          <w:bCs/>
          <w:highlight w:val="yellow"/>
        </w:rPr>
        <w:t>Statistical risk model with</w:t>
      </w:r>
      <w:r w:rsidR="00743E46" w:rsidRPr="00050A3E">
        <w:rPr>
          <w:rFonts w:cstheme="minorHAnsi"/>
          <w:b/>
          <w:bCs/>
        </w:rPr>
        <w:t xml:space="preserve"> </w:t>
      </w:r>
      <w:sdt>
        <w:sdtPr>
          <w:rPr>
            <w:rStyle w:val="Style4"/>
            <w:u w:val="none"/>
          </w:rPr>
          <w:id w:val="309760327"/>
          <w:text/>
        </w:sdtPr>
        <w:sdtEndPr>
          <w:rPr>
            <w:rStyle w:val="DefaultParagraphFont"/>
            <w:rFonts w:asciiTheme="minorHAnsi" w:hAnsiTheme="minorHAnsi" w:cstheme="minorHAnsi"/>
            <w:b w:val="0"/>
            <w:bCs/>
            <w:color w:val="auto"/>
          </w:rPr>
        </w:sdtEndPr>
        <w:sdtContent>
          <w:r w:rsidR="00B654B5">
            <w:rPr>
              <w:rStyle w:val="Style4"/>
              <w:u w:val="none"/>
            </w:rPr>
            <w:t>24</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A15FB4"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4C3119FC" w:rsidR="00743E46" w:rsidRPr="005232D6" w:rsidRDefault="00A15FB4"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w:t>
      </w:r>
      <w:r w:rsidR="00F34FAB" w:rsidRPr="00C41A45">
        <w:rPr>
          <w:rFonts w:ascii="Calibri" w:eastAsia="MS Mincho" w:hAnsi="Calibri" w:cs="Calibri"/>
          <w:b/>
          <w:bCs/>
          <w:highlight w:val="yellow"/>
        </w:rPr>
        <w:t>provide detailed risk model specifications</w:t>
      </w:r>
      <w:r w:rsidR="00F34FAB" w:rsidRPr="00450C58">
        <w:rPr>
          <w:rFonts w:ascii="Calibri" w:eastAsia="MS Mincho" w:hAnsi="Calibri" w:cs="Calibri"/>
          <w:b/>
          <w:bCs/>
        </w:rPr>
        <w:t xml:space="preserve">, including the risk model method, risk factors, coefficients, equations, codes with descriptors, and definitions. </w:t>
      </w:r>
    </w:p>
    <w:p w14:paraId="5179326A" w14:textId="0EF49C60" w:rsidR="00283D9B" w:rsidRPr="0073282A" w:rsidRDefault="00283D9B"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Cs/>
        </w:rPr>
      </w:pPr>
      <w:r w:rsidRPr="0073282A">
        <w:rPr>
          <w:rFonts w:cstheme="minorHAnsi"/>
          <w:bCs/>
        </w:rPr>
        <w:t>See risk model specification in Section 2b3.</w:t>
      </w:r>
      <w:r w:rsidR="00C15BCC" w:rsidRPr="0073282A">
        <w:rPr>
          <w:rFonts w:cstheme="minorHAnsi"/>
          <w:bCs/>
        </w:rPr>
        <w:t>4</w:t>
      </w:r>
      <w:r w:rsidRPr="0073282A">
        <w:rPr>
          <w:rFonts w:cstheme="minorHAnsi"/>
          <w:bCs/>
        </w:rPr>
        <w:t>a and the attached data dictionary.</w:t>
      </w:r>
    </w:p>
    <w:p w14:paraId="5F529477" w14:textId="77777777" w:rsidR="00283D9B" w:rsidRPr="00283D9B" w:rsidRDefault="00283D9B" w:rsidP="00283D9B">
      <w:pPr>
        <w:autoSpaceDE w:val="0"/>
        <w:autoSpaceDN w:val="0"/>
        <w:adjustRightInd w:val="0"/>
        <w:spacing w:after="0" w:line="240" w:lineRule="auto"/>
        <w:outlineLvl w:val="0"/>
        <w:rPr>
          <w:rFonts w:cstheme="minorHAnsi"/>
          <w:bCs/>
          <w:color w:val="FF0000"/>
        </w:rPr>
      </w:pPr>
    </w:p>
    <w:p w14:paraId="03F2181C" w14:textId="6F93E6FC" w:rsidR="00D14E62" w:rsidRDefault="009C7513" w:rsidP="009D3882">
      <w:pPr>
        <w:rPr>
          <w:rFonts w:cstheme="minorHAnsi"/>
          <w:bCs/>
          <w:color w:val="FF0000"/>
        </w:rPr>
      </w:pPr>
      <w:r>
        <w:rPr>
          <w:rFonts w:cs="Calibri"/>
          <w:b/>
          <w:bCs/>
        </w:rPr>
        <w:lastRenderedPageBreak/>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D14E62">
        <w:rPr>
          <w:rFonts w:cs="Calibri"/>
          <w:bCs/>
        </w:rPr>
        <w:t xml:space="preserve">. </w:t>
      </w:r>
    </w:p>
    <w:p w14:paraId="57C1E943" w14:textId="7993A570" w:rsidR="00DF0813" w:rsidRPr="0073282A" w:rsidRDefault="00DF0813" w:rsidP="00D14E62">
      <w:pPr>
        <w:pBdr>
          <w:top w:val="single" w:sz="4" w:space="1" w:color="auto"/>
          <w:left w:val="single" w:sz="4" w:space="4" w:color="auto"/>
          <w:bottom w:val="single" w:sz="4" w:space="1" w:color="auto"/>
          <w:right w:val="single" w:sz="4" w:space="4" w:color="auto"/>
        </w:pBdr>
        <w:rPr>
          <w:rFonts w:cstheme="minorHAnsi"/>
          <w:bCs/>
        </w:rPr>
      </w:pPr>
      <w:r w:rsidRPr="0073282A">
        <w:rPr>
          <w:rFonts w:cstheme="minorHAnsi"/>
          <w:bCs/>
        </w:rPr>
        <w:t>N/A</w:t>
      </w:r>
    </w:p>
    <w:p w14:paraId="3B49251B" w14:textId="436B0D23" w:rsidR="004135B8" w:rsidRDefault="009C7513" w:rsidP="004135B8">
      <w:pPr>
        <w:pStyle w:val="Default"/>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181154AD" w14:textId="77777777" w:rsidR="00D14E62" w:rsidRDefault="00D14E62" w:rsidP="004135B8">
      <w:pPr>
        <w:pStyle w:val="Default"/>
        <w:rPr>
          <w:sz w:val="22"/>
          <w:szCs w:val="22"/>
        </w:rPr>
      </w:pPr>
    </w:p>
    <w:p w14:paraId="5D5264E3" w14:textId="549034DF"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22"/>
          <w:szCs w:val="22"/>
        </w:rPr>
      </w:pPr>
      <w:r w:rsidRPr="0073282A">
        <w:rPr>
          <w:color w:val="auto"/>
          <w:sz w:val="22"/>
          <w:szCs w:val="22"/>
        </w:rPr>
        <w:t xml:space="preserve">Our goal was to develop a parsimonious model that included clinically relevant variables associated with isolated CABG mortality. The candidate variables for the model were derived from: the index admission, with comorbidities identified from the index admission secondary diagnoses (excluding potential complications), 12-month pre-index inpatient Part A data, outpatient hospital data, and Part B physician data. </w:t>
      </w:r>
    </w:p>
    <w:p w14:paraId="3CF54051" w14:textId="7F415724"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14"/>
          <w:szCs w:val="14"/>
        </w:rPr>
      </w:pPr>
      <w:r w:rsidRPr="0073282A">
        <w:rPr>
          <w:color w:val="auto"/>
          <w:sz w:val="22"/>
          <w:szCs w:val="22"/>
        </w:rPr>
        <w:t>For administrative model development, we started with 189 Condition Categories (CCs) which are part of CMS’s Hierarchical Condition Categories. The Hierarchical Condition Category (HCC) system groups the ICD-9-CM codes into larger groups that are used in models to predict medical care utilization, mortality</w:t>
      </w:r>
      <w:r w:rsidR="00D925CE" w:rsidRPr="0073282A">
        <w:rPr>
          <w:color w:val="auto"/>
          <w:sz w:val="22"/>
          <w:szCs w:val="22"/>
        </w:rPr>
        <w:t xml:space="preserve">, </w:t>
      </w:r>
      <w:r w:rsidRPr="0073282A">
        <w:rPr>
          <w:color w:val="auto"/>
          <w:sz w:val="22"/>
          <w:szCs w:val="22"/>
        </w:rPr>
        <w:t>or other related measures. CCs are clinically relevant diagnostic groups of the more than 15,000 ICD-9 codes</w:t>
      </w:r>
      <w:r w:rsidR="00EA3897" w:rsidRPr="0073282A">
        <w:rPr>
          <w:color w:val="auto"/>
          <w:sz w:val="22"/>
          <w:szCs w:val="22"/>
        </w:rPr>
        <w:t xml:space="preserve"> (Pope et al</w:t>
      </w:r>
      <w:r w:rsidR="00D925CE" w:rsidRPr="0073282A">
        <w:rPr>
          <w:color w:val="auto"/>
          <w:sz w:val="22"/>
          <w:szCs w:val="22"/>
        </w:rPr>
        <w:t xml:space="preserve">. </w:t>
      </w:r>
      <w:r w:rsidR="00EA3897" w:rsidRPr="0073282A">
        <w:rPr>
          <w:color w:val="auto"/>
          <w:sz w:val="22"/>
          <w:szCs w:val="22"/>
        </w:rPr>
        <w:t>2001).</w:t>
      </w:r>
      <w:r w:rsidRPr="0073282A">
        <w:rPr>
          <w:color w:val="auto"/>
          <w:position w:val="8"/>
          <w:sz w:val="14"/>
          <w:szCs w:val="14"/>
          <w:vertAlign w:val="superscript"/>
        </w:rPr>
        <w:t xml:space="preserve"> </w:t>
      </w:r>
    </w:p>
    <w:p w14:paraId="27B133D3" w14:textId="535DB873"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14"/>
          <w:szCs w:val="14"/>
        </w:rPr>
      </w:pPr>
      <w:r w:rsidRPr="0073282A">
        <w:rPr>
          <w:color w:val="auto"/>
          <w:sz w:val="22"/>
          <w:szCs w:val="22"/>
        </w:rPr>
        <w:t>To select candidate variables, a team of clinicians reviewed all 189 CCs and excluded those that were not relevant to the Medicare population or that were not clinically relevant to the mortality outcome (e.g., attention deficit disorder, female infertility). Clinically relevant CCs were selected as candidate variables and some of those CCs were then combined into clinically coherent CC groupings. Other candidate variables included age, gender, and cardiogenic shock. Gender was included in risk adjustment due to the fact that women have smaller caliber vessels and thus represent more technically challenging CABG procedures compared to me</w:t>
      </w:r>
      <w:r w:rsidR="004C0D56" w:rsidRPr="0073282A">
        <w:rPr>
          <w:color w:val="auto"/>
          <w:sz w:val="22"/>
          <w:szCs w:val="22"/>
        </w:rPr>
        <w:t>n (</w:t>
      </w:r>
      <w:r w:rsidR="004C0D56" w:rsidRPr="0073282A">
        <w:rPr>
          <w:color w:val="auto"/>
        </w:rPr>
        <w:t>O'Connor 1996</w:t>
      </w:r>
      <w:r w:rsidR="004C0D56" w:rsidRPr="0073282A">
        <w:rPr>
          <w:color w:val="auto"/>
          <w:sz w:val="22"/>
          <w:szCs w:val="22"/>
        </w:rPr>
        <w:t>).</w:t>
      </w:r>
    </w:p>
    <w:p w14:paraId="541DFBAB"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22"/>
          <w:szCs w:val="22"/>
        </w:rPr>
      </w:pPr>
      <w:r w:rsidRPr="0073282A">
        <w:rPr>
          <w:color w:val="auto"/>
          <w:sz w:val="22"/>
          <w:szCs w:val="22"/>
        </w:rPr>
        <w:t xml:space="preserve">To inform final variable selection, a modified approach to stepwise logistic regression was performed. The development sample was used to create 1,000 “bootstrap” samples. For each sample, we ran a logistic stepwise regression that included the candidate variables. The results were summarized to show the percentage of times that each of the candidate variables was significantly associated with mortality (p&lt;0.001) in each of the 1,000 repeated samples (e.g., 90 percent would mean that the candidate variable was selected as significant at p&lt;0.001 in 90 percent of the estimations). We also assessed the direction and magnitude of the regression coefficients. </w:t>
      </w:r>
    </w:p>
    <w:p w14:paraId="32ED84D7" w14:textId="3B1D4CF9" w:rsidR="004135B8" w:rsidRPr="0073282A" w:rsidRDefault="004135B8" w:rsidP="00D14E62">
      <w:pPr>
        <w:pBdr>
          <w:top w:val="single" w:sz="4" w:space="1" w:color="auto"/>
          <w:left w:val="single" w:sz="4" w:space="1" w:color="auto"/>
          <w:bottom w:val="single" w:sz="4" w:space="1" w:color="auto"/>
          <w:right w:val="single" w:sz="4" w:space="1" w:color="auto"/>
        </w:pBdr>
      </w:pPr>
      <w:r w:rsidRPr="0073282A">
        <w:t>The clinical team reviewed these results and decided to retain the majority of risk adjustment variables above a 70% cutoff, because they demonstrated a relatively strong and stable association with risk for death and were clinically relevant. Additionally, specific variables with particular clinical relevance to the risk of death were forced into the model (regardless of percent selection) to ensure appropriate risk adjustment for CABG. These included:</w:t>
      </w:r>
    </w:p>
    <w:p w14:paraId="5D0DEF51"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ind w:left="360" w:hanging="360"/>
        <w:outlineLvl w:val="0"/>
        <w:rPr>
          <w:color w:val="auto"/>
          <w:sz w:val="22"/>
          <w:szCs w:val="22"/>
        </w:rPr>
      </w:pPr>
      <w:r w:rsidRPr="0073282A">
        <w:rPr>
          <w:color w:val="auto"/>
          <w:sz w:val="22"/>
          <w:szCs w:val="22"/>
        </w:rPr>
        <w:t xml:space="preserve">1) Clinical variables associated with CABG: </w:t>
      </w:r>
    </w:p>
    <w:p w14:paraId="7AA2CDA4"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ind w:left="360" w:hanging="360"/>
        <w:rPr>
          <w:color w:val="auto"/>
          <w:sz w:val="22"/>
          <w:szCs w:val="22"/>
        </w:rPr>
      </w:pPr>
      <w:r w:rsidRPr="0073282A">
        <w:rPr>
          <w:color w:val="auto"/>
          <w:sz w:val="22"/>
          <w:szCs w:val="22"/>
        </w:rPr>
        <w:t xml:space="preserve">- History of Prior CABG or Valve Surgery </w:t>
      </w:r>
    </w:p>
    <w:p w14:paraId="52B7F6E7"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22"/>
          <w:szCs w:val="22"/>
        </w:rPr>
      </w:pPr>
    </w:p>
    <w:p w14:paraId="7687CC2A"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outlineLvl w:val="0"/>
        <w:rPr>
          <w:color w:val="auto"/>
          <w:sz w:val="22"/>
          <w:szCs w:val="22"/>
        </w:rPr>
      </w:pPr>
      <w:r w:rsidRPr="0073282A">
        <w:rPr>
          <w:color w:val="auto"/>
          <w:sz w:val="22"/>
          <w:szCs w:val="22"/>
        </w:rPr>
        <w:lastRenderedPageBreak/>
        <w:t xml:space="preserve">2) Markers for end of life/frailty: </w:t>
      </w:r>
    </w:p>
    <w:p w14:paraId="52B055B4"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ind w:left="360" w:hanging="360"/>
        <w:rPr>
          <w:color w:val="auto"/>
          <w:sz w:val="22"/>
          <w:szCs w:val="22"/>
        </w:rPr>
      </w:pPr>
      <w:r w:rsidRPr="0073282A">
        <w:rPr>
          <w:color w:val="auto"/>
          <w:sz w:val="22"/>
          <w:szCs w:val="22"/>
        </w:rPr>
        <w:t xml:space="preserve">- Decubitus Ulcer or Chronic Skin Ulcer </w:t>
      </w:r>
    </w:p>
    <w:p w14:paraId="51D4AA57"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ind w:left="360" w:hanging="360"/>
        <w:rPr>
          <w:color w:val="auto"/>
          <w:sz w:val="22"/>
          <w:szCs w:val="22"/>
        </w:rPr>
      </w:pPr>
      <w:r w:rsidRPr="0073282A">
        <w:rPr>
          <w:color w:val="auto"/>
          <w:sz w:val="22"/>
          <w:szCs w:val="22"/>
        </w:rPr>
        <w:t xml:space="preserve">- Dementia or Other Specified Brain Disorders </w:t>
      </w:r>
    </w:p>
    <w:p w14:paraId="66979E2D"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ind w:left="360" w:hanging="360"/>
        <w:rPr>
          <w:color w:val="auto"/>
          <w:sz w:val="22"/>
          <w:szCs w:val="22"/>
        </w:rPr>
      </w:pPr>
      <w:r w:rsidRPr="0073282A">
        <w:rPr>
          <w:color w:val="auto"/>
          <w:sz w:val="22"/>
          <w:szCs w:val="22"/>
        </w:rPr>
        <w:t xml:space="preserve">- Metastatic Cancer and Acute Leukemia </w:t>
      </w:r>
    </w:p>
    <w:p w14:paraId="619C04A1"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ind w:left="360" w:hanging="360"/>
        <w:rPr>
          <w:color w:val="auto"/>
          <w:sz w:val="22"/>
          <w:szCs w:val="22"/>
        </w:rPr>
      </w:pPr>
      <w:r w:rsidRPr="0073282A">
        <w:rPr>
          <w:color w:val="auto"/>
          <w:sz w:val="22"/>
          <w:szCs w:val="22"/>
        </w:rPr>
        <w:t xml:space="preserve">- Protein-calorie Malnutrition </w:t>
      </w:r>
    </w:p>
    <w:p w14:paraId="396A7DFD"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22"/>
          <w:szCs w:val="22"/>
        </w:rPr>
      </w:pPr>
      <w:r w:rsidRPr="0073282A">
        <w:rPr>
          <w:color w:val="auto"/>
          <w:sz w:val="22"/>
          <w:szCs w:val="22"/>
        </w:rPr>
        <w:t xml:space="preserve">- Hemiplegia, Paraplegia, Paralysis, Functional disability </w:t>
      </w:r>
    </w:p>
    <w:p w14:paraId="45702329" w14:textId="58B97577" w:rsidR="004135B8" w:rsidRPr="0073282A" w:rsidRDefault="004135B8" w:rsidP="0073282A">
      <w:pPr>
        <w:pStyle w:val="Default"/>
        <w:pBdr>
          <w:top w:val="single" w:sz="4" w:space="1" w:color="auto"/>
          <w:left w:val="single" w:sz="4" w:space="1" w:color="auto"/>
          <w:bottom w:val="single" w:sz="4" w:space="1" w:color="auto"/>
          <w:right w:val="single" w:sz="4" w:space="1" w:color="auto"/>
        </w:pBdr>
        <w:rPr>
          <w:color w:val="auto"/>
          <w:sz w:val="22"/>
          <w:szCs w:val="22"/>
        </w:rPr>
      </w:pPr>
      <w:r w:rsidRPr="0073282A">
        <w:rPr>
          <w:color w:val="auto"/>
          <w:sz w:val="22"/>
          <w:szCs w:val="22"/>
        </w:rPr>
        <w:t xml:space="preserve">- Stroke </w:t>
      </w:r>
    </w:p>
    <w:p w14:paraId="7A01A3F9"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22"/>
          <w:szCs w:val="22"/>
        </w:rPr>
      </w:pPr>
    </w:p>
    <w:p w14:paraId="2BFC7D9F"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outlineLvl w:val="0"/>
        <w:rPr>
          <w:color w:val="auto"/>
          <w:sz w:val="22"/>
          <w:szCs w:val="22"/>
        </w:rPr>
      </w:pPr>
      <w:r w:rsidRPr="0073282A">
        <w:rPr>
          <w:color w:val="auto"/>
          <w:sz w:val="22"/>
          <w:szCs w:val="22"/>
        </w:rPr>
        <w:t xml:space="preserve">3) Diagnoses with potential asymmetry among hospitals that would impact the validity of the model: </w:t>
      </w:r>
    </w:p>
    <w:p w14:paraId="0F8EA97D"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22"/>
          <w:szCs w:val="22"/>
        </w:rPr>
      </w:pPr>
      <w:r w:rsidRPr="0073282A">
        <w:rPr>
          <w:color w:val="auto"/>
          <w:sz w:val="22"/>
          <w:szCs w:val="22"/>
        </w:rPr>
        <w:t xml:space="preserve">- Lung, Upper Digestive Tract, and Other Severe Cancers </w:t>
      </w:r>
    </w:p>
    <w:p w14:paraId="42DC95D2" w14:textId="7B5B830F"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22"/>
          <w:szCs w:val="22"/>
        </w:rPr>
      </w:pPr>
      <w:r w:rsidRPr="0073282A">
        <w:rPr>
          <w:color w:val="auto"/>
          <w:sz w:val="22"/>
          <w:szCs w:val="22"/>
        </w:rPr>
        <w:t xml:space="preserve">- Lymphatic, Head and Neck, Brain, and Other Major Cancers; Breast, Prostate, Colorectal and Other Cancers and Tumors; Other Respiratory and heart Neoplasms </w:t>
      </w:r>
    </w:p>
    <w:p w14:paraId="236C821E"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22"/>
          <w:szCs w:val="22"/>
        </w:rPr>
      </w:pPr>
      <w:r w:rsidRPr="0073282A">
        <w:rPr>
          <w:color w:val="auto"/>
          <w:sz w:val="22"/>
          <w:szCs w:val="22"/>
        </w:rPr>
        <w:t xml:space="preserve">- Other Digestive and Urinary Neoplasms </w:t>
      </w:r>
    </w:p>
    <w:p w14:paraId="14C870CC" w14:textId="77777777"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22"/>
          <w:szCs w:val="22"/>
        </w:rPr>
      </w:pPr>
      <w:r w:rsidRPr="0073282A">
        <w:rPr>
          <w:color w:val="auto"/>
          <w:sz w:val="22"/>
          <w:szCs w:val="22"/>
        </w:rPr>
        <w:t xml:space="preserve">This resulted in a final risk-adjustment model that included 24 variables. </w:t>
      </w:r>
    </w:p>
    <w:p w14:paraId="431480D4" w14:textId="77777777" w:rsidR="00BC2ACE" w:rsidRPr="0073282A" w:rsidRDefault="00BC2ACE" w:rsidP="00D14E62">
      <w:pPr>
        <w:pStyle w:val="Default"/>
        <w:pBdr>
          <w:top w:val="single" w:sz="4" w:space="1" w:color="auto"/>
          <w:left w:val="single" w:sz="4" w:space="1" w:color="auto"/>
          <w:bottom w:val="single" w:sz="4" w:space="1" w:color="auto"/>
          <w:right w:val="single" w:sz="4" w:space="1" w:color="auto"/>
        </w:pBdr>
        <w:rPr>
          <w:color w:val="auto"/>
          <w:sz w:val="22"/>
          <w:szCs w:val="22"/>
        </w:rPr>
      </w:pPr>
    </w:p>
    <w:p w14:paraId="689C08EA" w14:textId="08B90647"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22"/>
          <w:szCs w:val="22"/>
          <w:u w:val="single"/>
        </w:rPr>
      </w:pPr>
      <w:r w:rsidRPr="0073282A">
        <w:rPr>
          <w:color w:val="auto"/>
          <w:sz w:val="22"/>
          <w:szCs w:val="22"/>
          <w:u w:val="single"/>
        </w:rPr>
        <w:t xml:space="preserve">References </w:t>
      </w:r>
    </w:p>
    <w:p w14:paraId="450EEBCC" w14:textId="3501669A" w:rsidR="004135B8" w:rsidRPr="0073282A" w:rsidRDefault="004135B8" w:rsidP="00D14E62">
      <w:pPr>
        <w:pStyle w:val="Default"/>
        <w:pBdr>
          <w:top w:val="single" w:sz="4" w:space="1" w:color="auto"/>
          <w:left w:val="single" w:sz="4" w:space="1" w:color="auto"/>
          <w:bottom w:val="single" w:sz="4" w:space="1" w:color="auto"/>
          <w:right w:val="single" w:sz="4" w:space="1" w:color="auto"/>
        </w:pBdr>
        <w:rPr>
          <w:color w:val="auto"/>
          <w:sz w:val="22"/>
          <w:szCs w:val="22"/>
        </w:rPr>
      </w:pPr>
      <w:r w:rsidRPr="0073282A">
        <w:rPr>
          <w:color w:val="auto"/>
          <w:sz w:val="22"/>
          <w:szCs w:val="22"/>
        </w:rPr>
        <w:t xml:space="preserve">Pope G, Ellis R, Ash A, et al. Principal Inpatinet Diagnosit Cost Group Models for Medicare Risk Adjustment. </w:t>
      </w:r>
      <w:r w:rsidRPr="0073282A">
        <w:rPr>
          <w:i/>
          <w:iCs/>
          <w:color w:val="auto"/>
          <w:sz w:val="22"/>
          <w:szCs w:val="22"/>
        </w:rPr>
        <w:t xml:space="preserve">Health Care Financing Review. </w:t>
      </w:r>
      <w:r w:rsidRPr="0073282A">
        <w:rPr>
          <w:color w:val="auto"/>
          <w:sz w:val="22"/>
          <w:szCs w:val="22"/>
        </w:rPr>
        <w:t xml:space="preserve">2000;21(3):26. </w:t>
      </w:r>
    </w:p>
    <w:p w14:paraId="19B83626" w14:textId="62AE5EDA" w:rsidR="004135B8" w:rsidRPr="0073282A" w:rsidRDefault="004135B8" w:rsidP="00D14E62">
      <w:pPr>
        <w:pBdr>
          <w:top w:val="single" w:sz="4" w:space="1" w:color="auto"/>
          <w:left w:val="single" w:sz="4" w:space="1" w:color="auto"/>
          <w:bottom w:val="single" w:sz="4" w:space="1" w:color="auto"/>
          <w:right w:val="single" w:sz="4" w:space="1" w:color="auto"/>
        </w:pBdr>
      </w:pPr>
      <w:bookmarkStart w:id="26" w:name="_Hlk501029131"/>
      <w:r w:rsidRPr="0073282A">
        <w:t xml:space="preserve">O'Connor </w:t>
      </w:r>
      <w:bookmarkEnd w:id="26"/>
      <w:r w:rsidRPr="0073282A">
        <w:t xml:space="preserve">NJ, Morton JR, Birkmeyer JD, Olmstead EM, O'Connor GT. Effect of coronary artery diameter in patients undergoing coronary bypass surgery. Northern New England Cardiovascular Disease Study Group. </w:t>
      </w:r>
      <w:r w:rsidRPr="0073282A">
        <w:rPr>
          <w:i/>
          <w:iCs/>
        </w:rPr>
        <w:t xml:space="preserve">Circulation. </w:t>
      </w:r>
      <w:r w:rsidRPr="0073282A">
        <w:t>1996;93(4):652-655.</w:t>
      </w:r>
    </w:p>
    <w:p w14:paraId="41D51D83" w14:textId="4538A738" w:rsidR="00F216EC" w:rsidRPr="0073282A" w:rsidRDefault="003725A7" w:rsidP="00D14E62">
      <w:pPr>
        <w:pBdr>
          <w:top w:val="single" w:sz="4" w:space="1" w:color="auto"/>
          <w:left w:val="single" w:sz="4" w:space="1" w:color="auto"/>
          <w:bottom w:val="single" w:sz="4" w:space="1" w:color="auto"/>
          <w:right w:val="single" w:sz="4" w:space="1" w:color="auto"/>
        </w:pBdr>
        <w:outlineLvl w:val="0"/>
        <w:rPr>
          <w:rFonts w:cstheme="minorHAnsi"/>
          <w:bCs/>
          <w:u w:val="single"/>
        </w:rPr>
      </w:pPr>
      <w:bookmarkStart w:id="27" w:name="_Hlk500147672"/>
      <w:r w:rsidRPr="0073282A">
        <w:rPr>
          <w:rFonts w:cstheme="minorHAnsi"/>
          <w:bCs/>
          <w:u w:val="single"/>
        </w:rPr>
        <w:t xml:space="preserve">Social Risk </w:t>
      </w:r>
      <w:r w:rsidR="00F216EC" w:rsidRPr="0073282A">
        <w:rPr>
          <w:rFonts w:cstheme="minorHAnsi"/>
          <w:bCs/>
          <w:u w:val="single"/>
        </w:rPr>
        <w:t>Factors</w:t>
      </w:r>
    </w:p>
    <w:p w14:paraId="7C364540" w14:textId="5806E487" w:rsidR="000E4F8F" w:rsidRPr="0073282A" w:rsidRDefault="000E4F8F" w:rsidP="00D14E62">
      <w:pPr>
        <w:pBdr>
          <w:top w:val="single" w:sz="4" w:space="1" w:color="auto"/>
          <w:left w:val="single" w:sz="4" w:space="1" w:color="auto"/>
          <w:bottom w:val="single" w:sz="4" w:space="1" w:color="auto"/>
          <w:right w:val="single" w:sz="4" w:space="1" w:color="auto"/>
        </w:pBdr>
        <w:rPr>
          <w:rFonts w:cstheme="minorHAnsi"/>
          <w:bCs/>
        </w:rPr>
      </w:pPr>
      <w:r w:rsidRPr="0073282A">
        <w:rPr>
          <w:rFonts w:cstheme="minorHAnsi"/>
          <w:bCs/>
        </w:rPr>
        <w:t xml:space="preserve">We selected variables representing </w:t>
      </w:r>
      <w:r w:rsidR="00933B14" w:rsidRPr="0073282A">
        <w:rPr>
          <w:rFonts w:cstheme="minorHAnsi"/>
          <w:bCs/>
        </w:rPr>
        <w:t xml:space="preserve">social risk factors such as </w:t>
      </w:r>
      <w:r w:rsidRPr="0073282A">
        <w:rPr>
          <w:rFonts w:cstheme="minorHAnsi"/>
          <w:bCs/>
        </w:rPr>
        <w:t>SES</w:t>
      </w:r>
      <w:r w:rsidR="006B467B" w:rsidRPr="0073282A">
        <w:rPr>
          <w:rFonts w:cstheme="minorHAnsi"/>
          <w:bCs/>
        </w:rPr>
        <w:t xml:space="preserve"> </w:t>
      </w:r>
      <w:r w:rsidRPr="0073282A">
        <w:rPr>
          <w:rFonts w:cstheme="minorHAnsi"/>
          <w:bCs/>
        </w:rPr>
        <w:t xml:space="preserve">for examination based on a review of literature, conceptual pathways, and feasibility. In Section 1.8, we describe the variables that we considered and analyzed based on this review. Below we describe the pathways by which </w:t>
      </w:r>
      <w:r w:rsidR="00933B14" w:rsidRPr="0073282A">
        <w:rPr>
          <w:rFonts w:cstheme="minorHAnsi"/>
          <w:bCs/>
        </w:rPr>
        <w:t xml:space="preserve">social risk factors </w:t>
      </w:r>
      <w:r w:rsidRPr="0073282A">
        <w:rPr>
          <w:rFonts w:cstheme="minorHAnsi"/>
          <w:bCs/>
        </w:rPr>
        <w:t>may influence 30-day mortality.</w:t>
      </w:r>
    </w:p>
    <w:p w14:paraId="490BB112" w14:textId="026E1CCF" w:rsidR="000E4F8F" w:rsidRPr="0073282A" w:rsidRDefault="000E4F8F" w:rsidP="00D14E62">
      <w:pPr>
        <w:pBdr>
          <w:top w:val="single" w:sz="4" w:space="1" w:color="auto"/>
          <w:left w:val="single" w:sz="4" w:space="1" w:color="auto"/>
          <w:bottom w:val="single" w:sz="4" w:space="1" w:color="auto"/>
          <w:right w:val="single" w:sz="4" w:space="1" w:color="auto"/>
        </w:pBdr>
        <w:rPr>
          <w:rFonts w:cstheme="minorHAnsi"/>
          <w:bCs/>
        </w:rPr>
      </w:pPr>
      <w:r w:rsidRPr="0073282A">
        <w:rPr>
          <w:rFonts w:cstheme="minorHAnsi"/>
          <w:bCs/>
        </w:rPr>
        <w:t>Our conceptualization of the pathways by which patient</w:t>
      </w:r>
      <w:r w:rsidR="00933B14" w:rsidRPr="0073282A">
        <w:rPr>
          <w:rFonts w:cstheme="minorHAnsi"/>
          <w:bCs/>
        </w:rPr>
        <w:t xml:space="preserve"> social risk factors</w:t>
      </w:r>
      <w:r w:rsidRPr="0073282A">
        <w:rPr>
          <w:rFonts w:cstheme="minorHAnsi"/>
          <w:bCs/>
        </w:rPr>
        <w:t xml:space="preserve"> affects 30-day mortality is informed by the literature.</w:t>
      </w:r>
    </w:p>
    <w:p w14:paraId="0C09D40B" w14:textId="742BFE14" w:rsidR="00D666DD" w:rsidRPr="0073282A" w:rsidRDefault="00D666DD" w:rsidP="00D14E62">
      <w:pPr>
        <w:pBdr>
          <w:top w:val="single" w:sz="4" w:space="1" w:color="auto"/>
          <w:left w:val="single" w:sz="4" w:space="1" w:color="auto"/>
          <w:bottom w:val="single" w:sz="4" w:space="1" w:color="auto"/>
          <w:right w:val="single" w:sz="4" w:space="1" w:color="auto"/>
        </w:pBdr>
        <w:outlineLvl w:val="0"/>
        <w:rPr>
          <w:rFonts w:cstheme="minorHAnsi"/>
          <w:bCs/>
          <w:u w:val="single"/>
        </w:rPr>
      </w:pPr>
      <w:r w:rsidRPr="0073282A">
        <w:rPr>
          <w:rFonts w:cstheme="minorHAnsi"/>
          <w:bCs/>
          <w:u w:val="single"/>
        </w:rPr>
        <w:t xml:space="preserve">Literature Review of </w:t>
      </w:r>
      <w:r w:rsidR="009104C6" w:rsidRPr="0073282A">
        <w:rPr>
          <w:rFonts w:cstheme="minorHAnsi"/>
          <w:bCs/>
          <w:u w:val="single"/>
        </w:rPr>
        <w:t xml:space="preserve">Social Risk </w:t>
      </w:r>
      <w:r w:rsidRPr="0073282A">
        <w:rPr>
          <w:rFonts w:cstheme="minorHAnsi"/>
          <w:bCs/>
          <w:u w:val="single"/>
        </w:rPr>
        <w:t>Variables and Mortality</w:t>
      </w:r>
      <w:r w:rsidR="009226DB" w:rsidRPr="0073282A">
        <w:rPr>
          <w:rFonts w:cstheme="minorHAnsi"/>
          <w:bCs/>
          <w:u w:val="single"/>
        </w:rPr>
        <w:t xml:space="preserve"> after a CABG Procedure</w:t>
      </w:r>
    </w:p>
    <w:p w14:paraId="196D12DC" w14:textId="0C42C503" w:rsidR="000E4F8F" w:rsidRPr="0073282A" w:rsidRDefault="000E4F8F" w:rsidP="00D14E62">
      <w:pPr>
        <w:pBdr>
          <w:top w:val="single" w:sz="4" w:space="1" w:color="auto"/>
          <w:left w:val="single" w:sz="4" w:space="1" w:color="auto"/>
          <w:bottom w:val="single" w:sz="4" w:space="1" w:color="auto"/>
          <w:right w:val="single" w:sz="4" w:space="1" w:color="auto"/>
        </w:pBdr>
        <w:spacing w:before="120" w:after="120"/>
        <w:rPr>
          <w:rFonts w:cstheme="minorHAnsi"/>
          <w:bCs/>
          <w:u w:val="single"/>
        </w:rPr>
      </w:pPr>
      <w:r w:rsidRPr="0073282A">
        <w:rPr>
          <w:rFonts w:cstheme="minorHAnsi"/>
          <w:bCs/>
        </w:rPr>
        <w:t xml:space="preserve">To examine the relationship between </w:t>
      </w:r>
      <w:r w:rsidR="009104C6" w:rsidRPr="0073282A">
        <w:rPr>
          <w:rFonts w:cstheme="minorHAnsi"/>
          <w:bCs/>
        </w:rPr>
        <w:t xml:space="preserve">social risk factors </w:t>
      </w:r>
      <w:r w:rsidRPr="0073282A">
        <w:rPr>
          <w:rFonts w:cstheme="minorHAnsi"/>
          <w:bCs/>
        </w:rPr>
        <w:t>and hospital 30-day, all-cause, RSMR</w:t>
      </w:r>
      <w:r w:rsidR="0085224F" w:rsidRPr="0073282A">
        <w:rPr>
          <w:rFonts w:cstheme="minorHAnsi"/>
          <w:bCs/>
        </w:rPr>
        <w:t xml:space="preserve"> </w:t>
      </w:r>
      <w:r w:rsidRPr="0073282A">
        <w:rPr>
          <w:rFonts w:cstheme="minorHAnsi"/>
          <w:bCs/>
        </w:rPr>
        <w:t xml:space="preserve">following CABG surgery, a literature search was performed with the following exclusion criteria: international studies, articles published more than 10 years ago, articles without primary data, articles using Veterans Affairs databases as the primary data source, and articles not explicitly focused on </w:t>
      </w:r>
      <w:r w:rsidR="009104C6" w:rsidRPr="0073282A">
        <w:rPr>
          <w:rFonts w:cstheme="minorHAnsi"/>
          <w:bCs/>
        </w:rPr>
        <w:t>so</w:t>
      </w:r>
      <w:r w:rsidR="00C45CCE" w:rsidRPr="0073282A">
        <w:rPr>
          <w:rFonts w:cstheme="minorHAnsi"/>
          <w:bCs/>
        </w:rPr>
        <w:t>cial risk factors such as SES</w:t>
      </w:r>
      <w:r w:rsidR="009104C6" w:rsidRPr="0073282A">
        <w:rPr>
          <w:rFonts w:cstheme="minorHAnsi"/>
          <w:bCs/>
        </w:rPr>
        <w:t xml:space="preserve"> </w:t>
      </w:r>
      <w:r w:rsidRPr="0073282A">
        <w:rPr>
          <w:rFonts w:cstheme="minorHAnsi"/>
          <w:bCs/>
        </w:rPr>
        <w:t xml:space="preserve">and CABG mortality. Studies </w:t>
      </w:r>
      <w:r w:rsidR="005832E5" w:rsidRPr="0073282A">
        <w:rPr>
          <w:rFonts w:cstheme="minorHAnsi"/>
          <w:bCs/>
        </w:rPr>
        <w:t xml:space="preserve">are </w:t>
      </w:r>
      <w:r w:rsidRPr="0073282A">
        <w:rPr>
          <w:rFonts w:cstheme="minorHAnsi"/>
          <w:bCs/>
        </w:rPr>
        <w:t xml:space="preserve">limited, and those that have been conducted have </w:t>
      </w:r>
      <w:r w:rsidR="005832E5" w:rsidRPr="0073282A">
        <w:rPr>
          <w:rFonts w:cstheme="minorHAnsi"/>
          <w:bCs/>
        </w:rPr>
        <w:t xml:space="preserve">mixed </w:t>
      </w:r>
      <w:r w:rsidRPr="0073282A">
        <w:rPr>
          <w:rFonts w:cstheme="minorHAnsi"/>
          <w:bCs/>
        </w:rPr>
        <w:t>results.</w:t>
      </w:r>
    </w:p>
    <w:p w14:paraId="42797580" w14:textId="15D841E9" w:rsidR="00D666DD" w:rsidRPr="0073282A" w:rsidRDefault="009F5444" w:rsidP="00D14E62">
      <w:pPr>
        <w:pBdr>
          <w:top w:val="single" w:sz="4" w:space="1" w:color="auto"/>
          <w:left w:val="single" w:sz="4" w:space="1" w:color="auto"/>
          <w:bottom w:val="single" w:sz="4" w:space="1" w:color="auto"/>
          <w:right w:val="single" w:sz="4" w:space="1" w:color="auto"/>
        </w:pBdr>
        <w:outlineLvl w:val="0"/>
        <w:rPr>
          <w:rFonts w:cstheme="minorHAnsi"/>
          <w:bCs/>
          <w:u w:val="single"/>
        </w:rPr>
      </w:pPr>
      <w:r w:rsidRPr="0073282A">
        <w:rPr>
          <w:rFonts w:cstheme="minorHAnsi"/>
          <w:bCs/>
          <w:u w:val="single"/>
        </w:rPr>
        <w:t xml:space="preserve">Causal Pathways for </w:t>
      </w:r>
      <w:r w:rsidR="008E226D" w:rsidRPr="0073282A">
        <w:rPr>
          <w:rFonts w:cstheme="minorHAnsi"/>
          <w:bCs/>
          <w:u w:val="single"/>
        </w:rPr>
        <w:t>Social Risk</w:t>
      </w:r>
      <w:r w:rsidRPr="0073282A">
        <w:rPr>
          <w:rFonts w:cstheme="minorHAnsi"/>
          <w:bCs/>
          <w:u w:val="single"/>
        </w:rPr>
        <w:t xml:space="preserve"> Variable Selection</w:t>
      </w:r>
    </w:p>
    <w:p w14:paraId="3592981F" w14:textId="6C5BD78B" w:rsidR="000E4F8F" w:rsidRPr="0073282A" w:rsidRDefault="000E4F8F"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xml:space="preserve">Although some recent literature evaluates the relationship between patient </w:t>
      </w:r>
      <w:r w:rsidR="008E226D" w:rsidRPr="0073282A">
        <w:rPr>
          <w:rFonts w:cstheme="minorHAnsi"/>
          <w:bCs/>
        </w:rPr>
        <w:t xml:space="preserve">social risk factor such as </w:t>
      </w:r>
      <w:r w:rsidRPr="0073282A">
        <w:rPr>
          <w:rFonts w:cstheme="minorHAnsi"/>
          <w:bCs/>
        </w:rPr>
        <w:t>SES and the mortality outcome, few studies directly address causal pathways or examine the role of the hospital in these pathways</w:t>
      </w:r>
      <w:r w:rsidR="00331C1A" w:rsidRPr="0073282A">
        <w:rPr>
          <w:rFonts w:cstheme="minorHAnsi"/>
          <w:bCs/>
        </w:rPr>
        <w:t xml:space="preserve"> (see, for example, Chang et al 2007</w:t>
      </w:r>
      <w:r w:rsidR="003C4AE6" w:rsidRPr="0073282A">
        <w:rPr>
          <w:rFonts w:cstheme="minorHAnsi"/>
          <w:bCs/>
        </w:rPr>
        <w:t>;</w:t>
      </w:r>
      <w:r w:rsidR="003C4AE6" w:rsidRPr="0073282A">
        <w:t xml:space="preserve"> </w:t>
      </w:r>
      <w:r w:rsidR="003C4AE6" w:rsidRPr="0073282A">
        <w:rPr>
          <w:rFonts w:cstheme="minorHAnsi"/>
          <w:bCs/>
        </w:rPr>
        <w:t>Gopaldas et al 2009; Kim</w:t>
      </w:r>
      <w:r w:rsidR="001E7C0A" w:rsidRPr="0073282A">
        <w:rPr>
          <w:rFonts w:cstheme="minorHAnsi"/>
          <w:bCs/>
        </w:rPr>
        <w:t xml:space="preserve"> et al 2007</w:t>
      </w:r>
      <w:r w:rsidR="003C4AE6" w:rsidRPr="0073282A">
        <w:rPr>
          <w:rFonts w:cstheme="minorHAnsi"/>
          <w:bCs/>
        </w:rPr>
        <w:t>; LaPar</w:t>
      </w:r>
      <w:r w:rsidR="005A0866" w:rsidRPr="0073282A">
        <w:rPr>
          <w:rFonts w:cstheme="minorHAnsi"/>
          <w:bCs/>
        </w:rPr>
        <w:t xml:space="preserve"> 2010; 2012</w:t>
      </w:r>
      <w:r w:rsidR="00331C1A" w:rsidRPr="0073282A">
        <w:rPr>
          <w:rFonts w:cstheme="minorHAnsi"/>
          <w:bCs/>
        </w:rPr>
        <w:t>)</w:t>
      </w:r>
      <w:r w:rsidRPr="0073282A">
        <w:rPr>
          <w:rFonts w:cstheme="minorHAnsi"/>
          <w:bCs/>
        </w:rPr>
        <w:t xml:space="preserve">. Moreover, the current literature examines a wide range of conditions and risk </w:t>
      </w:r>
      <w:r w:rsidRPr="0073282A">
        <w:rPr>
          <w:rFonts w:cstheme="minorHAnsi"/>
          <w:bCs/>
        </w:rPr>
        <w:lastRenderedPageBreak/>
        <w:t xml:space="preserve">variables with no clear consensus on which risk factors demonstrate the strongest relationship with mortality. The </w:t>
      </w:r>
      <w:r w:rsidR="008E226D" w:rsidRPr="0073282A">
        <w:rPr>
          <w:rFonts w:cstheme="minorHAnsi"/>
          <w:bCs/>
        </w:rPr>
        <w:t xml:space="preserve">social risk </w:t>
      </w:r>
      <w:r w:rsidRPr="0073282A">
        <w:rPr>
          <w:rFonts w:cstheme="minorHAnsi"/>
          <w:bCs/>
        </w:rPr>
        <w:t xml:space="preserve">factors that have been examined in the literature can be categorized into three domains: (1) patient-level variables, (2) neighborhood/community-level variables, and (3) hospital-level variables. Patient-level variables describe characteristics of individual patients, and </w:t>
      </w:r>
      <w:r w:rsidR="009226DB" w:rsidRPr="0073282A">
        <w:rPr>
          <w:rFonts w:cstheme="minorHAnsi"/>
          <w:bCs/>
        </w:rPr>
        <w:t>include</w:t>
      </w:r>
      <w:r w:rsidRPr="0073282A">
        <w:rPr>
          <w:rFonts w:cstheme="minorHAnsi"/>
          <w:bCs/>
        </w:rPr>
        <w:t xml:space="preserve"> the patient’s income or education level (Eapen et al., 2015). Neighborhood/community-level variables use information from sources such as the American Community Survey</w:t>
      </w:r>
      <w:r w:rsidR="005A6F33" w:rsidRPr="0073282A">
        <w:rPr>
          <w:rFonts w:cstheme="minorHAnsi"/>
          <w:bCs/>
        </w:rPr>
        <w:t xml:space="preserve"> </w:t>
      </w:r>
      <w:r w:rsidRPr="0073282A">
        <w:rPr>
          <w:rFonts w:cstheme="minorHAnsi"/>
          <w:bCs/>
        </w:rPr>
        <w:t>as either a proxy for individual patient-level data or to measure environmental factors. Studies using these variables use one dimensional measures such as median household income or composite measures such as the</w:t>
      </w:r>
      <w:r w:rsidR="005A6F33" w:rsidRPr="0073282A">
        <w:rPr>
          <w:rFonts w:cstheme="minorHAnsi"/>
          <w:bCs/>
        </w:rPr>
        <w:t xml:space="preserve"> </w:t>
      </w:r>
      <w:r w:rsidRPr="0073282A">
        <w:rPr>
          <w:rFonts w:cstheme="minorHAnsi"/>
          <w:bCs/>
        </w:rPr>
        <w:t>AHRQ-validated SES index score (Blum et al., 2014). Hospital-level variables measure attributes of the hospital which may be related to patient risk. Examples of hospital-level variables used in studies are ZIP code characteristics aggregated to the hospital level or the proportion of Medicaid patients served in the hospital (Gilman et al., 2014; Joynt and Jha, 2013).</w:t>
      </w:r>
    </w:p>
    <w:p w14:paraId="53E2B706" w14:textId="59BA7606" w:rsidR="000E4F8F" w:rsidRPr="0073282A" w:rsidRDefault="000E4F8F"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xml:space="preserve">The conceptual relationship, or potential causal pathways by which these possible </w:t>
      </w:r>
      <w:r w:rsidR="00BD38BE" w:rsidRPr="0073282A">
        <w:rPr>
          <w:rFonts w:cstheme="minorHAnsi"/>
          <w:bCs/>
        </w:rPr>
        <w:t xml:space="preserve">social </w:t>
      </w:r>
      <w:r w:rsidRPr="0073282A">
        <w:rPr>
          <w:rFonts w:cstheme="minorHAnsi"/>
          <w:bCs/>
        </w:rPr>
        <w:t>risk factors influence the risk of mortality following an acute illness or major surgery, like the factors themselves, are varied and complex. There are at least four potential pathways that are important to consider.</w:t>
      </w:r>
    </w:p>
    <w:p w14:paraId="3B94523F" w14:textId="442E3577" w:rsidR="000E4F8F" w:rsidRPr="0073282A" w:rsidRDefault="000E4F8F"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xml:space="preserve">1. </w:t>
      </w:r>
      <w:r w:rsidRPr="0073282A">
        <w:rPr>
          <w:rFonts w:cstheme="minorHAnsi"/>
          <w:b/>
          <w:bCs/>
        </w:rPr>
        <w:t xml:space="preserve">Relationship of </w:t>
      </w:r>
      <w:r w:rsidR="00BD38BE" w:rsidRPr="0073282A">
        <w:rPr>
          <w:rFonts w:cstheme="minorHAnsi"/>
          <w:b/>
          <w:bCs/>
        </w:rPr>
        <w:t xml:space="preserve">social risk factors such as </w:t>
      </w:r>
      <w:r w:rsidRPr="0073282A">
        <w:rPr>
          <w:rFonts w:cstheme="minorHAnsi"/>
          <w:b/>
          <w:bCs/>
        </w:rPr>
        <w:t>SES</w:t>
      </w:r>
      <w:r w:rsidR="005A6F33" w:rsidRPr="0073282A">
        <w:rPr>
          <w:rFonts w:cstheme="minorHAnsi"/>
          <w:b/>
          <w:bCs/>
        </w:rPr>
        <w:t xml:space="preserve"> </w:t>
      </w:r>
      <w:r w:rsidRPr="0073282A">
        <w:rPr>
          <w:rFonts w:cstheme="minorHAnsi"/>
          <w:b/>
          <w:bCs/>
        </w:rPr>
        <w:t>to health at admission</w:t>
      </w:r>
      <w:r w:rsidRPr="0073282A">
        <w:rPr>
          <w:rFonts w:cstheme="minorHAnsi"/>
          <w:bCs/>
        </w:rPr>
        <w:t xml:space="preserve">. Patients who have lower income/education/literacy or unstable housing may have a worse general health status and may present for their hospitalization or procedure with a greater severity of underlying illness. These </w:t>
      </w:r>
      <w:r w:rsidR="00BD38BE" w:rsidRPr="0073282A">
        <w:rPr>
          <w:rFonts w:cstheme="minorHAnsi"/>
          <w:bCs/>
        </w:rPr>
        <w:t xml:space="preserve">social </w:t>
      </w:r>
      <w:r w:rsidRPr="0073282A">
        <w:rPr>
          <w:rFonts w:cstheme="minorHAnsi"/>
          <w:bCs/>
        </w:rPr>
        <w:t>risk factors, which are characterized by patient-level or neighborhood/community-level (as proxy for patient-level) variables, may contribute to worse health status at admission due to competing priorities (restrictions based on job, lack of childcare), lack of access to care (geographic, cultural, or financial), or lack of health insurance. Given that these risk factors all lead to worse general health status, this causal pathway should be largely accounted for by current clinical risk-adjustment</w:t>
      </w:r>
      <w:r w:rsidRPr="0073282A">
        <w:rPr>
          <w:rFonts w:cstheme="minorHAnsi"/>
          <w:b/>
          <w:bCs/>
        </w:rPr>
        <w:t>.</w:t>
      </w:r>
    </w:p>
    <w:p w14:paraId="016D7A27" w14:textId="179435B2" w:rsidR="00294035" w:rsidRPr="0073282A" w:rsidRDefault="00294035"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xml:space="preserve">2. </w:t>
      </w:r>
      <w:r w:rsidRPr="0073282A">
        <w:rPr>
          <w:rFonts w:cstheme="minorHAnsi"/>
          <w:b/>
          <w:bCs/>
        </w:rPr>
        <w:t>Use of low-quality hospitals</w:t>
      </w:r>
      <w:r w:rsidRPr="0073282A">
        <w:rPr>
          <w:rFonts w:cstheme="minorHAnsi"/>
          <w:bCs/>
        </w:rPr>
        <w:t>. Patients of lower income, lower education, or unstable housing have been shown not to have equitable access to high quality facilities because such facilities are less likely to be found in geographic areas with large populations of poor patients</w:t>
      </w:r>
      <w:r w:rsidR="00BC2ACE" w:rsidRPr="0073282A">
        <w:rPr>
          <w:rFonts w:cstheme="minorHAnsi"/>
          <w:bCs/>
        </w:rPr>
        <w:t>. T</w:t>
      </w:r>
      <w:r w:rsidR="0075316D" w:rsidRPr="0073282A">
        <w:rPr>
          <w:rFonts w:cstheme="minorHAnsi"/>
          <w:bCs/>
        </w:rPr>
        <w:t>hus,</w:t>
      </w:r>
      <w:r w:rsidRPr="0073282A">
        <w:rPr>
          <w:rFonts w:cstheme="minorHAnsi"/>
          <w:bCs/>
        </w:rPr>
        <w:t xml:space="preserve"> patients with low income are more likely to be seen in lower quality hospitals, which can explain increased risk of mortality following hospitalization.</w:t>
      </w:r>
    </w:p>
    <w:p w14:paraId="5FF3EA61" w14:textId="3BC5EE32" w:rsidR="00294035" w:rsidRPr="0073282A" w:rsidRDefault="00294035"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xml:space="preserve">3. </w:t>
      </w:r>
      <w:r w:rsidRPr="0073282A">
        <w:rPr>
          <w:rFonts w:cstheme="minorHAnsi"/>
          <w:b/>
          <w:bCs/>
        </w:rPr>
        <w:t>Differential care within a hospital</w:t>
      </w:r>
      <w:r w:rsidRPr="0073282A">
        <w:rPr>
          <w:rFonts w:cstheme="minorHAnsi"/>
          <w:bCs/>
        </w:rPr>
        <w:t xml:space="preserve">. The third major pathway by which </w:t>
      </w:r>
      <w:r w:rsidR="00BD38BE" w:rsidRPr="0073282A">
        <w:rPr>
          <w:rFonts w:cstheme="minorHAnsi"/>
          <w:bCs/>
        </w:rPr>
        <w:t xml:space="preserve">social </w:t>
      </w:r>
      <w:r w:rsidR="00A401A3" w:rsidRPr="0073282A">
        <w:rPr>
          <w:rFonts w:cstheme="minorHAnsi"/>
          <w:bCs/>
        </w:rPr>
        <w:t>risk</w:t>
      </w:r>
      <w:r w:rsidR="00BD38BE" w:rsidRPr="0073282A">
        <w:rPr>
          <w:rFonts w:cstheme="minorHAnsi"/>
          <w:bCs/>
        </w:rPr>
        <w:t xml:space="preserve"> </w:t>
      </w:r>
      <w:r w:rsidRPr="0073282A">
        <w:rPr>
          <w:rFonts w:cstheme="minorHAnsi"/>
          <w:bCs/>
        </w:rPr>
        <w:t xml:space="preserve">factors may contribute to mortality risk is that patients may not receive equivalent care within a facility. </w:t>
      </w:r>
      <w:r w:rsidR="0070766E" w:rsidRPr="0073282A">
        <w:rPr>
          <w:rFonts w:cstheme="minorHAnsi"/>
          <w:bCs/>
        </w:rPr>
        <w:t>For example,</w:t>
      </w:r>
      <w:r w:rsidRPr="0073282A">
        <w:rPr>
          <w:rFonts w:cstheme="minorHAnsi"/>
          <w:bCs/>
        </w:rPr>
        <w:t xml:space="preserve"> patients with </w:t>
      </w:r>
      <w:r w:rsidR="00A401A3" w:rsidRPr="0073282A">
        <w:rPr>
          <w:rFonts w:cstheme="minorHAnsi"/>
          <w:bCs/>
        </w:rPr>
        <w:t xml:space="preserve">social </w:t>
      </w:r>
      <w:r w:rsidRPr="0073282A">
        <w:rPr>
          <w:rFonts w:cstheme="minorHAnsi"/>
          <w:bCs/>
        </w:rPr>
        <w:t>risk factors such as lower education may require differentiated care</w:t>
      </w:r>
      <w:r w:rsidR="000849A2" w:rsidRPr="0073282A">
        <w:rPr>
          <w:rFonts w:cstheme="minorHAnsi"/>
          <w:bCs/>
        </w:rPr>
        <w:t xml:space="preserve"> (</w:t>
      </w:r>
      <w:r w:rsidRPr="0073282A">
        <w:rPr>
          <w:rFonts w:cstheme="minorHAnsi"/>
          <w:bCs/>
        </w:rPr>
        <w:t>e.g. provision of lower literacy information – that they do not receive</w:t>
      </w:r>
      <w:r w:rsidR="000849A2" w:rsidRPr="0073282A">
        <w:rPr>
          <w:rFonts w:cstheme="minorHAnsi"/>
          <w:bCs/>
        </w:rPr>
        <w:t>)</w:t>
      </w:r>
      <w:r w:rsidRPr="0073282A">
        <w:rPr>
          <w:rFonts w:cstheme="minorHAnsi"/>
          <w:bCs/>
        </w:rPr>
        <w:t>.</w:t>
      </w:r>
      <w:r w:rsidRPr="0073282A" w:rsidDel="004C6183">
        <w:rPr>
          <w:rFonts w:cstheme="minorHAnsi"/>
          <w:bCs/>
        </w:rPr>
        <w:t xml:space="preserve"> </w:t>
      </w:r>
    </w:p>
    <w:p w14:paraId="2B737EA1" w14:textId="14EAA512" w:rsidR="00294035" w:rsidRPr="0073282A" w:rsidRDefault="00294035"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xml:space="preserve">4. </w:t>
      </w:r>
      <w:r w:rsidRPr="0073282A">
        <w:rPr>
          <w:rFonts w:cstheme="minorHAnsi"/>
          <w:b/>
          <w:bCs/>
        </w:rPr>
        <w:t xml:space="preserve">Influence of </w:t>
      </w:r>
      <w:r w:rsidR="00A401A3" w:rsidRPr="0073282A">
        <w:rPr>
          <w:rFonts w:cstheme="minorHAnsi"/>
          <w:b/>
          <w:bCs/>
        </w:rPr>
        <w:t xml:space="preserve">social risk factors </w:t>
      </w:r>
      <w:r w:rsidRPr="0073282A">
        <w:rPr>
          <w:rFonts w:cstheme="minorHAnsi"/>
          <w:b/>
          <w:bCs/>
        </w:rPr>
        <w:t xml:space="preserve">on </w:t>
      </w:r>
      <w:r w:rsidR="00A401A3" w:rsidRPr="0073282A">
        <w:rPr>
          <w:rFonts w:cstheme="minorHAnsi"/>
          <w:b/>
          <w:bCs/>
        </w:rPr>
        <w:t xml:space="preserve">mortality </w:t>
      </w:r>
      <w:r w:rsidRPr="0073282A">
        <w:rPr>
          <w:rFonts w:cstheme="minorHAnsi"/>
          <w:b/>
          <w:bCs/>
        </w:rPr>
        <w:t>risk outside of hospital quality and health status</w:t>
      </w:r>
      <w:r w:rsidRPr="0073282A">
        <w:rPr>
          <w:rFonts w:cstheme="minorHAnsi"/>
          <w:bCs/>
        </w:rPr>
        <w:t xml:space="preserve">. Some </w:t>
      </w:r>
      <w:r w:rsidR="00A401A3" w:rsidRPr="0073282A">
        <w:rPr>
          <w:rFonts w:cstheme="minorHAnsi"/>
          <w:bCs/>
        </w:rPr>
        <w:t xml:space="preserve">social </w:t>
      </w:r>
      <w:r w:rsidRPr="0073282A">
        <w:rPr>
          <w:rFonts w:cstheme="minorHAnsi"/>
          <w:bCs/>
        </w:rPr>
        <w:t>risk factors, such as income or wealth, may affect the likelihood of mortality without directly affecting health status at admission or the quality of care received during the hospital stay. For instance, while a hospital may make appropriate care decisions and provide tailored care and education, a lower-income patient may have a worse outcome post-discharge due to competing economic priorities or a lack of access to care outside of the hospital.</w:t>
      </w:r>
    </w:p>
    <w:p w14:paraId="08CDC14E" w14:textId="77777777" w:rsidR="00294035" w:rsidRPr="0073282A" w:rsidRDefault="00294035"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lastRenderedPageBreak/>
        <w:t xml:space="preserve">These proposed pathways are complex to distinguish analytically. They also have different implications on the decision to risk adjust or not. We, therefore, first assessed if there was evidence of a meaningful effect on the risk model to warrant efforts to distinguish among these pathways. </w:t>
      </w:r>
    </w:p>
    <w:p w14:paraId="587D8681" w14:textId="4E6CADB6" w:rsidR="00294035" w:rsidRPr="0073282A" w:rsidRDefault="00294035"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xml:space="preserve">Based on this model and the considerations outlined in Section 1.8, the following </w:t>
      </w:r>
      <w:r w:rsidR="00A401A3" w:rsidRPr="0073282A">
        <w:rPr>
          <w:rFonts w:cstheme="minorHAnsi"/>
          <w:bCs/>
        </w:rPr>
        <w:t xml:space="preserve">social risk </w:t>
      </w:r>
      <w:r w:rsidRPr="0073282A">
        <w:rPr>
          <w:rFonts w:cstheme="minorHAnsi"/>
          <w:bCs/>
        </w:rPr>
        <w:t>variables were considered:</w:t>
      </w:r>
    </w:p>
    <w:p w14:paraId="629DF367" w14:textId="77777777" w:rsidR="00294035" w:rsidRPr="0073282A" w:rsidRDefault="00294035"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Dual eligible status</w:t>
      </w:r>
    </w:p>
    <w:p w14:paraId="64A2F612" w14:textId="676B15CC" w:rsidR="004B1DFD" w:rsidRPr="0073282A" w:rsidRDefault="00294035"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AHRQ SES index</w:t>
      </w:r>
    </w:p>
    <w:p w14:paraId="3CA173C6" w14:textId="378EE886" w:rsidR="000E4F8F" w:rsidRPr="0073282A" w:rsidRDefault="004B1DFD" w:rsidP="00D14E62">
      <w:pPr>
        <w:pBdr>
          <w:top w:val="single" w:sz="4" w:space="1" w:color="auto"/>
          <w:left w:val="single" w:sz="4" w:space="1" w:color="auto"/>
          <w:bottom w:val="single" w:sz="4" w:space="1" w:color="auto"/>
          <w:right w:val="single" w:sz="4" w:space="1" w:color="auto"/>
        </w:pBdr>
        <w:spacing w:before="120" w:after="120"/>
        <w:rPr>
          <w:rFonts w:cstheme="minorHAnsi"/>
          <w:bCs/>
          <w:u w:val="single"/>
        </w:rPr>
      </w:pPr>
      <w:r w:rsidRPr="0073282A">
        <w:rPr>
          <w:rFonts w:cstheme="minorHAnsi"/>
          <w:bCs/>
        </w:rPr>
        <w:t xml:space="preserve">We assessed the relationship between the SES variables with the outcome and examined the incremental effect in a multivariable model. For this measure, we also examined the extent to which the addition of any one of these variables improved model performance or changed hospital results. Given no meaningful improvement in the risk-model or change in performance scores we did not further seek to distinguish the causal pathways for these measures.  </w:t>
      </w:r>
    </w:p>
    <w:p w14:paraId="7F7D5547" w14:textId="4FAFC8ED" w:rsidR="00E402C3" w:rsidRPr="0073282A" w:rsidRDefault="00E402C3" w:rsidP="00D14E62">
      <w:pPr>
        <w:pBdr>
          <w:top w:val="single" w:sz="4" w:space="1" w:color="auto"/>
          <w:left w:val="single" w:sz="4" w:space="1" w:color="auto"/>
          <w:bottom w:val="single" w:sz="4" w:space="1" w:color="auto"/>
          <w:right w:val="single" w:sz="4" w:space="1" w:color="auto"/>
        </w:pBdr>
        <w:spacing w:after="120"/>
        <w:outlineLvl w:val="0"/>
        <w:rPr>
          <w:rFonts w:cstheme="minorHAnsi"/>
          <w:bCs/>
          <w:u w:val="single"/>
        </w:rPr>
      </w:pPr>
      <w:bookmarkStart w:id="28" w:name="_Hlk501029095"/>
      <w:bookmarkEnd w:id="27"/>
      <w:r w:rsidRPr="0073282A">
        <w:rPr>
          <w:rFonts w:cstheme="minorHAnsi"/>
          <w:bCs/>
          <w:u w:val="single"/>
        </w:rPr>
        <w:t>References</w:t>
      </w:r>
    </w:p>
    <w:p w14:paraId="34A4BF4D" w14:textId="77777777" w:rsidR="004B1DFD" w:rsidRPr="0073282A" w:rsidRDefault="004B1DFD"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xml:space="preserve">Blum, A. B., N. N. Egorova, E. A. Sosunov, A. C. Gelijns, E. DuPree, A. J. Moskowitz, A. D. Federman, D. D. Ascheim and S. Keyhani. "Impact of Socioeconomic Status Measures on Hospital Profiling in New York City." </w:t>
      </w:r>
      <w:r w:rsidRPr="0073282A">
        <w:rPr>
          <w:rFonts w:cstheme="minorHAnsi"/>
          <w:bCs/>
          <w:i/>
        </w:rPr>
        <w:t>Circ Cardiovasc Qual Outcomes</w:t>
      </w:r>
      <w:r w:rsidRPr="0073282A">
        <w:rPr>
          <w:rFonts w:cstheme="minorHAnsi"/>
          <w:bCs/>
        </w:rPr>
        <w:t xml:space="preserve"> 7, no. 3 (2014): 391-7.</w:t>
      </w:r>
    </w:p>
    <w:p w14:paraId="2F4BB97A" w14:textId="3E916D9B" w:rsidR="004B1DFD" w:rsidRPr="0073282A" w:rsidRDefault="004B1DFD"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xml:space="preserve">Calvillo-King L, Arnold D, Eubank KJ, et al. Impact of social factors on risk of readmission or mortality in pneumonia and heart failure: systematic review. </w:t>
      </w:r>
      <w:r w:rsidRPr="0073282A">
        <w:rPr>
          <w:rFonts w:cstheme="minorHAnsi"/>
          <w:bCs/>
          <w:i/>
          <w:iCs/>
        </w:rPr>
        <w:t xml:space="preserve">Journal of general internal medicine. </w:t>
      </w:r>
      <w:r w:rsidRPr="0073282A">
        <w:rPr>
          <w:rFonts w:cstheme="minorHAnsi"/>
          <w:bCs/>
        </w:rPr>
        <w:t>2013;28(2):269-282.</w:t>
      </w:r>
    </w:p>
    <w:p w14:paraId="2E4D1118" w14:textId="52F4AD20" w:rsidR="00FC1FE1" w:rsidRPr="0073282A" w:rsidRDefault="00FC1FE1"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xml:space="preserve">Chang W-C, Kaul P, Westerhout C M, Graham M. M., Armstrong Paul W., </w:t>
      </w:r>
      <w:r w:rsidR="001E7C0A" w:rsidRPr="0073282A">
        <w:rPr>
          <w:rFonts w:cstheme="minorHAnsi"/>
          <w:bCs/>
        </w:rPr>
        <w:t>“</w:t>
      </w:r>
      <w:r w:rsidRPr="0073282A">
        <w:rPr>
          <w:rFonts w:cstheme="minorHAnsi"/>
          <w:bCs/>
        </w:rPr>
        <w:t>Effects of Socioeconomic Status on Mortality after Acute Myocardial Infarction.</w:t>
      </w:r>
      <w:r w:rsidR="001E7C0A" w:rsidRPr="0073282A">
        <w:rPr>
          <w:rFonts w:cstheme="minorHAnsi"/>
          <w:bCs/>
        </w:rPr>
        <w:t>”</w:t>
      </w:r>
      <w:r w:rsidRPr="0073282A">
        <w:rPr>
          <w:rFonts w:cstheme="minorHAnsi"/>
          <w:bCs/>
        </w:rPr>
        <w:t xml:space="preserve"> The American Journal of Medicine. 2007; 120(1): 33-39</w:t>
      </w:r>
    </w:p>
    <w:p w14:paraId="225595A7" w14:textId="77777777" w:rsidR="004B1DFD" w:rsidRPr="0073282A" w:rsidRDefault="004B1DFD"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Eapen ZJ, McCoy LA, Fonarow GC, Yancy CW, Miranda ML, Peterson ED, Califf RM, Hernandez AF. Utility of socioeconomic status in predicting 30-day outcomes after heart failure hospitalization. Circ Heart Fail. May 2015; 8(3):473-80.</w:t>
      </w:r>
    </w:p>
    <w:p w14:paraId="5E05703E" w14:textId="0C3627F8" w:rsidR="004B1DFD" w:rsidRPr="0073282A" w:rsidRDefault="004B1DFD"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xml:space="preserve">Foraker, R. E., K. M. Rose, C. M. Suchindran, P. P. Chang, A. M. McNeill and W. D. Rosamond. "Socioeconomic Status, Medicaid Coverage, Clinical Comorbidity, and Rehospitalization or Death after an Incident Heart Failure Hospitalization: Atherosclerosis Risk in Communities Cohort (1987 to 2004)." </w:t>
      </w:r>
      <w:r w:rsidRPr="0073282A">
        <w:rPr>
          <w:rFonts w:cstheme="minorHAnsi"/>
          <w:bCs/>
          <w:i/>
        </w:rPr>
        <w:t>Circ Heart Fail</w:t>
      </w:r>
      <w:r w:rsidRPr="0073282A">
        <w:rPr>
          <w:rFonts w:cstheme="minorHAnsi"/>
          <w:bCs/>
        </w:rPr>
        <w:t xml:space="preserve"> 4, no. 3 (2011): 308-16.</w:t>
      </w:r>
    </w:p>
    <w:p w14:paraId="54EF5ABE" w14:textId="15EC085A" w:rsidR="00A87B08" w:rsidRPr="0073282A" w:rsidRDefault="006427B7"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Gopaldas R R, Chu D., “Predictors of surgical mortality and discharge status after coronary artery bypass grafting in patients 80 years and older.” The American Journal of Surgery. 2009; 198(5): 633-638</w:t>
      </w:r>
    </w:p>
    <w:p w14:paraId="71E86A73" w14:textId="77777777" w:rsidR="00B85EB7" w:rsidRPr="0073282A" w:rsidRDefault="004B1DFD"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Gilman M, Adams EK, Hockenberry JM, Wilson IB, Milstein AS, Becker ER. California safety-net hospitals likely to be penalized by ACA value, readmission, and meaningful-use programs. Health Aff</w:t>
      </w:r>
      <w:r w:rsidR="00B85EB7" w:rsidRPr="0073282A">
        <w:rPr>
          <w:rFonts w:cstheme="minorHAnsi"/>
          <w:bCs/>
        </w:rPr>
        <w:t>airs (Millwood). Aug 2014; 33(8):1314-22.</w:t>
      </w:r>
    </w:p>
    <w:p w14:paraId="28C0872B" w14:textId="77777777" w:rsidR="00B85EB7" w:rsidRPr="0073282A" w:rsidRDefault="00B85EB7"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Joynt KE, Jha AK. Characteristics of hospitals receiving penalties under the Hospital Readmissions Reduction Program. JAMA. Jan 23 2013; 309(4):342-3.</w:t>
      </w:r>
    </w:p>
    <w:p w14:paraId="2831F466" w14:textId="50725B7D" w:rsidR="00B85EB7" w:rsidRPr="0073282A" w:rsidRDefault="00B85EB7"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lastRenderedPageBreak/>
        <w:t>Kind, A. J., S. Jencks, J. Brock, M. Yu, C. Bartels, W. Ehlenbach, C. Greenberg and M. Smith. "Neighborhood Socioeconomic Disadvantage and 30-Day Rehospitalization: A Retrospective Cohort Study." Ann Intern Med 161, no. 11 (2014): 765-74.</w:t>
      </w:r>
    </w:p>
    <w:p w14:paraId="4E2CBA6D" w14:textId="0EA57143" w:rsidR="001E7C0A" w:rsidRPr="0073282A" w:rsidRDefault="001E7C0A"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Kim C, Diez</w:t>
      </w:r>
      <w:r w:rsidR="006A3BAB" w:rsidRPr="0073282A">
        <w:rPr>
          <w:rFonts w:cstheme="minorHAnsi"/>
          <w:bCs/>
        </w:rPr>
        <w:t xml:space="preserve"> A V,</w:t>
      </w:r>
      <w:r w:rsidRPr="0073282A">
        <w:rPr>
          <w:rFonts w:cstheme="minorHAnsi"/>
          <w:bCs/>
        </w:rPr>
        <w:t xml:space="preserve"> Diez Roux T, Hofer P, Nallamothu B K, Bernstein </w:t>
      </w:r>
      <w:r w:rsidR="00E974EE" w:rsidRPr="0073282A">
        <w:rPr>
          <w:rFonts w:cstheme="minorHAnsi"/>
          <w:bCs/>
        </w:rPr>
        <w:t>S</w:t>
      </w:r>
      <w:r w:rsidRPr="0073282A">
        <w:rPr>
          <w:rFonts w:cstheme="minorHAnsi"/>
          <w:bCs/>
        </w:rPr>
        <w:t xml:space="preserve"> J, Rogers M, “Area socioeconomic status and mortality after coronary artery bypass graft surgery: The role of hospital volume.” </w:t>
      </w:r>
      <w:r w:rsidR="00BD7210" w:rsidRPr="0073282A">
        <w:rPr>
          <w:rFonts w:cstheme="minorHAnsi"/>
          <w:bCs/>
        </w:rPr>
        <w:t>Clinical Investigation Outcomes, Health Policy, and Managed Care. 2007; 154(2): 385-390</w:t>
      </w:r>
    </w:p>
    <w:p w14:paraId="1F79A614" w14:textId="51731BE9" w:rsidR="00B85EB7" w:rsidRPr="0073282A" w:rsidRDefault="00B85EB7"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Krumholz HM, Brindis RG, Brush JE, et al. 2006.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113: 456-462.</w:t>
      </w:r>
    </w:p>
    <w:p w14:paraId="5317D587" w14:textId="0F5CC7F3" w:rsidR="00E974EE" w:rsidRPr="0073282A" w:rsidRDefault="00E974EE"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La</w:t>
      </w:r>
      <w:r w:rsidR="001D6080" w:rsidRPr="0073282A">
        <w:rPr>
          <w:rFonts w:cstheme="minorHAnsi"/>
          <w:bCs/>
        </w:rPr>
        <w:t>P</w:t>
      </w:r>
      <w:r w:rsidRPr="0073282A">
        <w:rPr>
          <w:rFonts w:cstheme="minorHAnsi"/>
          <w:bCs/>
        </w:rPr>
        <w:t>ar</w:t>
      </w:r>
      <w:r w:rsidR="001D6080" w:rsidRPr="0073282A">
        <w:rPr>
          <w:rFonts w:cstheme="minorHAnsi"/>
          <w:bCs/>
        </w:rPr>
        <w:t xml:space="preserve"> D J, Bhamidipati C M, et al. “</w:t>
      </w:r>
      <w:r w:rsidRPr="0073282A">
        <w:rPr>
          <w:rFonts w:cstheme="minorHAnsi"/>
          <w:bCs/>
        </w:rPr>
        <w:t>Primary Payer Status Affects Mortality for Major Surgical Operations</w:t>
      </w:r>
      <w:r w:rsidR="001D6080" w:rsidRPr="0073282A">
        <w:rPr>
          <w:rFonts w:cstheme="minorHAnsi"/>
          <w:bCs/>
        </w:rPr>
        <w:t xml:space="preserve">.” </w:t>
      </w:r>
      <w:r w:rsidR="007D7E5E" w:rsidRPr="0073282A">
        <w:rPr>
          <w:rFonts w:cstheme="minorHAnsi"/>
          <w:bCs/>
        </w:rPr>
        <w:t>Annals of Surgery.</w:t>
      </w:r>
      <w:r w:rsidR="001D6080" w:rsidRPr="0073282A">
        <w:rPr>
          <w:rFonts w:cstheme="minorHAnsi"/>
          <w:bCs/>
        </w:rPr>
        <w:t xml:space="preserve"> 2010</w:t>
      </w:r>
      <w:r w:rsidR="007D7E5E" w:rsidRPr="0073282A">
        <w:rPr>
          <w:rFonts w:cstheme="minorHAnsi"/>
          <w:bCs/>
        </w:rPr>
        <w:t xml:space="preserve">; </w:t>
      </w:r>
      <w:r w:rsidR="00681D9A" w:rsidRPr="0073282A">
        <w:rPr>
          <w:rFonts w:cstheme="minorHAnsi"/>
          <w:bCs/>
        </w:rPr>
        <w:t>252(3): 544-551</w:t>
      </w:r>
      <w:r w:rsidR="001D6080" w:rsidRPr="0073282A">
        <w:rPr>
          <w:rFonts w:cstheme="minorHAnsi"/>
          <w:bCs/>
        </w:rPr>
        <w:t xml:space="preserve"> </w:t>
      </w:r>
    </w:p>
    <w:p w14:paraId="52E9EC25" w14:textId="23728844" w:rsidR="00A87B08" w:rsidRPr="0073282A" w:rsidRDefault="00A87B08"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LaPar D J,  Stukenborg G J, et al “Primary Payer Status Is Associated With Mortality and Resource Utilization for Coronary Artery Bypass Grafting.” Circulation. 2012; 126:132-139</w:t>
      </w:r>
    </w:p>
    <w:p w14:paraId="41B55709" w14:textId="0842EA42" w:rsidR="00B85EB7" w:rsidRPr="0073282A" w:rsidRDefault="00B85EB7"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Normand S-LT, Shahian DM. 2007. Statistical and Clinical Aspects of Hospital Outcomes Profiling. Stat Sci 22 (2): 206-226. Reames BN, Birkmeyer NJ, Dimick JB, Ghaferi AA. Socioeconomic disparities in mortality after cancer surgery: failure to rescue. JAMA surgery 2014; 149:475-81.</w:t>
      </w:r>
    </w:p>
    <w:p w14:paraId="64D8C9FC" w14:textId="77777777" w:rsidR="00B85EB7" w:rsidRPr="0073282A" w:rsidRDefault="00B85EB7" w:rsidP="00D14E62">
      <w:pPr>
        <w:pBdr>
          <w:top w:val="single" w:sz="4" w:space="1" w:color="auto"/>
          <w:left w:val="single" w:sz="4" w:space="1" w:color="auto"/>
          <w:bottom w:val="single" w:sz="4" w:space="1" w:color="auto"/>
          <w:right w:val="single" w:sz="4" w:space="1" w:color="auto"/>
        </w:pBdr>
        <w:spacing w:before="120" w:after="120"/>
        <w:rPr>
          <w:rFonts w:cstheme="minorHAnsi"/>
          <w:bCs/>
        </w:rPr>
      </w:pPr>
      <w:r w:rsidRPr="0073282A">
        <w:rPr>
          <w:rFonts w:cstheme="minorHAnsi"/>
          <w:bCs/>
        </w:rPr>
        <w:t xml:space="preserve">Regalbuto R, Maurer MS, Chapel D, Mendez J, Shaffer JA. Joint Commission requirements for discharge instructions in patients with heart failure: is understanding important for preventing readmissions? </w:t>
      </w:r>
      <w:r w:rsidRPr="0073282A">
        <w:rPr>
          <w:rFonts w:cstheme="minorHAnsi"/>
          <w:bCs/>
          <w:i/>
          <w:iCs/>
        </w:rPr>
        <w:t xml:space="preserve">Journal of cardiac failure. </w:t>
      </w:r>
      <w:r w:rsidRPr="0073282A">
        <w:rPr>
          <w:rFonts w:cstheme="minorHAnsi"/>
          <w:bCs/>
        </w:rPr>
        <w:t>2014;20(9):641-649.</w:t>
      </w:r>
    </w:p>
    <w:bookmarkEnd w:id="28"/>
    <w:p w14:paraId="61A95209" w14:textId="0DCFE8D7" w:rsidR="004B1DFD" w:rsidRPr="0073282A" w:rsidRDefault="004B1DFD" w:rsidP="00E402C3">
      <w:pPr>
        <w:rPr>
          <w:rFonts w:cstheme="minorHAnsi"/>
          <w:bCs/>
          <w:u w:val="single"/>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0CD92DAA" w:rsidR="00275563" w:rsidRPr="005232D6" w:rsidRDefault="00A15FB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Content>
          <w:r w:rsidR="00DD652E">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sidRPr="00933BC6">
        <w:rPr>
          <w:rFonts w:cstheme="minorHAnsi"/>
          <w:b/>
          <w:bCs/>
          <w:highlight w:val="yellow"/>
        </w:rPr>
        <w:t>Published l</w:t>
      </w:r>
      <w:r w:rsidR="00275563" w:rsidRPr="00933BC6">
        <w:rPr>
          <w:rFonts w:cstheme="minorHAnsi"/>
          <w:b/>
          <w:bCs/>
          <w:highlight w:val="yellow"/>
        </w:rPr>
        <w:t>iterature</w:t>
      </w:r>
    </w:p>
    <w:p w14:paraId="7E969A3E" w14:textId="6BA683BB" w:rsidR="00275563" w:rsidRPr="005232D6" w:rsidRDefault="00A15FB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A15FB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3D453E1A"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7C369C61" w14:textId="4DEB0201" w:rsidR="00C60519" w:rsidRPr="0073282A" w:rsidRDefault="00C60519" w:rsidP="00C60519">
      <w:pPr>
        <w:autoSpaceDE w:val="0"/>
        <w:autoSpaceDN w:val="0"/>
        <w:adjustRightInd w:val="0"/>
        <w:spacing w:after="0" w:line="240" w:lineRule="auto"/>
        <w:rPr>
          <w:rFonts w:cstheme="minorHAnsi"/>
          <w:bCs/>
        </w:rPr>
      </w:pPr>
      <w:r w:rsidRPr="0073282A">
        <w:rPr>
          <w:rFonts w:cstheme="minorHAnsi"/>
          <w:bCs/>
        </w:rPr>
        <w:t xml:space="preserve">Below is a table showing the final variables in the model with associated odds ratios (OR) </w:t>
      </w:r>
      <w:r w:rsidR="00E11021" w:rsidRPr="0073282A">
        <w:rPr>
          <w:rFonts w:cstheme="minorHAnsi"/>
          <w:bCs/>
        </w:rPr>
        <w:t xml:space="preserve">and confidence intervals (CI) </w:t>
      </w:r>
      <w:r w:rsidRPr="0073282A">
        <w:rPr>
          <w:rFonts w:cstheme="minorHAnsi"/>
          <w:bCs/>
        </w:rPr>
        <w:t>(</w:t>
      </w:r>
      <w:r w:rsidRPr="0073282A">
        <w:rPr>
          <w:rFonts w:cstheme="minorHAnsi"/>
          <w:b/>
          <w:bCs/>
        </w:rPr>
        <w:t>Dataset 1</w:t>
      </w:r>
      <w:r w:rsidRPr="0073282A">
        <w:rPr>
          <w:rFonts w:cstheme="minorHAnsi"/>
          <w:bCs/>
        </w:rPr>
        <w:t>).</w:t>
      </w:r>
    </w:p>
    <w:p w14:paraId="47ADE591" w14:textId="77777777" w:rsidR="00C077B8" w:rsidRPr="0073282A" w:rsidRDefault="00C077B8" w:rsidP="00C60519">
      <w:pPr>
        <w:autoSpaceDE w:val="0"/>
        <w:autoSpaceDN w:val="0"/>
        <w:adjustRightInd w:val="0"/>
        <w:spacing w:after="0" w:line="240" w:lineRule="auto"/>
        <w:rPr>
          <w:rFonts w:cstheme="minorHAnsi"/>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41"/>
        <w:gridCol w:w="2409"/>
      </w:tblGrid>
      <w:tr w:rsidR="00B8401E" w:rsidRPr="0073282A" w14:paraId="33603857" w14:textId="77777777" w:rsidTr="0052447C">
        <w:trPr>
          <w:cantSplit/>
          <w:trHeight w:val="618"/>
          <w:tblHeader/>
          <w:jc w:val="center"/>
        </w:trPr>
        <w:tc>
          <w:tcPr>
            <w:tcW w:w="3712" w:type="pct"/>
            <w:shd w:val="clear" w:color="auto" w:fill="8DB3E2" w:themeFill="text2" w:themeFillTint="66"/>
            <w:vAlign w:val="center"/>
          </w:tcPr>
          <w:p w14:paraId="6B3B6358" w14:textId="77777777" w:rsidR="00C077B8" w:rsidRPr="0073282A" w:rsidRDefault="00C077B8" w:rsidP="00EF574A">
            <w:pPr>
              <w:spacing w:after="120" w:line="240" w:lineRule="auto"/>
              <w:jc w:val="center"/>
              <w:rPr>
                <w:rFonts w:cstheme="minorHAnsi"/>
                <w:b/>
                <w:sz w:val="20"/>
                <w:szCs w:val="20"/>
              </w:rPr>
            </w:pPr>
            <w:r w:rsidRPr="0073282A">
              <w:rPr>
                <w:rFonts w:cstheme="minorHAnsi"/>
                <w:b/>
                <w:sz w:val="20"/>
                <w:szCs w:val="20"/>
              </w:rPr>
              <w:t>Variable</w:t>
            </w:r>
          </w:p>
        </w:tc>
        <w:tc>
          <w:tcPr>
            <w:tcW w:w="1288" w:type="pct"/>
            <w:shd w:val="clear" w:color="auto" w:fill="8DB3E2" w:themeFill="text2" w:themeFillTint="66"/>
            <w:vAlign w:val="center"/>
          </w:tcPr>
          <w:p w14:paraId="00C41569" w14:textId="77777777" w:rsidR="00C077B8" w:rsidRPr="0073282A" w:rsidRDefault="00C077B8" w:rsidP="00EF574A">
            <w:pPr>
              <w:spacing w:after="120" w:line="240" w:lineRule="auto"/>
              <w:jc w:val="center"/>
              <w:rPr>
                <w:rFonts w:cstheme="minorHAnsi"/>
                <w:b/>
                <w:sz w:val="20"/>
                <w:szCs w:val="20"/>
              </w:rPr>
            </w:pPr>
            <w:r w:rsidRPr="0073282A">
              <w:rPr>
                <w:rFonts w:cstheme="minorHAnsi"/>
                <w:b/>
                <w:sz w:val="20"/>
                <w:szCs w:val="20"/>
              </w:rPr>
              <w:t>07/2013-06/2016</w:t>
            </w:r>
          </w:p>
          <w:p w14:paraId="7D76030E" w14:textId="77777777" w:rsidR="00C077B8" w:rsidRPr="0073282A" w:rsidRDefault="00C077B8" w:rsidP="00EF574A">
            <w:pPr>
              <w:spacing w:after="120" w:line="240" w:lineRule="auto"/>
              <w:jc w:val="center"/>
              <w:rPr>
                <w:rFonts w:cstheme="minorHAnsi"/>
                <w:b/>
                <w:sz w:val="20"/>
                <w:szCs w:val="20"/>
              </w:rPr>
            </w:pPr>
            <w:r w:rsidRPr="0073282A">
              <w:rPr>
                <w:rFonts w:cstheme="minorHAnsi"/>
                <w:b/>
                <w:sz w:val="20"/>
                <w:szCs w:val="20"/>
              </w:rPr>
              <w:t>OR (95% CI)</w:t>
            </w:r>
          </w:p>
        </w:tc>
      </w:tr>
      <w:tr w:rsidR="00B8401E" w:rsidRPr="0073282A" w14:paraId="54F3DF4B" w14:textId="77777777" w:rsidTr="00EF574A">
        <w:trPr>
          <w:cantSplit/>
          <w:trHeight w:val="305"/>
          <w:jc w:val="center"/>
        </w:trPr>
        <w:tc>
          <w:tcPr>
            <w:tcW w:w="3712" w:type="pct"/>
          </w:tcPr>
          <w:p w14:paraId="0D5E43B1" w14:textId="77777777" w:rsidR="00C077B8" w:rsidRPr="0073282A" w:rsidRDefault="00C077B8" w:rsidP="00EF574A">
            <w:pPr>
              <w:spacing w:after="120" w:line="240" w:lineRule="auto"/>
              <w:rPr>
                <w:rFonts w:cstheme="minorHAnsi"/>
                <w:sz w:val="20"/>
                <w:szCs w:val="20"/>
              </w:rPr>
            </w:pPr>
            <w:r w:rsidRPr="0073282A">
              <w:rPr>
                <w:rFonts w:cstheme="minorHAnsi"/>
                <w:sz w:val="20"/>
                <w:szCs w:val="20"/>
              </w:rPr>
              <w:t>Age minus 65 (years above 65, continuous)</w:t>
            </w:r>
          </w:p>
        </w:tc>
        <w:tc>
          <w:tcPr>
            <w:tcW w:w="1288" w:type="pct"/>
            <w:shd w:val="clear" w:color="auto" w:fill="FFFFFF" w:themeFill="background1"/>
            <w:vAlign w:val="center"/>
          </w:tcPr>
          <w:p w14:paraId="248D1F3B" w14:textId="77777777" w:rsidR="00C077B8" w:rsidRPr="0073282A" w:rsidRDefault="00C077B8" w:rsidP="00EF574A">
            <w:pPr>
              <w:spacing w:after="120" w:line="240" w:lineRule="auto"/>
              <w:jc w:val="center"/>
              <w:rPr>
                <w:sz w:val="20"/>
                <w:szCs w:val="20"/>
              </w:rPr>
            </w:pPr>
            <w:r w:rsidRPr="0073282A">
              <w:rPr>
                <w:sz w:val="20"/>
                <w:szCs w:val="20"/>
              </w:rPr>
              <w:t>1.06 (1.06 - 1.07)</w:t>
            </w:r>
          </w:p>
        </w:tc>
      </w:tr>
      <w:tr w:rsidR="00B8401E" w:rsidRPr="0073282A" w14:paraId="3FCA97D5" w14:textId="77777777" w:rsidTr="00B8401E">
        <w:trPr>
          <w:cantSplit/>
          <w:jc w:val="center"/>
        </w:trPr>
        <w:tc>
          <w:tcPr>
            <w:tcW w:w="3712" w:type="pct"/>
          </w:tcPr>
          <w:p w14:paraId="2ACA1750" w14:textId="77777777" w:rsidR="00C077B8" w:rsidRPr="0073282A" w:rsidRDefault="00C077B8" w:rsidP="00EF574A">
            <w:pPr>
              <w:spacing w:after="120" w:line="240" w:lineRule="auto"/>
              <w:rPr>
                <w:rFonts w:cstheme="minorHAnsi"/>
                <w:sz w:val="20"/>
                <w:szCs w:val="20"/>
              </w:rPr>
            </w:pPr>
            <w:r w:rsidRPr="0073282A">
              <w:rPr>
                <w:rFonts w:cstheme="minorHAnsi"/>
                <w:sz w:val="20"/>
                <w:szCs w:val="20"/>
              </w:rPr>
              <w:t xml:space="preserve">Male </w:t>
            </w:r>
          </w:p>
        </w:tc>
        <w:tc>
          <w:tcPr>
            <w:tcW w:w="1288" w:type="pct"/>
            <w:shd w:val="clear" w:color="auto" w:fill="FFFFFF" w:themeFill="background1"/>
            <w:vAlign w:val="center"/>
          </w:tcPr>
          <w:p w14:paraId="48535401" w14:textId="77777777" w:rsidR="00C077B8" w:rsidRPr="0073282A" w:rsidRDefault="00C077B8" w:rsidP="00EF574A">
            <w:pPr>
              <w:spacing w:after="120" w:line="240" w:lineRule="auto"/>
              <w:jc w:val="center"/>
              <w:rPr>
                <w:sz w:val="20"/>
                <w:szCs w:val="20"/>
              </w:rPr>
            </w:pPr>
            <w:r w:rsidRPr="0073282A">
              <w:rPr>
                <w:sz w:val="20"/>
                <w:szCs w:val="20"/>
              </w:rPr>
              <w:t>0.69 (0.64 - 0.74)</w:t>
            </w:r>
          </w:p>
        </w:tc>
      </w:tr>
      <w:tr w:rsidR="00B8401E" w:rsidRPr="0073282A" w14:paraId="64D1ADB9" w14:textId="77777777" w:rsidTr="00B8401E">
        <w:trPr>
          <w:cantSplit/>
          <w:jc w:val="center"/>
        </w:trPr>
        <w:tc>
          <w:tcPr>
            <w:tcW w:w="3712" w:type="pct"/>
          </w:tcPr>
          <w:p w14:paraId="5A2FAEAE" w14:textId="77777777" w:rsidR="00C077B8" w:rsidRPr="0073282A" w:rsidRDefault="00C077B8" w:rsidP="00EF574A">
            <w:pPr>
              <w:spacing w:after="120" w:line="240" w:lineRule="auto"/>
              <w:rPr>
                <w:rFonts w:cstheme="minorHAnsi"/>
                <w:sz w:val="20"/>
                <w:szCs w:val="20"/>
              </w:rPr>
            </w:pPr>
            <w:r w:rsidRPr="0073282A">
              <w:rPr>
                <w:rFonts w:ascii="Calibri" w:hAnsi="Calibri"/>
                <w:sz w:val="20"/>
                <w:szCs w:val="20"/>
              </w:rPr>
              <w:t>Cardiogenic shock</w:t>
            </w:r>
          </w:p>
        </w:tc>
        <w:tc>
          <w:tcPr>
            <w:tcW w:w="1288" w:type="pct"/>
            <w:shd w:val="clear" w:color="auto" w:fill="FFFFFF" w:themeFill="background1"/>
            <w:vAlign w:val="center"/>
          </w:tcPr>
          <w:p w14:paraId="4CF4C260" w14:textId="77777777" w:rsidR="00C077B8" w:rsidRPr="0073282A" w:rsidRDefault="00C077B8" w:rsidP="00EF574A">
            <w:pPr>
              <w:spacing w:after="120" w:line="240" w:lineRule="auto"/>
              <w:jc w:val="center"/>
              <w:rPr>
                <w:sz w:val="20"/>
                <w:szCs w:val="20"/>
              </w:rPr>
            </w:pPr>
            <w:r w:rsidRPr="0073282A">
              <w:rPr>
                <w:sz w:val="20"/>
                <w:szCs w:val="20"/>
              </w:rPr>
              <w:t>7.20 (6.68 - 7.75)</w:t>
            </w:r>
          </w:p>
        </w:tc>
      </w:tr>
      <w:tr w:rsidR="00B8401E" w:rsidRPr="0073282A" w14:paraId="781B7D94" w14:textId="77777777" w:rsidTr="00B8401E">
        <w:trPr>
          <w:cantSplit/>
          <w:jc w:val="center"/>
        </w:trPr>
        <w:tc>
          <w:tcPr>
            <w:tcW w:w="3712" w:type="pct"/>
          </w:tcPr>
          <w:p w14:paraId="5B026BAC" w14:textId="77777777" w:rsidR="00C077B8" w:rsidRPr="0073282A" w:rsidRDefault="00C077B8" w:rsidP="00EF574A">
            <w:pPr>
              <w:spacing w:after="120" w:line="240" w:lineRule="auto"/>
              <w:rPr>
                <w:rFonts w:cstheme="minorHAnsi"/>
                <w:sz w:val="20"/>
                <w:szCs w:val="20"/>
              </w:rPr>
            </w:pPr>
            <w:r w:rsidRPr="0073282A">
              <w:rPr>
                <w:rFonts w:ascii="Calibri" w:hAnsi="Calibri"/>
                <w:sz w:val="20"/>
                <w:szCs w:val="20"/>
              </w:rPr>
              <w:t>Coronary atherosclerosis</w:t>
            </w:r>
          </w:p>
        </w:tc>
        <w:tc>
          <w:tcPr>
            <w:tcW w:w="1288" w:type="pct"/>
            <w:shd w:val="clear" w:color="auto" w:fill="FFFFFF" w:themeFill="background1"/>
            <w:vAlign w:val="center"/>
          </w:tcPr>
          <w:p w14:paraId="6D2323A6" w14:textId="77777777" w:rsidR="00C077B8" w:rsidRPr="0073282A" w:rsidRDefault="00C077B8" w:rsidP="00EF574A">
            <w:pPr>
              <w:spacing w:after="120" w:line="240" w:lineRule="auto"/>
              <w:jc w:val="center"/>
              <w:rPr>
                <w:sz w:val="20"/>
                <w:szCs w:val="20"/>
              </w:rPr>
            </w:pPr>
            <w:r w:rsidRPr="0073282A">
              <w:rPr>
                <w:sz w:val="20"/>
                <w:szCs w:val="20"/>
              </w:rPr>
              <w:t>1.18 (1.06 - 1.33)</w:t>
            </w:r>
          </w:p>
        </w:tc>
      </w:tr>
      <w:tr w:rsidR="00B8401E" w:rsidRPr="0073282A" w14:paraId="1523D8C7" w14:textId="77777777" w:rsidTr="00B8401E">
        <w:trPr>
          <w:cantSplit/>
          <w:jc w:val="center"/>
        </w:trPr>
        <w:tc>
          <w:tcPr>
            <w:tcW w:w="3712" w:type="pct"/>
          </w:tcPr>
          <w:p w14:paraId="51AD94B8" w14:textId="77777777" w:rsidR="00C077B8" w:rsidRPr="0073282A" w:rsidRDefault="00C077B8" w:rsidP="00EF574A">
            <w:pPr>
              <w:spacing w:after="120" w:line="240" w:lineRule="auto"/>
              <w:rPr>
                <w:sz w:val="20"/>
                <w:szCs w:val="20"/>
              </w:rPr>
            </w:pPr>
            <w:r w:rsidRPr="0073282A">
              <w:rPr>
                <w:rFonts w:ascii="Calibri" w:hAnsi="Calibri"/>
                <w:sz w:val="20"/>
                <w:szCs w:val="20"/>
              </w:rPr>
              <w:lastRenderedPageBreak/>
              <w:t>History of coronary artery bypass graft (CABG) or valve surgery</w:t>
            </w:r>
          </w:p>
        </w:tc>
        <w:tc>
          <w:tcPr>
            <w:tcW w:w="1288" w:type="pct"/>
            <w:shd w:val="clear" w:color="auto" w:fill="FFFFFF" w:themeFill="background1"/>
            <w:vAlign w:val="center"/>
          </w:tcPr>
          <w:p w14:paraId="7E3D6A4C" w14:textId="77777777" w:rsidR="00C077B8" w:rsidRPr="0073282A" w:rsidRDefault="00C077B8" w:rsidP="00EF574A">
            <w:pPr>
              <w:spacing w:after="120" w:line="240" w:lineRule="auto"/>
              <w:jc w:val="center"/>
              <w:rPr>
                <w:sz w:val="20"/>
                <w:szCs w:val="20"/>
              </w:rPr>
            </w:pPr>
            <w:r w:rsidRPr="0073282A">
              <w:rPr>
                <w:sz w:val="20"/>
                <w:szCs w:val="20"/>
              </w:rPr>
              <w:t>1.41 (1.24 - 1.60)</w:t>
            </w:r>
          </w:p>
        </w:tc>
      </w:tr>
      <w:tr w:rsidR="00B8401E" w:rsidRPr="0073282A" w14:paraId="2FDB99E3" w14:textId="77777777" w:rsidTr="00B8401E">
        <w:trPr>
          <w:cantSplit/>
          <w:jc w:val="center"/>
        </w:trPr>
        <w:tc>
          <w:tcPr>
            <w:tcW w:w="3712" w:type="pct"/>
          </w:tcPr>
          <w:p w14:paraId="1B4004D1" w14:textId="77777777" w:rsidR="00C077B8" w:rsidRPr="0073282A" w:rsidRDefault="00C077B8" w:rsidP="00EF574A">
            <w:pPr>
              <w:spacing w:after="120" w:line="240" w:lineRule="auto"/>
              <w:rPr>
                <w:rFonts w:cstheme="minorHAnsi"/>
                <w:sz w:val="20"/>
                <w:szCs w:val="20"/>
              </w:rPr>
            </w:pPr>
            <w:r w:rsidRPr="0073282A">
              <w:rPr>
                <w:sz w:val="20"/>
                <w:szCs w:val="20"/>
              </w:rPr>
              <w:t>Cancer; metastatic cancer and acute leukemia (CC 8-14)</w:t>
            </w:r>
          </w:p>
        </w:tc>
        <w:tc>
          <w:tcPr>
            <w:tcW w:w="1288" w:type="pct"/>
            <w:shd w:val="clear" w:color="auto" w:fill="FFFFFF" w:themeFill="background1"/>
            <w:vAlign w:val="center"/>
          </w:tcPr>
          <w:p w14:paraId="20DBEB38" w14:textId="77777777" w:rsidR="00C077B8" w:rsidRPr="0073282A" w:rsidRDefault="00C077B8" w:rsidP="00EF574A">
            <w:pPr>
              <w:spacing w:after="120" w:line="240" w:lineRule="auto"/>
              <w:jc w:val="center"/>
              <w:rPr>
                <w:sz w:val="20"/>
                <w:szCs w:val="20"/>
              </w:rPr>
            </w:pPr>
            <w:r w:rsidRPr="0073282A">
              <w:rPr>
                <w:sz w:val="20"/>
                <w:szCs w:val="20"/>
              </w:rPr>
              <w:t>0.92 (0.84 - 1.00)</w:t>
            </w:r>
          </w:p>
        </w:tc>
      </w:tr>
      <w:tr w:rsidR="00B8401E" w:rsidRPr="0073282A" w14:paraId="3DD58B0A" w14:textId="77777777" w:rsidTr="00B8401E">
        <w:trPr>
          <w:cantSplit/>
          <w:jc w:val="center"/>
        </w:trPr>
        <w:tc>
          <w:tcPr>
            <w:tcW w:w="3712" w:type="pct"/>
          </w:tcPr>
          <w:p w14:paraId="16AB6B70" w14:textId="77777777" w:rsidR="00C077B8" w:rsidRPr="0073282A" w:rsidRDefault="00C077B8" w:rsidP="00EF574A">
            <w:pPr>
              <w:spacing w:after="120" w:line="240" w:lineRule="auto"/>
              <w:rPr>
                <w:rFonts w:cstheme="minorHAnsi"/>
                <w:sz w:val="20"/>
                <w:szCs w:val="20"/>
              </w:rPr>
            </w:pPr>
            <w:r w:rsidRPr="0073282A">
              <w:rPr>
                <w:sz w:val="20"/>
                <w:szCs w:val="20"/>
              </w:rPr>
              <w:t>Protein-calorie malnutrition (CC 21)</w:t>
            </w:r>
          </w:p>
        </w:tc>
        <w:tc>
          <w:tcPr>
            <w:tcW w:w="1288" w:type="pct"/>
            <w:shd w:val="clear" w:color="auto" w:fill="FFFFFF" w:themeFill="background1"/>
            <w:vAlign w:val="center"/>
          </w:tcPr>
          <w:p w14:paraId="46797DA2" w14:textId="77777777" w:rsidR="00C077B8" w:rsidRPr="0073282A" w:rsidRDefault="00C077B8" w:rsidP="00EF574A">
            <w:pPr>
              <w:spacing w:after="120" w:line="240" w:lineRule="auto"/>
              <w:jc w:val="center"/>
              <w:rPr>
                <w:sz w:val="20"/>
                <w:szCs w:val="20"/>
              </w:rPr>
            </w:pPr>
            <w:r w:rsidRPr="0073282A">
              <w:rPr>
                <w:sz w:val="20"/>
                <w:szCs w:val="20"/>
              </w:rPr>
              <w:t>1.72 (1.55 - 1.91)</w:t>
            </w:r>
          </w:p>
        </w:tc>
      </w:tr>
      <w:tr w:rsidR="00B8401E" w:rsidRPr="0073282A" w14:paraId="4E84A117" w14:textId="77777777" w:rsidTr="00B8401E">
        <w:trPr>
          <w:cantSplit/>
          <w:jc w:val="center"/>
        </w:trPr>
        <w:tc>
          <w:tcPr>
            <w:tcW w:w="3712" w:type="pct"/>
          </w:tcPr>
          <w:p w14:paraId="4443DAA5" w14:textId="77777777" w:rsidR="00C077B8" w:rsidRPr="0073282A" w:rsidRDefault="00C077B8" w:rsidP="00EF574A">
            <w:pPr>
              <w:spacing w:after="120" w:line="240" w:lineRule="auto"/>
              <w:rPr>
                <w:rFonts w:cstheme="minorHAnsi"/>
                <w:sz w:val="20"/>
                <w:szCs w:val="20"/>
              </w:rPr>
            </w:pPr>
            <w:r w:rsidRPr="0073282A">
              <w:rPr>
                <w:sz w:val="20"/>
                <w:szCs w:val="20"/>
              </w:rPr>
              <w:t>Morbid obesity; other endocrine/metabolic/nutritional disorders (CC 22, 25-26)</w:t>
            </w:r>
          </w:p>
        </w:tc>
        <w:tc>
          <w:tcPr>
            <w:tcW w:w="1288" w:type="pct"/>
            <w:shd w:val="clear" w:color="auto" w:fill="FFFFFF" w:themeFill="background1"/>
            <w:vAlign w:val="center"/>
          </w:tcPr>
          <w:p w14:paraId="0BAEDDEE" w14:textId="77777777" w:rsidR="00C077B8" w:rsidRPr="0073282A" w:rsidRDefault="00C077B8" w:rsidP="00EF574A">
            <w:pPr>
              <w:spacing w:after="120" w:line="240" w:lineRule="auto"/>
              <w:jc w:val="center"/>
              <w:rPr>
                <w:sz w:val="20"/>
                <w:szCs w:val="20"/>
              </w:rPr>
            </w:pPr>
            <w:r w:rsidRPr="0073282A">
              <w:rPr>
                <w:sz w:val="20"/>
                <w:szCs w:val="20"/>
              </w:rPr>
              <w:t>0.73 (0.66 - 0.82)</w:t>
            </w:r>
          </w:p>
        </w:tc>
      </w:tr>
      <w:tr w:rsidR="00B8401E" w:rsidRPr="0073282A" w14:paraId="18C7C9A3" w14:textId="77777777" w:rsidTr="00B8401E">
        <w:trPr>
          <w:cantSplit/>
          <w:jc w:val="center"/>
        </w:trPr>
        <w:tc>
          <w:tcPr>
            <w:tcW w:w="3712" w:type="pct"/>
          </w:tcPr>
          <w:p w14:paraId="5124E0F2" w14:textId="77777777" w:rsidR="00C077B8" w:rsidRPr="0073282A" w:rsidRDefault="00C077B8" w:rsidP="00EF574A">
            <w:pPr>
              <w:spacing w:after="120" w:line="240" w:lineRule="auto"/>
              <w:rPr>
                <w:rFonts w:cstheme="minorHAnsi"/>
                <w:sz w:val="20"/>
                <w:szCs w:val="20"/>
              </w:rPr>
            </w:pPr>
            <w:r w:rsidRPr="0073282A">
              <w:rPr>
                <w:sz w:val="20"/>
                <w:szCs w:val="20"/>
              </w:rPr>
              <w:t>Liver or biliary disease (CC 27-32)</w:t>
            </w:r>
          </w:p>
        </w:tc>
        <w:tc>
          <w:tcPr>
            <w:tcW w:w="1288" w:type="pct"/>
            <w:shd w:val="clear" w:color="auto" w:fill="FFFFFF" w:themeFill="background1"/>
            <w:vAlign w:val="center"/>
          </w:tcPr>
          <w:p w14:paraId="50BA5E7D" w14:textId="77777777" w:rsidR="00C077B8" w:rsidRPr="0073282A" w:rsidRDefault="00C077B8" w:rsidP="00EF574A">
            <w:pPr>
              <w:spacing w:after="120" w:line="240" w:lineRule="auto"/>
              <w:jc w:val="center"/>
              <w:rPr>
                <w:sz w:val="20"/>
                <w:szCs w:val="20"/>
              </w:rPr>
            </w:pPr>
            <w:r w:rsidRPr="0073282A">
              <w:rPr>
                <w:sz w:val="20"/>
                <w:szCs w:val="20"/>
              </w:rPr>
              <w:t>1.50 (1.35 - 1.67)</w:t>
            </w:r>
          </w:p>
        </w:tc>
      </w:tr>
      <w:tr w:rsidR="00B8401E" w:rsidRPr="0073282A" w14:paraId="77486F26" w14:textId="77777777" w:rsidTr="00B8401E">
        <w:trPr>
          <w:cantSplit/>
          <w:jc w:val="center"/>
        </w:trPr>
        <w:tc>
          <w:tcPr>
            <w:tcW w:w="3712" w:type="pct"/>
          </w:tcPr>
          <w:p w14:paraId="438F3F17" w14:textId="77777777" w:rsidR="00C077B8" w:rsidRPr="0073282A" w:rsidRDefault="00C077B8" w:rsidP="00EF574A">
            <w:pPr>
              <w:spacing w:after="120" w:line="240" w:lineRule="auto"/>
              <w:rPr>
                <w:rFonts w:cstheme="minorHAnsi"/>
                <w:sz w:val="20"/>
                <w:szCs w:val="20"/>
              </w:rPr>
            </w:pPr>
            <w:r w:rsidRPr="0073282A">
              <w:rPr>
                <w:sz w:val="20"/>
                <w:szCs w:val="20"/>
              </w:rPr>
              <w:t>Other gastrointestinal disorders (CC 38)</w:t>
            </w:r>
          </w:p>
        </w:tc>
        <w:tc>
          <w:tcPr>
            <w:tcW w:w="1288" w:type="pct"/>
            <w:shd w:val="clear" w:color="auto" w:fill="FFFFFF" w:themeFill="background1"/>
            <w:vAlign w:val="center"/>
          </w:tcPr>
          <w:p w14:paraId="4DF97D4A" w14:textId="77777777" w:rsidR="00C077B8" w:rsidRPr="0073282A" w:rsidRDefault="00C077B8" w:rsidP="00EF574A">
            <w:pPr>
              <w:spacing w:after="120" w:line="240" w:lineRule="auto"/>
              <w:jc w:val="center"/>
              <w:rPr>
                <w:sz w:val="20"/>
                <w:szCs w:val="20"/>
              </w:rPr>
            </w:pPr>
            <w:r w:rsidRPr="0073282A">
              <w:rPr>
                <w:sz w:val="20"/>
                <w:szCs w:val="20"/>
              </w:rPr>
              <w:t>0.77 (0.72 - 0.82)</w:t>
            </w:r>
          </w:p>
        </w:tc>
      </w:tr>
      <w:tr w:rsidR="00B8401E" w:rsidRPr="0073282A" w14:paraId="2518A76F" w14:textId="77777777" w:rsidTr="00B8401E">
        <w:trPr>
          <w:cantSplit/>
          <w:jc w:val="center"/>
        </w:trPr>
        <w:tc>
          <w:tcPr>
            <w:tcW w:w="3712" w:type="pct"/>
          </w:tcPr>
          <w:p w14:paraId="30DCFAE5" w14:textId="77777777" w:rsidR="00C077B8" w:rsidRPr="0073282A" w:rsidRDefault="00C077B8" w:rsidP="00EF574A">
            <w:pPr>
              <w:spacing w:after="120" w:line="240" w:lineRule="auto"/>
              <w:rPr>
                <w:rFonts w:cstheme="minorHAnsi"/>
                <w:sz w:val="20"/>
                <w:szCs w:val="20"/>
              </w:rPr>
            </w:pPr>
            <w:r w:rsidRPr="0073282A">
              <w:rPr>
                <w:sz w:val="20"/>
                <w:szCs w:val="20"/>
              </w:rPr>
              <w:t>Dementia or other specified brain disorders (CC 51-53)</w:t>
            </w:r>
          </w:p>
        </w:tc>
        <w:tc>
          <w:tcPr>
            <w:tcW w:w="1288" w:type="pct"/>
            <w:shd w:val="clear" w:color="auto" w:fill="FFFFFF" w:themeFill="background1"/>
            <w:vAlign w:val="center"/>
          </w:tcPr>
          <w:p w14:paraId="4437A097" w14:textId="77777777" w:rsidR="00C077B8" w:rsidRPr="0073282A" w:rsidRDefault="00C077B8" w:rsidP="00EF574A">
            <w:pPr>
              <w:spacing w:after="120" w:line="240" w:lineRule="auto"/>
              <w:jc w:val="center"/>
              <w:rPr>
                <w:sz w:val="20"/>
                <w:szCs w:val="20"/>
              </w:rPr>
            </w:pPr>
            <w:r w:rsidRPr="0073282A">
              <w:rPr>
                <w:sz w:val="20"/>
                <w:szCs w:val="20"/>
              </w:rPr>
              <w:t>1.29 (1.16 - 1.45)</w:t>
            </w:r>
          </w:p>
        </w:tc>
      </w:tr>
      <w:tr w:rsidR="00B8401E" w:rsidRPr="0073282A" w14:paraId="3B2C5DE3" w14:textId="77777777" w:rsidTr="00B8401E">
        <w:trPr>
          <w:cantSplit/>
          <w:jc w:val="center"/>
        </w:trPr>
        <w:tc>
          <w:tcPr>
            <w:tcW w:w="3712" w:type="pct"/>
          </w:tcPr>
          <w:p w14:paraId="3DDC1A5A" w14:textId="77777777" w:rsidR="00C077B8" w:rsidRPr="0073282A" w:rsidRDefault="00C077B8" w:rsidP="00EF574A">
            <w:pPr>
              <w:spacing w:after="120" w:line="240" w:lineRule="auto"/>
              <w:rPr>
                <w:rFonts w:cstheme="minorHAnsi"/>
                <w:sz w:val="20"/>
                <w:szCs w:val="20"/>
              </w:rPr>
            </w:pPr>
            <w:r w:rsidRPr="0073282A">
              <w:rPr>
                <w:sz w:val="20"/>
                <w:szCs w:val="20"/>
              </w:rPr>
              <w:t>Hemiplegia, paraplegia, paralysis, functional disability (CC 70-74, 103-104, 189-190)</w:t>
            </w:r>
          </w:p>
        </w:tc>
        <w:tc>
          <w:tcPr>
            <w:tcW w:w="1288" w:type="pct"/>
            <w:shd w:val="clear" w:color="auto" w:fill="FFFFFF" w:themeFill="background1"/>
            <w:vAlign w:val="center"/>
          </w:tcPr>
          <w:p w14:paraId="31A251E4" w14:textId="77777777" w:rsidR="00C077B8" w:rsidRPr="0073282A" w:rsidRDefault="00C077B8" w:rsidP="00EF574A">
            <w:pPr>
              <w:spacing w:after="120" w:line="240" w:lineRule="auto"/>
              <w:jc w:val="center"/>
              <w:rPr>
                <w:sz w:val="20"/>
                <w:szCs w:val="20"/>
              </w:rPr>
            </w:pPr>
            <w:r w:rsidRPr="0073282A">
              <w:rPr>
                <w:sz w:val="20"/>
                <w:szCs w:val="20"/>
              </w:rPr>
              <w:t>1.29 (1.10 - 1.52)</w:t>
            </w:r>
          </w:p>
        </w:tc>
      </w:tr>
      <w:tr w:rsidR="00B8401E" w:rsidRPr="0073282A" w14:paraId="73F5E92A" w14:textId="77777777" w:rsidTr="00B8401E">
        <w:trPr>
          <w:cantSplit/>
          <w:jc w:val="center"/>
        </w:trPr>
        <w:tc>
          <w:tcPr>
            <w:tcW w:w="3712" w:type="pct"/>
          </w:tcPr>
          <w:p w14:paraId="301AA0F0" w14:textId="77777777" w:rsidR="00C077B8" w:rsidRPr="0073282A" w:rsidRDefault="00C077B8" w:rsidP="00EF574A">
            <w:pPr>
              <w:spacing w:after="120" w:line="240" w:lineRule="auto"/>
              <w:rPr>
                <w:rFonts w:cstheme="minorHAnsi"/>
                <w:sz w:val="20"/>
                <w:szCs w:val="20"/>
              </w:rPr>
            </w:pPr>
            <w:r w:rsidRPr="0073282A">
              <w:rPr>
                <w:sz w:val="20"/>
                <w:szCs w:val="20"/>
              </w:rPr>
              <w:t>Congestive heart failure (CC 85)</w:t>
            </w:r>
          </w:p>
        </w:tc>
        <w:tc>
          <w:tcPr>
            <w:tcW w:w="1288" w:type="pct"/>
            <w:shd w:val="clear" w:color="auto" w:fill="FFFFFF" w:themeFill="background1"/>
            <w:vAlign w:val="center"/>
          </w:tcPr>
          <w:p w14:paraId="4CBFC503" w14:textId="77777777" w:rsidR="00C077B8" w:rsidRPr="0073282A" w:rsidRDefault="00C077B8" w:rsidP="00EF574A">
            <w:pPr>
              <w:spacing w:after="120" w:line="240" w:lineRule="auto"/>
              <w:jc w:val="center"/>
              <w:rPr>
                <w:sz w:val="20"/>
                <w:szCs w:val="20"/>
              </w:rPr>
            </w:pPr>
            <w:r w:rsidRPr="0073282A">
              <w:rPr>
                <w:sz w:val="20"/>
                <w:szCs w:val="20"/>
              </w:rPr>
              <w:t>1.17 (1.08 - 1.27)</w:t>
            </w:r>
          </w:p>
        </w:tc>
      </w:tr>
      <w:tr w:rsidR="00B8401E" w:rsidRPr="0073282A" w14:paraId="55F5ABA8" w14:textId="77777777" w:rsidTr="00B8401E">
        <w:trPr>
          <w:cantSplit/>
          <w:jc w:val="center"/>
        </w:trPr>
        <w:tc>
          <w:tcPr>
            <w:tcW w:w="3712" w:type="pct"/>
          </w:tcPr>
          <w:p w14:paraId="3BFEF1BC" w14:textId="77777777" w:rsidR="00C077B8" w:rsidRPr="0073282A" w:rsidRDefault="00C077B8" w:rsidP="00EF574A">
            <w:pPr>
              <w:spacing w:after="120" w:line="240" w:lineRule="auto"/>
              <w:rPr>
                <w:rFonts w:cstheme="minorHAnsi"/>
                <w:sz w:val="20"/>
                <w:szCs w:val="20"/>
              </w:rPr>
            </w:pPr>
            <w:r w:rsidRPr="0073282A">
              <w:rPr>
                <w:sz w:val="20"/>
                <w:szCs w:val="20"/>
              </w:rPr>
              <w:t>Acute myocardial infarction (CC 86)</w:t>
            </w:r>
          </w:p>
        </w:tc>
        <w:tc>
          <w:tcPr>
            <w:tcW w:w="1288" w:type="pct"/>
            <w:shd w:val="clear" w:color="auto" w:fill="FFFFFF" w:themeFill="background1"/>
            <w:vAlign w:val="center"/>
          </w:tcPr>
          <w:p w14:paraId="78A4664E" w14:textId="77777777" w:rsidR="00C077B8" w:rsidRPr="0073282A" w:rsidRDefault="00C077B8" w:rsidP="00EF574A">
            <w:pPr>
              <w:spacing w:after="120" w:line="240" w:lineRule="auto"/>
              <w:jc w:val="center"/>
              <w:rPr>
                <w:sz w:val="20"/>
                <w:szCs w:val="20"/>
              </w:rPr>
            </w:pPr>
            <w:r w:rsidRPr="0073282A">
              <w:rPr>
                <w:sz w:val="20"/>
                <w:szCs w:val="20"/>
              </w:rPr>
              <w:t>1.20 (1.11 - 1.29)</w:t>
            </w:r>
          </w:p>
        </w:tc>
      </w:tr>
      <w:tr w:rsidR="00B8401E" w:rsidRPr="0073282A" w14:paraId="514DDFB4" w14:textId="77777777" w:rsidTr="00B8401E">
        <w:trPr>
          <w:cantSplit/>
          <w:jc w:val="center"/>
        </w:trPr>
        <w:tc>
          <w:tcPr>
            <w:tcW w:w="3712" w:type="pct"/>
          </w:tcPr>
          <w:p w14:paraId="4CC72678" w14:textId="77777777" w:rsidR="00C077B8" w:rsidRPr="0073282A" w:rsidRDefault="00C077B8" w:rsidP="00EF574A">
            <w:pPr>
              <w:spacing w:after="120" w:line="240" w:lineRule="auto"/>
              <w:rPr>
                <w:rFonts w:cstheme="minorHAnsi"/>
                <w:sz w:val="20"/>
                <w:szCs w:val="20"/>
              </w:rPr>
            </w:pPr>
            <w:r w:rsidRPr="0073282A">
              <w:rPr>
                <w:sz w:val="20"/>
                <w:szCs w:val="20"/>
              </w:rPr>
              <w:t>Unstable angina and other acute ischemic heart disease (CC 87)</w:t>
            </w:r>
          </w:p>
        </w:tc>
        <w:tc>
          <w:tcPr>
            <w:tcW w:w="1288" w:type="pct"/>
            <w:shd w:val="clear" w:color="auto" w:fill="FFFFFF" w:themeFill="background1"/>
            <w:vAlign w:val="center"/>
          </w:tcPr>
          <w:p w14:paraId="378DADB6" w14:textId="77777777" w:rsidR="00C077B8" w:rsidRPr="0073282A" w:rsidRDefault="00C077B8" w:rsidP="00EF574A">
            <w:pPr>
              <w:spacing w:after="120" w:line="240" w:lineRule="auto"/>
              <w:jc w:val="center"/>
              <w:rPr>
                <w:sz w:val="20"/>
                <w:szCs w:val="20"/>
              </w:rPr>
            </w:pPr>
            <w:r w:rsidRPr="0073282A">
              <w:rPr>
                <w:sz w:val="20"/>
                <w:szCs w:val="20"/>
              </w:rPr>
              <w:t>0.87 (0.81 - 0.93)</w:t>
            </w:r>
          </w:p>
        </w:tc>
      </w:tr>
      <w:tr w:rsidR="00B8401E" w:rsidRPr="0073282A" w14:paraId="03AF7420" w14:textId="77777777" w:rsidTr="00B8401E">
        <w:trPr>
          <w:cantSplit/>
          <w:jc w:val="center"/>
        </w:trPr>
        <w:tc>
          <w:tcPr>
            <w:tcW w:w="3712" w:type="pct"/>
          </w:tcPr>
          <w:p w14:paraId="338BEC42" w14:textId="77777777" w:rsidR="00C077B8" w:rsidRPr="0073282A" w:rsidRDefault="00C077B8" w:rsidP="00EF574A">
            <w:pPr>
              <w:spacing w:after="120" w:line="240" w:lineRule="auto"/>
              <w:rPr>
                <w:rFonts w:cstheme="minorHAnsi"/>
                <w:sz w:val="20"/>
                <w:szCs w:val="20"/>
              </w:rPr>
            </w:pPr>
            <w:r w:rsidRPr="0073282A">
              <w:rPr>
                <w:sz w:val="20"/>
                <w:szCs w:val="20"/>
              </w:rPr>
              <w:t>Angina; old myocardial infarction (CC 88 plus ICD-10-CM code I25.2, for discharges on or after October 1, 2015; CC 88 plus ICD-9-CM code 412, for discharges prior to October 1, 2015)</w:t>
            </w:r>
          </w:p>
        </w:tc>
        <w:tc>
          <w:tcPr>
            <w:tcW w:w="1288" w:type="pct"/>
            <w:shd w:val="clear" w:color="auto" w:fill="FFFFFF" w:themeFill="background1"/>
            <w:vAlign w:val="center"/>
          </w:tcPr>
          <w:p w14:paraId="0247485B" w14:textId="77777777" w:rsidR="00C077B8" w:rsidRPr="0073282A" w:rsidRDefault="00C077B8" w:rsidP="00EF574A">
            <w:pPr>
              <w:spacing w:after="120" w:line="240" w:lineRule="auto"/>
              <w:jc w:val="center"/>
              <w:rPr>
                <w:sz w:val="20"/>
                <w:szCs w:val="20"/>
              </w:rPr>
            </w:pPr>
            <w:r w:rsidRPr="0073282A">
              <w:rPr>
                <w:sz w:val="20"/>
                <w:szCs w:val="20"/>
              </w:rPr>
              <w:t>0.87 (0.81 - 0.93)</w:t>
            </w:r>
          </w:p>
        </w:tc>
      </w:tr>
      <w:tr w:rsidR="00B8401E" w:rsidRPr="0073282A" w14:paraId="59E2E396" w14:textId="77777777" w:rsidTr="00B8401E">
        <w:trPr>
          <w:cantSplit/>
          <w:jc w:val="center"/>
        </w:trPr>
        <w:tc>
          <w:tcPr>
            <w:tcW w:w="3712" w:type="pct"/>
          </w:tcPr>
          <w:p w14:paraId="7D06916B" w14:textId="77777777" w:rsidR="00C077B8" w:rsidRPr="0073282A" w:rsidRDefault="00C077B8" w:rsidP="00EF574A">
            <w:pPr>
              <w:spacing w:after="120" w:line="240" w:lineRule="auto"/>
              <w:rPr>
                <w:rFonts w:cstheme="minorHAnsi"/>
                <w:sz w:val="20"/>
                <w:szCs w:val="20"/>
              </w:rPr>
            </w:pPr>
            <w:r w:rsidRPr="0073282A">
              <w:rPr>
                <w:sz w:val="20"/>
                <w:szCs w:val="20"/>
              </w:rPr>
              <w:t>Hypertension (CC 95)</w:t>
            </w:r>
          </w:p>
        </w:tc>
        <w:tc>
          <w:tcPr>
            <w:tcW w:w="1288" w:type="pct"/>
            <w:shd w:val="clear" w:color="auto" w:fill="FFFFFF" w:themeFill="background1"/>
            <w:vAlign w:val="center"/>
          </w:tcPr>
          <w:p w14:paraId="0B5F1630" w14:textId="77777777" w:rsidR="00C077B8" w:rsidRPr="0073282A" w:rsidRDefault="00C077B8" w:rsidP="00EF574A">
            <w:pPr>
              <w:spacing w:after="120" w:line="240" w:lineRule="auto"/>
              <w:jc w:val="center"/>
              <w:rPr>
                <w:sz w:val="20"/>
                <w:szCs w:val="20"/>
              </w:rPr>
            </w:pPr>
            <w:r w:rsidRPr="0073282A">
              <w:rPr>
                <w:sz w:val="20"/>
                <w:szCs w:val="20"/>
              </w:rPr>
              <w:t>0.81 (0.74 - 0.89)</w:t>
            </w:r>
          </w:p>
        </w:tc>
      </w:tr>
      <w:tr w:rsidR="00B8401E" w:rsidRPr="0073282A" w14:paraId="014472A3" w14:textId="77777777" w:rsidTr="00B8401E">
        <w:trPr>
          <w:cantSplit/>
          <w:jc w:val="center"/>
        </w:trPr>
        <w:tc>
          <w:tcPr>
            <w:tcW w:w="3712" w:type="pct"/>
          </w:tcPr>
          <w:p w14:paraId="7041DB83" w14:textId="77777777" w:rsidR="00C077B8" w:rsidRPr="0073282A" w:rsidRDefault="00C077B8" w:rsidP="00EF574A">
            <w:pPr>
              <w:spacing w:after="120" w:line="240" w:lineRule="auto"/>
              <w:rPr>
                <w:rFonts w:cstheme="minorHAnsi"/>
                <w:sz w:val="20"/>
                <w:szCs w:val="20"/>
              </w:rPr>
            </w:pPr>
            <w:r w:rsidRPr="0073282A">
              <w:rPr>
                <w:sz w:val="20"/>
                <w:szCs w:val="20"/>
              </w:rPr>
              <w:t>Stroke (CC 99-100)</w:t>
            </w:r>
          </w:p>
        </w:tc>
        <w:tc>
          <w:tcPr>
            <w:tcW w:w="1288" w:type="pct"/>
            <w:shd w:val="clear" w:color="auto" w:fill="FFFFFF" w:themeFill="background1"/>
            <w:vAlign w:val="center"/>
          </w:tcPr>
          <w:p w14:paraId="403D0DBA" w14:textId="77777777" w:rsidR="00C077B8" w:rsidRPr="0073282A" w:rsidRDefault="00C077B8" w:rsidP="00EF574A">
            <w:pPr>
              <w:spacing w:after="120" w:line="240" w:lineRule="auto"/>
              <w:jc w:val="center"/>
              <w:rPr>
                <w:sz w:val="20"/>
                <w:szCs w:val="20"/>
              </w:rPr>
            </w:pPr>
            <w:r w:rsidRPr="0073282A">
              <w:rPr>
                <w:sz w:val="20"/>
                <w:szCs w:val="20"/>
              </w:rPr>
              <w:t>1.06 (0.92 - 1.22)</w:t>
            </w:r>
          </w:p>
        </w:tc>
      </w:tr>
      <w:tr w:rsidR="00B8401E" w:rsidRPr="0073282A" w14:paraId="6EDEB3FC" w14:textId="77777777" w:rsidTr="00B8401E">
        <w:trPr>
          <w:cantSplit/>
          <w:jc w:val="center"/>
        </w:trPr>
        <w:tc>
          <w:tcPr>
            <w:tcW w:w="3712" w:type="pct"/>
          </w:tcPr>
          <w:p w14:paraId="39EE976E" w14:textId="77777777" w:rsidR="00C077B8" w:rsidRPr="0073282A" w:rsidRDefault="00C077B8" w:rsidP="00EF574A">
            <w:pPr>
              <w:spacing w:after="120" w:line="240" w:lineRule="auto"/>
              <w:rPr>
                <w:rFonts w:cstheme="minorHAnsi"/>
                <w:sz w:val="20"/>
                <w:szCs w:val="20"/>
              </w:rPr>
            </w:pPr>
            <w:r w:rsidRPr="0073282A">
              <w:rPr>
                <w:sz w:val="20"/>
                <w:szCs w:val="20"/>
              </w:rPr>
              <w:t>Vascular or circulatory disease (CC 106-109)</w:t>
            </w:r>
          </w:p>
        </w:tc>
        <w:tc>
          <w:tcPr>
            <w:tcW w:w="1288" w:type="pct"/>
            <w:shd w:val="clear" w:color="auto" w:fill="FFFFFF" w:themeFill="background1"/>
            <w:vAlign w:val="center"/>
          </w:tcPr>
          <w:p w14:paraId="7B650E33" w14:textId="77777777" w:rsidR="00C077B8" w:rsidRPr="0073282A" w:rsidRDefault="00C077B8" w:rsidP="00EF574A">
            <w:pPr>
              <w:spacing w:after="120" w:line="240" w:lineRule="auto"/>
              <w:jc w:val="center"/>
              <w:rPr>
                <w:sz w:val="20"/>
                <w:szCs w:val="20"/>
              </w:rPr>
            </w:pPr>
            <w:r w:rsidRPr="0073282A">
              <w:rPr>
                <w:sz w:val="20"/>
                <w:szCs w:val="20"/>
              </w:rPr>
              <w:t>1.16 (1.08 - 1.24)</w:t>
            </w:r>
          </w:p>
        </w:tc>
      </w:tr>
      <w:tr w:rsidR="00B8401E" w:rsidRPr="0073282A" w14:paraId="0B7A1117" w14:textId="77777777" w:rsidTr="00B8401E">
        <w:trPr>
          <w:cantSplit/>
          <w:jc w:val="center"/>
        </w:trPr>
        <w:tc>
          <w:tcPr>
            <w:tcW w:w="3712" w:type="pct"/>
          </w:tcPr>
          <w:p w14:paraId="70ABB551" w14:textId="77777777" w:rsidR="00C077B8" w:rsidRPr="0073282A" w:rsidRDefault="00C077B8" w:rsidP="00EF574A">
            <w:pPr>
              <w:spacing w:after="120" w:line="240" w:lineRule="auto"/>
              <w:rPr>
                <w:rFonts w:cstheme="minorHAnsi"/>
                <w:sz w:val="20"/>
                <w:szCs w:val="20"/>
              </w:rPr>
            </w:pPr>
            <w:r w:rsidRPr="0073282A">
              <w:rPr>
                <w:sz w:val="20"/>
                <w:szCs w:val="20"/>
              </w:rPr>
              <w:t>Chronic obstructive pulmonary disease (COPD) (CC 111)</w:t>
            </w:r>
          </w:p>
        </w:tc>
        <w:tc>
          <w:tcPr>
            <w:tcW w:w="1288" w:type="pct"/>
            <w:shd w:val="clear" w:color="auto" w:fill="FFFFFF" w:themeFill="background1"/>
            <w:vAlign w:val="center"/>
          </w:tcPr>
          <w:p w14:paraId="7D0A3401" w14:textId="77777777" w:rsidR="00C077B8" w:rsidRPr="0073282A" w:rsidRDefault="00C077B8" w:rsidP="00EF574A">
            <w:pPr>
              <w:spacing w:after="120" w:line="240" w:lineRule="auto"/>
              <w:jc w:val="center"/>
              <w:rPr>
                <w:sz w:val="20"/>
                <w:szCs w:val="20"/>
              </w:rPr>
            </w:pPr>
            <w:r w:rsidRPr="0073282A">
              <w:rPr>
                <w:sz w:val="20"/>
                <w:szCs w:val="20"/>
              </w:rPr>
              <w:t>1.38 (1.29 - 1.48)</w:t>
            </w:r>
          </w:p>
        </w:tc>
      </w:tr>
      <w:tr w:rsidR="00B8401E" w:rsidRPr="0073282A" w14:paraId="6182B3A8" w14:textId="77777777" w:rsidTr="00B8401E">
        <w:trPr>
          <w:cantSplit/>
          <w:jc w:val="center"/>
        </w:trPr>
        <w:tc>
          <w:tcPr>
            <w:tcW w:w="3712" w:type="pct"/>
          </w:tcPr>
          <w:p w14:paraId="64EE433F" w14:textId="77777777" w:rsidR="00C077B8" w:rsidRPr="0073282A" w:rsidRDefault="00C077B8" w:rsidP="00EF574A">
            <w:pPr>
              <w:spacing w:after="120" w:line="240" w:lineRule="auto"/>
              <w:rPr>
                <w:rFonts w:cstheme="minorHAnsi"/>
                <w:sz w:val="20"/>
                <w:szCs w:val="20"/>
              </w:rPr>
            </w:pPr>
            <w:r w:rsidRPr="0073282A">
              <w:rPr>
                <w:sz w:val="20"/>
                <w:szCs w:val="20"/>
              </w:rPr>
              <w:t>Pneumonia (CC 114-116)</w:t>
            </w:r>
          </w:p>
        </w:tc>
        <w:tc>
          <w:tcPr>
            <w:tcW w:w="1288" w:type="pct"/>
            <w:shd w:val="clear" w:color="auto" w:fill="FFFFFF" w:themeFill="background1"/>
            <w:vAlign w:val="center"/>
          </w:tcPr>
          <w:p w14:paraId="44AAA4D7" w14:textId="77777777" w:rsidR="00C077B8" w:rsidRPr="0073282A" w:rsidRDefault="00C077B8" w:rsidP="00EF574A">
            <w:pPr>
              <w:spacing w:after="120" w:line="240" w:lineRule="auto"/>
              <w:jc w:val="center"/>
              <w:rPr>
                <w:sz w:val="20"/>
                <w:szCs w:val="20"/>
              </w:rPr>
            </w:pPr>
            <w:r w:rsidRPr="0073282A">
              <w:rPr>
                <w:sz w:val="20"/>
                <w:szCs w:val="20"/>
              </w:rPr>
              <w:t>1.32 (1.21 - 1.43)</w:t>
            </w:r>
          </w:p>
        </w:tc>
      </w:tr>
      <w:tr w:rsidR="00B8401E" w:rsidRPr="0073282A" w14:paraId="62F93938" w14:textId="77777777" w:rsidTr="00B8401E">
        <w:trPr>
          <w:cantSplit/>
          <w:jc w:val="center"/>
        </w:trPr>
        <w:tc>
          <w:tcPr>
            <w:tcW w:w="3712" w:type="pct"/>
          </w:tcPr>
          <w:p w14:paraId="6E330EEB" w14:textId="77777777" w:rsidR="00C077B8" w:rsidRPr="0073282A" w:rsidRDefault="00C077B8" w:rsidP="00EF574A">
            <w:pPr>
              <w:spacing w:after="120" w:line="240" w:lineRule="auto"/>
              <w:rPr>
                <w:rFonts w:cstheme="minorHAnsi"/>
                <w:sz w:val="20"/>
                <w:szCs w:val="20"/>
              </w:rPr>
            </w:pPr>
            <w:r w:rsidRPr="0073282A">
              <w:rPr>
                <w:sz w:val="20"/>
                <w:szCs w:val="20"/>
              </w:rPr>
              <w:t>Dialysis status (CC 134)</w:t>
            </w:r>
          </w:p>
        </w:tc>
        <w:tc>
          <w:tcPr>
            <w:tcW w:w="1288" w:type="pct"/>
            <w:shd w:val="clear" w:color="auto" w:fill="FFFFFF" w:themeFill="background1"/>
            <w:vAlign w:val="center"/>
          </w:tcPr>
          <w:p w14:paraId="12C321ED" w14:textId="77777777" w:rsidR="00C077B8" w:rsidRPr="0073282A" w:rsidRDefault="00C077B8" w:rsidP="00EF574A">
            <w:pPr>
              <w:spacing w:after="120" w:line="240" w:lineRule="auto"/>
              <w:jc w:val="center"/>
              <w:rPr>
                <w:sz w:val="20"/>
                <w:szCs w:val="20"/>
              </w:rPr>
            </w:pPr>
            <w:r w:rsidRPr="0073282A">
              <w:rPr>
                <w:sz w:val="20"/>
                <w:szCs w:val="20"/>
              </w:rPr>
              <w:t>1.92 (1.66 - 2.23)</w:t>
            </w:r>
          </w:p>
        </w:tc>
      </w:tr>
      <w:tr w:rsidR="00B8401E" w:rsidRPr="0073282A" w14:paraId="14490420" w14:textId="77777777" w:rsidTr="00B8401E">
        <w:trPr>
          <w:cantSplit/>
          <w:jc w:val="center"/>
        </w:trPr>
        <w:tc>
          <w:tcPr>
            <w:tcW w:w="3712" w:type="pct"/>
          </w:tcPr>
          <w:p w14:paraId="0E14F50F" w14:textId="77777777" w:rsidR="00C077B8" w:rsidRPr="0073282A" w:rsidRDefault="00C077B8" w:rsidP="00EF574A">
            <w:pPr>
              <w:spacing w:after="120" w:line="240" w:lineRule="auto"/>
              <w:rPr>
                <w:rFonts w:cstheme="minorHAnsi"/>
                <w:sz w:val="20"/>
                <w:szCs w:val="20"/>
              </w:rPr>
            </w:pPr>
            <w:r w:rsidRPr="0073282A">
              <w:rPr>
                <w:sz w:val="20"/>
                <w:szCs w:val="20"/>
              </w:rPr>
              <w:t>Renal failure (CC 135-140)</w:t>
            </w:r>
          </w:p>
        </w:tc>
        <w:tc>
          <w:tcPr>
            <w:tcW w:w="1288" w:type="pct"/>
            <w:shd w:val="clear" w:color="auto" w:fill="FFFFFF" w:themeFill="background1"/>
            <w:vAlign w:val="center"/>
          </w:tcPr>
          <w:p w14:paraId="185BC95F" w14:textId="77777777" w:rsidR="00C077B8" w:rsidRPr="0073282A" w:rsidRDefault="00C077B8" w:rsidP="00EF574A">
            <w:pPr>
              <w:spacing w:after="120" w:line="240" w:lineRule="auto"/>
              <w:jc w:val="center"/>
              <w:rPr>
                <w:sz w:val="20"/>
                <w:szCs w:val="20"/>
              </w:rPr>
            </w:pPr>
            <w:r w:rsidRPr="0073282A">
              <w:rPr>
                <w:sz w:val="20"/>
                <w:szCs w:val="20"/>
              </w:rPr>
              <w:t>1.39 (1.30 - 1.49)</w:t>
            </w:r>
          </w:p>
        </w:tc>
      </w:tr>
      <w:tr w:rsidR="00B8401E" w:rsidRPr="0073282A" w14:paraId="6FD12426" w14:textId="77777777" w:rsidTr="00B8401E">
        <w:trPr>
          <w:cantSplit/>
          <w:jc w:val="center"/>
        </w:trPr>
        <w:tc>
          <w:tcPr>
            <w:tcW w:w="3712" w:type="pct"/>
          </w:tcPr>
          <w:p w14:paraId="50300575" w14:textId="77777777" w:rsidR="00C077B8" w:rsidRPr="0073282A" w:rsidRDefault="00C077B8" w:rsidP="00EF574A">
            <w:pPr>
              <w:spacing w:after="120" w:line="240" w:lineRule="auto"/>
              <w:rPr>
                <w:rFonts w:cstheme="minorHAnsi"/>
                <w:sz w:val="20"/>
                <w:szCs w:val="20"/>
              </w:rPr>
            </w:pPr>
            <w:r w:rsidRPr="0073282A">
              <w:rPr>
                <w:sz w:val="20"/>
                <w:szCs w:val="20"/>
              </w:rPr>
              <w:t>Decubitus ulcer or chronic skin ulcer (CC 157-161)</w:t>
            </w:r>
          </w:p>
        </w:tc>
        <w:tc>
          <w:tcPr>
            <w:tcW w:w="1288" w:type="pct"/>
            <w:shd w:val="clear" w:color="auto" w:fill="FFFFFF" w:themeFill="background1"/>
            <w:vAlign w:val="center"/>
          </w:tcPr>
          <w:p w14:paraId="1A775A55" w14:textId="77777777" w:rsidR="00C077B8" w:rsidRPr="0073282A" w:rsidRDefault="00C077B8" w:rsidP="00EF574A">
            <w:pPr>
              <w:spacing w:after="120" w:line="240" w:lineRule="auto"/>
              <w:jc w:val="center"/>
              <w:rPr>
                <w:sz w:val="20"/>
                <w:szCs w:val="20"/>
              </w:rPr>
            </w:pPr>
            <w:r w:rsidRPr="0073282A">
              <w:rPr>
                <w:sz w:val="20"/>
                <w:szCs w:val="20"/>
              </w:rPr>
              <w:t>1.11 (0.97 - 1.28)</w:t>
            </w:r>
          </w:p>
        </w:tc>
      </w:tr>
    </w:tbl>
    <w:p w14:paraId="15E4CC92" w14:textId="77777777" w:rsidR="00C077B8" w:rsidRDefault="00C077B8" w:rsidP="00001D73">
      <w:pPr>
        <w:autoSpaceDE w:val="0"/>
        <w:autoSpaceDN w:val="0"/>
        <w:adjustRightInd w:val="0"/>
        <w:spacing w:after="0" w:line="240" w:lineRule="auto"/>
        <w:rPr>
          <w:rFonts w:cstheme="minorHAnsi"/>
          <w:b/>
          <w:bCs/>
        </w:rPr>
      </w:pPr>
    </w:p>
    <w:p w14:paraId="0588C6B3" w14:textId="77777777" w:rsidR="00C077B8" w:rsidRDefault="00C077B8"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13422EB2" w14:textId="1C43ECF4" w:rsidR="00A02CE8" w:rsidRDefault="00A02CE8" w:rsidP="00001D73">
      <w:pPr>
        <w:autoSpaceDE w:val="0"/>
        <w:autoSpaceDN w:val="0"/>
        <w:adjustRightInd w:val="0"/>
        <w:spacing w:after="0" w:line="240" w:lineRule="auto"/>
        <w:rPr>
          <w:rFonts w:cstheme="minorHAnsi"/>
          <w:b/>
          <w:bCs/>
        </w:rPr>
      </w:pPr>
    </w:p>
    <w:p w14:paraId="6E201049" w14:textId="0E7E970B" w:rsidR="00FC1FE1" w:rsidRPr="0073282A" w:rsidRDefault="00704082" w:rsidP="00D14E62">
      <w:pPr>
        <w:keepNext/>
        <w:pBdr>
          <w:top w:val="single" w:sz="4" w:space="1" w:color="auto"/>
          <w:left w:val="single" w:sz="4" w:space="4" w:color="auto"/>
          <w:bottom w:val="single" w:sz="4" w:space="1" w:color="auto"/>
          <w:right w:val="single" w:sz="4" w:space="4" w:color="auto"/>
        </w:pBdr>
        <w:outlineLvl w:val="0"/>
        <w:rPr>
          <w:bCs/>
        </w:rPr>
      </w:pPr>
      <w:r w:rsidRPr="0073282A">
        <w:rPr>
          <w:bCs/>
          <w:u w:val="single"/>
        </w:rPr>
        <w:t>Variation in prevalence of the factor across measured entities</w:t>
      </w:r>
      <w:r w:rsidR="00A418E0" w:rsidRPr="0073282A">
        <w:rPr>
          <w:bCs/>
        </w:rPr>
        <w:t xml:space="preserve">The prevalence of SES factors in the </w:t>
      </w:r>
      <w:r w:rsidR="00A418E0" w:rsidRPr="0073282A">
        <w:rPr>
          <w:rFonts w:cstheme="minorHAnsi"/>
          <w:bCs/>
        </w:rPr>
        <w:t xml:space="preserve">CABG </w:t>
      </w:r>
      <w:r w:rsidR="00A418E0" w:rsidRPr="0073282A">
        <w:rPr>
          <w:bCs/>
        </w:rPr>
        <w:t xml:space="preserve">cohort varies across measured entities. The median percentage of dual eligible patients is 8.4% (interquartile range [IQR]: </w:t>
      </w:r>
      <w:r w:rsidR="00F61125" w:rsidRPr="0073282A">
        <w:rPr>
          <w:bCs/>
        </w:rPr>
        <w:t>5</w:t>
      </w:r>
      <w:r w:rsidR="00A418E0" w:rsidRPr="0073282A">
        <w:rPr>
          <w:bCs/>
        </w:rPr>
        <w:t>.</w:t>
      </w:r>
      <w:r w:rsidR="00F61125" w:rsidRPr="0073282A">
        <w:rPr>
          <w:bCs/>
        </w:rPr>
        <w:t>6</w:t>
      </w:r>
      <w:r w:rsidR="00A418E0" w:rsidRPr="0073282A">
        <w:rPr>
          <w:bCs/>
        </w:rPr>
        <w:t>% – 1</w:t>
      </w:r>
      <w:r w:rsidR="00F61125" w:rsidRPr="0073282A">
        <w:rPr>
          <w:bCs/>
        </w:rPr>
        <w:t>3</w:t>
      </w:r>
      <w:r w:rsidR="00A418E0" w:rsidRPr="0073282A">
        <w:rPr>
          <w:bCs/>
        </w:rPr>
        <w:t>.</w:t>
      </w:r>
      <w:r w:rsidR="00F61125" w:rsidRPr="0073282A">
        <w:rPr>
          <w:bCs/>
        </w:rPr>
        <w:t>4</w:t>
      </w:r>
      <w:r w:rsidR="00A418E0" w:rsidRPr="0073282A">
        <w:rPr>
          <w:bCs/>
        </w:rPr>
        <w:t>%).</w:t>
      </w:r>
      <w:r w:rsidR="00837F7B" w:rsidRPr="0073282A">
        <w:rPr>
          <w:bCs/>
        </w:rPr>
        <w:t xml:space="preserve"> </w:t>
      </w:r>
      <w:r w:rsidR="00A418E0" w:rsidRPr="0073282A">
        <w:rPr>
          <w:bCs/>
        </w:rPr>
        <w:t xml:space="preserve">The median percentage of patients with an AHRQ SES Index score equal to or below 46.0 is </w:t>
      </w:r>
      <w:r w:rsidR="00EF1F65" w:rsidRPr="0073282A">
        <w:rPr>
          <w:rFonts w:cstheme="minorHAnsi"/>
          <w:bCs/>
        </w:rPr>
        <w:t>16</w:t>
      </w:r>
      <w:r w:rsidR="00A418E0" w:rsidRPr="0073282A">
        <w:rPr>
          <w:rFonts w:cstheme="minorHAnsi"/>
          <w:bCs/>
        </w:rPr>
        <w:t>.</w:t>
      </w:r>
      <w:r w:rsidR="00EF1F65" w:rsidRPr="0073282A">
        <w:rPr>
          <w:rFonts w:cstheme="minorHAnsi"/>
          <w:bCs/>
        </w:rPr>
        <w:t>6</w:t>
      </w:r>
      <w:r w:rsidR="00A418E0" w:rsidRPr="0073282A">
        <w:rPr>
          <w:rFonts w:cstheme="minorHAnsi"/>
          <w:bCs/>
        </w:rPr>
        <w:t xml:space="preserve">% (IQR: </w:t>
      </w:r>
      <w:r w:rsidR="00EF1F65" w:rsidRPr="0073282A">
        <w:rPr>
          <w:rFonts w:cstheme="minorHAnsi"/>
          <w:bCs/>
        </w:rPr>
        <w:t>8.8</w:t>
      </w:r>
      <w:r w:rsidR="00A418E0" w:rsidRPr="0073282A">
        <w:rPr>
          <w:rFonts w:cstheme="minorHAnsi"/>
          <w:bCs/>
        </w:rPr>
        <w:t xml:space="preserve">% </w:t>
      </w:r>
      <w:r w:rsidR="00A418E0" w:rsidRPr="0073282A">
        <w:rPr>
          <w:bCs/>
        </w:rPr>
        <w:t xml:space="preserve">– </w:t>
      </w:r>
      <w:r w:rsidR="00EF1F65" w:rsidRPr="0073282A">
        <w:rPr>
          <w:rFonts w:cstheme="minorHAnsi"/>
          <w:bCs/>
        </w:rPr>
        <w:t>26.8</w:t>
      </w:r>
      <w:r w:rsidR="00A418E0" w:rsidRPr="0073282A">
        <w:rPr>
          <w:rFonts w:cstheme="minorHAnsi"/>
          <w:bCs/>
        </w:rPr>
        <w:t>%)</w:t>
      </w:r>
      <w:r w:rsidR="00A418E0" w:rsidRPr="0073282A">
        <w:rPr>
          <w:bCs/>
        </w:rPr>
        <w:t xml:space="preserve">. </w:t>
      </w:r>
    </w:p>
    <w:p w14:paraId="5E47FA21" w14:textId="77777777" w:rsidR="00030712" w:rsidRPr="0073282A" w:rsidRDefault="00030712" w:rsidP="00D14E62">
      <w:pPr>
        <w:pBdr>
          <w:top w:val="single" w:sz="4" w:space="1" w:color="auto"/>
          <w:left w:val="single" w:sz="4" w:space="4" w:color="auto"/>
          <w:bottom w:val="single" w:sz="4" w:space="1" w:color="auto"/>
          <w:right w:val="single" w:sz="4" w:space="4" w:color="auto"/>
        </w:pBdr>
        <w:outlineLvl w:val="0"/>
        <w:rPr>
          <w:bCs/>
        </w:rPr>
      </w:pPr>
      <w:bookmarkStart w:id="29" w:name="_Hlk499042910"/>
      <w:r w:rsidRPr="0073282A">
        <w:rPr>
          <w:bCs/>
          <w:u w:val="single"/>
        </w:rPr>
        <w:t>Empirical association with the outcome (univariate)</w:t>
      </w:r>
    </w:p>
    <w:p w14:paraId="15009521" w14:textId="782B16AE" w:rsidR="000054AD" w:rsidRPr="0073282A" w:rsidRDefault="00837F7B" w:rsidP="00D14E62">
      <w:pPr>
        <w:pBdr>
          <w:top w:val="single" w:sz="4" w:space="1" w:color="auto"/>
          <w:left w:val="single" w:sz="4" w:space="4" w:color="auto"/>
          <w:bottom w:val="single" w:sz="4" w:space="1" w:color="auto"/>
          <w:right w:val="single" w:sz="4" w:space="4" w:color="auto"/>
        </w:pBdr>
        <w:spacing w:after="0" w:line="240" w:lineRule="auto"/>
        <w:rPr>
          <w:rFonts w:ascii="Calibri" w:hAnsi="Calibri" w:cs="Times New Roman"/>
          <w:lang w:val="en-GB" w:eastAsia="en-GB"/>
        </w:rPr>
      </w:pPr>
      <w:r w:rsidRPr="0073282A">
        <w:rPr>
          <w:rFonts w:ascii="Calibri" w:hAnsi="Calibri" w:cs="Times New Roman"/>
          <w:lang w:val="en-GB" w:eastAsia="en-GB"/>
        </w:rPr>
        <w:lastRenderedPageBreak/>
        <w:t>The patient-level observed CABG mortality rate is higher for dual eligible patients,</w:t>
      </w:r>
      <w:r w:rsidR="000054AD" w:rsidRPr="0073282A">
        <w:rPr>
          <w:rFonts w:ascii="Calibri" w:hAnsi="Calibri" w:cs="Times New Roman"/>
          <w:lang w:val="en-GB" w:eastAsia="en-GB"/>
        </w:rPr>
        <w:t xml:space="preserve"> 4.68%,</w:t>
      </w:r>
      <w:r w:rsidRPr="0073282A">
        <w:rPr>
          <w:rFonts w:ascii="Calibri" w:hAnsi="Calibri" w:cs="Times New Roman"/>
          <w:lang w:val="en-GB" w:eastAsia="en-GB"/>
        </w:rPr>
        <w:t> compared with</w:t>
      </w:r>
      <w:r w:rsidR="000054AD" w:rsidRPr="0073282A">
        <w:rPr>
          <w:rFonts w:ascii="Calibri" w:hAnsi="Calibri" w:cs="Times New Roman"/>
          <w:lang w:val="en-GB" w:eastAsia="en-GB"/>
        </w:rPr>
        <w:t xml:space="preserve"> 3.03%</w:t>
      </w:r>
      <w:r w:rsidRPr="0073282A">
        <w:rPr>
          <w:rFonts w:ascii="Calibri" w:hAnsi="Calibri" w:cs="Times New Roman"/>
          <w:lang w:val="en-GB" w:eastAsia="en-GB"/>
        </w:rPr>
        <w:t> for all other patients. Similarly, the mortality rate for patients with an AHRQ SES Index score equal to or below </w:t>
      </w:r>
      <w:r w:rsidR="000054AD" w:rsidRPr="0073282A">
        <w:rPr>
          <w:rFonts w:ascii="Calibri" w:hAnsi="Calibri" w:cs="Times New Roman"/>
          <w:lang w:val="en-GB" w:eastAsia="en-GB"/>
        </w:rPr>
        <w:t>42.6</w:t>
      </w:r>
      <w:r w:rsidRPr="0073282A">
        <w:rPr>
          <w:rFonts w:ascii="Calibri" w:hAnsi="Calibri" w:cs="Times New Roman"/>
          <w:lang w:val="en-GB" w:eastAsia="en-GB"/>
        </w:rPr>
        <w:t> was </w:t>
      </w:r>
      <w:r w:rsidR="000054AD" w:rsidRPr="0073282A">
        <w:rPr>
          <w:rFonts w:ascii="Calibri" w:hAnsi="Calibri" w:cs="Times New Roman"/>
          <w:lang w:val="en-GB" w:eastAsia="en-GB"/>
        </w:rPr>
        <w:t xml:space="preserve">3.96% </w:t>
      </w:r>
      <w:r w:rsidRPr="0073282A">
        <w:rPr>
          <w:rFonts w:ascii="Calibri" w:hAnsi="Calibri" w:cs="Times New Roman"/>
          <w:lang w:val="en-GB" w:eastAsia="en-GB"/>
        </w:rPr>
        <w:t>compared with</w:t>
      </w:r>
      <w:r w:rsidR="00BC2ACE" w:rsidRPr="0073282A">
        <w:rPr>
          <w:rFonts w:ascii="Calibri" w:hAnsi="Calibri" w:cs="Times New Roman"/>
          <w:lang w:val="en-GB" w:eastAsia="en-GB"/>
        </w:rPr>
        <w:t xml:space="preserve"> </w:t>
      </w:r>
      <w:r w:rsidR="000054AD" w:rsidRPr="0073282A">
        <w:rPr>
          <w:rFonts w:ascii="Calibri" w:hAnsi="Calibri" w:cs="Times New Roman"/>
          <w:lang w:val="en-GB" w:eastAsia="en-GB"/>
        </w:rPr>
        <w:t>3.00%</w:t>
      </w:r>
      <w:r w:rsidRPr="0073282A">
        <w:rPr>
          <w:rFonts w:ascii="Calibri" w:hAnsi="Calibri" w:cs="Times New Roman"/>
          <w:lang w:val="en-GB" w:eastAsia="en-GB"/>
        </w:rPr>
        <w:t> for patients with an AHRQ SES Index score above</w:t>
      </w:r>
      <w:r w:rsidR="000054AD" w:rsidRPr="0073282A">
        <w:rPr>
          <w:rFonts w:ascii="Calibri" w:hAnsi="Calibri" w:cs="Times New Roman"/>
          <w:lang w:val="en-GB" w:eastAsia="en-GB"/>
        </w:rPr>
        <w:t xml:space="preserve"> 42.6</w:t>
      </w:r>
      <w:r w:rsidRPr="0073282A">
        <w:rPr>
          <w:rFonts w:ascii="Calibri" w:hAnsi="Calibri" w:cs="Times New Roman"/>
          <w:lang w:val="en-GB" w:eastAsia="en-GB"/>
        </w:rPr>
        <w:t xml:space="preserve">. </w:t>
      </w:r>
    </w:p>
    <w:bookmarkEnd w:id="29"/>
    <w:p w14:paraId="5ED718F7" w14:textId="107BFE35" w:rsidR="00030712" w:rsidRPr="0073282A" w:rsidRDefault="00030712" w:rsidP="00D14E62">
      <w:pPr>
        <w:pBdr>
          <w:top w:val="single" w:sz="4" w:space="1" w:color="auto"/>
          <w:left w:val="single" w:sz="4" w:space="4" w:color="auto"/>
          <w:bottom w:val="single" w:sz="4" w:space="1" w:color="auto"/>
          <w:right w:val="single" w:sz="4" w:space="4" w:color="auto"/>
        </w:pBdr>
        <w:spacing w:after="0" w:line="240" w:lineRule="auto"/>
        <w:rPr>
          <w:bCs/>
          <w:u w:val="single"/>
        </w:rPr>
      </w:pPr>
    </w:p>
    <w:p w14:paraId="1D72EF87" w14:textId="64EE6EBD" w:rsidR="00A02CE8" w:rsidRPr="0073282A" w:rsidRDefault="00953F99" w:rsidP="00D14E62">
      <w:pPr>
        <w:pBdr>
          <w:top w:val="single" w:sz="4" w:space="1" w:color="auto"/>
          <w:left w:val="single" w:sz="4" w:space="4" w:color="auto"/>
          <w:bottom w:val="single" w:sz="4" w:space="1" w:color="auto"/>
          <w:right w:val="single" w:sz="4" w:space="4" w:color="auto"/>
        </w:pBdr>
        <w:outlineLvl w:val="0"/>
        <w:rPr>
          <w:bCs/>
          <w:u w:val="single"/>
        </w:rPr>
      </w:pPr>
      <w:bookmarkStart w:id="30" w:name="_Hlk499043667"/>
      <w:r w:rsidRPr="0073282A">
        <w:rPr>
          <w:bCs/>
          <w:u w:val="single"/>
        </w:rPr>
        <w:t xml:space="preserve">Incremental effect of SES variables </w:t>
      </w:r>
      <w:r w:rsidR="0058681B" w:rsidRPr="0073282A">
        <w:rPr>
          <w:bCs/>
          <w:u w:val="single"/>
        </w:rPr>
        <w:t>in a multivariable model</w:t>
      </w:r>
    </w:p>
    <w:p w14:paraId="697D1377" w14:textId="069872C6" w:rsidR="002E1EE6" w:rsidRPr="0073282A" w:rsidRDefault="008F35CC" w:rsidP="00D14E62">
      <w:pPr>
        <w:pBdr>
          <w:top w:val="single" w:sz="4" w:space="1" w:color="auto"/>
          <w:left w:val="single" w:sz="4" w:space="4" w:color="auto"/>
          <w:bottom w:val="single" w:sz="4" w:space="1" w:color="auto"/>
          <w:right w:val="single" w:sz="4" w:space="4" w:color="auto"/>
        </w:pBdr>
      </w:pPr>
      <w:bookmarkStart w:id="31" w:name="_Hlk499043647"/>
      <w:r w:rsidRPr="0073282A">
        <w:rPr>
          <w:bCs/>
        </w:rPr>
        <w:t xml:space="preserve">We then examined the strength and significance of the SES variables in the context of a multivariable model. Consistent with the above findings, when we include any of these variables in a multivariate model that includes all of the claims-based clinical variables, the effect size of each of these variables is </w:t>
      </w:r>
      <w:r w:rsidR="0005588D" w:rsidRPr="0073282A">
        <w:rPr>
          <w:bCs/>
        </w:rPr>
        <w:t>significant</w:t>
      </w:r>
      <w:r w:rsidR="005A0B76" w:rsidRPr="0073282A">
        <w:rPr>
          <w:bCs/>
        </w:rPr>
        <w:t xml:space="preserve">, </w:t>
      </w:r>
      <w:r w:rsidR="0005588D" w:rsidRPr="0073282A">
        <w:rPr>
          <w:bCs/>
        </w:rPr>
        <w:t xml:space="preserve">but </w:t>
      </w:r>
      <w:r w:rsidR="00021743" w:rsidRPr="0073282A">
        <w:rPr>
          <w:bCs/>
        </w:rPr>
        <w:t>lower</w:t>
      </w:r>
      <w:r w:rsidR="005A0B76" w:rsidRPr="0073282A">
        <w:rPr>
          <w:bCs/>
        </w:rPr>
        <w:t>,</w:t>
      </w:r>
      <w:r w:rsidR="00021743" w:rsidRPr="0073282A">
        <w:rPr>
          <w:bCs/>
        </w:rPr>
        <w:t xml:space="preserve"> </w:t>
      </w:r>
      <w:r w:rsidR="009226DB" w:rsidRPr="0073282A">
        <w:rPr>
          <w:bCs/>
        </w:rPr>
        <w:t>tha</w:t>
      </w:r>
      <w:r w:rsidR="005A0B76" w:rsidRPr="0073282A">
        <w:rPr>
          <w:bCs/>
        </w:rPr>
        <w:t xml:space="preserve">n </w:t>
      </w:r>
      <w:r w:rsidR="009226DB" w:rsidRPr="0073282A">
        <w:rPr>
          <w:bCs/>
        </w:rPr>
        <w:t xml:space="preserve">the coefficient for the bivariate association </w:t>
      </w:r>
      <w:r w:rsidR="00021743" w:rsidRPr="0073282A">
        <w:rPr>
          <w:bCs/>
        </w:rPr>
        <w:t xml:space="preserve">(the </w:t>
      </w:r>
      <w:r w:rsidR="00021743" w:rsidRPr="0073282A">
        <w:t>parameter estimate decreased from 1.57 to 1.23 for dual eligibility</w:t>
      </w:r>
      <w:r w:rsidR="002E1EE6" w:rsidRPr="0073282A">
        <w:t>, from 1.34 to 1.23 for the AHRQ SES Index</w:t>
      </w:r>
      <w:r w:rsidR="0054139A" w:rsidRPr="0073282A">
        <w:t>)</w:t>
      </w:r>
      <w:r w:rsidR="00344859" w:rsidRPr="0073282A">
        <w:t>.</w:t>
      </w:r>
      <w:r w:rsidR="002915A5" w:rsidRPr="0073282A">
        <w:t xml:space="preserve"> </w:t>
      </w:r>
    </w:p>
    <w:p w14:paraId="06C508BF" w14:textId="2177D984" w:rsidR="002915A5" w:rsidRPr="0073282A" w:rsidRDefault="00CB2D28" w:rsidP="00D14E62">
      <w:pPr>
        <w:pBdr>
          <w:top w:val="single" w:sz="4" w:space="1" w:color="auto"/>
          <w:left w:val="single" w:sz="4" w:space="4" w:color="auto"/>
          <w:bottom w:val="single" w:sz="4" w:space="1" w:color="auto"/>
          <w:right w:val="single" w:sz="4" w:space="4" w:color="auto"/>
        </w:pBdr>
        <w:rPr>
          <w:bCs/>
        </w:rPr>
      </w:pPr>
      <w:r w:rsidRPr="0073282A">
        <w:rPr>
          <w:rFonts w:cstheme="minorHAnsi"/>
          <w:bCs/>
        </w:rPr>
        <w:t>To further understand the relative importance of these risk-factors in the measure</w:t>
      </w:r>
      <w:r w:rsidR="005A0B76" w:rsidRPr="0073282A">
        <w:rPr>
          <w:rFonts w:cstheme="minorHAnsi"/>
          <w:bCs/>
        </w:rPr>
        <w:t xml:space="preserve">, </w:t>
      </w:r>
      <w:r w:rsidRPr="0073282A">
        <w:rPr>
          <w:rFonts w:cstheme="minorHAnsi"/>
          <w:bCs/>
        </w:rPr>
        <w:t xml:space="preserve">we compared hospital performance with and without the addition of each </w:t>
      </w:r>
      <w:r w:rsidR="000F1AB9" w:rsidRPr="0073282A">
        <w:rPr>
          <w:rFonts w:cstheme="minorHAnsi"/>
          <w:bCs/>
        </w:rPr>
        <w:t xml:space="preserve">social risk </w:t>
      </w:r>
      <w:r w:rsidRPr="0073282A">
        <w:rPr>
          <w:rFonts w:cstheme="minorHAnsi"/>
          <w:bCs/>
        </w:rPr>
        <w:t>variable.</w:t>
      </w:r>
      <w:r w:rsidR="001F44B7" w:rsidRPr="0073282A">
        <w:rPr>
          <w:rFonts w:cstheme="minorHAnsi"/>
          <w:bCs/>
        </w:rPr>
        <w:t xml:space="preserve"> </w:t>
      </w:r>
      <w:r w:rsidR="001F44B7" w:rsidRPr="0073282A">
        <w:rPr>
          <w:bCs/>
        </w:rPr>
        <w:t>Results show that t</w:t>
      </w:r>
      <w:r w:rsidR="008F35CC" w:rsidRPr="0073282A">
        <w:rPr>
          <w:bCs/>
        </w:rPr>
        <w:t>he c-statistic is unchanged with the addition of any of these variables into the model</w:t>
      </w:r>
      <w:r w:rsidR="002915A5" w:rsidRPr="0073282A">
        <w:rPr>
          <w:bCs/>
        </w:rPr>
        <w:t xml:space="preserve">: The </w:t>
      </w:r>
      <w:r w:rsidR="001D196E" w:rsidRPr="0073282A">
        <w:rPr>
          <w:bCs/>
        </w:rPr>
        <w:t xml:space="preserve">c-statistic of </w:t>
      </w:r>
      <w:r w:rsidR="001D196E" w:rsidRPr="0073282A">
        <w:rPr>
          <w:rFonts w:cstheme="minorHAnsi"/>
          <w:bCs/>
        </w:rPr>
        <w:t xml:space="preserve">the original </w:t>
      </w:r>
      <w:r w:rsidR="00783ABC" w:rsidRPr="0073282A">
        <w:rPr>
          <w:rFonts w:cstheme="minorHAnsi"/>
          <w:bCs/>
        </w:rPr>
        <w:t xml:space="preserve">model </w:t>
      </w:r>
      <w:r w:rsidR="001D196E" w:rsidRPr="0073282A">
        <w:rPr>
          <w:rFonts w:cstheme="minorHAnsi"/>
          <w:bCs/>
        </w:rPr>
        <w:t>is</w:t>
      </w:r>
      <w:r w:rsidR="002915A5" w:rsidRPr="0073282A">
        <w:rPr>
          <w:rFonts w:cstheme="minorHAnsi"/>
          <w:bCs/>
        </w:rPr>
        <w:t xml:space="preserve"> 0.</w:t>
      </w:r>
      <w:r w:rsidR="001D196E" w:rsidRPr="0073282A">
        <w:rPr>
          <w:rFonts w:cstheme="minorHAnsi"/>
          <w:bCs/>
        </w:rPr>
        <w:t>779</w:t>
      </w:r>
      <w:r w:rsidR="002915A5" w:rsidRPr="0073282A">
        <w:rPr>
          <w:rFonts w:cstheme="minorHAnsi"/>
          <w:bCs/>
        </w:rPr>
        <w:t xml:space="preserve">; </w:t>
      </w:r>
      <w:bookmarkStart w:id="32" w:name="_Hlk499109139"/>
      <w:r w:rsidR="001D196E" w:rsidRPr="0073282A">
        <w:rPr>
          <w:rFonts w:cstheme="minorHAnsi"/>
          <w:bCs/>
        </w:rPr>
        <w:t xml:space="preserve">the </w:t>
      </w:r>
      <w:r w:rsidR="00783ABC" w:rsidRPr="0073282A">
        <w:rPr>
          <w:rFonts w:cstheme="minorHAnsi"/>
          <w:bCs/>
        </w:rPr>
        <w:t xml:space="preserve">c-statistic of the </w:t>
      </w:r>
      <w:r w:rsidR="001D196E" w:rsidRPr="0073282A">
        <w:rPr>
          <w:rFonts w:cstheme="minorHAnsi"/>
          <w:bCs/>
        </w:rPr>
        <w:t xml:space="preserve">original </w:t>
      </w:r>
      <w:r w:rsidR="002915A5" w:rsidRPr="0073282A">
        <w:rPr>
          <w:rFonts w:cstheme="minorHAnsi"/>
          <w:bCs/>
        </w:rPr>
        <w:t xml:space="preserve">model with </w:t>
      </w:r>
      <w:bookmarkEnd w:id="32"/>
      <w:r w:rsidR="00783ABC" w:rsidRPr="0073282A">
        <w:rPr>
          <w:rFonts w:cstheme="minorHAnsi"/>
          <w:bCs/>
        </w:rPr>
        <w:t xml:space="preserve">the </w:t>
      </w:r>
      <w:r w:rsidR="002915A5" w:rsidRPr="0073282A">
        <w:rPr>
          <w:rFonts w:cstheme="minorHAnsi"/>
          <w:bCs/>
        </w:rPr>
        <w:t>dual eligible variable</w:t>
      </w:r>
      <w:r w:rsidR="001D196E" w:rsidRPr="0073282A">
        <w:rPr>
          <w:rFonts w:cstheme="minorHAnsi"/>
          <w:bCs/>
        </w:rPr>
        <w:t xml:space="preserve"> added </w:t>
      </w:r>
      <w:r w:rsidR="00783ABC" w:rsidRPr="0073282A">
        <w:rPr>
          <w:rFonts w:cstheme="minorHAnsi"/>
          <w:bCs/>
        </w:rPr>
        <w:t>is</w:t>
      </w:r>
      <w:r w:rsidR="001D196E" w:rsidRPr="0073282A">
        <w:rPr>
          <w:rFonts w:cstheme="minorHAnsi"/>
          <w:bCs/>
        </w:rPr>
        <w:t xml:space="preserve"> </w:t>
      </w:r>
      <w:r w:rsidR="002915A5" w:rsidRPr="0073282A">
        <w:rPr>
          <w:rFonts w:cstheme="minorHAnsi"/>
          <w:bCs/>
        </w:rPr>
        <w:t>0.</w:t>
      </w:r>
      <w:r w:rsidR="001D196E" w:rsidRPr="0073282A">
        <w:rPr>
          <w:rFonts w:cstheme="minorHAnsi"/>
          <w:bCs/>
        </w:rPr>
        <w:t>779</w:t>
      </w:r>
      <w:r w:rsidR="002915A5" w:rsidRPr="0073282A">
        <w:rPr>
          <w:rFonts w:cstheme="minorHAnsi"/>
          <w:bCs/>
        </w:rPr>
        <w:t xml:space="preserve">; </w:t>
      </w:r>
      <w:r w:rsidR="001D196E" w:rsidRPr="0073282A">
        <w:rPr>
          <w:rFonts w:cstheme="minorHAnsi"/>
          <w:bCs/>
        </w:rPr>
        <w:t xml:space="preserve">and the original model </w:t>
      </w:r>
      <w:r w:rsidR="002915A5" w:rsidRPr="0073282A">
        <w:rPr>
          <w:rFonts w:cstheme="minorHAnsi"/>
          <w:bCs/>
        </w:rPr>
        <w:t>with</w:t>
      </w:r>
      <w:r w:rsidR="001D196E" w:rsidRPr="0073282A">
        <w:rPr>
          <w:rFonts w:cstheme="minorHAnsi"/>
          <w:bCs/>
        </w:rPr>
        <w:t xml:space="preserve"> the AHRQ SES index variable </w:t>
      </w:r>
      <w:r w:rsidR="00783ABC" w:rsidRPr="0073282A">
        <w:rPr>
          <w:rFonts w:cstheme="minorHAnsi"/>
          <w:bCs/>
        </w:rPr>
        <w:t xml:space="preserve">added </w:t>
      </w:r>
      <w:r w:rsidR="001D196E" w:rsidRPr="0073282A">
        <w:rPr>
          <w:rFonts w:cstheme="minorHAnsi"/>
          <w:bCs/>
        </w:rPr>
        <w:t xml:space="preserve">is </w:t>
      </w:r>
      <w:r w:rsidR="002915A5" w:rsidRPr="0073282A">
        <w:rPr>
          <w:rFonts w:cstheme="minorHAnsi"/>
          <w:bCs/>
        </w:rPr>
        <w:t>0.</w:t>
      </w:r>
      <w:r w:rsidR="001D196E" w:rsidRPr="0073282A">
        <w:rPr>
          <w:rFonts w:cstheme="minorHAnsi"/>
          <w:bCs/>
        </w:rPr>
        <w:t>780</w:t>
      </w:r>
      <w:r w:rsidR="000173E6" w:rsidRPr="0073282A">
        <w:rPr>
          <w:rFonts w:cstheme="minorHAnsi"/>
          <w:bCs/>
        </w:rPr>
        <w:t>.</w:t>
      </w:r>
    </w:p>
    <w:p w14:paraId="0A4AA262" w14:textId="6535C385" w:rsidR="008F35CC" w:rsidRPr="0073282A" w:rsidRDefault="008F35CC" w:rsidP="00D14E62">
      <w:pPr>
        <w:pBdr>
          <w:top w:val="single" w:sz="4" w:space="1" w:color="auto"/>
          <w:left w:val="single" w:sz="4" w:space="4" w:color="auto"/>
          <w:bottom w:val="single" w:sz="4" w:space="1" w:color="auto"/>
          <w:right w:val="single" w:sz="4" w:space="4" w:color="auto"/>
        </w:pBdr>
        <w:rPr>
          <w:bCs/>
        </w:rPr>
      </w:pPr>
      <w:r w:rsidRPr="0073282A">
        <w:rPr>
          <w:bCs/>
        </w:rPr>
        <w:t xml:space="preserve">We </w:t>
      </w:r>
      <w:r w:rsidR="001F44B7" w:rsidRPr="0073282A">
        <w:rPr>
          <w:bCs/>
        </w:rPr>
        <w:t xml:space="preserve">also </w:t>
      </w:r>
      <w:r w:rsidRPr="0073282A">
        <w:rPr>
          <w:bCs/>
        </w:rPr>
        <w:t>examined the change in hospitals’ RSMRs with the addition of any of these variables. The median absolute change in hospitals’ RSMRs when adding a dual eligibility indicator is 0.010% (IQR:  0.0</w:t>
      </w:r>
      <w:r w:rsidR="00C40BCE" w:rsidRPr="0073282A">
        <w:rPr>
          <w:bCs/>
        </w:rPr>
        <w:t>0</w:t>
      </w:r>
      <w:r w:rsidRPr="0073282A">
        <w:rPr>
          <w:bCs/>
        </w:rPr>
        <w:t>% – 0.0</w:t>
      </w:r>
      <w:r w:rsidR="00C40BCE" w:rsidRPr="0073282A">
        <w:rPr>
          <w:bCs/>
        </w:rPr>
        <w:t>3</w:t>
      </w:r>
      <w:r w:rsidRPr="0073282A">
        <w:rPr>
          <w:bCs/>
        </w:rPr>
        <w:t>%, minimum 0.</w:t>
      </w:r>
      <w:r w:rsidR="00C40BCE" w:rsidRPr="0073282A">
        <w:rPr>
          <w:bCs/>
        </w:rPr>
        <w:t>00</w:t>
      </w:r>
      <w:r w:rsidRPr="0073282A">
        <w:rPr>
          <w:bCs/>
        </w:rPr>
        <w:t>% – maximum 0.</w:t>
      </w:r>
      <w:r w:rsidR="00C40BCE" w:rsidRPr="0073282A">
        <w:rPr>
          <w:bCs/>
        </w:rPr>
        <w:t>48</w:t>
      </w:r>
      <w:r w:rsidRPr="0073282A">
        <w:rPr>
          <w:bCs/>
        </w:rPr>
        <w:t>%) with a correlation coefficient between RS</w:t>
      </w:r>
      <w:r w:rsidR="00C40BCE" w:rsidRPr="0073282A">
        <w:rPr>
          <w:bCs/>
        </w:rPr>
        <w:t>M</w:t>
      </w:r>
      <w:r w:rsidRPr="0073282A">
        <w:rPr>
          <w:bCs/>
        </w:rPr>
        <w:t xml:space="preserve">Rs for each hospital with and without dual eligibility added of </w:t>
      </w:r>
      <w:r w:rsidRPr="0073282A">
        <w:t>0.99</w:t>
      </w:r>
      <w:r w:rsidR="004170AA" w:rsidRPr="0073282A">
        <w:t>781</w:t>
      </w:r>
      <w:r w:rsidRPr="0073282A">
        <w:rPr>
          <w:bCs/>
        </w:rPr>
        <w:t>. The median absolute change in hospitals’ RS</w:t>
      </w:r>
      <w:r w:rsidR="00714D2F" w:rsidRPr="0073282A">
        <w:rPr>
          <w:bCs/>
        </w:rPr>
        <w:t>M</w:t>
      </w:r>
      <w:r w:rsidRPr="0073282A">
        <w:rPr>
          <w:bCs/>
        </w:rPr>
        <w:t>Rs when adding an indicator for a low AHRQ SES Index score is 0.0</w:t>
      </w:r>
      <w:r w:rsidR="00714D2F" w:rsidRPr="0073282A">
        <w:rPr>
          <w:bCs/>
        </w:rPr>
        <w:t>2</w:t>
      </w:r>
      <w:r w:rsidRPr="0073282A">
        <w:rPr>
          <w:bCs/>
        </w:rPr>
        <w:t>% (IQR: 0.01% – 0.0</w:t>
      </w:r>
      <w:r w:rsidR="00714D2F" w:rsidRPr="0073282A">
        <w:rPr>
          <w:bCs/>
        </w:rPr>
        <w:t>3</w:t>
      </w:r>
      <w:r w:rsidRPr="0073282A">
        <w:rPr>
          <w:bCs/>
        </w:rPr>
        <w:t xml:space="preserve">%, minimum </w:t>
      </w:r>
      <w:r w:rsidR="00714D2F" w:rsidRPr="0073282A">
        <w:rPr>
          <w:bCs/>
        </w:rPr>
        <w:t>0.00</w:t>
      </w:r>
      <w:r w:rsidRPr="0073282A">
        <w:rPr>
          <w:bCs/>
        </w:rPr>
        <w:t>% – maximum 0.</w:t>
      </w:r>
      <w:r w:rsidR="00714D2F" w:rsidRPr="0073282A">
        <w:rPr>
          <w:bCs/>
        </w:rPr>
        <w:t>22</w:t>
      </w:r>
      <w:r w:rsidRPr="0073282A">
        <w:rPr>
          <w:bCs/>
        </w:rPr>
        <w:t>%) with a correlation coefficient between RSRRs for each hospital with and without an indicator for a low AHRQ SES Index score added of 0.99</w:t>
      </w:r>
      <w:r w:rsidR="004170AA" w:rsidRPr="0073282A">
        <w:rPr>
          <w:bCs/>
        </w:rPr>
        <w:t>961</w:t>
      </w:r>
      <w:r w:rsidRPr="0073282A">
        <w:rPr>
          <w:bCs/>
        </w:rPr>
        <w:t>.</w:t>
      </w:r>
    </w:p>
    <w:bookmarkEnd w:id="30"/>
    <w:bookmarkEnd w:id="31"/>
    <w:p w14:paraId="53469105" w14:textId="563BE490" w:rsidR="008F35CC" w:rsidRPr="0073282A" w:rsidRDefault="00141FB9" w:rsidP="00D14E62">
      <w:pPr>
        <w:pBdr>
          <w:top w:val="single" w:sz="4" w:space="1" w:color="auto"/>
          <w:left w:val="single" w:sz="4" w:space="4" w:color="auto"/>
          <w:bottom w:val="single" w:sz="4" w:space="1" w:color="auto"/>
          <w:right w:val="single" w:sz="4" w:space="4" w:color="auto"/>
        </w:pBdr>
        <w:rPr>
          <w:bCs/>
        </w:rPr>
      </w:pPr>
      <w:r w:rsidRPr="0073282A">
        <w:rPr>
          <w:bCs/>
        </w:rPr>
        <w:t>Overall</w:t>
      </w:r>
      <w:r w:rsidR="00601CB8" w:rsidRPr="0073282A">
        <w:rPr>
          <w:bCs/>
        </w:rPr>
        <w:t>,</w:t>
      </w:r>
      <w:r w:rsidRPr="0073282A">
        <w:rPr>
          <w:bCs/>
        </w:rPr>
        <w:t xml:space="preserve"> we find that the social risk variables that could be feasibly incorporated into this model do have a significant relationship with the outcome in multivariable modeling. </w:t>
      </w:r>
      <w:r w:rsidR="009226DB" w:rsidRPr="0073282A">
        <w:rPr>
          <w:bCs/>
        </w:rPr>
        <w:t xml:space="preserve">However, </w:t>
      </w:r>
      <w:r w:rsidRPr="0073282A">
        <w:rPr>
          <w:bCs/>
        </w:rPr>
        <w:t>the impact of any of these indicators is very small to negligible on model performance and hospital profiling. Given the controversial nature of incorporating such variables into a risk-model we do not support doing so in a case that is unlikely to affect hospital profiling.</w:t>
      </w:r>
    </w:p>
    <w:p w14:paraId="5191E2FC" w14:textId="77777777" w:rsidR="00834FD6" w:rsidRDefault="009C7513" w:rsidP="00834FD6">
      <w:pPr>
        <w:autoSpaceDE w:val="0"/>
        <w:autoSpaceDN w:val="0"/>
        <w:adjustRightInd w:val="0"/>
        <w:spacing w:after="0" w:line="240" w:lineRule="auto"/>
        <w:rPr>
          <w:rFonts w:cstheme="minorHAnsi"/>
          <w:bCs/>
          <w:u w:val="single"/>
        </w:rPr>
      </w:pPr>
      <w:bookmarkStart w:id="33" w:name="_Hlk496526156"/>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4F369B72" w14:textId="467CC2C1"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Cs/>
          <w:u w:val="single"/>
        </w:rPr>
      </w:pPr>
      <w:r w:rsidRPr="0073282A">
        <w:rPr>
          <w:rFonts w:cstheme="minorHAnsi"/>
          <w:bCs/>
          <w:u w:val="single"/>
        </w:rPr>
        <w:t>Approach to assessing model performance (</w:t>
      </w:r>
      <w:r w:rsidRPr="0073282A">
        <w:rPr>
          <w:rFonts w:cstheme="minorHAnsi"/>
          <w:b/>
          <w:bCs/>
          <w:u w:val="single"/>
        </w:rPr>
        <w:t>Dataset 1</w:t>
      </w:r>
      <w:r w:rsidR="003C10FB" w:rsidRPr="0073282A">
        <w:rPr>
          <w:rFonts w:cstheme="minorHAnsi"/>
          <w:b/>
          <w:bCs/>
          <w:u w:val="single"/>
        </w:rPr>
        <w:t xml:space="preserve"> </w:t>
      </w:r>
      <w:r w:rsidR="003C10FB" w:rsidRPr="0073282A">
        <w:rPr>
          <w:rFonts w:cstheme="minorHAnsi"/>
          <w:bCs/>
          <w:u w:val="single"/>
        </w:rPr>
        <w:t>and</w:t>
      </w:r>
      <w:r w:rsidR="003C10FB" w:rsidRPr="0073282A">
        <w:rPr>
          <w:rFonts w:cstheme="minorHAnsi"/>
          <w:b/>
          <w:bCs/>
          <w:u w:val="single"/>
        </w:rPr>
        <w:t xml:space="preserve"> Dataset 2</w:t>
      </w:r>
      <w:r w:rsidRPr="0073282A">
        <w:rPr>
          <w:rFonts w:cstheme="minorHAnsi"/>
          <w:bCs/>
          <w:u w:val="single"/>
        </w:rPr>
        <w:t>)</w:t>
      </w:r>
    </w:p>
    <w:p w14:paraId="7CF6436B" w14:textId="3BEF551F"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 xml:space="preserve">We computed three summary statistics for assessing model performance (Harrell and Shih, 2001) for the </w:t>
      </w:r>
      <w:r w:rsidR="003532CA" w:rsidRPr="0073282A">
        <w:rPr>
          <w:rFonts w:cstheme="minorHAnsi"/>
          <w:bCs/>
        </w:rPr>
        <w:t>CABG mortality</w:t>
      </w:r>
      <w:r w:rsidRPr="0073282A">
        <w:rPr>
          <w:rFonts w:cstheme="minorHAnsi"/>
          <w:bCs/>
        </w:rPr>
        <w:t xml:space="preserve"> cohort:</w:t>
      </w:r>
    </w:p>
    <w:p w14:paraId="0E856C5D" w14:textId="77777777"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2F9AF571" w14:textId="77777777"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
          <w:bCs/>
          <w:i/>
        </w:rPr>
      </w:pPr>
      <w:r w:rsidRPr="0073282A">
        <w:rPr>
          <w:rFonts w:cstheme="minorHAnsi"/>
          <w:b/>
          <w:bCs/>
          <w:i/>
        </w:rPr>
        <w:t>Discrimination Statistics</w:t>
      </w:r>
    </w:p>
    <w:p w14:paraId="66C6B8BB" w14:textId="77777777"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(1) Area under the receiver operating characteristic (ROC) curve (the c-statistic) is the probability that predicting the outcome is better than chance, which is a measure of how accurately a statistical model is able to distinguish between a patient with and without an outcome)</w:t>
      </w:r>
    </w:p>
    <w:p w14:paraId="70A9BF1D" w14:textId="77777777"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lastRenderedPageBreak/>
        <w:t>(2) Predictive ability (discrimination in predictive ability measures the ability to distinguish high-risk subjects from low-risk subjects; therefore, we would hope to see a wide range between the lowest decile and highest decile.)</w:t>
      </w:r>
    </w:p>
    <w:p w14:paraId="3B15ABEE" w14:textId="77777777"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49718E9F" w14:textId="77777777"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
          <w:bCs/>
          <w:i/>
        </w:rPr>
      </w:pPr>
      <w:r w:rsidRPr="0073282A">
        <w:rPr>
          <w:rFonts w:cstheme="minorHAnsi"/>
          <w:b/>
          <w:bCs/>
          <w:i/>
        </w:rPr>
        <w:t>Calibration Statistics</w:t>
      </w:r>
    </w:p>
    <w:p w14:paraId="24793657" w14:textId="77777777"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(3) Over-fitting indices (over-fitting refers to the phenomenon in which a model accurately describes the relationship between predictive variables and outcome in the development dataset but fails to provide valid predictions in new patients)</w:t>
      </w:r>
    </w:p>
    <w:p w14:paraId="59267382" w14:textId="77777777"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332A1C24" w14:textId="77777777"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Cs/>
        </w:rPr>
      </w:pPr>
      <w:r w:rsidRPr="0073282A">
        <w:rPr>
          <w:rFonts w:cstheme="minorHAnsi"/>
          <w:bCs/>
        </w:rPr>
        <w:t xml:space="preserve">We tested the performance of the model for </w:t>
      </w:r>
      <w:r w:rsidRPr="0073282A">
        <w:rPr>
          <w:rFonts w:cstheme="minorHAnsi"/>
          <w:b/>
          <w:bCs/>
        </w:rPr>
        <w:t>Dataset 1</w:t>
      </w:r>
      <w:r w:rsidRPr="0073282A">
        <w:rPr>
          <w:rFonts w:cstheme="minorHAnsi"/>
          <w:bCs/>
        </w:rPr>
        <w:t xml:space="preserve"> described in section 1.7. </w:t>
      </w:r>
    </w:p>
    <w:p w14:paraId="718669B7" w14:textId="77777777"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4C928D1D" w14:textId="2B18271B" w:rsidR="00E957C7"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Cs/>
        </w:rPr>
      </w:pPr>
      <w:r w:rsidRPr="0073282A">
        <w:rPr>
          <w:rFonts w:cstheme="minorHAnsi"/>
          <w:bCs/>
          <w:u w:val="single"/>
        </w:rPr>
        <w:t>References</w:t>
      </w:r>
    </w:p>
    <w:p w14:paraId="0CABCFFA" w14:textId="5135D613" w:rsidR="00092566" w:rsidRPr="0073282A" w:rsidRDefault="00E957C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Harrell FE and Shih YC. Using full probability models to compute probabilities of actual interest to decision makers, Int. J. Technol. Assess. Health Care 17 (2001), pp. 17–26.</w:t>
      </w:r>
    </w:p>
    <w:p w14:paraId="196286EC" w14:textId="4F603E63" w:rsidR="00E957C7" w:rsidRDefault="00E957C7" w:rsidP="00E957C7">
      <w:pPr>
        <w:autoSpaceDE w:val="0"/>
        <w:autoSpaceDN w:val="0"/>
        <w:adjustRightInd w:val="0"/>
        <w:spacing w:after="0" w:line="240" w:lineRule="auto"/>
        <w:rPr>
          <w:rFonts w:cstheme="minorHAnsi"/>
          <w:bCs/>
        </w:rPr>
      </w:pPr>
    </w:p>
    <w:p w14:paraId="3A463AC0" w14:textId="77777777" w:rsidR="00E957C7" w:rsidRPr="00A25024" w:rsidRDefault="00E957C7" w:rsidP="00E957C7">
      <w:pPr>
        <w:autoSpaceDE w:val="0"/>
        <w:autoSpaceDN w:val="0"/>
        <w:adjustRightInd w:val="0"/>
        <w:spacing w:after="0" w:line="240" w:lineRule="auto"/>
        <w:rPr>
          <w:rFonts w:cstheme="minorHAnsi"/>
          <w:bCs/>
        </w:rPr>
      </w:pPr>
    </w:p>
    <w:bookmarkEnd w:id="33"/>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2118BFC5" w14:textId="77777777" w:rsidR="0082247A" w:rsidRPr="0073282A" w:rsidRDefault="00743E46" w:rsidP="0082247A">
      <w:pPr>
        <w:autoSpaceDE w:val="0"/>
        <w:autoSpaceDN w:val="0"/>
        <w:adjustRightInd w:val="0"/>
        <w:spacing w:after="0" w:line="240" w:lineRule="auto"/>
        <w:rPr>
          <w:rFonts w:cstheme="minorHAnsi"/>
          <w:bCs/>
        </w:rPr>
      </w:pPr>
      <w:r w:rsidRPr="0073282A">
        <w:rPr>
          <w:rFonts w:cstheme="minorHAnsi"/>
          <w:b/>
          <w:bCs/>
        </w:rPr>
        <w:t>2b</w:t>
      </w:r>
      <w:r w:rsidR="009C7513" w:rsidRPr="0073282A">
        <w:rPr>
          <w:rFonts w:cstheme="minorHAnsi"/>
          <w:b/>
          <w:bCs/>
        </w:rPr>
        <w:t>3</w:t>
      </w:r>
      <w:r w:rsidRPr="0073282A">
        <w:rPr>
          <w:rFonts w:cstheme="minorHAnsi"/>
          <w:b/>
          <w:bCs/>
        </w:rPr>
        <w:t xml:space="preserve">.6. </w:t>
      </w:r>
      <w:r w:rsidR="00001D73" w:rsidRPr="0073282A">
        <w:rPr>
          <w:rFonts w:cstheme="minorHAnsi"/>
          <w:b/>
          <w:bCs/>
        </w:rPr>
        <w:t xml:space="preserve">Statistical </w:t>
      </w:r>
      <w:r w:rsidR="00092566" w:rsidRPr="0073282A">
        <w:rPr>
          <w:rFonts w:cstheme="minorHAnsi"/>
          <w:b/>
          <w:bCs/>
        </w:rPr>
        <w:t>Risk Model Discrimination Statistics</w:t>
      </w:r>
      <w:r w:rsidR="003605B4" w:rsidRPr="0073282A">
        <w:rPr>
          <w:rFonts w:cstheme="minorHAnsi"/>
          <w:bCs/>
        </w:rPr>
        <w:t xml:space="preserve"> (</w:t>
      </w:r>
      <w:r w:rsidR="003605B4" w:rsidRPr="0073282A">
        <w:rPr>
          <w:rFonts w:cstheme="minorHAnsi"/>
          <w:bCs/>
          <w:i/>
        </w:rPr>
        <w:t>e.g., c-statistic, R-squared</w:t>
      </w:r>
      <w:r w:rsidR="003605B4" w:rsidRPr="0073282A">
        <w:rPr>
          <w:rFonts w:cstheme="minorHAnsi"/>
          <w:bCs/>
        </w:rPr>
        <w:t>)</w:t>
      </w:r>
      <w:r w:rsidRPr="0073282A">
        <w:rPr>
          <w:rFonts w:cstheme="minorHAnsi"/>
          <w:b/>
          <w:bCs/>
        </w:rPr>
        <w:t>:</w:t>
      </w:r>
      <w:r w:rsidR="00092566" w:rsidRPr="0073282A">
        <w:rPr>
          <w:rFonts w:cstheme="minorHAnsi"/>
          <w:b/>
          <w:bCs/>
        </w:rPr>
        <w:t xml:space="preserve">  </w:t>
      </w:r>
      <w:r w:rsidR="00092566" w:rsidRPr="0073282A">
        <w:rPr>
          <w:rFonts w:cstheme="minorHAnsi"/>
          <w:b/>
        </w:rPr>
        <w:br/>
      </w:r>
    </w:p>
    <w:p w14:paraId="74437D2F" w14:textId="7C1658E0" w:rsidR="0082247A" w:rsidRPr="0073282A" w:rsidRDefault="002C06BA"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
          <w:bCs/>
        </w:rPr>
      </w:pPr>
      <w:r w:rsidRPr="0073282A">
        <w:rPr>
          <w:rFonts w:cstheme="minorHAnsi"/>
          <w:b/>
          <w:bCs/>
        </w:rPr>
        <w:t>Results f</w:t>
      </w:r>
      <w:r w:rsidR="0082247A" w:rsidRPr="0073282A">
        <w:rPr>
          <w:rFonts w:cstheme="minorHAnsi"/>
          <w:b/>
          <w:bCs/>
        </w:rPr>
        <w:t>or the development cohort (</w:t>
      </w:r>
      <w:r w:rsidRPr="0073282A">
        <w:rPr>
          <w:rFonts w:cstheme="minorHAnsi"/>
          <w:b/>
          <w:bCs/>
        </w:rPr>
        <w:t>D</w:t>
      </w:r>
      <w:r w:rsidR="00B140FB" w:rsidRPr="0073282A">
        <w:rPr>
          <w:rFonts w:cstheme="minorHAnsi"/>
          <w:b/>
          <w:bCs/>
        </w:rPr>
        <w:t>ataset 2</w:t>
      </w:r>
      <w:r w:rsidR="0082247A" w:rsidRPr="0073282A">
        <w:rPr>
          <w:rFonts w:cstheme="minorHAnsi"/>
          <w:b/>
          <w:bCs/>
        </w:rPr>
        <w:t xml:space="preserve">) </w:t>
      </w:r>
    </w:p>
    <w:p w14:paraId="1A521B3A" w14:textId="77777777" w:rsidR="001D5D3A" w:rsidRPr="0073282A" w:rsidRDefault="001D5D3A" w:rsidP="00D14E62">
      <w:pPr>
        <w:pStyle w:val="Default"/>
        <w:pBdr>
          <w:top w:val="single" w:sz="4" w:space="1" w:color="auto"/>
          <w:left w:val="single" w:sz="4" w:space="4" w:color="auto"/>
          <w:bottom w:val="single" w:sz="4" w:space="1" w:color="auto"/>
          <w:right w:val="single" w:sz="4" w:space="4" w:color="auto"/>
        </w:pBdr>
        <w:rPr>
          <w:color w:val="auto"/>
        </w:rPr>
      </w:pPr>
      <w:r w:rsidRPr="0073282A">
        <w:rPr>
          <w:color w:val="auto"/>
          <w:sz w:val="22"/>
          <w:szCs w:val="22"/>
          <w:u w:val="single"/>
        </w:rPr>
        <w:t xml:space="preserve">2009 development cohort: </w:t>
      </w:r>
    </w:p>
    <w:p w14:paraId="5AEB48F9" w14:textId="77777777" w:rsidR="001D5D3A" w:rsidRPr="0073282A" w:rsidRDefault="001D5D3A" w:rsidP="00D14E62">
      <w:pPr>
        <w:pStyle w:val="Default"/>
        <w:pBdr>
          <w:top w:val="single" w:sz="4" w:space="1" w:color="auto"/>
          <w:left w:val="single" w:sz="4" w:space="4" w:color="auto"/>
          <w:bottom w:val="single" w:sz="4" w:space="1" w:color="auto"/>
          <w:right w:val="single" w:sz="4" w:space="4" w:color="auto"/>
        </w:pBdr>
        <w:rPr>
          <w:color w:val="auto"/>
          <w:sz w:val="22"/>
          <w:szCs w:val="22"/>
        </w:rPr>
      </w:pPr>
      <w:r w:rsidRPr="0073282A">
        <w:rPr>
          <w:color w:val="auto"/>
          <w:sz w:val="22"/>
          <w:szCs w:val="22"/>
        </w:rPr>
        <w:t xml:space="preserve">C-statistic = 0.75 </w:t>
      </w:r>
    </w:p>
    <w:p w14:paraId="0F5B6E8C" w14:textId="77777777" w:rsidR="001D5D3A" w:rsidRPr="0073282A" w:rsidRDefault="001D5D3A" w:rsidP="00D14E62">
      <w:pPr>
        <w:pStyle w:val="Default"/>
        <w:pBdr>
          <w:top w:val="single" w:sz="4" w:space="1" w:color="auto"/>
          <w:left w:val="single" w:sz="4" w:space="4" w:color="auto"/>
          <w:bottom w:val="single" w:sz="4" w:space="1" w:color="auto"/>
          <w:right w:val="single" w:sz="4" w:space="4" w:color="auto"/>
        </w:pBdr>
        <w:rPr>
          <w:color w:val="auto"/>
          <w:sz w:val="22"/>
          <w:szCs w:val="22"/>
        </w:rPr>
      </w:pPr>
      <w:r w:rsidRPr="0073282A">
        <w:rPr>
          <w:color w:val="auto"/>
          <w:sz w:val="22"/>
          <w:szCs w:val="22"/>
        </w:rPr>
        <w:t xml:space="preserve">Predictive ability (lowest decile %, highest decile %): (0.7, 11.1) </w:t>
      </w:r>
    </w:p>
    <w:p w14:paraId="41ACAE87" w14:textId="77777777" w:rsidR="001D5D3A" w:rsidRPr="0073282A" w:rsidRDefault="001D5D3A" w:rsidP="00D14E62">
      <w:pPr>
        <w:pStyle w:val="Default"/>
        <w:pBdr>
          <w:top w:val="single" w:sz="4" w:space="1" w:color="auto"/>
          <w:left w:val="single" w:sz="4" w:space="4" w:color="auto"/>
          <w:bottom w:val="single" w:sz="4" w:space="1" w:color="auto"/>
          <w:right w:val="single" w:sz="4" w:space="4" w:color="auto"/>
        </w:pBdr>
        <w:rPr>
          <w:color w:val="auto"/>
          <w:sz w:val="22"/>
          <w:szCs w:val="22"/>
        </w:rPr>
      </w:pPr>
      <w:r w:rsidRPr="0073282A">
        <w:rPr>
          <w:color w:val="auto"/>
          <w:sz w:val="22"/>
          <w:szCs w:val="22"/>
          <w:u w:val="single"/>
        </w:rPr>
        <w:t xml:space="preserve">2008 validation cohort: </w:t>
      </w:r>
    </w:p>
    <w:p w14:paraId="18B03754" w14:textId="77777777" w:rsidR="001D5D3A" w:rsidRPr="0073282A" w:rsidRDefault="001D5D3A" w:rsidP="00D14E62">
      <w:pPr>
        <w:pStyle w:val="Default"/>
        <w:pBdr>
          <w:top w:val="single" w:sz="4" w:space="1" w:color="auto"/>
          <w:left w:val="single" w:sz="4" w:space="4" w:color="auto"/>
          <w:bottom w:val="single" w:sz="4" w:space="1" w:color="auto"/>
          <w:right w:val="single" w:sz="4" w:space="4" w:color="auto"/>
        </w:pBdr>
        <w:rPr>
          <w:color w:val="auto"/>
          <w:sz w:val="22"/>
          <w:szCs w:val="22"/>
        </w:rPr>
      </w:pPr>
      <w:r w:rsidRPr="0073282A">
        <w:rPr>
          <w:color w:val="auto"/>
          <w:sz w:val="22"/>
          <w:szCs w:val="22"/>
        </w:rPr>
        <w:t xml:space="preserve">C-statistic = 0.74 </w:t>
      </w:r>
    </w:p>
    <w:p w14:paraId="3B475387" w14:textId="77777777" w:rsidR="001D5D3A" w:rsidRPr="0073282A" w:rsidRDefault="001D5D3A" w:rsidP="00D14E62">
      <w:pPr>
        <w:pStyle w:val="Default"/>
        <w:pBdr>
          <w:top w:val="single" w:sz="4" w:space="1" w:color="auto"/>
          <w:left w:val="single" w:sz="4" w:space="4" w:color="auto"/>
          <w:bottom w:val="single" w:sz="4" w:space="1" w:color="auto"/>
          <w:right w:val="single" w:sz="4" w:space="4" w:color="auto"/>
        </w:pBdr>
        <w:rPr>
          <w:color w:val="auto"/>
          <w:sz w:val="22"/>
          <w:szCs w:val="22"/>
        </w:rPr>
      </w:pPr>
      <w:r w:rsidRPr="0073282A">
        <w:rPr>
          <w:color w:val="auto"/>
          <w:sz w:val="22"/>
          <w:szCs w:val="22"/>
        </w:rPr>
        <w:t xml:space="preserve">Predictive ability (lowest decile %, highest decile %): (0.6, 11.8) </w:t>
      </w:r>
    </w:p>
    <w:p w14:paraId="3A5C3CDB" w14:textId="77777777" w:rsidR="001D5D3A" w:rsidRPr="0073282A" w:rsidRDefault="001D5D3A" w:rsidP="00D14E62">
      <w:pPr>
        <w:pStyle w:val="Default"/>
        <w:pBdr>
          <w:top w:val="single" w:sz="4" w:space="1" w:color="auto"/>
          <w:left w:val="single" w:sz="4" w:space="4" w:color="auto"/>
          <w:bottom w:val="single" w:sz="4" w:space="1" w:color="auto"/>
          <w:right w:val="single" w:sz="4" w:space="4" w:color="auto"/>
        </w:pBdr>
        <w:rPr>
          <w:color w:val="auto"/>
          <w:sz w:val="22"/>
          <w:szCs w:val="22"/>
        </w:rPr>
      </w:pPr>
      <w:r w:rsidRPr="0073282A">
        <w:rPr>
          <w:color w:val="auto"/>
          <w:sz w:val="22"/>
          <w:szCs w:val="22"/>
          <w:u w:val="single"/>
        </w:rPr>
        <w:t xml:space="preserve">2010 validation cohort: </w:t>
      </w:r>
    </w:p>
    <w:p w14:paraId="7F977D17" w14:textId="77777777" w:rsidR="001D5D3A" w:rsidRPr="0073282A" w:rsidRDefault="001D5D3A" w:rsidP="00D14E62">
      <w:pPr>
        <w:pStyle w:val="Default"/>
        <w:pBdr>
          <w:top w:val="single" w:sz="4" w:space="1" w:color="auto"/>
          <w:left w:val="single" w:sz="4" w:space="4" w:color="auto"/>
          <w:bottom w:val="single" w:sz="4" w:space="1" w:color="auto"/>
          <w:right w:val="single" w:sz="4" w:space="4" w:color="auto"/>
        </w:pBdr>
        <w:rPr>
          <w:color w:val="auto"/>
          <w:sz w:val="22"/>
          <w:szCs w:val="22"/>
        </w:rPr>
      </w:pPr>
      <w:r w:rsidRPr="0073282A">
        <w:rPr>
          <w:color w:val="auto"/>
          <w:sz w:val="22"/>
          <w:szCs w:val="22"/>
        </w:rPr>
        <w:t xml:space="preserve">C-statistic = 0.75 </w:t>
      </w:r>
    </w:p>
    <w:p w14:paraId="752DD6C8" w14:textId="77777777" w:rsidR="001D5D3A" w:rsidRPr="0073282A" w:rsidRDefault="001D5D3A"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3282A">
        <w:t>Predictive ability (lowest decile %, highest decile %): (0.5, 10.6)</w:t>
      </w:r>
    </w:p>
    <w:p w14:paraId="0C3F1CF0" w14:textId="71D86BE1" w:rsidR="0082247A" w:rsidRPr="0073282A" w:rsidRDefault="0082247A"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rPr>
      </w:pPr>
      <w:bookmarkStart w:id="34" w:name="_Hlk497487238"/>
      <w:r w:rsidRPr="0073282A">
        <w:rPr>
          <w:rFonts w:cstheme="minorHAnsi"/>
          <w:b/>
          <w:bCs/>
        </w:rPr>
        <w:br/>
      </w:r>
      <w:bookmarkStart w:id="35" w:name="_Hlk496534574"/>
      <w:r w:rsidR="002C06BA" w:rsidRPr="0073282A">
        <w:rPr>
          <w:rFonts w:cstheme="minorHAnsi"/>
          <w:b/>
          <w:bCs/>
        </w:rPr>
        <w:t>Results for the 2017 reporting cohort (Dataset 1)</w:t>
      </w:r>
      <w:bookmarkEnd w:id="34"/>
      <w:bookmarkEnd w:id="35"/>
    </w:p>
    <w:p w14:paraId="3E941442" w14:textId="77777777" w:rsidR="004129DD" w:rsidRPr="0073282A" w:rsidRDefault="004129DD"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sidDel="00B32FC9">
        <w:rPr>
          <w:rFonts w:cstheme="minorHAnsi"/>
          <w:bCs/>
        </w:rPr>
        <w:t>C statistic = 0.</w:t>
      </w:r>
      <w:r w:rsidRPr="0073282A">
        <w:rPr>
          <w:rFonts w:cstheme="minorHAnsi"/>
          <w:bCs/>
        </w:rPr>
        <w:t>7789</w:t>
      </w:r>
      <w:r w:rsidRPr="0073282A" w:rsidDel="00B32FC9">
        <w:rPr>
          <w:rFonts w:cstheme="minorHAnsi"/>
          <w:bCs/>
        </w:rPr>
        <w:t xml:space="preserve">; </w:t>
      </w:r>
    </w:p>
    <w:p w14:paraId="656CE93A" w14:textId="73D146BF" w:rsidR="004129DD" w:rsidRPr="0073282A" w:rsidRDefault="004129DD"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sidDel="00B32FC9">
        <w:rPr>
          <w:rFonts w:cstheme="minorHAnsi"/>
          <w:bCs/>
        </w:rPr>
        <w:t>Predictive ability (lowest decile %, highest decile %) = (</w:t>
      </w:r>
      <w:r w:rsidRPr="0073282A">
        <w:rPr>
          <w:rFonts w:cstheme="minorHAnsi"/>
          <w:bCs/>
        </w:rPr>
        <w:t>0.4</w:t>
      </w:r>
      <w:r w:rsidRPr="0073282A" w:rsidDel="00B32FC9">
        <w:rPr>
          <w:rFonts w:cstheme="minorHAnsi"/>
          <w:bCs/>
        </w:rPr>
        <w:t xml:space="preserve">, </w:t>
      </w:r>
      <w:r w:rsidRPr="0073282A">
        <w:rPr>
          <w:rFonts w:cstheme="minorHAnsi"/>
          <w:bCs/>
        </w:rPr>
        <w:t>14.0</w:t>
      </w:r>
      <w:r w:rsidRPr="0073282A" w:rsidDel="00B32FC9">
        <w:rPr>
          <w:rFonts w:cstheme="minorHAnsi"/>
          <w:bCs/>
        </w:rPr>
        <w:t>)</w:t>
      </w:r>
    </w:p>
    <w:p w14:paraId="6DC9F193" w14:textId="2884A7DC" w:rsidR="00E13010" w:rsidRDefault="00E13010" w:rsidP="00092566">
      <w:pPr>
        <w:autoSpaceDE w:val="0"/>
        <w:autoSpaceDN w:val="0"/>
        <w:adjustRightInd w:val="0"/>
        <w:spacing w:after="0" w:line="240" w:lineRule="auto"/>
        <w:rPr>
          <w:rFonts w:cstheme="minorHAnsi"/>
          <w:b/>
          <w:bCs/>
        </w:rPr>
      </w:pPr>
    </w:p>
    <w:p w14:paraId="1570E6AD" w14:textId="113E6667" w:rsidR="00E13010" w:rsidRPr="00001D73" w:rsidRDefault="00E13010" w:rsidP="00092566">
      <w:pPr>
        <w:autoSpaceDE w:val="0"/>
        <w:autoSpaceDN w:val="0"/>
        <w:adjustRightInd w:val="0"/>
        <w:spacing w:after="0" w:line="240" w:lineRule="auto"/>
        <w:rPr>
          <w:rFonts w:cstheme="minorHAnsi"/>
          <w:b/>
          <w:bCs/>
        </w:rPr>
      </w:pPr>
    </w:p>
    <w:p w14:paraId="78FE7B79" w14:textId="77777777" w:rsidR="00DD28B3"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p>
    <w:p w14:paraId="34DA9E38" w14:textId="0CACC6C6" w:rsidR="00C2562E" w:rsidRPr="0073282A" w:rsidRDefault="00C2562E"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
          <w:bCs/>
        </w:rPr>
      </w:pPr>
      <w:r w:rsidRPr="0073282A">
        <w:rPr>
          <w:rFonts w:cstheme="minorHAnsi"/>
          <w:b/>
          <w:bCs/>
        </w:rPr>
        <w:t xml:space="preserve">Results for the development cohort (Dataset </w:t>
      </w:r>
      <w:r w:rsidR="00B140FB" w:rsidRPr="0073282A">
        <w:rPr>
          <w:rFonts w:cstheme="minorHAnsi"/>
          <w:b/>
          <w:bCs/>
        </w:rPr>
        <w:t>2)</w:t>
      </w:r>
      <w:r w:rsidRPr="0073282A">
        <w:rPr>
          <w:rFonts w:cstheme="minorHAnsi"/>
          <w:b/>
          <w:bCs/>
        </w:rPr>
        <w:t xml:space="preserve"> </w:t>
      </w:r>
    </w:p>
    <w:p w14:paraId="68357BFC" w14:textId="48D88106" w:rsidR="00C2562E" w:rsidRPr="0073282A" w:rsidRDefault="00C2562E"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rPr>
      </w:pPr>
      <w:r w:rsidRPr="0073282A">
        <w:t xml:space="preserve">2009 development cohort: Calibration (over-fitting statistics): (0, 1) </w:t>
      </w:r>
    </w:p>
    <w:p w14:paraId="66E25C6B" w14:textId="77777777" w:rsidR="00C2562E" w:rsidRPr="0073282A" w:rsidRDefault="00C2562E" w:rsidP="00D14E62">
      <w:pPr>
        <w:pStyle w:val="Default"/>
        <w:pBdr>
          <w:top w:val="single" w:sz="4" w:space="1" w:color="auto"/>
          <w:left w:val="single" w:sz="4" w:space="4" w:color="auto"/>
          <w:bottom w:val="single" w:sz="4" w:space="1" w:color="auto"/>
          <w:right w:val="single" w:sz="4" w:space="4" w:color="auto"/>
        </w:pBdr>
        <w:rPr>
          <w:color w:val="auto"/>
          <w:sz w:val="22"/>
          <w:szCs w:val="22"/>
        </w:rPr>
      </w:pPr>
      <w:r w:rsidRPr="0073282A">
        <w:rPr>
          <w:color w:val="auto"/>
          <w:sz w:val="22"/>
          <w:szCs w:val="22"/>
        </w:rPr>
        <w:t xml:space="preserve">2008 validation cohort: Calibration (over-fitting statistics): (0.01, 0.99) </w:t>
      </w:r>
    </w:p>
    <w:p w14:paraId="0CABCFFE" w14:textId="051F2FD2" w:rsidR="00001D73" w:rsidRPr="0073282A" w:rsidRDefault="00C2562E"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3282A">
        <w:t>2010 validation cohort: Calibration (over-fitting statistics): (-0.10, 0.97)</w:t>
      </w:r>
    </w:p>
    <w:p w14:paraId="4E3E59A7" w14:textId="0F27ECF3" w:rsidR="00C2562E" w:rsidRDefault="00C2562E" w:rsidP="00C2562E">
      <w:pPr>
        <w:autoSpaceDE w:val="0"/>
        <w:autoSpaceDN w:val="0"/>
        <w:adjustRightInd w:val="0"/>
        <w:spacing w:after="0" w:line="240" w:lineRule="auto"/>
        <w:rPr>
          <w:rFonts w:cstheme="minorHAnsi"/>
          <w:b/>
          <w:bCs/>
        </w:rPr>
      </w:pPr>
    </w:p>
    <w:p w14:paraId="09B9E55F" w14:textId="77777777" w:rsidR="00C2562E" w:rsidRDefault="00C2562E" w:rsidP="00C2562E">
      <w:pPr>
        <w:autoSpaceDE w:val="0"/>
        <w:autoSpaceDN w:val="0"/>
        <w:adjustRightInd w:val="0"/>
        <w:spacing w:after="0" w:line="240" w:lineRule="auto"/>
        <w:rPr>
          <w:rFonts w:cstheme="minorHAnsi"/>
          <w:b/>
          <w:bCs/>
        </w:rPr>
      </w:pPr>
    </w:p>
    <w:p w14:paraId="17BC4E42" w14:textId="3D4EAA0E" w:rsidR="00E019A1" w:rsidRDefault="009C7513" w:rsidP="00E019A1">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1ED73620" w14:textId="1EB9F3CF" w:rsidR="00E019A1" w:rsidRPr="0073282A" w:rsidRDefault="00E019A1"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rPr>
      </w:pPr>
      <w:r w:rsidRPr="0073282A">
        <w:rPr>
          <w:rFonts w:cstheme="minorHAnsi"/>
          <w:bCs/>
        </w:rPr>
        <w:lastRenderedPageBreak/>
        <w:t xml:space="preserve">The risk decile plot is a graphical depiction of the deciles calculated to measure predictive ability. </w:t>
      </w:r>
      <w:r w:rsidRPr="0073282A">
        <w:rPr>
          <w:rFonts w:cstheme="minorHAnsi"/>
        </w:rPr>
        <w:t>Below, we present the risk decile plot showing the distributions for Medicare FFS data from July 2013 to June 2016 (</w:t>
      </w:r>
      <w:r w:rsidRPr="0073282A">
        <w:rPr>
          <w:rFonts w:cstheme="minorHAnsi"/>
          <w:b/>
        </w:rPr>
        <w:t>Dataset 1</w:t>
      </w:r>
      <w:r w:rsidRPr="0073282A">
        <w:rPr>
          <w:rFonts w:cstheme="minorHAnsi"/>
        </w:rPr>
        <w:t>).</w:t>
      </w:r>
    </w:p>
    <w:p w14:paraId="5ECB12EE" w14:textId="164FBF12" w:rsidR="00244E26" w:rsidRDefault="00244E26" w:rsidP="00E019A1">
      <w:pPr>
        <w:autoSpaceDE w:val="0"/>
        <w:autoSpaceDN w:val="0"/>
        <w:adjustRightInd w:val="0"/>
        <w:spacing w:after="0" w:line="240" w:lineRule="auto"/>
        <w:rPr>
          <w:rFonts w:cstheme="minorHAnsi"/>
          <w:color w:val="FF0000"/>
        </w:rPr>
      </w:pPr>
    </w:p>
    <w:p w14:paraId="0C61C19A" w14:textId="2F6B271A" w:rsidR="00244E26" w:rsidRPr="00E019A1" w:rsidRDefault="00244E26" w:rsidP="00E019A1">
      <w:pPr>
        <w:autoSpaceDE w:val="0"/>
        <w:autoSpaceDN w:val="0"/>
        <w:adjustRightInd w:val="0"/>
        <w:spacing w:after="0" w:line="240" w:lineRule="auto"/>
        <w:rPr>
          <w:rFonts w:cstheme="minorHAnsi"/>
          <w:color w:val="FF0000"/>
        </w:rPr>
      </w:pPr>
      <w:r>
        <w:rPr>
          <w:rFonts w:cstheme="minorHAnsi"/>
          <w:noProof/>
          <w:color w:val="FF0000"/>
        </w:rPr>
        <w:drawing>
          <wp:inline distT="0" distB="0" distL="0" distR="0" wp14:anchorId="0F25EB0C" wp14:editId="5B6F6CB3">
            <wp:extent cx="5736590" cy="41636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6590" cy="4163695"/>
                    </a:xfrm>
                    <a:prstGeom prst="rect">
                      <a:avLst/>
                    </a:prstGeom>
                    <a:noFill/>
                  </pic:spPr>
                </pic:pic>
              </a:graphicData>
            </a:graphic>
          </wp:inline>
        </w:drawing>
      </w:r>
    </w:p>
    <w:p w14:paraId="6071A9BD" w14:textId="7792F7B1" w:rsidR="00A9114D" w:rsidRDefault="00A9114D" w:rsidP="00092566">
      <w:pPr>
        <w:autoSpaceDE w:val="0"/>
        <w:autoSpaceDN w:val="0"/>
        <w:adjustRightInd w:val="0"/>
        <w:spacing w:after="0" w:line="240" w:lineRule="auto"/>
        <w:rPr>
          <w:rFonts w:cstheme="minorHAnsi"/>
          <w:b/>
        </w:rPr>
      </w:pPr>
    </w:p>
    <w:p w14:paraId="6327A56A" w14:textId="0301AED9" w:rsidR="00D14E62" w:rsidRPr="00D14E62" w:rsidRDefault="009C7513" w:rsidP="00D14E62">
      <w:pPr>
        <w:autoSpaceDE w:val="0"/>
        <w:autoSpaceDN w:val="0"/>
        <w:adjustRightInd w:val="0"/>
        <w:spacing w:after="0" w:line="240" w:lineRule="auto"/>
        <w:rPr>
          <w:rFonts w:cstheme="minorHAnsi"/>
          <w:bCs/>
        </w:rPr>
      </w:pPr>
      <w:bookmarkStart w:id="36" w:name="question2b49"/>
      <w:bookmarkEnd w:id="36"/>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1D62ACEB" w:rsidR="00092566" w:rsidRPr="0073282A" w:rsidRDefault="00E019A1" w:rsidP="00D14E62">
      <w:pPr>
        <w:pBdr>
          <w:top w:val="single" w:sz="4" w:space="1" w:color="auto"/>
          <w:left w:val="single" w:sz="4" w:space="4" w:color="auto"/>
          <w:bottom w:val="single" w:sz="4" w:space="1" w:color="auto"/>
          <w:right w:val="single" w:sz="4" w:space="4" w:color="auto"/>
        </w:pBdr>
        <w:outlineLvl w:val="0"/>
        <w:rPr>
          <w:rFonts w:cstheme="minorHAnsi"/>
          <w:bCs/>
        </w:rPr>
      </w:pPr>
      <w:r w:rsidRPr="0073282A">
        <w:rPr>
          <w:rFonts w:cstheme="minorHAnsi"/>
          <w:bCs/>
        </w:rPr>
        <w:t>N/A</w:t>
      </w:r>
    </w:p>
    <w:p w14:paraId="0253A4E7" w14:textId="77777777" w:rsidR="0009163B" w:rsidRDefault="009C7513" w:rsidP="0009163B">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7CF65BA1" w14:textId="41EBA36B" w:rsidR="0009163B" w:rsidRPr="0073282A" w:rsidRDefault="0009163B"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
          <w:bCs/>
        </w:rPr>
      </w:pPr>
      <w:r w:rsidRPr="0073282A">
        <w:rPr>
          <w:rFonts w:cstheme="minorHAnsi"/>
          <w:b/>
          <w:bCs/>
        </w:rPr>
        <w:t>Discrimination Statistics</w:t>
      </w:r>
      <w:r w:rsidR="0096437D" w:rsidRPr="0073282A">
        <w:rPr>
          <w:rFonts w:cstheme="minorHAnsi"/>
          <w:b/>
          <w:bCs/>
        </w:rPr>
        <w:t xml:space="preserve"> (Dataset 1 and Dataset 2)</w:t>
      </w:r>
    </w:p>
    <w:p w14:paraId="09967378" w14:textId="21BC6CDA" w:rsidR="00CF3237" w:rsidRPr="0073282A" w:rsidRDefault="0009163B"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 xml:space="preserve">The C-statistics </w:t>
      </w:r>
      <w:r w:rsidR="00CF3237" w:rsidRPr="0073282A">
        <w:rPr>
          <w:rFonts w:cstheme="minorHAnsi"/>
          <w:bCs/>
        </w:rPr>
        <w:t>ranged from</w:t>
      </w:r>
      <w:r w:rsidRPr="0073282A">
        <w:rPr>
          <w:rFonts w:cstheme="minorHAnsi"/>
          <w:bCs/>
        </w:rPr>
        <w:t xml:space="preserve"> 0.</w:t>
      </w:r>
      <w:r w:rsidR="00CF3237" w:rsidRPr="0073282A">
        <w:rPr>
          <w:rFonts w:cstheme="minorHAnsi"/>
          <w:bCs/>
        </w:rPr>
        <w:t>75</w:t>
      </w:r>
      <w:r w:rsidRPr="0073282A">
        <w:rPr>
          <w:rFonts w:cstheme="minorHAnsi"/>
          <w:bCs/>
        </w:rPr>
        <w:t xml:space="preserve"> </w:t>
      </w:r>
      <w:r w:rsidR="00CF3237" w:rsidRPr="0073282A">
        <w:rPr>
          <w:rFonts w:cstheme="minorHAnsi"/>
          <w:bCs/>
        </w:rPr>
        <w:t xml:space="preserve">to 0.78 across </w:t>
      </w:r>
      <w:r w:rsidR="00CF3237" w:rsidRPr="0073282A">
        <w:t>datasets (</w:t>
      </w:r>
      <w:bookmarkStart w:id="37" w:name="_Hlk497811302"/>
      <w:r w:rsidR="00CF3237" w:rsidRPr="0073282A">
        <w:t>Dataset 1 and Dataset 2</w:t>
      </w:r>
      <w:bookmarkEnd w:id="37"/>
      <w:r w:rsidR="00CF3237" w:rsidRPr="0073282A">
        <w:t>)</w:t>
      </w:r>
      <w:r w:rsidR="00CF3237" w:rsidRPr="0073282A">
        <w:rPr>
          <w:rFonts w:cstheme="minorHAnsi"/>
          <w:bCs/>
        </w:rPr>
        <w:t xml:space="preserve"> </w:t>
      </w:r>
      <w:r w:rsidR="00CF3237" w:rsidRPr="0073282A">
        <w:t>and indicates good model discrimination. The model indicated a wide range between the lowest decile and highest decile, indicating the ability to distinguish high-risk subjects from low-risk subjects.</w:t>
      </w:r>
    </w:p>
    <w:p w14:paraId="6718937F" w14:textId="6B9BE4A6" w:rsidR="00CF3237" w:rsidRPr="0073282A" w:rsidRDefault="00CF323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rPr>
      </w:pPr>
    </w:p>
    <w:p w14:paraId="5FE35552" w14:textId="0174C8FE" w:rsidR="0009163B" w:rsidRPr="0073282A" w:rsidRDefault="0009163B"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
          <w:bCs/>
        </w:rPr>
      </w:pPr>
      <w:r w:rsidRPr="0073282A">
        <w:rPr>
          <w:rFonts w:cstheme="minorHAnsi"/>
          <w:b/>
          <w:bCs/>
        </w:rPr>
        <w:t>Calibration Statistics</w:t>
      </w:r>
      <w:r w:rsidR="0096437D" w:rsidRPr="0073282A">
        <w:rPr>
          <w:rFonts w:cstheme="minorHAnsi"/>
          <w:b/>
          <w:bCs/>
        </w:rPr>
        <w:t xml:space="preserve"> (Dataset 2)</w:t>
      </w:r>
    </w:p>
    <w:p w14:paraId="2F4D095A" w14:textId="77777777" w:rsidR="0009163B" w:rsidRPr="0073282A" w:rsidRDefault="0009163B"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 xml:space="preserve">Over-fitting (Calibration γ0, γ1) </w:t>
      </w:r>
    </w:p>
    <w:p w14:paraId="3EA1EF18" w14:textId="0305D82B" w:rsidR="0009163B" w:rsidRPr="0073282A" w:rsidRDefault="00C02A9A"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3282A">
        <w:t>If the γ0 in the validation samples are substantially far from zero and the γ1 is substantially far from 1, there is potential evidence of over-fitting. The calibration value of close to zero at one end and close to 1 on the other end indicates good calibration of the model</w:t>
      </w:r>
      <w:r w:rsidR="000D207A" w:rsidRPr="0073282A">
        <w:t xml:space="preserve"> (Dataset 2)</w:t>
      </w:r>
      <w:r w:rsidRPr="0073282A">
        <w:t>.</w:t>
      </w:r>
    </w:p>
    <w:p w14:paraId="1E2D4D15" w14:textId="77777777" w:rsidR="00C02A9A" w:rsidRPr="0073282A" w:rsidRDefault="00C02A9A"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122B1B66" w14:textId="0514FD84" w:rsidR="0009163B" w:rsidRPr="0073282A" w:rsidRDefault="0009163B"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
          <w:bCs/>
        </w:rPr>
      </w:pPr>
      <w:r w:rsidRPr="0073282A">
        <w:rPr>
          <w:rFonts w:cstheme="minorHAnsi"/>
          <w:b/>
          <w:bCs/>
        </w:rPr>
        <w:lastRenderedPageBreak/>
        <w:t>Risk Decile Plots</w:t>
      </w:r>
      <w:r w:rsidR="0096437D" w:rsidRPr="0073282A">
        <w:rPr>
          <w:rFonts w:cstheme="minorHAnsi"/>
          <w:b/>
          <w:bCs/>
        </w:rPr>
        <w:t xml:space="preserve"> (Dataset 1)</w:t>
      </w:r>
    </w:p>
    <w:p w14:paraId="1AC6D786" w14:textId="77777777" w:rsidR="0009163B" w:rsidRPr="0073282A" w:rsidRDefault="0009163B"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Higher deciles of the predicted outcomes are associated with higher observed outcomes, which show a good calibration of the model. This plot indicates excellent discrimination of the model and good predictive ability.</w:t>
      </w:r>
    </w:p>
    <w:p w14:paraId="561E72A7" w14:textId="77777777" w:rsidR="0009163B" w:rsidRPr="0073282A" w:rsidRDefault="0009163B"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946DD62" w14:textId="3CDA6C0D" w:rsidR="0009163B" w:rsidRPr="0073282A" w:rsidRDefault="0009163B"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
          <w:bCs/>
        </w:rPr>
      </w:pPr>
      <w:r w:rsidRPr="0073282A">
        <w:rPr>
          <w:rFonts w:cstheme="minorHAnsi"/>
          <w:b/>
          <w:bCs/>
        </w:rPr>
        <w:t>Overall Interpretation</w:t>
      </w:r>
      <w:r w:rsidR="0096437D" w:rsidRPr="0073282A">
        <w:rPr>
          <w:rFonts w:cstheme="minorHAnsi"/>
          <w:b/>
          <w:bCs/>
        </w:rPr>
        <w:t xml:space="preserve"> (Dataset 1 and Dataset 2)</w:t>
      </w:r>
    </w:p>
    <w:p w14:paraId="0CABD002" w14:textId="0EA7F12A" w:rsidR="00092566" w:rsidRPr="0073282A" w:rsidRDefault="0009163B"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Interpreted together, our diagnostic results demonstrate the risk-adjustment model adequately controls for differences in patient characteristics (case mix).</w:t>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7C40B6E1" w14:textId="77777777" w:rsidR="00C92733" w:rsidRDefault="00C92733" w:rsidP="00C92733">
      <w:pPr>
        <w:autoSpaceDE w:val="0"/>
        <w:autoSpaceDN w:val="0"/>
        <w:adjustRightInd w:val="0"/>
        <w:spacing w:after="0" w:line="240" w:lineRule="auto"/>
        <w:rPr>
          <w:rFonts w:ascii="Calibri" w:hAnsi="Calibri" w:cs="Calibri"/>
          <w:color w:val="000000"/>
          <w:u w:val="single"/>
        </w:rPr>
      </w:pPr>
    </w:p>
    <w:p w14:paraId="39F06A52" w14:textId="657C58FD" w:rsidR="00C92733" w:rsidRPr="0073282A" w:rsidRDefault="00C92733"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ascii="Calibri" w:hAnsi="Calibri" w:cs="Calibri"/>
          <w:sz w:val="24"/>
          <w:szCs w:val="24"/>
        </w:rPr>
      </w:pPr>
      <w:r w:rsidRPr="0073282A">
        <w:rPr>
          <w:rFonts w:ascii="Calibri" w:hAnsi="Calibri" w:cs="Calibri"/>
          <w:u w:val="single"/>
        </w:rPr>
        <w:t xml:space="preserve">Application to Patients Aged 18 Years and Older </w:t>
      </w:r>
      <w:r w:rsidR="00934E9F" w:rsidRPr="0073282A">
        <w:rPr>
          <w:rFonts w:ascii="Calibri" w:hAnsi="Calibri" w:cs="Calibri"/>
          <w:u w:val="single"/>
        </w:rPr>
        <w:t>(Dataset 4)</w:t>
      </w:r>
    </w:p>
    <w:p w14:paraId="0CABD005" w14:textId="572BA028" w:rsidR="003755CB" w:rsidRPr="0073282A" w:rsidRDefault="00C92733"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rPr>
      </w:pPr>
      <w:r w:rsidRPr="0073282A">
        <w:rPr>
          <w:rFonts w:ascii="Calibri" w:hAnsi="Calibri" w:cs="Calibri"/>
        </w:rPr>
        <w:t>When the model was applied to all patients aged 18+ in 2006 California Patient Discharge Data, overall discrimination was good (C statistic=0.84). In addition, there was good discrimination and predictive ability in both those aged 18-64 and those aged 65+. Moreover, the distribution of Pearson residuals was comparable across the patient subgroups. When comparing the model with and without interaction terms [between age (&gt;65 and &lt;65) and individual risk factors]: (a) the reclassification analysis demonstrated nearly 100% overall agreement in patient risk categorization; (b) the C statistic was nearly identical for the models with and without interaction terms (0.85 vs. 0.86, respectively); and (c) hospital-level risk-standardized rates were highly correlated (ICC=0.998). Although there were significant age-by-risk-factor interaction terms for two variables (Older and COPD, and Older and Dementia or Senility), the inclusion of interactions did not substantively affect either patient-level model performance or hospital-level results. Therefore, the measure can be applied to all-payer data for patients 18 years and older. For simplicity and pending further study, the only change currently recommended to the measure specifications to allow application to an all-payer, 18+ year population is transformation of the Age variable from “Age – 65” to a fully continuous age variable.</w:t>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38" w:name="section2b5"/>
      <w:bookmarkEnd w:id="38"/>
      <w:r>
        <w:rPr>
          <w:rFonts w:cstheme="minorHAnsi"/>
          <w:b/>
          <w:bCs/>
        </w:rPr>
        <w:t>2b4</w:t>
      </w:r>
      <w:r w:rsidR="00D61410" w:rsidRPr="00A25024">
        <w:rPr>
          <w:rFonts w:cstheme="minorHAnsi"/>
          <w:b/>
          <w:bCs/>
        </w:rPr>
        <w:t>. IDENTIFICATION OF STATISTICALLY SIGNIFICANT &amp; MEANINGFUL DIFFERENCES IN PERFORMANCE</w:t>
      </w:r>
    </w:p>
    <w:p w14:paraId="75B0BC69" w14:textId="77777777" w:rsidR="004229CE" w:rsidRDefault="004229CE" w:rsidP="00D61410">
      <w:pPr>
        <w:autoSpaceDE w:val="0"/>
        <w:autoSpaceDN w:val="0"/>
        <w:adjustRightInd w:val="0"/>
        <w:spacing w:after="0" w:line="240" w:lineRule="auto"/>
        <w:rPr>
          <w:rFonts w:cstheme="minorHAnsi"/>
          <w:b/>
          <w:bCs/>
        </w:rPr>
      </w:pPr>
    </w:p>
    <w:p w14:paraId="4931774B" w14:textId="77777777" w:rsidR="00B11DB2" w:rsidRDefault="009C7513" w:rsidP="00B11DB2">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B11DB2">
        <w:rPr>
          <w:rFonts w:cstheme="minorHAnsi"/>
          <w:bCs/>
        </w:rPr>
        <w:br/>
      </w:r>
    </w:p>
    <w:p w14:paraId="5C6A43F0" w14:textId="04479526" w:rsidR="00B11DB2" w:rsidRPr="0073282A" w:rsidRDefault="00B11DB2"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For public reporting of the measure, CMS characterizes the uncertainty associated with the RSMR by estimating the 95% interval estimate. This is similar to a 95% confidence interval but is calculated differently. If the RSMR’s interval estimate does not include the national observed mortality rate (is lower or higher than the rate), then CMS is confident that the hospital’s RSMR is different from the national rate, and describes the hospital on the Hospital Compare website as “better than the U.S. national rate” or “worse than the U.S. national rate.” If the interval includes the national rate, then CMS describes the hospital’s RSMR as “no different than the U.S. national rate” or “the difference is uncertain.” CMS does not classify performance for hospitals that have fewer than 25 cases in the three-year period.</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1BA155DB" w:rsidR="00D61410" w:rsidRDefault="009C7513" w:rsidP="00D61410">
      <w:pPr>
        <w:autoSpaceDE w:val="0"/>
        <w:autoSpaceDN w:val="0"/>
        <w:adjustRightInd w:val="0"/>
        <w:spacing w:after="0" w:line="240" w:lineRule="auto"/>
        <w:rPr>
          <w:rFonts w:cstheme="minorHAnsi"/>
          <w:bCs/>
        </w:rPr>
      </w:pPr>
      <w:r>
        <w:rPr>
          <w:rFonts w:cstheme="minorHAnsi"/>
          <w:b/>
          <w:bCs/>
        </w:rPr>
        <w:lastRenderedPageBreak/>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0D9182D2" w14:textId="0FBBFB97" w:rsidR="00495998" w:rsidRPr="0073282A" w:rsidRDefault="00495998"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3282A">
        <w:rPr>
          <w:rFonts w:cstheme="minorHAnsi"/>
          <w:bCs/>
        </w:rPr>
        <w:t>Analyses of Medicare FFS data show substantial variation in RSMRs among hosp</w:t>
      </w:r>
      <w:r w:rsidR="00346A8A" w:rsidRPr="0073282A">
        <w:rPr>
          <w:rFonts w:cstheme="minorHAnsi"/>
          <w:bCs/>
        </w:rPr>
        <w:t xml:space="preserve">itals. Using data from July 2013-June 2016 </w:t>
      </w:r>
      <w:r w:rsidRPr="0073282A">
        <w:rPr>
          <w:rFonts w:cstheme="minorHAnsi"/>
          <w:bCs/>
        </w:rPr>
        <w:t>(</w:t>
      </w:r>
      <w:r w:rsidRPr="0073282A">
        <w:rPr>
          <w:rFonts w:cstheme="minorHAnsi"/>
          <w:b/>
          <w:bCs/>
        </w:rPr>
        <w:t>Dataset 1</w:t>
      </w:r>
      <w:r w:rsidRPr="0073282A">
        <w:rPr>
          <w:rFonts w:cstheme="minorHAnsi"/>
          <w:bCs/>
        </w:rPr>
        <w:t xml:space="preserve">), the median hospital RSMR was </w:t>
      </w:r>
      <w:r w:rsidR="0048409D" w:rsidRPr="0073282A">
        <w:rPr>
          <w:rFonts w:cstheme="minorHAnsi"/>
          <w:bCs/>
        </w:rPr>
        <w:t>3.1%, with a range of 1.3% to 7.4</w:t>
      </w:r>
      <w:r w:rsidRPr="0073282A">
        <w:rPr>
          <w:rFonts w:cstheme="minorHAnsi"/>
          <w:bCs/>
        </w:rPr>
        <w:t xml:space="preserve">%. The interquartile range was </w:t>
      </w:r>
      <w:r w:rsidR="0048409D" w:rsidRPr="0073282A">
        <w:rPr>
          <w:rFonts w:cstheme="minorHAnsi"/>
          <w:bCs/>
        </w:rPr>
        <w:t>2.7%-3.7%.</w:t>
      </w:r>
    </w:p>
    <w:p w14:paraId="71B30391" w14:textId="087DC890" w:rsidR="00AB5F36" w:rsidRPr="0073282A" w:rsidRDefault="00AB5F36"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04564EB8" w14:textId="3304E329" w:rsidR="00AB5F36" w:rsidRPr="0073282A" w:rsidRDefault="00AB5F36" w:rsidP="00D14E62">
      <w:pPr>
        <w:pBdr>
          <w:top w:val="single" w:sz="4" w:space="1" w:color="auto"/>
          <w:left w:val="single" w:sz="4" w:space="4" w:color="auto"/>
          <w:bottom w:val="single" w:sz="4" w:space="1" w:color="auto"/>
          <w:right w:val="single" w:sz="4" w:space="4" w:color="auto"/>
        </w:pBdr>
        <w:spacing w:after="240"/>
        <w:rPr>
          <w:rFonts w:ascii="Calibri" w:hAnsi="Calibri"/>
          <w:bCs/>
        </w:rPr>
      </w:pPr>
      <w:r w:rsidRPr="0073282A">
        <w:rPr>
          <w:rFonts w:ascii="Calibri" w:hAnsi="Calibri"/>
          <w:bCs/>
        </w:rPr>
        <w:t>Of 1,185 hospitals in the study cohort, 17 performed “Better than the National Rate,” 1,004 performed “No Different from the National Rate,” and 18 performed “Worse than the National Rate.” 146 were classified as “Number of Cases Too Small” (fewer than 25) to reliably tell how well the hospital is performing.</w:t>
      </w:r>
    </w:p>
    <w:p w14:paraId="0CABD00C" w14:textId="70A7860E"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0DFB660A" w14:textId="6BABEA61" w:rsidR="007478CE" w:rsidRPr="0073282A" w:rsidRDefault="00331C97" w:rsidP="00D14E6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73282A">
        <w:t>The variation in rates suggests there are meaningful differences across hospitals in 30-day all-cause mortality following a qualifying CABG procedure.</w:t>
      </w:r>
    </w:p>
    <w:p w14:paraId="3D4B7EDA" w14:textId="77777777" w:rsidR="00331C97" w:rsidRPr="00331C97" w:rsidRDefault="00331C97" w:rsidP="00D61410">
      <w:pPr>
        <w:autoSpaceDE w:val="0"/>
        <w:autoSpaceDN w:val="0"/>
        <w:adjustRightInd w:val="0"/>
        <w:spacing w:after="0" w:line="240" w:lineRule="auto"/>
        <w:rPr>
          <w:rFonts w:cstheme="minorHAnsi"/>
          <w:bCs/>
          <w:color w:val="FF0000"/>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2B3B3A">
      <w:pPr>
        <w:spacing w:after="0" w:line="240" w:lineRule="auto"/>
        <w:outlineLvl w:val="0"/>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3E1C0606" w:rsidR="000F06B5" w:rsidRPr="0073282A" w:rsidRDefault="00A26644" w:rsidP="00D14E62">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outlineLvl w:val="0"/>
        <w:rPr>
          <w:rFonts w:cstheme="minorHAnsi"/>
          <w:bCs/>
        </w:rPr>
      </w:pPr>
      <w:r w:rsidRPr="0073282A">
        <w:rPr>
          <w:rFonts w:cstheme="minorHAnsi"/>
          <w:bCs/>
        </w:rPr>
        <w:t>N/A</w:t>
      </w:r>
    </w:p>
    <w:p w14:paraId="541FEF84" w14:textId="77777777" w:rsidR="00A26644" w:rsidRPr="00A26644" w:rsidRDefault="00A26644" w:rsidP="00DB3627">
      <w:pPr>
        <w:pStyle w:val="ListParagraph"/>
        <w:autoSpaceDE w:val="0"/>
        <w:autoSpaceDN w:val="0"/>
        <w:adjustRightInd w:val="0"/>
        <w:spacing w:after="0" w:line="240" w:lineRule="auto"/>
        <w:ind w:left="0"/>
        <w:rPr>
          <w:rFonts w:cstheme="minorHAnsi"/>
          <w:bCs/>
          <w:color w:val="FF0000"/>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384C20A7" w14:textId="77777777" w:rsidR="00A26644" w:rsidRPr="0073282A" w:rsidRDefault="00A26644" w:rsidP="00D14E62">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outlineLvl w:val="0"/>
        <w:rPr>
          <w:rFonts w:cstheme="minorHAnsi"/>
          <w:bCs/>
        </w:rPr>
      </w:pPr>
      <w:r w:rsidRPr="0073282A">
        <w:rPr>
          <w:rFonts w:cstheme="minorHAnsi"/>
          <w:bC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2DBCAFE4" w14:textId="77777777" w:rsidR="00A26644" w:rsidRDefault="009C7513" w:rsidP="00DB3627">
      <w:pPr>
        <w:autoSpaceDE w:val="0"/>
        <w:autoSpaceDN w:val="0"/>
        <w:adjustRightInd w:val="0"/>
        <w:spacing w:after="0" w:line="240" w:lineRule="auto"/>
        <w:rPr>
          <w:rFonts w:cstheme="minorHAnsi"/>
          <w:bCs/>
        </w:rPr>
      </w:pPr>
      <w:r>
        <w:rPr>
          <w:rFonts w:cstheme="minorHAnsi"/>
          <w:b/>
          <w:bCs/>
        </w:rPr>
        <w:lastRenderedPageBreak/>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p>
    <w:p w14:paraId="0CABD017" w14:textId="67416CD7" w:rsidR="0079180E" w:rsidRPr="0073282A" w:rsidRDefault="00A35F8F" w:rsidP="00D14E62">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rPr>
          <w:rFonts w:cstheme="minorHAnsi"/>
          <w:bCs/>
        </w:rPr>
      </w:pPr>
      <w:r w:rsidRPr="00DB3627">
        <w:rPr>
          <w:rFonts w:cstheme="minorHAnsi"/>
          <w:bCs/>
        </w:rPr>
        <w:br/>
      </w:r>
      <w:r w:rsidR="00A26644" w:rsidRPr="0073282A">
        <w:rPr>
          <w:rFonts w:cstheme="minorHAnsi"/>
          <w:bCs/>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517D0DCE" w14:textId="77777777" w:rsidR="00A26644" w:rsidRDefault="009C7513" w:rsidP="00A26644">
      <w:pPr>
        <w:pStyle w:val="ListParagraph"/>
        <w:autoSpaceDE w:val="0"/>
        <w:autoSpaceDN w:val="0"/>
        <w:adjustRightInd w:val="0"/>
        <w:spacing w:after="0" w:line="240" w:lineRule="auto"/>
        <w:ind w:left="0"/>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p>
    <w:p w14:paraId="172C5D5A" w14:textId="75121358" w:rsidR="00A26644" w:rsidRPr="0073282A" w:rsidRDefault="008F7E67" w:rsidP="00D14E62">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outlineLvl w:val="0"/>
        <w:rPr>
          <w:rFonts w:cstheme="minorHAnsi"/>
          <w:bCs/>
        </w:rPr>
      </w:pPr>
      <w:r w:rsidRPr="0073282A">
        <w:rPr>
          <w:rFonts w:cstheme="minorHAnsi"/>
          <w:bCs/>
        </w:rPr>
        <w:t xml:space="preserve"> </w:t>
      </w:r>
      <w:r w:rsidR="00A26644" w:rsidRPr="0073282A">
        <w:rPr>
          <w:rFonts w:cstheme="minorHAnsi"/>
          <w:bCs/>
        </w:rPr>
        <w:t>N/A</w:t>
      </w:r>
    </w:p>
    <w:p w14:paraId="0CABD01B" w14:textId="23BFABA2" w:rsidR="008F7E67" w:rsidRPr="00A25024" w:rsidRDefault="008F7E67"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456E3801" w14:textId="77777777" w:rsidR="00A26644" w:rsidRDefault="009C7513" w:rsidP="00A26644">
      <w:pPr>
        <w:pStyle w:val="ListParagraph"/>
        <w:autoSpaceDE w:val="0"/>
        <w:autoSpaceDN w:val="0"/>
        <w:adjustRightInd w:val="0"/>
        <w:spacing w:after="0" w:line="240" w:lineRule="auto"/>
        <w:ind w:left="0"/>
        <w:rPr>
          <w:rFonts w:cstheme="minorHAnsi"/>
          <w:bCs/>
          <w:color w:val="FF0000"/>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0CABD01D" w14:textId="36674308" w:rsidR="008F7E67" w:rsidRPr="0073282A" w:rsidRDefault="00A26644" w:rsidP="00D14E62">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outlineLvl w:val="0"/>
        <w:rPr>
          <w:rFonts w:cstheme="minorHAnsi"/>
          <w:bCs/>
        </w:rPr>
      </w:pPr>
      <w:r w:rsidRPr="0073282A">
        <w:rPr>
          <w:rFonts w:cstheme="minorHAnsi"/>
          <w:bCs/>
        </w:rPr>
        <w:t>N/A</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4E53EBA" w14:textId="77777777" w:rsidR="00A26644" w:rsidRDefault="00A26644" w:rsidP="00A26644">
      <w:pPr>
        <w:pStyle w:val="ListParagraph"/>
        <w:autoSpaceDE w:val="0"/>
        <w:autoSpaceDN w:val="0"/>
        <w:adjustRightInd w:val="0"/>
        <w:spacing w:after="0" w:line="240" w:lineRule="auto"/>
        <w:ind w:left="0"/>
        <w:rPr>
          <w:rFonts w:cstheme="minorHAnsi"/>
          <w:bCs/>
          <w:color w:val="FF0000"/>
        </w:rPr>
      </w:pPr>
    </w:p>
    <w:p w14:paraId="65E1DC5C" w14:textId="5BD13B85" w:rsidR="00A26644" w:rsidRPr="0073282A" w:rsidRDefault="00A26644" w:rsidP="00D14E62">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outlineLvl w:val="0"/>
        <w:rPr>
          <w:rFonts w:cstheme="minorHAnsi"/>
          <w:bCs/>
        </w:rPr>
      </w:pPr>
      <w:r w:rsidRPr="0073282A">
        <w:rPr>
          <w:rFonts w:cstheme="minorHAnsi"/>
          <w:bCs/>
        </w:rPr>
        <w:t>N/A</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8DA9E" w14:textId="77777777" w:rsidR="009A4A1E" w:rsidRDefault="009A4A1E" w:rsidP="005C73CA">
      <w:pPr>
        <w:spacing w:after="0" w:line="240" w:lineRule="auto"/>
      </w:pPr>
      <w:r>
        <w:separator/>
      </w:r>
    </w:p>
  </w:endnote>
  <w:endnote w:type="continuationSeparator" w:id="0">
    <w:p w14:paraId="3432736D" w14:textId="77777777" w:rsidR="009A4A1E" w:rsidRDefault="009A4A1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charset w:val="00"/>
    <w:family w:val="auto"/>
    <w:pitch w:val="variable"/>
    <w:sig w:usb0="E00002FF" w:usb1="4000ACFF" w:usb2="00000001" w:usb3="00000000" w:csb0="0000019F"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52500008" w:rsidR="00A15FB4" w:rsidRDefault="00A15FB4">
    <w:pPr>
      <w:pStyle w:val="Footer"/>
    </w:pPr>
    <w:r>
      <w:t>Version 7.1 9/6/2017</w:t>
    </w:r>
    <w:r>
      <w:ptab w:relativeTo="margin" w:alignment="right" w:leader="none"/>
    </w:r>
    <w:r>
      <w:fldChar w:fldCharType="begin"/>
    </w:r>
    <w:r>
      <w:instrText xml:space="preserve"> PAGE   \* MERGEFORMAT </w:instrText>
    </w:r>
    <w:r>
      <w:fldChar w:fldCharType="separate"/>
    </w:r>
    <w:r w:rsidR="005B17A5">
      <w:rPr>
        <w:noProof/>
      </w:rPr>
      <w:t>13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E8205" w14:textId="77777777" w:rsidR="009A4A1E" w:rsidRDefault="009A4A1E" w:rsidP="005C73CA">
      <w:pPr>
        <w:spacing w:after="0" w:line="240" w:lineRule="auto"/>
      </w:pPr>
      <w:r>
        <w:separator/>
      </w:r>
    </w:p>
  </w:footnote>
  <w:footnote w:type="continuationSeparator" w:id="0">
    <w:p w14:paraId="673991FD" w14:textId="77777777" w:rsidR="009A4A1E" w:rsidRDefault="009A4A1E"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A15FB4" w:rsidRPr="00105D8B" w:rsidRDefault="00A15FB4"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312A28"/>
    <w:multiLevelType w:val="hybridMultilevel"/>
    <w:tmpl w:val="B2CA88CA"/>
    <w:lvl w:ilvl="0" w:tplc="1C94CA9E">
      <w:numFmt w:val="bullet"/>
      <w:lvlText w:val="•"/>
      <w:lvlJc w:val="left"/>
      <w:pPr>
        <w:ind w:left="1080" w:hanging="720"/>
      </w:pPr>
      <w:rPr>
        <w:rFonts w:ascii="Calibri" w:eastAsiaTheme="minorEastAsia"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E34DB"/>
    <w:multiLevelType w:val="hybridMultilevel"/>
    <w:tmpl w:val="9B964806"/>
    <w:lvl w:ilvl="0" w:tplc="33CC6F26">
      <w:numFmt w:val="bullet"/>
      <w:lvlText w:val="•"/>
      <w:lvlJc w:val="left"/>
      <w:pPr>
        <w:ind w:left="720" w:hanging="360"/>
      </w:pPr>
      <w:rPr>
        <w:rFonts w:ascii="Calibri" w:eastAsiaTheme="minorEastAsia"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2F57B0"/>
    <w:multiLevelType w:val="hybridMultilevel"/>
    <w:tmpl w:val="61EAC0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60267A"/>
    <w:multiLevelType w:val="hybridMultilevel"/>
    <w:tmpl w:val="71DEB3B8"/>
    <w:lvl w:ilvl="0" w:tplc="1C94CA9E">
      <w:numFmt w:val="bullet"/>
      <w:lvlText w:val="•"/>
      <w:lvlJc w:val="left"/>
      <w:pPr>
        <w:ind w:left="720" w:hanging="720"/>
      </w:pPr>
      <w:rPr>
        <w:rFonts w:ascii="Calibri" w:eastAsiaTheme="minorEastAsia" w:hAnsi="Calibri" w:cstheme="minorHAns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CDA6850"/>
    <w:multiLevelType w:val="hybridMultilevel"/>
    <w:tmpl w:val="4AB20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9936D5"/>
    <w:multiLevelType w:val="hybridMultilevel"/>
    <w:tmpl w:val="8C6A4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EF4CEC"/>
    <w:multiLevelType w:val="hybridMultilevel"/>
    <w:tmpl w:val="9ACCF0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13"/>
  </w:num>
  <w:num w:numId="3">
    <w:abstractNumId w:val="4"/>
  </w:num>
  <w:num w:numId="4">
    <w:abstractNumId w:val="7"/>
  </w:num>
  <w:num w:numId="5">
    <w:abstractNumId w:val="3"/>
  </w:num>
  <w:num w:numId="6">
    <w:abstractNumId w:val="2"/>
  </w:num>
  <w:num w:numId="7">
    <w:abstractNumId w:val="5"/>
  </w:num>
  <w:num w:numId="8">
    <w:abstractNumId w:val="24"/>
  </w:num>
  <w:num w:numId="9">
    <w:abstractNumId w:val="12"/>
  </w:num>
  <w:num w:numId="10">
    <w:abstractNumId w:val="31"/>
  </w:num>
  <w:num w:numId="11">
    <w:abstractNumId w:val="14"/>
  </w:num>
  <w:num w:numId="12">
    <w:abstractNumId w:val="28"/>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10"/>
  </w:num>
  <w:num w:numId="17">
    <w:abstractNumId w:val="30"/>
  </w:num>
  <w:num w:numId="18">
    <w:abstractNumId w:val="26"/>
  </w:num>
  <w:num w:numId="19">
    <w:abstractNumId w:val="25"/>
  </w:num>
  <w:num w:numId="20">
    <w:abstractNumId w:val="18"/>
  </w:num>
  <w:num w:numId="21">
    <w:abstractNumId w:val="23"/>
  </w:num>
  <w:num w:numId="22">
    <w:abstractNumId w:val="17"/>
  </w:num>
  <w:num w:numId="23">
    <w:abstractNumId w:val="9"/>
  </w:num>
  <w:num w:numId="24">
    <w:abstractNumId w:val="16"/>
  </w:num>
  <w:num w:numId="25">
    <w:abstractNumId w:val="15"/>
  </w:num>
  <w:num w:numId="26">
    <w:abstractNumId w:val="32"/>
  </w:num>
  <w:num w:numId="27">
    <w:abstractNumId w:val="0"/>
  </w:num>
  <w:num w:numId="28">
    <w:abstractNumId w:val="11"/>
  </w:num>
  <w:num w:numId="29">
    <w:abstractNumId w:val="19"/>
  </w:num>
  <w:num w:numId="30">
    <w:abstractNumId w:val="22"/>
  </w:num>
  <w:num w:numId="31">
    <w:abstractNumId w:val="33"/>
  </w:num>
  <w:num w:numId="32">
    <w:abstractNumId w:val="8"/>
  </w:num>
  <w:num w:numId="33">
    <w:abstractNumId w:val="29"/>
  </w:num>
  <w:num w:numId="34">
    <w:abstractNumId w:val="1"/>
  </w:num>
  <w:num w:numId="35">
    <w:abstractNumId w:val="27"/>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45E3"/>
    <w:rsid w:val="000054AD"/>
    <w:rsid w:val="00006C23"/>
    <w:rsid w:val="0000702B"/>
    <w:rsid w:val="0001094F"/>
    <w:rsid w:val="000173E6"/>
    <w:rsid w:val="000206AE"/>
    <w:rsid w:val="00020985"/>
    <w:rsid w:val="00021170"/>
    <w:rsid w:val="0002128B"/>
    <w:rsid w:val="00021743"/>
    <w:rsid w:val="00024DFD"/>
    <w:rsid w:val="00027AB8"/>
    <w:rsid w:val="00027C6A"/>
    <w:rsid w:val="00030712"/>
    <w:rsid w:val="000309DD"/>
    <w:rsid w:val="00031414"/>
    <w:rsid w:val="00031E00"/>
    <w:rsid w:val="00031EB8"/>
    <w:rsid w:val="00032069"/>
    <w:rsid w:val="00032A0E"/>
    <w:rsid w:val="00033038"/>
    <w:rsid w:val="00033D63"/>
    <w:rsid w:val="0003436F"/>
    <w:rsid w:val="000414E8"/>
    <w:rsid w:val="00041E38"/>
    <w:rsid w:val="000443F6"/>
    <w:rsid w:val="0004593A"/>
    <w:rsid w:val="000477D6"/>
    <w:rsid w:val="00050A3E"/>
    <w:rsid w:val="00052395"/>
    <w:rsid w:val="00052A6F"/>
    <w:rsid w:val="0005316C"/>
    <w:rsid w:val="00053F02"/>
    <w:rsid w:val="00054A89"/>
    <w:rsid w:val="0005588D"/>
    <w:rsid w:val="0005612B"/>
    <w:rsid w:val="000574AB"/>
    <w:rsid w:val="0006142A"/>
    <w:rsid w:val="0006147A"/>
    <w:rsid w:val="00061D4D"/>
    <w:rsid w:val="0006234F"/>
    <w:rsid w:val="00064006"/>
    <w:rsid w:val="00065F92"/>
    <w:rsid w:val="0006793B"/>
    <w:rsid w:val="00075B49"/>
    <w:rsid w:val="000775F8"/>
    <w:rsid w:val="00080CF7"/>
    <w:rsid w:val="000849A2"/>
    <w:rsid w:val="00085154"/>
    <w:rsid w:val="000851B2"/>
    <w:rsid w:val="00091549"/>
    <w:rsid w:val="0009163B"/>
    <w:rsid w:val="00092390"/>
    <w:rsid w:val="00092566"/>
    <w:rsid w:val="00093692"/>
    <w:rsid w:val="000968F8"/>
    <w:rsid w:val="00097012"/>
    <w:rsid w:val="000A2783"/>
    <w:rsid w:val="000B032A"/>
    <w:rsid w:val="000B2DF7"/>
    <w:rsid w:val="000B3880"/>
    <w:rsid w:val="000B50F8"/>
    <w:rsid w:val="000B5EE6"/>
    <w:rsid w:val="000B7D57"/>
    <w:rsid w:val="000C036D"/>
    <w:rsid w:val="000C0FF8"/>
    <w:rsid w:val="000C6131"/>
    <w:rsid w:val="000D0C67"/>
    <w:rsid w:val="000D1D9F"/>
    <w:rsid w:val="000D207A"/>
    <w:rsid w:val="000D2722"/>
    <w:rsid w:val="000D7948"/>
    <w:rsid w:val="000D7C84"/>
    <w:rsid w:val="000E4E13"/>
    <w:rsid w:val="000E4F8F"/>
    <w:rsid w:val="000E5A87"/>
    <w:rsid w:val="000E78F6"/>
    <w:rsid w:val="000F034A"/>
    <w:rsid w:val="000F06B5"/>
    <w:rsid w:val="000F1AB9"/>
    <w:rsid w:val="000F1B7A"/>
    <w:rsid w:val="000F39E9"/>
    <w:rsid w:val="000F7EF7"/>
    <w:rsid w:val="00101ED3"/>
    <w:rsid w:val="00104513"/>
    <w:rsid w:val="00104B45"/>
    <w:rsid w:val="001056E7"/>
    <w:rsid w:val="00105D8B"/>
    <w:rsid w:val="00106B81"/>
    <w:rsid w:val="001131FA"/>
    <w:rsid w:val="0011342F"/>
    <w:rsid w:val="0011651E"/>
    <w:rsid w:val="00116B7C"/>
    <w:rsid w:val="001202E9"/>
    <w:rsid w:val="00120FF7"/>
    <w:rsid w:val="00121B00"/>
    <w:rsid w:val="00121B85"/>
    <w:rsid w:val="00122EF6"/>
    <w:rsid w:val="0012454F"/>
    <w:rsid w:val="00124F76"/>
    <w:rsid w:val="00125273"/>
    <w:rsid w:val="0012575E"/>
    <w:rsid w:val="00127C06"/>
    <w:rsid w:val="00136B4B"/>
    <w:rsid w:val="0014021D"/>
    <w:rsid w:val="00140C53"/>
    <w:rsid w:val="00141027"/>
    <w:rsid w:val="00141A6A"/>
    <w:rsid w:val="00141FB9"/>
    <w:rsid w:val="00145149"/>
    <w:rsid w:val="00145D4F"/>
    <w:rsid w:val="0014773C"/>
    <w:rsid w:val="001521D3"/>
    <w:rsid w:val="00172DB4"/>
    <w:rsid w:val="0017417B"/>
    <w:rsid w:val="0017696D"/>
    <w:rsid w:val="001839ED"/>
    <w:rsid w:val="001848FC"/>
    <w:rsid w:val="00185A55"/>
    <w:rsid w:val="00186F40"/>
    <w:rsid w:val="0018784B"/>
    <w:rsid w:val="00190D75"/>
    <w:rsid w:val="0019360C"/>
    <w:rsid w:val="00193F21"/>
    <w:rsid w:val="001969C5"/>
    <w:rsid w:val="001A29BE"/>
    <w:rsid w:val="001A404F"/>
    <w:rsid w:val="001A5F2A"/>
    <w:rsid w:val="001A69C9"/>
    <w:rsid w:val="001A6CDD"/>
    <w:rsid w:val="001A7D98"/>
    <w:rsid w:val="001B0C1B"/>
    <w:rsid w:val="001C12EE"/>
    <w:rsid w:val="001C3F19"/>
    <w:rsid w:val="001C7B02"/>
    <w:rsid w:val="001D0A4B"/>
    <w:rsid w:val="001D196E"/>
    <w:rsid w:val="001D4134"/>
    <w:rsid w:val="001D5D3A"/>
    <w:rsid w:val="001D5E62"/>
    <w:rsid w:val="001D6080"/>
    <w:rsid w:val="001D7598"/>
    <w:rsid w:val="001D7C66"/>
    <w:rsid w:val="001E061C"/>
    <w:rsid w:val="001E4DD4"/>
    <w:rsid w:val="001E69DC"/>
    <w:rsid w:val="001E7C0A"/>
    <w:rsid w:val="001F0208"/>
    <w:rsid w:val="001F169D"/>
    <w:rsid w:val="001F1DA1"/>
    <w:rsid w:val="001F44B7"/>
    <w:rsid w:val="001F694E"/>
    <w:rsid w:val="001F6F93"/>
    <w:rsid w:val="001F7A20"/>
    <w:rsid w:val="002007A9"/>
    <w:rsid w:val="00200D3B"/>
    <w:rsid w:val="00202D27"/>
    <w:rsid w:val="00202DFB"/>
    <w:rsid w:val="0021054A"/>
    <w:rsid w:val="00210ED0"/>
    <w:rsid w:val="00210ED7"/>
    <w:rsid w:val="002112B8"/>
    <w:rsid w:val="0021195A"/>
    <w:rsid w:val="00213383"/>
    <w:rsid w:val="00220250"/>
    <w:rsid w:val="002213A3"/>
    <w:rsid w:val="00221C54"/>
    <w:rsid w:val="00222444"/>
    <w:rsid w:val="0022691B"/>
    <w:rsid w:val="002272DD"/>
    <w:rsid w:val="00232163"/>
    <w:rsid w:val="00235235"/>
    <w:rsid w:val="002376F8"/>
    <w:rsid w:val="002408E4"/>
    <w:rsid w:val="00241591"/>
    <w:rsid w:val="00244E26"/>
    <w:rsid w:val="002462A3"/>
    <w:rsid w:val="00246ADC"/>
    <w:rsid w:val="00250B4F"/>
    <w:rsid w:val="00256D0D"/>
    <w:rsid w:val="0025762F"/>
    <w:rsid w:val="002576C6"/>
    <w:rsid w:val="00257832"/>
    <w:rsid w:val="00260D49"/>
    <w:rsid w:val="002641E4"/>
    <w:rsid w:val="002664EB"/>
    <w:rsid w:val="00273990"/>
    <w:rsid w:val="00273A75"/>
    <w:rsid w:val="002742F9"/>
    <w:rsid w:val="00275563"/>
    <w:rsid w:val="00276B40"/>
    <w:rsid w:val="002800E3"/>
    <w:rsid w:val="0028114D"/>
    <w:rsid w:val="00281FDE"/>
    <w:rsid w:val="002821AE"/>
    <w:rsid w:val="00283C55"/>
    <w:rsid w:val="00283C69"/>
    <w:rsid w:val="00283D9B"/>
    <w:rsid w:val="00285F25"/>
    <w:rsid w:val="00287649"/>
    <w:rsid w:val="00287E84"/>
    <w:rsid w:val="00290D18"/>
    <w:rsid w:val="002915A5"/>
    <w:rsid w:val="0029286C"/>
    <w:rsid w:val="00292A0A"/>
    <w:rsid w:val="0029300E"/>
    <w:rsid w:val="00294035"/>
    <w:rsid w:val="00297461"/>
    <w:rsid w:val="002B0C3A"/>
    <w:rsid w:val="002B1922"/>
    <w:rsid w:val="002B2116"/>
    <w:rsid w:val="002B2D9B"/>
    <w:rsid w:val="002B2ED8"/>
    <w:rsid w:val="002B3B3A"/>
    <w:rsid w:val="002B5016"/>
    <w:rsid w:val="002B742C"/>
    <w:rsid w:val="002B757C"/>
    <w:rsid w:val="002B7F4D"/>
    <w:rsid w:val="002C06BA"/>
    <w:rsid w:val="002C0F25"/>
    <w:rsid w:val="002C285C"/>
    <w:rsid w:val="002C2D58"/>
    <w:rsid w:val="002C7BE4"/>
    <w:rsid w:val="002D11B3"/>
    <w:rsid w:val="002D1611"/>
    <w:rsid w:val="002D26D7"/>
    <w:rsid w:val="002D417D"/>
    <w:rsid w:val="002D5E5D"/>
    <w:rsid w:val="002E1520"/>
    <w:rsid w:val="002E1EE6"/>
    <w:rsid w:val="002E4549"/>
    <w:rsid w:val="002E6898"/>
    <w:rsid w:val="002E78A0"/>
    <w:rsid w:val="002E7E8B"/>
    <w:rsid w:val="002F08C3"/>
    <w:rsid w:val="002F2687"/>
    <w:rsid w:val="002F48E1"/>
    <w:rsid w:val="002F4F3B"/>
    <w:rsid w:val="002F64D1"/>
    <w:rsid w:val="002F6B90"/>
    <w:rsid w:val="00304C86"/>
    <w:rsid w:val="003059EB"/>
    <w:rsid w:val="00307E2D"/>
    <w:rsid w:val="003116AC"/>
    <w:rsid w:val="00315567"/>
    <w:rsid w:val="00323E29"/>
    <w:rsid w:val="00324A9D"/>
    <w:rsid w:val="003260CC"/>
    <w:rsid w:val="00330144"/>
    <w:rsid w:val="0033081F"/>
    <w:rsid w:val="00331C1A"/>
    <w:rsid w:val="00331C97"/>
    <w:rsid w:val="00334329"/>
    <w:rsid w:val="00337517"/>
    <w:rsid w:val="00344859"/>
    <w:rsid w:val="00345CBA"/>
    <w:rsid w:val="00346245"/>
    <w:rsid w:val="00346A8A"/>
    <w:rsid w:val="00352F32"/>
    <w:rsid w:val="003532CA"/>
    <w:rsid w:val="00356267"/>
    <w:rsid w:val="00356BAD"/>
    <w:rsid w:val="003605B4"/>
    <w:rsid w:val="003627AC"/>
    <w:rsid w:val="00364660"/>
    <w:rsid w:val="00366914"/>
    <w:rsid w:val="003700DC"/>
    <w:rsid w:val="003725A7"/>
    <w:rsid w:val="00372FE3"/>
    <w:rsid w:val="003755CB"/>
    <w:rsid w:val="003811B8"/>
    <w:rsid w:val="00383F85"/>
    <w:rsid w:val="003844B7"/>
    <w:rsid w:val="00384EE5"/>
    <w:rsid w:val="00386908"/>
    <w:rsid w:val="00387BA1"/>
    <w:rsid w:val="003931E7"/>
    <w:rsid w:val="0039476F"/>
    <w:rsid w:val="003A23B3"/>
    <w:rsid w:val="003A2D91"/>
    <w:rsid w:val="003A306C"/>
    <w:rsid w:val="003A35D8"/>
    <w:rsid w:val="003A60D6"/>
    <w:rsid w:val="003A6B46"/>
    <w:rsid w:val="003A756B"/>
    <w:rsid w:val="003A7DE7"/>
    <w:rsid w:val="003A7E99"/>
    <w:rsid w:val="003B1006"/>
    <w:rsid w:val="003B2D4D"/>
    <w:rsid w:val="003B32BE"/>
    <w:rsid w:val="003B7E4D"/>
    <w:rsid w:val="003C014D"/>
    <w:rsid w:val="003C10FB"/>
    <w:rsid w:val="003C27FC"/>
    <w:rsid w:val="003C4AE6"/>
    <w:rsid w:val="003C5F11"/>
    <w:rsid w:val="003C6126"/>
    <w:rsid w:val="003D0BE4"/>
    <w:rsid w:val="003D294B"/>
    <w:rsid w:val="003D6401"/>
    <w:rsid w:val="003D6D56"/>
    <w:rsid w:val="003D7661"/>
    <w:rsid w:val="003E0B12"/>
    <w:rsid w:val="003E1863"/>
    <w:rsid w:val="003E1EC3"/>
    <w:rsid w:val="003E33C4"/>
    <w:rsid w:val="003F29A9"/>
    <w:rsid w:val="003F61E5"/>
    <w:rsid w:val="004003E6"/>
    <w:rsid w:val="004004D4"/>
    <w:rsid w:val="00400F92"/>
    <w:rsid w:val="004129DD"/>
    <w:rsid w:val="004135B8"/>
    <w:rsid w:val="0041606D"/>
    <w:rsid w:val="004162B9"/>
    <w:rsid w:val="00416962"/>
    <w:rsid w:val="004170AA"/>
    <w:rsid w:val="004206A8"/>
    <w:rsid w:val="004229CE"/>
    <w:rsid w:val="004232D0"/>
    <w:rsid w:val="004348CC"/>
    <w:rsid w:val="004439AC"/>
    <w:rsid w:val="00443FCA"/>
    <w:rsid w:val="004463B3"/>
    <w:rsid w:val="00450C58"/>
    <w:rsid w:val="00462E69"/>
    <w:rsid w:val="0046313B"/>
    <w:rsid w:val="00463950"/>
    <w:rsid w:val="004658FF"/>
    <w:rsid w:val="0046673E"/>
    <w:rsid w:val="004706A5"/>
    <w:rsid w:val="0047116D"/>
    <w:rsid w:val="00474ED7"/>
    <w:rsid w:val="004756E1"/>
    <w:rsid w:val="00475BB7"/>
    <w:rsid w:val="0048008A"/>
    <w:rsid w:val="00483E94"/>
    <w:rsid w:val="0048409D"/>
    <w:rsid w:val="00484120"/>
    <w:rsid w:val="004841AC"/>
    <w:rsid w:val="00484E14"/>
    <w:rsid w:val="004853A0"/>
    <w:rsid w:val="00494F88"/>
    <w:rsid w:val="00495998"/>
    <w:rsid w:val="00496B5F"/>
    <w:rsid w:val="004A2E10"/>
    <w:rsid w:val="004A5653"/>
    <w:rsid w:val="004B17FF"/>
    <w:rsid w:val="004B1BA0"/>
    <w:rsid w:val="004B1DFD"/>
    <w:rsid w:val="004B6CEE"/>
    <w:rsid w:val="004C0D56"/>
    <w:rsid w:val="004C1ADC"/>
    <w:rsid w:val="004C2443"/>
    <w:rsid w:val="004C2849"/>
    <w:rsid w:val="004C3363"/>
    <w:rsid w:val="004C498F"/>
    <w:rsid w:val="004C5C52"/>
    <w:rsid w:val="004C5D29"/>
    <w:rsid w:val="004C681A"/>
    <w:rsid w:val="004C7897"/>
    <w:rsid w:val="004D4D8A"/>
    <w:rsid w:val="004E4758"/>
    <w:rsid w:val="004F4D66"/>
    <w:rsid w:val="004F5521"/>
    <w:rsid w:val="004F68EE"/>
    <w:rsid w:val="00501DB0"/>
    <w:rsid w:val="00502599"/>
    <w:rsid w:val="00503830"/>
    <w:rsid w:val="005038D5"/>
    <w:rsid w:val="00511533"/>
    <w:rsid w:val="00511BA4"/>
    <w:rsid w:val="005121B7"/>
    <w:rsid w:val="005149E7"/>
    <w:rsid w:val="00517006"/>
    <w:rsid w:val="0052237D"/>
    <w:rsid w:val="005232D6"/>
    <w:rsid w:val="00523303"/>
    <w:rsid w:val="00523777"/>
    <w:rsid w:val="0052447C"/>
    <w:rsid w:val="005256ED"/>
    <w:rsid w:val="005333CC"/>
    <w:rsid w:val="0053580E"/>
    <w:rsid w:val="005363F1"/>
    <w:rsid w:val="00537C1B"/>
    <w:rsid w:val="0054139A"/>
    <w:rsid w:val="00543446"/>
    <w:rsid w:val="00544057"/>
    <w:rsid w:val="005442CE"/>
    <w:rsid w:val="00546EB5"/>
    <w:rsid w:val="0055007C"/>
    <w:rsid w:val="0055114C"/>
    <w:rsid w:val="00552321"/>
    <w:rsid w:val="005528AA"/>
    <w:rsid w:val="00554922"/>
    <w:rsid w:val="00555282"/>
    <w:rsid w:val="005560E7"/>
    <w:rsid w:val="00556DEA"/>
    <w:rsid w:val="005612CC"/>
    <w:rsid w:val="00563029"/>
    <w:rsid w:val="00565946"/>
    <w:rsid w:val="00566D48"/>
    <w:rsid w:val="00567D12"/>
    <w:rsid w:val="005740ED"/>
    <w:rsid w:val="00576062"/>
    <w:rsid w:val="005761D8"/>
    <w:rsid w:val="0058254D"/>
    <w:rsid w:val="005832E5"/>
    <w:rsid w:val="00583D03"/>
    <w:rsid w:val="0058681B"/>
    <w:rsid w:val="0059559F"/>
    <w:rsid w:val="005A0866"/>
    <w:rsid w:val="005A0B76"/>
    <w:rsid w:val="005A25BF"/>
    <w:rsid w:val="005A49FF"/>
    <w:rsid w:val="005A6F33"/>
    <w:rsid w:val="005A7634"/>
    <w:rsid w:val="005B17A5"/>
    <w:rsid w:val="005B213D"/>
    <w:rsid w:val="005B3673"/>
    <w:rsid w:val="005B4A9F"/>
    <w:rsid w:val="005B5954"/>
    <w:rsid w:val="005B5EA3"/>
    <w:rsid w:val="005B6F04"/>
    <w:rsid w:val="005C0447"/>
    <w:rsid w:val="005C739F"/>
    <w:rsid w:val="005C73CA"/>
    <w:rsid w:val="005D0077"/>
    <w:rsid w:val="005D0597"/>
    <w:rsid w:val="005D0A4D"/>
    <w:rsid w:val="005D4607"/>
    <w:rsid w:val="005D4768"/>
    <w:rsid w:val="005E1E71"/>
    <w:rsid w:val="005E2C1D"/>
    <w:rsid w:val="005E2CAB"/>
    <w:rsid w:val="005E310F"/>
    <w:rsid w:val="005E3F30"/>
    <w:rsid w:val="005E429E"/>
    <w:rsid w:val="005E58D5"/>
    <w:rsid w:val="005F4083"/>
    <w:rsid w:val="005F5579"/>
    <w:rsid w:val="005F7D98"/>
    <w:rsid w:val="005F7EC7"/>
    <w:rsid w:val="00601CB8"/>
    <w:rsid w:val="00601ED4"/>
    <w:rsid w:val="006023DB"/>
    <w:rsid w:val="006030BC"/>
    <w:rsid w:val="006061CE"/>
    <w:rsid w:val="00612866"/>
    <w:rsid w:val="00616EB5"/>
    <w:rsid w:val="006244A8"/>
    <w:rsid w:val="006269D4"/>
    <w:rsid w:val="006327D8"/>
    <w:rsid w:val="00633BD0"/>
    <w:rsid w:val="00635A7B"/>
    <w:rsid w:val="00636373"/>
    <w:rsid w:val="0064070A"/>
    <w:rsid w:val="006427B7"/>
    <w:rsid w:val="00643456"/>
    <w:rsid w:val="00643A01"/>
    <w:rsid w:val="00644F45"/>
    <w:rsid w:val="00646296"/>
    <w:rsid w:val="00650B23"/>
    <w:rsid w:val="00651D44"/>
    <w:rsid w:val="006574D2"/>
    <w:rsid w:val="00663563"/>
    <w:rsid w:val="00663DAC"/>
    <w:rsid w:val="006676D4"/>
    <w:rsid w:val="006748E2"/>
    <w:rsid w:val="00675535"/>
    <w:rsid w:val="00680A86"/>
    <w:rsid w:val="00681359"/>
    <w:rsid w:val="00681A22"/>
    <w:rsid w:val="00681D9A"/>
    <w:rsid w:val="00683060"/>
    <w:rsid w:val="0069157C"/>
    <w:rsid w:val="00691DA1"/>
    <w:rsid w:val="006932F4"/>
    <w:rsid w:val="00696262"/>
    <w:rsid w:val="006A31A9"/>
    <w:rsid w:val="006A3BAB"/>
    <w:rsid w:val="006A6BE5"/>
    <w:rsid w:val="006B0190"/>
    <w:rsid w:val="006B36C6"/>
    <w:rsid w:val="006B41B6"/>
    <w:rsid w:val="006B467B"/>
    <w:rsid w:val="006B76E0"/>
    <w:rsid w:val="006B7DA1"/>
    <w:rsid w:val="006C1C41"/>
    <w:rsid w:val="006C2612"/>
    <w:rsid w:val="006C3A4F"/>
    <w:rsid w:val="006C4845"/>
    <w:rsid w:val="006C7D67"/>
    <w:rsid w:val="006D1064"/>
    <w:rsid w:val="006D6BC1"/>
    <w:rsid w:val="006E2BFC"/>
    <w:rsid w:val="006E5C57"/>
    <w:rsid w:val="006F22A5"/>
    <w:rsid w:val="006F506D"/>
    <w:rsid w:val="006F7584"/>
    <w:rsid w:val="00701A27"/>
    <w:rsid w:val="00702C73"/>
    <w:rsid w:val="00702D9A"/>
    <w:rsid w:val="007038BC"/>
    <w:rsid w:val="00704082"/>
    <w:rsid w:val="00705B27"/>
    <w:rsid w:val="0070766E"/>
    <w:rsid w:val="00713394"/>
    <w:rsid w:val="00713E17"/>
    <w:rsid w:val="00714D2F"/>
    <w:rsid w:val="00715C03"/>
    <w:rsid w:val="00721A7C"/>
    <w:rsid w:val="00721D5F"/>
    <w:rsid w:val="00723687"/>
    <w:rsid w:val="00724677"/>
    <w:rsid w:val="00724952"/>
    <w:rsid w:val="00725AC2"/>
    <w:rsid w:val="00727A71"/>
    <w:rsid w:val="0073282A"/>
    <w:rsid w:val="00732880"/>
    <w:rsid w:val="007416B9"/>
    <w:rsid w:val="007422FD"/>
    <w:rsid w:val="00743E46"/>
    <w:rsid w:val="00747164"/>
    <w:rsid w:val="007478CE"/>
    <w:rsid w:val="00747C45"/>
    <w:rsid w:val="00747D86"/>
    <w:rsid w:val="0075316D"/>
    <w:rsid w:val="0075526E"/>
    <w:rsid w:val="00756FDB"/>
    <w:rsid w:val="007629B6"/>
    <w:rsid w:val="00763245"/>
    <w:rsid w:val="007665BF"/>
    <w:rsid w:val="007672E9"/>
    <w:rsid w:val="007675E6"/>
    <w:rsid w:val="00767F22"/>
    <w:rsid w:val="00771B2A"/>
    <w:rsid w:val="00773D55"/>
    <w:rsid w:val="007757CE"/>
    <w:rsid w:val="00775800"/>
    <w:rsid w:val="00781769"/>
    <w:rsid w:val="00783ABC"/>
    <w:rsid w:val="0078490F"/>
    <w:rsid w:val="00785113"/>
    <w:rsid w:val="00785940"/>
    <w:rsid w:val="0078717A"/>
    <w:rsid w:val="0079180E"/>
    <w:rsid w:val="00794E48"/>
    <w:rsid w:val="007950CC"/>
    <w:rsid w:val="0079538B"/>
    <w:rsid w:val="007961B8"/>
    <w:rsid w:val="00797624"/>
    <w:rsid w:val="007A04A3"/>
    <w:rsid w:val="007A06A4"/>
    <w:rsid w:val="007A32CE"/>
    <w:rsid w:val="007A4828"/>
    <w:rsid w:val="007A6995"/>
    <w:rsid w:val="007A7E94"/>
    <w:rsid w:val="007B093D"/>
    <w:rsid w:val="007B2069"/>
    <w:rsid w:val="007B4998"/>
    <w:rsid w:val="007B6A4D"/>
    <w:rsid w:val="007B6B36"/>
    <w:rsid w:val="007C04A1"/>
    <w:rsid w:val="007C21FA"/>
    <w:rsid w:val="007D08B5"/>
    <w:rsid w:val="007D13B1"/>
    <w:rsid w:val="007D1977"/>
    <w:rsid w:val="007D4351"/>
    <w:rsid w:val="007D5D7F"/>
    <w:rsid w:val="007D7019"/>
    <w:rsid w:val="007D7E5E"/>
    <w:rsid w:val="007E106C"/>
    <w:rsid w:val="007E18DB"/>
    <w:rsid w:val="007E1914"/>
    <w:rsid w:val="007E30E1"/>
    <w:rsid w:val="007E6F1C"/>
    <w:rsid w:val="007E78E2"/>
    <w:rsid w:val="007F1C07"/>
    <w:rsid w:val="007F6C76"/>
    <w:rsid w:val="007F739A"/>
    <w:rsid w:val="007F7588"/>
    <w:rsid w:val="00800BAA"/>
    <w:rsid w:val="00804489"/>
    <w:rsid w:val="00804C69"/>
    <w:rsid w:val="00805959"/>
    <w:rsid w:val="0080711D"/>
    <w:rsid w:val="00810179"/>
    <w:rsid w:val="00813534"/>
    <w:rsid w:val="00813B0F"/>
    <w:rsid w:val="008142DC"/>
    <w:rsid w:val="008155CD"/>
    <w:rsid w:val="0082247A"/>
    <w:rsid w:val="00823834"/>
    <w:rsid w:val="00824417"/>
    <w:rsid w:val="0082531C"/>
    <w:rsid w:val="00830C1B"/>
    <w:rsid w:val="008315DF"/>
    <w:rsid w:val="008321BC"/>
    <w:rsid w:val="00833325"/>
    <w:rsid w:val="00834FD6"/>
    <w:rsid w:val="00837F7B"/>
    <w:rsid w:val="00840674"/>
    <w:rsid w:val="00840A41"/>
    <w:rsid w:val="0084102C"/>
    <w:rsid w:val="00842135"/>
    <w:rsid w:val="00842F3C"/>
    <w:rsid w:val="00843B36"/>
    <w:rsid w:val="00847162"/>
    <w:rsid w:val="00847CE8"/>
    <w:rsid w:val="008505D1"/>
    <w:rsid w:val="0085224F"/>
    <w:rsid w:val="00852284"/>
    <w:rsid w:val="00855158"/>
    <w:rsid w:val="008564A2"/>
    <w:rsid w:val="00857EE8"/>
    <w:rsid w:val="0086464B"/>
    <w:rsid w:val="008647FC"/>
    <w:rsid w:val="00864CA8"/>
    <w:rsid w:val="00865E2D"/>
    <w:rsid w:val="00866006"/>
    <w:rsid w:val="00866BD1"/>
    <w:rsid w:val="00866C00"/>
    <w:rsid w:val="00870E6C"/>
    <w:rsid w:val="0087437C"/>
    <w:rsid w:val="00875638"/>
    <w:rsid w:val="00875846"/>
    <w:rsid w:val="008828F1"/>
    <w:rsid w:val="00884486"/>
    <w:rsid w:val="008871A9"/>
    <w:rsid w:val="00891428"/>
    <w:rsid w:val="008916BA"/>
    <w:rsid w:val="00892176"/>
    <w:rsid w:val="00893BF7"/>
    <w:rsid w:val="00896EA4"/>
    <w:rsid w:val="00897D70"/>
    <w:rsid w:val="008A1DB7"/>
    <w:rsid w:val="008A403A"/>
    <w:rsid w:val="008A4C13"/>
    <w:rsid w:val="008A6F48"/>
    <w:rsid w:val="008B1D23"/>
    <w:rsid w:val="008B23E2"/>
    <w:rsid w:val="008B577D"/>
    <w:rsid w:val="008B604D"/>
    <w:rsid w:val="008C10B6"/>
    <w:rsid w:val="008C1DDE"/>
    <w:rsid w:val="008C54A9"/>
    <w:rsid w:val="008C7029"/>
    <w:rsid w:val="008C716C"/>
    <w:rsid w:val="008D47CF"/>
    <w:rsid w:val="008D7696"/>
    <w:rsid w:val="008E226D"/>
    <w:rsid w:val="008E2B51"/>
    <w:rsid w:val="008E67C3"/>
    <w:rsid w:val="008E7D0A"/>
    <w:rsid w:val="008F232A"/>
    <w:rsid w:val="008F35CC"/>
    <w:rsid w:val="008F589F"/>
    <w:rsid w:val="008F76A9"/>
    <w:rsid w:val="008F7E67"/>
    <w:rsid w:val="009007DE"/>
    <w:rsid w:val="00900DBF"/>
    <w:rsid w:val="00901473"/>
    <w:rsid w:val="009047A1"/>
    <w:rsid w:val="009048B9"/>
    <w:rsid w:val="00904E91"/>
    <w:rsid w:val="009072F8"/>
    <w:rsid w:val="009073BD"/>
    <w:rsid w:val="00910285"/>
    <w:rsid w:val="009104C6"/>
    <w:rsid w:val="0091224F"/>
    <w:rsid w:val="009152E2"/>
    <w:rsid w:val="00915886"/>
    <w:rsid w:val="009205C9"/>
    <w:rsid w:val="009214DC"/>
    <w:rsid w:val="00922064"/>
    <w:rsid w:val="009226DB"/>
    <w:rsid w:val="00927027"/>
    <w:rsid w:val="0093092B"/>
    <w:rsid w:val="00931B41"/>
    <w:rsid w:val="00933B14"/>
    <w:rsid w:val="00933BC6"/>
    <w:rsid w:val="009344BA"/>
    <w:rsid w:val="00934E9F"/>
    <w:rsid w:val="00937478"/>
    <w:rsid w:val="00946E61"/>
    <w:rsid w:val="009473C6"/>
    <w:rsid w:val="00947F78"/>
    <w:rsid w:val="009519AA"/>
    <w:rsid w:val="00952A4C"/>
    <w:rsid w:val="00952D79"/>
    <w:rsid w:val="00953234"/>
    <w:rsid w:val="009536F1"/>
    <w:rsid w:val="00953F99"/>
    <w:rsid w:val="00961EAF"/>
    <w:rsid w:val="0096278F"/>
    <w:rsid w:val="0096437D"/>
    <w:rsid w:val="00965EF3"/>
    <w:rsid w:val="0096625B"/>
    <w:rsid w:val="00966C71"/>
    <w:rsid w:val="009676DC"/>
    <w:rsid w:val="00967CBF"/>
    <w:rsid w:val="00970234"/>
    <w:rsid w:val="009726E1"/>
    <w:rsid w:val="00972A04"/>
    <w:rsid w:val="00972A88"/>
    <w:rsid w:val="00975138"/>
    <w:rsid w:val="00976A07"/>
    <w:rsid w:val="00977591"/>
    <w:rsid w:val="00980E75"/>
    <w:rsid w:val="0098668E"/>
    <w:rsid w:val="009907DC"/>
    <w:rsid w:val="00991601"/>
    <w:rsid w:val="00994BE0"/>
    <w:rsid w:val="009977F1"/>
    <w:rsid w:val="00997A03"/>
    <w:rsid w:val="009A25B1"/>
    <w:rsid w:val="009A309B"/>
    <w:rsid w:val="009A3F9A"/>
    <w:rsid w:val="009A4608"/>
    <w:rsid w:val="009A4A1E"/>
    <w:rsid w:val="009A6A57"/>
    <w:rsid w:val="009A70BF"/>
    <w:rsid w:val="009B1759"/>
    <w:rsid w:val="009B1A15"/>
    <w:rsid w:val="009B4B65"/>
    <w:rsid w:val="009C0852"/>
    <w:rsid w:val="009C13CA"/>
    <w:rsid w:val="009C18C0"/>
    <w:rsid w:val="009C19A3"/>
    <w:rsid w:val="009C32C6"/>
    <w:rsid w:val="009C665F"/>
    <w:rsid w:val="009C7513"/>
    <w:rsid w:val="009D2558"/>
    <w:rsid w:val="009D2E8B"/>
    <w:rsid w:val="009D3882"/>
    <w:rsid w:val="009D7E38"/>
    <w:rsid w:val="009E095B"/>
    <w:rsid w:val="009E1083"/>
    <w:rsid w:val="009E1846"/>
    <w:rsid w:val="009E37C8"/>
    <w:rsid w:val="009E78FF"/>
    <w:rsid w:val="009F5011"/>
    <w:rsid w:val="009F5444"/>
    <w:rsid w:val="009F5535"/>
    <w:rsid w:val="009F7360"/>
    <w:rsid w:val="009F76F1"/>
    <w:rsid w:val="00A01494"/>
    <w:rsid w:val="00A02CE8"/>
    <w:rsid w:val="00A11B05"/>
    <w:rsid w:val="00A15FB4"/>
    <w:rsid w:val="00A21D95"/>
    <w:rsid w:val="00A22FA9"/>
    <w:rsid w:val="00A25024"/>
    <w:rsid w:val="00A26644"/>
    <w:rsid w:val="00A326B2"/>
    <w:rsid w:val="00A32A4D"/>
    <w:rsid w:val="00A34BAF"/>
    <w:rsid w:val="00A34CC6"/>
    <w:rsid w:val="00A35F8F"/>
    <w:rsid w:val="00A401A3"/>
    <w:rsid w:val="00A41377"/>
    <w:rsid w:val="00A418E0"/>
    <w:rsid w:val="00A4263D"/>
    <w:rsid w:val="00A4463A"/>
    <w:rsid w:val="00A47DA9"/>
    <w:rsid w:val="00A509B8"/>
    <w:rsid w:val="00A50E70"/>
    <w:rsid w:val="00A5167A"/>
    <w:rsid w:val="00A52AB9"/>
    <w:rsid w:val="00A55D07"/>
    <w:rsid w:val="00A612F6"/>
    <w:rsid w:val="00A6210B"/>
    <w:rsid w:val="00A64EBF"/>
    <w:rsid w:val="00A66A53"/>
    <w:rsid w:val="00A71200"/>
    <w:rsid w:val="00A7323A"/>
    <w:rsid w:val="00A7554E"/>
    <w:rsid w:val="00A83017"/>
    <w:rsid w:val="00A831B4"/>
    <w:rsid w:val="00A87B08"/>
    <w:rsid w:val="00A9114D"/>
    <w:rsid w:val="00A95F04"/>
    <w:rsid w:val="00A97798"/>
    <w:rsid w:val="00AA5213"/>
    <w:rsid w:val="00AA65A6"/>
    <w:rsid w:val="00AA65CC"/>
    <w:rsid w:val="00AB2F0B"/>
    <w:rsid w:val="00AB52A8"/>
    <w:rsid w:val="00AB5F36"/>
    <w:rsid w:val="00AB6A15"/>
    <w:rsid w:val="00AC0D5B"/>
    <w:rsid w:val="00AC1D8E"/>
    <w:rsid w:val="00AC259B"/>
    <w:rsid w:val="00AC48FA"/>
    <w:rsid w:val="00AD0240"/>
    <w:rsid w:val="00AD4137"/>
    <w:rsid w:val="00AD7952"/>
    <w:rsid w:val="00AE1BB4"/>
    <w:rsid w:val="00AE30E5"/>
    <w:rsid w:val="00AE3BAC"/>
    <w:rsid w:val="00AE515C"/>
    <w:rsid w:val="00AE7E27"/>
    <w:rsid w:val="00AF2D68"/>
    <w:rsid w:val="00B037BA"/>
    <w:rsid w:val="00B11168"/>
    <w:rsid w:val="00B11DB2"/>
    <w:rsid w:val="00B12E42"/>
    <w:rsid w:val="00B140FB"/>
    <w:rsid w:val="00B14F43"/>
    <w:rsid w:val="00B16543"/>
    <w:rsid w:val="00B17EA4"/>
    <w:rsid w:val="00B20139"/>
    <w:rsid w:val="00B218DA"/>
    <w:rsid w:val="00B238A2"/>
    <w:rsid w:val="00B248F3"/>
    <w:rsid w:val="00B24965"/>
    <w:rsid w:val="00B251C4"/>
    <w:rsid w:val="00B342FA"/>
    <w:rsid w:val="00B4111D"/>
    <w:rsid w:val="00B43EA7"/>
    <w:rsid w:val="00B52696"/>
    <w:rsid w:val="00B52F93"/>
    <w:rsid w:val="00B53E8B"/>
    <w:rsid w:val="00B54209"/>
    <w:rsid w:val="00B54482"/>
    <w:rsid w:val="00B56560"/>
    <w:rsid w:val="00B5705F"/>
    <w:rsid w:val="00B6210C"/>
    <w:rsid w:val="00B654B5"/>
    <w:rsid w:val="00B67C04"/>
    <w:rsid w:val="00B704F6"/>
    <w:rsid w:val="00B72D5C"/>
    <w:rsid w:val="00B7527C"/>
    <w:rsid w:val="00B774D2"/>
    <w:rsid w:val="00B776A8"/>
    <w:rsid w:val="00B8015A"/>
    <w:rsid w:val="00B8151D"/>
    <w:rsid w:val="00B82A57"/>
    <w:rsid w:val="00B830FF"/>
    <w:rsid w:val="00B8401E"/>
    <w:rsid w:val="00B85EB7"/>
    <w:rsid w:val="00B97EFC"/>
    <w:rsid w:val="00BA053B"/>
    <w:rsid w:val="00BA0EA9"/>
    <w:rsid w:val="00BA35F7"/>
    <w:rsid w:val="00BA5F69"/>
    <w:rsid w:val="00BA6271"/>
    <w:rsid w:val="00BB35AE"/>
    <w:rsid w:val="00BB7E32"/>
    <w:rsid w:val="00BC03A1"/>
    <w:rsid w:val="00BC0D25"/>
    <w:rsid w:val="00BC2ACE"/>
    <w:rsid w:val="00BD2505"/>
    <w:rsid w:val="00BD38BE"/>
    <w:rsid w:val="00BD6461"/>
    <w:rsid w:val="00BD7076"/>
    <w:rsid w:val="00BD7210"/>
    <w:rsid w:val="00BE0DF6"/>
    <w:rsid w:val="00BE592D"/>
    <w:rsid w:val="00BF52B0"/>
    <w:rsid w:val="00BF5697"/>
    <w:rsid w:val="00BF66D9"/>
    <w:rsid w:val="00C00D19"/>
    <w:rsid w:val="00C0121F"/>
    <w:rsid w:val="00C01609"/>
    <w:rsid w:val="00C01EF9"/>
    <w:rsid w:val="00C02A9A"/>
    <w:rsid w:val="00C0310E"/>
    <w:rsid w:val="00C03D8F"/>
    <w:rsid w:val="00C04C86"/>
    <w:rsid w:val="00C077B8"/>
    <w:rsid w:val="00C12D29"/>
    <w:rsid w:val="00C13ED3"/>
    <w:rsid w:val="00C14CCC"/>
    <w:rsid w:val="00C15150"/>
    <w:rsid w:val="00C15BCC"/>
    <w:rsid w:val="00C1695E"/>
    <w:rsid w:val="00C1743B"/>
    <w:rsid w:val="00C179AA"/>
    <w:rsid w:val="00C20C7B"/>
    <w:rsid w:val="00C22C1C"/>
    <w:rsid w:val="00C22D64"/>
    <w:rsid w:val="00C2562E"/>
    <w:rsid w:val="00C33F2E"/>
    <w:rsid w:val="00C34936"/>
    <w:rsid w:val="00C34C14"/>
    <w:rsid w:val="00C355B9"/>
    <w:rsid w:val="00C36B31"/>
    <w:rsid w:val="00C37441"/>
    <w:rsid w:val="00C37EF1"/>
    <w:rsid w:val="00C401C4"/>
    <w:rsid w:val="00C40BCE"/>
    <w:rsid w:val="00C41680"/>
    <w:rsid w:val="00C41A45"/>
    <w:rsid w:val="00C42856"/>
    <w:rsid w:val="00C45CCE"/>
    <w:rsid w:val="00C50F21"/>
    <w:rsid w:val="00C60519"/>
    <w:rsid w:val="00C60A25"/>
    <w:rsid w:val="00C627C2"/>
    <w:rsid w:val="00C70DFE"/>
    <w:rsid w:val="00C7102D"/>
    <w:rsid w:val="00C722C4"/>
    <w:rsid w:val="00C74DC0"/>
    <w:rsid w:val="00C75786"/>
    <w:rsid w:val="00C75E1C"/>
    <w:rsid w:val="00C765C5"/>
    <w:rsid w:val="00C769D3"/>
    <w:rsid w:val="00C775CE"/>
    <w:rsid w:val="00C776EC"/>
    <w:rsid w:val="00C82479"/>
    <w:rsid w:val="00C867F0"/>
    <w:rsid w:val="00C9078A"/>
    <w:rsid w:val="00C920E3"/>
    <w:rsid w:val="00C92733"/>
    <w:rsid w:val="00C92919"/>
    <w:rsid w:val="00C97074"/>
    <w:rsid w:val="00CA06D8"/>
    <w:rsid w:val="00CA17C7"/>
    <w:rsid w:val="00CA345A"/>
    <w:rsid w:val="00CA4107"/>
    <w:rsid w:val="00CA587D"/>
    <w:rsid w:val="00CB0330"/>
    <w:rsid w:val="00CB2D28"/>
    <w:rsid w:val="00CB312C"/>
    <w:rsid w:val="00CB4119"/>
    <w:rsid w:val="00CB4900"/>
    <w:rsid w:val="00CB49FF"/>
    <w:rsid w:val="00CB6A4B"/>
    <w:rsid w:val="00CC010E"/>
    <w:rsid w:val="00CC02CF"/>
    <w:rsid w:val="00CC086A"/>
    <w:rsid w:val="00CC4DC9"/>
    <w:rsid w:val="00CC777D"/>
    <w:rsid w:val="00CD0E24"/>
    <w:rsid w:val="00CD0F66"/>
    <w:rsid w:val="00CD3163"/>
    <w:rsid w:val="00CD364B"/>
    <w:rsid w:val="00CD3957"/>
    <w:rsid w:val="00CE0A9C"/>
    <w:rsid w:val="00CE17BD"/>
    <w:rsid w:val="00CE23B8"/>
    <w:rsid w:val="00CE284E"/>
    <w:rsid w:val="00CE4829"/>
    <w:rsid w:val="00CE50D7"/>
    <w:rsid w:val="00CE6811"/>
    <w:rsid w:val="00CF0CE0"/>
    <w:rsid w:val="00CF12AF"/>
    <w:rsid w:val="00CF3237"/>
    <w:rsid w:val="00CF4CBE"/>
    <w:rsid w:val="00D00344"/>
    <w:rsid w:val="00D02C87"/>
    <w:rsid w:val="00D03A25"/>
    <w:rsid w:val="00D056E7"/>
    <w:rsid w:val="00D10A59"/>
    <w:rsid w:val="00D14438"/>
    <w:rsid w:val="00D14880"/>
    <w:rsid w:val="00D14E62"/>
    <w:rsid w:val="00D15E44"/>
    <w:rsid w:val="00D1754D"/>
    <w:rsid w:val="00D215BC"/>
    <w:rsid w:val="00D2223F"/>
    <w:rsid w:val="00D24CC3"/>
    <w:rsid w:val="00D274A4"/>
    <w:rsid w:val="00D277AF"/>
    <w:rsid w:val="00D31163"/>
    <w:rsid w:val="00D320B1"/>
    <w:rsid w:val="00D32401"/>
    <w:rsid w:val="00D33AFD"/>
    <w:rsid w:val="00D36489"/>
    <w:rsid w:val="00D365AF"/>
    <w:rsid w:val="00D369E9"/>
    <w:rsid w:val="00D3777C"/>
    <w:rsid w:val="00D40E9B"/>
    <w:rsid w:val="00D41615"/>
    <w:rsid w:val="00D42195"/>
    <w:rsid w:val="00D46D63"/>
    <w:rsid w:val="00D50704"/>
    <w:rsid w:val="00D51E5C"/>
    <w:rsid w:val="00D52A70"/>
    <w:rsid w:val="00D54FA2"/>
    <w:rsid w:val="00D5760A"/>
    <w:rsid w:val="00D60C55"/>
    <w:rsid w:val="00D61410"/>
    <w:rsid w:val="00D62FB5"/>
    <w:rsid w:val="00D666DD"/>
    <w:rsid w:val="00D77CFE"/>
    <w:rsid w:val="00D8181D"/>
    <w:rsid w:val="00D90516"/>
    <w:rsid w:val="00D91817"/>
    <w:rsid w:val="00D925CE"/>
    <w:rsid w:val="00D92795"/>
    <w:rsid w:val="00D968D8"/>
    <w:rsid w:val="00DA14A6"/>
    <w:rsid w:val="00DA563D"/>
    <w:rsid w:val="00DA5E4D"/>
    <w:rsid w:val="00DA6618"/>
    <w:rsid w:val="00DA7277"/>
    <w:rsid w:val="00DB3627"/>
    <w:rsid w:val="00DB4724"/>
    <w:rsid w:val="00DB512D"/>
    <w:rsid w:val="00DB6944"/>
    <w:rsid w:val="00DB7F1A"/>
    <w:rsid w:val="00DC3281"/>
    <w:rsid w:val="00DC32D3"/>
    <w:rsid w:val="00DC4746"/>
    <w:rsid w:val="00DD07B6"/>
    <w:rsid w:val="00DD0C55"/>
    <w:rsid w:val="00DD28B3"/>
    <w:rsid w:val="00DD4320"/>
    <w:rsid w:val="00DD47F2"/>
    <w:rsid w:val="00DD652E"/>
    <w:rsid w:val="00DD6CFC"/>
    <w:rsid w:val="00DE2426"/>
    <w:rsid w:val="00DE4ED8"/>
    <w:rsid w:val="00DE7149"/>
    <w:rsid w:val="00DF0813"/>
    <w:rsid w:val="00DF0B97"/>
    <w:rsid w:val="00DF23C6"/>
    <w:rsid w:val="00E019A1"/>
    <w:rsid w:val="00E02989"/>
    <w:rsid w:val="00E0314C"/>
    <w:rsid w:val="00E11021"/>
    <w:rsid w:val="00E13010"/>
    <w:rsid w:val="00E1508F"/>
    <w:rsid w:val="00E24192"/>
    <w:rsid w:val="00E2445B"/>
    <w:rsid w:val="00E2548B"/>
    <w:rsid w:val="00E261DF"/>
    <w:rsid w:val="00E27240"/>
    <w:rsid w:val="00E27EDD"/>
    <w:rsid w:val="00E30584"/>
    <w:rsid w:val="00E310B9"/>
    <w:rsid w:val="00E36277"/>
    <w:rsid w:val="00E37345"/>
    <w:rsid w:val="00E37E1B"/>
    <w:rsid w:val="00E402C3"/>
    <w:rsid w:val="00E40BB9"/>
    <w:rsid w:val="00E418D2"/>
    <w:rsid w:val="00E43E7F"/>
    <w:rsid w:val="00E45CBC"/>
    <w:rsid w:val="00E47197"/>
    <w:rsid w:val="00E502DF"/>
    <w:rsid w:val="00E562C0"/>
    <w:rsid w:val="00E57DC2"/>
    <w:rsid w:val="00E57FAF"/>
    <w:rsid w:val="00E66CE9"/>
    <w:rsid w:val="00E672D6"/>
    <w:rsid w:val="00E700B7"/>
    <w:rsid w:val="00E70B04"/>
    <w:rsid w:val="00E73309"/>
    <w:rsid w:val="00E75F09"/>
    <w:rsid w:val="00E76024"/>
    <w:rsid w:val="00E840EF"/>
    <w:rsid w:val="00E856A2"/>
    <w:rsid w:val="00E9168A"/>
    <w:rsid w:val="00E92309"/>
    <w:rsid w:val="00E93557"/>
    <w:rsid w:val="00E94F4D"/>
    <w:rsid w:val="00E957C7"/>
    <w:rsid w:val="00E967AD"/>
    <w:rsid w:val="00E96884"/>
    <w:rsid w:val="00E974EE"/>
    <w:rsid w:val="00E97A86"/>
    <w:rsid w:val="00EA33B8"/>
    <w:rsid w:val="00EA3897"/>
    <w:rsid w:val="00EA476E"/>
    <w:rsid w:val="00EA5435"/>
    <w:rsid w:val="00EA5F47"/>
    <w:rsid w:val="00EA6255"/>
    <w:rsid w:val="00EA6AB0"/>
    <w:rsid w:val="00EB1B16"/>
    <w:rsid w:val="00EB455E"/>
    <w:rsid w:val="00EB63BB"/>
    <w:rsid w:val="00EC0E06"/>
    <w:rsid w:val="00EC3EE7"/>
    <w:rsid w:val="00EC79DE"/>
    <w:rsid w:val="00ED08C8"/>
    <w:rsid w:val="00ED0A42"/>
    <w:rsid w:val="00ED4ACE"/>
    <w:rsid w:val="00ED7A10"/>
    <w:rsid w:val="00ED7AA7"/>
    <w:rsid w:val="00EE2D94"/>
    <w:rsid w:val="00EE2F9F"/>
    <w:rsid w:val="00EE4D35"/>
    <w:rsid w:val="00EF1AFF"/>
    <w:rsid w:val="00EF1F65"/>
    <w:rsid w:val="00EF2DA7"/>
    <w:rsid w:val="00EF3BBD"/>
    <w:rsid w:val="00EF4544"/>
    <w:rsid w:val="00EF574A"/>
    <w:rsid w:val="00F01C2B"/>
    <w:rsid w:val="00F10BB5"/>
    <w:rsid w:val="00F13211"/>
    <w:rsid w:val="00F13CAB"/>
    <w:rsid w:val="00F1412B"/>
    <w:rsid w:val="00F15BDE"/>
    <w:rsid w:val="00F15BFA"/>
    <w:rsid w:val="00F16E3D"/>
    <w:rsid w:val="00F1763E"/>
    <w:rsid w:val="00F216EC"/>
    <w:rsid w:val="00F21FE4"/>
    <w:rsid w:val="00F311AA"/>
    <w:rsid w:val="00F34FAB"/>
    <w:rsid w:val="00F40DD5"/>
    <w:rsid w:val="00F435AA"/>
    <w:rsid w:val="00F456C6"/>
    <w:rsid w:val="00F46A73"/>
    <w:rsid w:val="00F470C9"/>
    <w:rsid w:val="00F52A92"/>
    <w:rsid w:val="00F5738A"/>
    <w:rsid w:val="00F61125"/>
    <w:rsid w:val="00F612D4"/>
    <w:rsid w:val="00F63FAE"/>
    <w:rsid w:val="00F67855"/>
    <w:rsid w:val="00F717B6"/>
    <w:rsid w:val="00F7389E"/>
    <w:rsid w:val="00F77F1D"/>
    <w:rsid w:val="00F80401"/>
    <w:rsid w:val="00F8263B"/>
    <w:rsid w:val="00F83BE5"/>
    <w:rsid w:val="00F83C1C"/>
    <w:rsid w:val="00F85F69"/>
    <w:rsid w:val="00F864B4"/>
    <w:rsid w:val="00F87CCB"/>
    <w:rsid w:val="00F92466"/>
    <w:rsid w:val="00F9394D"/>
    <w:rsid w:val="00FA1159"/>
    <w:rsid w:val="00FA116A"/>
    <w:rsid w:val="00FA48C7"/>
    <w:rsid w:val="00FA666D"/>
    <w:rsid w:val="00FB0426"/>
    <w:rsid w:val="00FB2EC7"/>
    <w:rsid w:val="00FB51FB"/>
    <w:rsid w:val="00FB73C1"/>
    <w:rsid w:val="00FC0FA7"/>
    <w:rsid w:val="00FC1354"/>
    <w:rsid w:val="00FC1670"/>
    <w:rsid w:val="00FC1FE1"/>
    <w:rsid w:val="00FC7E03"/>
    <w:rsid w:val="00FD2EB6"/>
    <w:rsid w:val="00FD3412"/>
    <w:rsid w:val="00FD3CAA"/>
    <w:rsid w:val="00FD3F09"/>
    <w:rsid w:val="00FD3F50"/>
    <w:rsid w:val="00FD7C82"/>
    <w:rsid w:val="00FE2CDD"/>
    <w:rsid w:val="00FE6FB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1609"/>
  </w:style>
  <w:style w:type="paragraph" w:styleId="Heading1">
    <w:name w:val="heading 1"/>
    <w:basedOn w:val="Normal"/>
    <w:next w:val="Normal"/>
    <w:link w:val="Heading1Char"/>
    <w:uiPriority w:val="9"/>
    <w:qFormat/>
    <w:rsid w:val="00E97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StyleBodyText2Left05">
    <w:name w:val="Style Body Text 2 + Left:  0.5&quot;"/>
    <w:basedOn w:val="BodyText2"/>
    <w:rsid w:val="00800BAA"/>
    <w:pPr>
      <w:spacing w:after="0" w:line="240" w:lineRule="auto"/>
      <w:ind w:left="720"/>
    </w:pPr>
    <w:rPr>
      <w:rFonts w:ascii="Arial" w:eastAsia="Times New Roman" w:hAnsi="Arial" w:cs="Times New Roman"/>
      <w:szCs w:val="20"/>
      <w:lang w:val="x-none" w:eastAsia="x-none"/>
    </w:rPr>
  </w:style>
  <w:style w:type="paragraph" w:styleId="BodyText2">
    <w:name w:val="Body Text 2"/>
    <w:basedOn w:val="Normal"/>
    <w:link w:val="BodyText2Char"/>
    <w:uiPriority w:val="99"/>
    <w:semiHidden/>
    <w:unhideWhenUsed/>
    <w:rsid w:val="00800BAA"/>
    <w:pPr>
      <w:spacing w:after="120" w:line="480" w:lineRule="auto"/>
    </w:pPr>
  </w:style>
  <w:style w:type="character" w:customStyle="1" w:styleId="BodyText2Char">
    <w:name w:val="Body Text 2 Char"/>
    <w:basedOn w:val="DefaultParagraphFont"/>
    <w:link w:val="BodyText2"/>
    <w:uiPriority w:val="99"/>
    <w:semiHidden/>
    <w:rsid w:val="00800BAA"/>
  </w:style>
  <w:style w:type="paragraph" w:customStyle="1" w:styleId="Default">
    <w:name w:val="Default"/>
    <w:rsid w:val="00866C00"/>
    <w:pPr>
      <w:autoSpaceDE w:val="0"/>
      <w:autoSpaceDN w:val="0"/>
      <w:adjustRightInd w:val="0"/>
      <w:spacing w:after="0" w:line="240" w:lineRule="auto"/>
    </w:pPr>
    <w:rPr>
      <w:rFonts w:ascii="Calibri" w:hAnsi="Calibri" w:cs="Calibri"/>
      <w:color w:val="000000"/>
      <w:sz w:val="24"/>
      <w:szCs w:val="24"/>
    </w:rPr>
  </w:style>
  <w:style w:type="character" w:customStyle="1" w:styleId="meta-citation">
    <w:name w:val="meta-citation"/>
    <w:basedOn w:val="DefaultParagraphFont"/>
    <w:rsid w:val="00DD0C55"/>
  </w:style>
  <w:style w:type="character" w:customStyle="1" w:styleId="apple-converted-space">
    <w:name w:val="apple-converted-space"/>
    <w:basedOn w:val="DefaultParagraphFont"/>
    <w:rsid w:val="00837F7B"/>
  </w:style>
  <w:style w:type="character" w:customStyle="1" w:styleId="Heading1Char">
    <w:name w:val="Heading 1 Char"/>
    <w:basedOn w:val="DefaultParagraphFont"/>
    <w:link w:val="Heading1"/>
    <w:uiPriority w:val="9"/>
    <w:rsid w:val="00E974E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82033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86507766">
      <w:bodyDiv w:val="1"/>
      <w:marLeft w:val="0"/>
      <w:marRight w:val="0"/>
      <w:marTop w:val="0"/>
      <w:marBottom w:val="0"/>
      <w:divBdr>
        <w:top w:val="none" w:sz="0" w:space="0" w:color="auto"/>
        <w:left w:val="none" w:sz="0" w:space="0" w:color="auto"/>
        <w:bottom w:val="none" w:sz="0" w:space="0" w:color="auto"/>
        <w:right w:val="none" w:sz="0" w:space="0" w:color="auto"/>
      </w:divBdr>
    </w:div>
    <w:div w:id="802042967">
      <w:bodyDiv w:val="1"/>
      <w:marLeft w:val="0"/>
      <w:marRight w:val="0"/>
      <w:marTop w:val="0"/>
      <w:marBottom w:val="0"/>
      <w:divBdr>
        <w:top w:val="none" w:sz="0" w:space="0" w:color="auto"/>
        <w:left w:val="none" w:sz="0" w:space="0" w:color="auto"/>
        <w:bottom w:val="none" w:sz="0" w:space="0" w:color="auto"/>
        <w:right w:val="none" w:sz="0" w:space="0" w:color="auto"/>
      </w:divBdr>
    </w:div>
    <w:div w:id="1056901978">
      <w:bodyDiv w:val="1"/>
      <w:marLeft w:val="0"/>
      <w:marRight w:val="0"/>
      <w:marTop w:val="0"/>
      <w:marBottom w:val="0"/>
      <w:divBdr>
        <w:top w:val="none" w:sz="0" w:space="0" w:color="auto"/>
        <w:left w:val="none" w:sz="0" w:space="0" w:color="auto"/>
        <w:bottom w:val="none" w:sz="0" w:space="0" w:color="auto"/>
        <w:right w:val="none" w:sz="0" w:space="0" w:color="auto"/>
      </w:divBdr>
    </w:div>
    <w:div w:id="1067797738">
      <w:bodyDiv w:val="1"/>
      <w:marLeft w:val="0"/>
      <w:marRight w:val="0"/>
      <w:marTop w:val="0"/>
      <w:marBottom w:val="0"/>
      <w:divBdr>
        <w:top w:val="none" w:sz="0" w:space="0" w:color="auto"/>
        <w:left w:val="none" w:sz="0" w:space="0" w:color="auto"/>
        <w:bottom w:val="none" w:sz="0" w:space="0" w:color="auto"/>
        <w:right w:val="none" w:sz="0" w:space="0" w:color="auto"/>
      </w:divBdr>
    </w:div>
    <w:div w:id="132084122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213421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qualitynet.org/dcs/ContentServer?c=Page&amp;pagename=QnetPublic%2FPage%2FQnetTier2&amp;cid=116301039855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charset w:val="00"/>
    <w:family w:val="auto"/>
    <w:pitch w:val="variable"/>
    <w:sig w:usb0="E00002FF" w:usb1="4000ACFF" w:usb2="00000001" w:usb3="00000000" w:csb0="0000019F" w:csb1="00000000"/>
  </w:font>
  <w:font w:name="Calibri-BoldItalic">
    <w:altName w:val="Calibri"/>
    <w:charset w:val="00"/>
    <w:family w:val="auto"/>
    <w:pitch w:val="variable"/>
    <w:sig w:usb0="E00002FF" w:usb1="4000ACFF" w:usb2="00000001"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25AE2"/>
    <w:rsid w:val="00120380"/>
    <w:rsid w:val="00124AD9"/>
    <w:rsid w:val="00127222"/>
    <w:rsid w:val="001520C1"/>
    <w:rsid w:val="001736D7"/>
    <w:rsid w:val="00190AF4"/>
    <w:rsid w:val="00223FA3"/>
    <w:rsid w:val="002A288F"/>
    <w:rsid w:val="002C65A7"/>
    <w:rsid w:val="002F052A"/>
    <w:rsid w:val="00350176"/>
    <w:rsid w:val="003553D0"/>
    <w:rsid w:val="003840F0"/>
    <w:rsid w:val="003F6E96"/>
    <w:rsid w:val="00437537"/>
    <w:rsid w:val="004D785E"/>
    <w:rsid w:val="00513FC9"/>
    <w:rsid w:val="0053654E"/>
    <w:rsid w:val="005447CC"/>
    <w:rsid w:val="005C38AC"/>
    <w:rsid w:val="00610196"/>
    <w:rsid w:val="006311FB"/>
    <w:rsid w:val="00632A7E"/>
    <w:rsid w:val="00632AB6"/>
    <w:rsid w:val="006A4E21"/>
    <w:rsid w:val="00730B33"/>
    <w:rsid w:val="007314E8"/>
    <w:rsid w:val="00736DAE"/>
    <w:rsid w:val="007672D9"/>
    <w:rsid w:val="00772B2A"/>
    <w:rsid w:val="007B5967"/>
    <w:rsid w:val="007C1EE9"/>
    <w:rsid w:val="007C672A"/>
    <w:rsid w:val="007D4368"/>
    <w:rsid w:val="00822666"/>
    <w:rsid w:val="00823ECC"/>
    <w:rsid w:val="00826796"/>
    <w:rsid w:val="00866C97"/>
    <w:rsid w:val="008F3EC8"/>
    <w:rsid w:val="009017AE"/>
    <w:rsid w:val="00981E1F"/>
    <w:rsid w:val="009C542D"/>
    <w:rsid w:val="00A01A18"/>
    <w:rsid w:val="00A1749D"/>
    <w:rsid w:val="00A95183"/>
    <w:rsid w:val="00AB4AF7"/>
    <w:rsid w:val="00AC7362"/>
    <w:rsid w:val="00AD7C4F"/>
    <w:rsid w:val="00B445F5"/>
    <w:rsid w:val="00B757F8"/>
    <w:rsid w:val="00BD40CB"/>
    <w:rsid w:val="00C362A2"/>
    <w:rsid w:val="00C8601F"/>
    <w:rsid w:val="00C90121"/>
    <w:rsid w:val="00C96E73"/>
    <w:rsid w:val="00CA1FE8"/>
    <w:rsid w:val="00CA344F"/>
    <w:rsid w:val="00CA660C"/>
    <w:rsid w:val="00D1676E"/>
    <w:rsid w:val="00D17720"/>
    <w:rsid w:val="00D53915"/>
    <w:rsid w:val="00D611FE"/>
    <w:rsid w:val="00DC0246"/>
    <w:rsid w:val="00E6518A"/>
    <w:rsid w:val="00E9234B"/>
    <w:rsid w:val="00EC064B"/>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1A6AD9-9F3C-4A49-8067-17747A565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29</Pages>
  <Words>12632</Words>
  <Characters>72006</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84470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Aryee, Silverberg</cp:lastModifiedBy>
  <cp:revision>6</cp:revision>
  <dcterms:created xsi:type="dcterms:W3CDTF">2018-01-05T21:20:00Z</dcterms:created>
  <dcterms:modified xsi:type="dcterms:W3CDTF">2018-01-22T22:21:00Z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