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7A6BB5D5"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306B02">
            <w:rPr>
              <w:rStyle w:val="Style1"/>
            </w:rPr>
            <w:t>288</w:t>
          </w:r>
          <w:r w:rsidR="007372D0">
            <w:rPr>
              <w:rStyle w:val="Style1"/>
            </w:rPr>
            <w:t>0</w:t>
          </w:r>
        </w:sdtContent>
      </w:sdt>
    </w:p>
    <w:p w14:paraId="55B8DA2F" w14:textId="736B5D8B"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7372D0">
            <w:t>Excess days in acute care (EDAC) after hospitalization for heart failure</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1EDC6333"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21-04-05T00:00:00Z">
            <w:dateFormat w:val="M/d/yyyy"/>
            <w:lid w:val="en-US"/>
            <w:storeMappedDataAs w:val="dateTime"/>
            <w:calendar w:val="gregorian"/>
          </w:date>
        </w:sdtPr>
        <w:sdtEndPr>
          <w:rPr>
            <w:rStyle w:val="DefaultParagraphFont"/>
            <w:noProof/>
            <w:color w:val="auto"/>
            <w:u w:val="none"/>
          </w:rPr>
        </w:sdtEndPr>
        <w:sdtContent>
          <w:r w:rsidR="00306B02">
            <w:rPr>
              <w:rStyle w:val="Style2"/>
            </w:rPr>
            <w:t>4/5/2021</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216055F7" w:rsidR="00496AF8" w:rsidRPr="003B1CC5" w:rsidRDefault="00E02B74"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573A3A">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r w:rsidR="007372D0">
            <w:t>Excess days in acute care (EDAC) after hospitalization for heart failure–</w:t>
          </w:r>
        </w:sdtContent>
      </w:sdt>
    </w:p>
    <w:p w14:paraId="55B8DA52" w14:textId="77777777" w:rsidR="00236F87" w:rsidRPr="003B1CC5" w:rsidRDefault="00E02B74"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E02B74"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E02B74"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E55439"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E55439">
            <w:rPr>
              <w:rFonts w:ascii="MS Gothic" w:eastAsia="MS Gothic" w:hAnsi="MS Gothic" w:hint="eastAsia"/>
              <w:bCs/>
              <w:color w:val="0000FF"/>
            </w:rPr>
            <w:t>☐</w:t>
          </w:r>
        </w:sdtContent>
      </w:sdt>
      <w:r w:rsidRPr="00E55439">
        <w:rPr>
          <w:rFonts w:ascii="MS Gothic" w:eastAsia="MS Gothic" w:hAnsi="MS Gothic"/>
          <w:bCs/>
          <w:color w:val="0000FF"/>
        </w:rPr>
        <w:t xml:space="preserve"> </w:t>
      </w:r>
      <w:r w:rsidRPr="00E55439">
        <w:rPr>
          <w:rFonts w:eastAsia="MS Gothic"/>
          <w:bCs/>
        </w:rPr>
        <w:t>Appropriate use measure:</w:t>
      </w:r>
      <w:r w:rsidR="00496AF8" w:rsidRPr="00E55439">
        <w:rPr>
          <w:bCs/>
        </w:rPr>
        <w:t xml:space="preserve"> </w:t>
      </w:r>
      <w:r w:rsidRPr="00E55439">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E55439">
            <w:rPr>
              <w:rStyle w:val="PlaceholderText"/>
              <w:rFonts w:cstheme="minorHAnsi"/>
              <w:color w:val="A6A6A6" w:themeColor="background1" w:themeShade="A6"/>
            </w:rPr>
            <w:t>Click here to name what is being measured</w:t>
          </w:r>
        </w:sdtContent>
      </w:sdt>
      <w:r w:rsidRPr="00E55439">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sidRPr="00E55439">
            <w:rPr>
              <w:rStyle w:val="Style2"/>
              <w:rFonts w:cstheme="minorHAnsi"/>
            </w:rPr>
            <w:t xml:space="preserve">     </w:t>
          </w:r>
        </w:sdtContent>
      </w:sdt>
    </w:p>
    <w:p w14:paraId="55B8DA57" w14:textId="77777777" w:rsidR="00496AF8" w:rsidRPr="00E55439" w:rsidRDefault="00E02B74"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sidRPr="00E55439">
            <w:rPr>
              <w:rFonts w:ascii="MS Gothic" w:eastAsia="MS Gothic" w:hAnsi="MS Gothic" w:hint="eastAsia"/>
              <w:bCs/>
              <w:color w:val="0000FF"/>
            </w:rPr>
            <w:t>☐</w:t>
          </w:r>
        </w:sdtContent>
      </w:sdt>
      <w:r w:rsidR="0015535B" w:rsidRPr="00E55439">
        <w:rPr>
          <w:bCs/>
        </w:rPr>
        <w:t xml:space="preserve"> </w:t>
      </w:r>
      <w:r w:rsidR="00E41417" w:rsidRPr="00E55439">
        <w:rPr>
          <w:bCs/>
        </w:rPr>
        <w:t>S</w:t>
      </w:r>
      <w:r w:rsidR="00496AF8" w:rsidRPr="00E55439">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E55439">
            <w:rPr>
              <w:rStyle w:val="PlaceholderText"/>
              <w:rFonts w:cstheme="minorHAnsi"/>
              <w:color w:val="A6A6A6" w:themeColor="background1" w:themeShade="A6"/>
            </w:rPr>
            <w:t>Click here to name the structure</w:t>
          </w:r>
        </w:sdtContent>
      </w:sdt>
    </w:p>
    <w:p w14:paraId="55B8DA58" w14:textId="77777777" w:rsidR="00496AF8" w:rsidRPr="00E55439" w:rsidRDefault="00E02B74"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E55439">
            <w:rPr>
              <w:rFonts w:ascii="MS Gothic" w:eastAsia="MS Gothic" w:hAnsi="MS Gothic" w:cs="MS Gothic" w:hint="eastAsia"/>
              <w:bCs/>
              <w:color w:val="0000FF"/>
            </w:rPr>
            <w:t>☐</w:t>
          </w:r>
        </w:sdtContent>
      </w:sdt>
      <w:r w:rsidR="0015535B" w:rsidRPr="00E55439">
        <w:rPr>
          <w:bCs/>
        </w:rPr>
        <w:t xml:space="preserve"> </w:t>
      </w:r>
      <w:r w:rsidR="00D73685" w:rsidRPr="00E55439">
        <w:rPr>
          <w:bCs/>
        </w:rPr>
        <w:t>Composite</w:t>
      </w:r>
      <w:r w:rsidR="00496AF8" w:rsidRPr="00E55439">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E55439">
            <w:rPr>
              <w:rStyle w:val="PlaceholderText"/>
              <w:rFonts w:cstheme="minorHAnsi"/>
              <w:color w:val="A6A6A6" w:themeColor="background1" w:themeShade="A6"/>
            </w:rPr>
            <w:t>Click here to name what is being measured</w:t>
          </w:r>
        </w:sdtContent>
      </w:sdt>
    </w:p>
    <w:p w14:paraId="55B8DA59" w14:textId="77777777" w:rsidR="00496AF8" w:rsidRPr="00E55439" w:rsidRDefault="00496AF8" w:rsidP="002E2177">
      <w:pPr>
        <w:ind w:left="0" w:firstLine="0"/>
        <w:rPr>
          <w:bCs/>
        </w:rPr>
      </w:pPr>
    </w:p>
    <w:p w14:paraId="55B8DA5A" w14:textId="0E8D4DB6" w:rsidR="002B06BD" w:rsidRDefault="00676BD4" w:rsidP="002B06BD">
      <w:pPr>
        <w:ind w:left="432" w:hanging="432"/>
        <w:rPr>
          <w:iCs/>
        </w:rPr>
      </w:pPr>
      <w:r w:rsidRPr="00E55439">
        <w:rPr>
          <w:b/>
          <w:bCs/>
          <w:color w:val="0000FF"/>
        </w:rPr>
        <w:t>1a.</w:t>
      </w:r>
      <w:r w:rsidR="00C41794" w:rsidRPr="00E55439">
        <w:rPr>
          <w:b/>
          <w:bCs/>
          <w:color w:val="0000FF"/>
        </w:rPr>
        <w:t>2</w:t>
      </w:r>
      <w:r w:rsidR="002B06BD" w:rsidRPr="00E55439">
        <w:rPr>
          <w:bCs/>
        </w:rPr>
        <w:t xml:space="preserve"> </w:t>
      </w:r>
      <w:r w:rsidRPr="00E55439">
        <w:rPr>
          <w:b/>
          <w:bCs/>
        </w:rPr>
        <w:t>LOGIC MODEL</w:t>
      </w:r>
      <w:r w:rsidRPr="00E55439">
        <w:rPr>
          <w:bCs/>
        </w:rPr>
        <w:t xml:space="preserve"> </w:t>
      </w:r>
      <w:r w:rsidRPr="00E55439">
        <w:rPr>
          <w:iCs/>
        </w:rPr>
        <w:t>Diagram or briefly describe</w:t>
      </w:r>
      <w:r w:rsidR="002B06BD" w:rsidRPr="00E55439">
        <w:rPr>
          <w:iCs/>
        </w:rPr>
        <w:t xml:space="preserve"> the </w:t>
      </w:r>
      <w:r w:rsidRPr="00E55439">
        <w:rPr>
          <w:iCs/>
        </w:rPr>
        <w:t>steps</w:t>
      </w:r>
      <w:r w:rsidR="00236F87" w:rsidRPr="00E55439">
        <w:rPr>
          <w:iCs/>
        </w:rPr>
        <w:t xml:space="preserve"> </w:t>
      </w:r>
      <w:r w:rsidR="002B06BD" w:rsidRPr="00E55439">
        <w:rPr>
          <w:iCs/>
        </w:rPr>
        <w:t xml:space="preserve">between </w:t>
      </w:r>
      <w:r w:rsidR="00CB06C9" w:rsidRPr="00E55439">
        <w:rPr>
          <w:iCs/>
        </w:rPr>
        <w:t>the</w:t>
      </w:r>
      <w:r w:rsidR="002B06BD" w:rsidRPr="00E55439">
        <w:rPr>
          <w:iCs/>
        </w:rPr>
        <w:t xml:space="preserve"> healthcare structure</w:t>
      </w:r>
      <w:r w:rsidR="00CB06C9" w:rsidRPr="00E55439">
        <w:rPr>
          <w:iCs/>
        </w:rPr>
        <w:t>s</w:t>
      </w:r>
      <w:r w:rsidR="00F90F82" w:rsidRPr="00E55439">
        <w:rPr>
          <w:iCs/>
        </w:rPr>
        <w:t xml:space="preserve"> and</w:t>
      </w:r>
      <w:r w:rsidR="002B06BD" w:rsidRPr="00E55439">
        <w:rPr>
          <w:iCs/>
        </w:rPr>
        <w:t xml:space="preserve"> process</w:t>
      </w:r>
      <w:r w:rsidR="00CB06C9" w:rsidRPr="00E55439">
        <w:rPr>
          <w:iCs/>
        </w:rPr>
        <w:t>es</w:t>
      </w:r>
      <w:r w:rsidRPr="00E55439">
        <w:rPr>
          <w:iCs/>
        </w:rPr>
        <w:t xml:space="preserve"> (e.g.,</w:t>
      </w:r>
      <w:r w:rsidR="002B06BD" w:rsidRPr="00E55439">
        <w:rPr>
          <w:iCs/>
        </w:rPr>
        <w:t xml:space="preserve"> intervention</w:t>
      </w:r>
      <w:r w:rsidR="00CB06C9" w:rsidRPr="00E55439">
        <w:rPr>
          <w:iCs/>
        </w:rPr>
        <w:t>s</w:t>
      </w:r>
      <w:r w:rsidR="002B06BD" w:rsidRPr="00E55439">
        <w:rPr>
          <w:iCs/>
        </w:rPr>
        <w:t>, or service</w:t>
      </w:r>
      <w:r w:rsidR="00CB06C9" w:rsidRPr="00E55439">
        <w:rPr>
          <w:iCs/>
        </w:rPr>
        <w:t>s</w:t>
      </w:r>
      <w:r w:rsidRPr="00E55439">
        <w:rPr>
          <w:iCs/>
        </w:rPr>
        <w:t>)</w:t>
      </w:r>
      <w:r w:rsidR="00CB06C9" w:rsidRPr="00E55439">
        <w:rPr>
          <w:iCs/>
        </w:rPr>
        <w:t xml:space="preserve"> </w:t>
      </w:r>
      <w:r w:rsidRPr="00E55439">
        <w:rPr>
          <w:iCs/>
        </w:rPr>
        <w:t>and the patient’s health outcome</w:t>
      </w:r>
      <w:r w:rsidR="00F90F82" w:rsidRPr="00E55439">
        <w:rPr>
          <w:iCs/>
        </w:rPr>
        <w:t>(s)</w:t>
      </w:r>
      <w:r w:rsidRPr="00E55439">
        <w:rPr>
          <w:iCs/>
        </w:rPr>
        <w:t xml:space="preserve">. The relationships in the diagram should be easily understood by general, non-technical audiences. Indicate the </w:t>
      </w:r>
      <w:r w:rsidR="00F90F82" w:rsidRPr="00E55439">
        <w:rPr>
          <w:iCs/>
        </w:rPr>
        <w:t xml:space="preserve">structure, </w:t>
      </w:r>
      <w:r w:rsidRPr="00E55439">
        <w:rPr>
          <w:iCs/>
        </w:rPr>
        <w:t>process or outcome being measured.</w:t>
      </w:r>
    </w:p>
    <w:p w14:paraId="2380A4A7" w14:textId="3663ECA7" w:rsidR="007372D0" w:rsidRDefault="007372D0" w:rsidP="007372D0">
      <w:pPr>
        <w:spacing w:before="120" w:after="120"/>
        <w:ind w:left="0" w:firstLine="0"/>
        <w:rPr>
          <w:color w:val="7030A0"/>
        </w:rPr>
      </w:pPr>
      <w:r>
        <w:rPr>
          <w:color w:val="7030A0"/>
        </w:rPr>
        <w:t>Figure 1. HF EDAC Logic Model</w:t>
      </w:r>
    </w:p>
    <w:p w14:paraId="327A87FA" w14:textId="59B79E79" w:rsidR="00E02B74" w:rsidRDefault="00E02B74" w:rsidP="007372D0">
      <w:pPr>
        <w:spacing w:before="120" w:after="120"/>
        <w:ind w:left="0" w:firstLine="0"/>
        <w:rPr>
          <w:color w:val="7030A0"/>
        </w:rPr>
      </w:pPr>
      <w:r>
        <w:rPr>
          <w:noProof/>
        </w:rPr>
        <w:drawing>
          <wp:inline distT="0" distB="0" distL="0" distR="0" wp14:anchorId="74476F35" wp14:editId="6B017163">
            <wp:extent cx="5943600" cy="2378710"/>
            <wp:effectExtent l="0" t="0" r="0" b="2540"/>
            <wp:docPr id="1" name="Picture 1" descr="Figure 1. HF EDAC Logic Model&#10;&#10;This figure shows a diagram of the logic model for this measure, and is made up of three text boxes with arrows pointing to the right between each box.&#10;The first text box states the following: delivery of timely, high-quality care; reducing the risk of infection and other complications; ensuring the patient is ready for discharge; improving communication among providers involved at care transition; reconciling medications; education patients about symptoms, whom to contact with questions, and where/when to seek follow-up care; and encouraging strategies that promote disease management.&#10;The second text box states: improving health status; and improved healthcare support and management. &#10;The final text box states: decreased risk of excess days in acute care (ED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2378710"/>
                    </a:xfrm>
                    <a:prstGeom prst="rect">
                      <a:avLst/>
                    </a:prstGeom>
                  </pic:spPr>
                </pic:pic>
              </a:graphicData>
            </a:graphic>
          </wp:inline>
        </w:drawing>
      </w:r>
    </w:p>
    <w:p w14:paraId="48D07815" w14:textId="77777777" w:rsidR="007372D0" w:rsidRDefault="007372D0" w:rsidP="007372D0">
      <w:pPr>
        <w:ind w:left="432" w:hanging="432"/>
        <w:rPr>
          <w:b/>
          <w:color w:val="0000FF"/>
        </w:rPr>
      </w:pPr>
    </w:p>
    <w:p w14:paraId="5DEAE8B3" w14:textId="55146AAD" w:rsidR="007372D0" w:rsidRPr="007372D0" w:rsidRDefault="007372D0" w:rsidP="007372D0">
      <w:pPr>
        <w:spacing w:before="120" w:after="120"/>
        <w:ind w:left="0" w:firstLine="0"/>
        <w:rPr>
          <w:color w:val="7030A0"/>
        </w:rPr>
      </w:pPr>
      <w:r>
        <w:rPr>
          <w:color w:val="7030A0"/>
        </w:rPr>
        <w:t xml:space="preserve">The goal of this measure is to improve patient outcomes by providing patients, physicians, and hospitals with information about hospital-level, risk-standardized excess days in acute care (EDAC) following hospitalization for heart failure. Measurement of patient outcomes allows for a broad view of quality of care that encompasses more than what can be captured by individual process-of-care measures. Complex and critical aspects of care, such as: communication between providers, prevention of, and response to, complications, patient safety and coordinated transitions to the outpatient environment, all contribute to patient outcomes but are difficult to measure by individual process measures. The goal of outcomes measurement is to risk-adjust for patients’ conditions at the time of hospital admission and </w:t>
      </w:r>
      <w:r>
        <w:rPr>
          <w:color w:val="7030A0"/>
        </w:rPr>
        <w:lastRenderedPageBreak/>
        <w:t xml:space="preserve">then evaluate patient outcomes. This </w:t>
      </w:r>
      <w:r>
        <w:rPr>
          <w:color w:val="FF0000"/>
        </w:rPr>
        <w:t xml:space="preserve">excess days in care </w:t>
      </w:r>
      <w:r>
        <w:rPr>
          <w:color w:val="7030A0"/>
        </w:rPr>
        <w:t>measure was developed to identify institutions, whose performance is better or worse than would be expected based on their patient case-mix, and therefore promote hospital quality improvement and better inform consumers about care quality.</w:t>
      </w:r>
    </w:p>
    <w:p w14:paraId="55B8DA5C" w14:textId="47993695" w:rsidR="00676BD4" w:rsidRPr="00E55439" w:rsidRDefault="00676BD4" w:rsidP="002E2177">
      <w:pPr>
        <w:ind w:left="432" w:hanging="432"/>
        <w:rPr>
          <w:b/>
          <w:color w:val="0000FF"/>
        </w:rPr>
      </w:pPr>
    </w:p>
    <w:p w14:paraId="33C7741B" w14:textId="4993289B" w:rsidR="004922E4" w:rsidRPr="00E55439" w:rsidRDefault="004922E4" w:rsidP="004922E4">
      <w:pPr>
        <w:ind w:right="140"/>
        <w:rPr>
          <w:b/>
          <w:iCs/>
        </w:rPr>
      </w:pPr>
      <w:r w:rsidRPr="00E55439">
        <w:rPr>
          <w:b/>
          <w:bCs/>
          <w:color w:val="0000FF"/>
        </w:rPr>
        <w:t>1a.3</w:t>
      </w:r>
      <w:r w:rsidRPr="00E55439">
        <w:rPr>
          <w:bCs/>
        </w:rPr>
        <w:t xml:space="preserve"> </w:t>
      </w:r>
      <w:r w:rsidRPr="00E55439">
        <w:rPr>
          <w:b/>
          <w:bCs/>
        </w:rPr>
        <w:t xml:space="preserve">Value and Meaningfulness:  </w:t>
      </w:r>
      <w:r w:rsidRPr="00E55439">
        <w:rPr>
          <w:bCs/>
        </w:rPr>
        <w:t xml:space="preserve"> </w:t>
      </w:r>
      <w:r w:rsidRPr="00E55439">
        <w:rPr>
          <w:b/>
          <w:iCs/>
        </w:rPr>
        <w:t xml:space="preserve">IF </w:t>
      </w:r>
      <w:r w:rsidRPr="00E55439">
        <w:rPr>
          <w:iCs/>
        </w:rPr>
        <w:t xml:space="preserve">this measure is derived from patient report, provide evidence that the target population values the measured </w:t>
      </w:r>
      <w:r w:rsidRPr="00E55439">
        <w:rPr>
          <w:b/>
          <w:i/>
          <w:iCs/>
        </w:rPr>
        <w:t>outcome, process, or structure</w:t>
      </w:r>
      <w:r w:rsidRPr="00E55439">
        <w:rPr>
          <w:iCs/>
        </w:rPr>
        <w:t xml:space="preserve"> and finds it meaningful. (Describe how and from whom their input was obtained.)</w:t>
      </w:r>
    </w:p>
    <w:p w14:paraId="55B8DA5F" w14:textId="42EBE83A" w:rsidR="00676BD4" w:rsidRPr="00E55439" w:rsidRDefault="00676BD4" w:rsidP="00A9011D">
      <w:pPr>
        <w:ind w:left="0" w:firstLine="0"/>
        <w:rPr>
          <w:b/>
          <w:color w:val="0000FF"/>
        </w:rPr>
      </w:pPr>
    </w:p>
    <w:p w14:paraId="55B8DA60" w14:textId="77777777" w:rsidR="00676BD4" w:rsidRPr="00E55439" w:rsidRDefault="00676BD4" w:rsidP="002E2177">
      <w:pPr>
        <w:ind w:left="432" w:hanging="432"/>
        <w:rPr>
          <w:b/>
          <w:color w:val="0000FF"/>
        </w:rPr>
      </w:pPr>
    </w:p>
    <w:p w14:paraId="55B8DA61" w14:textId="77777777" w:rsidR="00676BD4" w:rsidRPr="00E55439" w:rsidRDefault="00C41794" w:rsidP="002E2177">
      <w:pPr>
        <w:ind w:left="432" w:hanging="432"/>
        <w:rPr>
          <w:b/>
          <w:color w:val="0000FF"/>
        </w:rPr>
      </w:pPr>
      <w:r w:rsidRPr="00E55439">
        <w:rPr>
          <w:b/>
          <w:color w:val="0000FF"/>
        </w:rPr>
        <w:t xml:space="preserve">**RESPOND TO ONLY ONE SECTION </w:t>
      </w:r>
      <w:r w:rsidR="004E7215" w:rsidRPr="00E55439">
        <w:rPr>
          <w:b/>
          <w:color w:val="0000FF"/>
        </w:rPr>
        <w:t>BELOW -</w:t>
      </w:r>
      <w:r w:rsidRPr="00E55439">
        <w:rPr>
          <w:b/>
          <w:color w:val="0000FF"/>
        </w:rPr>
        <w:t xml:space="preserve">EITHER 1a.2, 1a.3 or 1a.4) </w:t>
      </w:r>
      <w:r w:rsidR="00AB4ECE" w:rsidRPr="00E55439">
        <w:rPr>
          <w:b/>
          <w:color w:val="0000FF"/>
        </w:rPr>
        <w:t>**</w:t>
      </w:r>
    </w:p>
    <w:p w14:paraId="55B8DA62" w14:textId="77777777" w:rsidR="00676BD4" w:rsidRPr="00E55439" w:rsidRDefault="00676BD4" w:rsidP="002E2177">
      <w:pPr>
        <w:ind w:left="432" w:hanging="432"/>
        <w:rPr>
          <w:b/>
          <w:color w:val="0000FF"/>
        </w:rPr>
      </w:pPr>
    </w:p>
    <w:p w14:paraId="55B8DA63" w14:textId="2B7351DE" w:rsidR="00496AF8" w:rsidRDefault="00B058A6" w:rsidP="00C41794">
      <w:pPr>
        <w:ind w:left="432" w:hanging="432"/>
        <w:rPr>
          <w:b/>
          <w:iCs/>
        </w:rPr>
      </w:pPr>
      <w:r w:rsidRPr="00E55439">
        <w:rPr>
          <w:b/>
          <w:color w:val="0000FF"/>
        </w:rPr>
        <w:t>1</w:t>
      </w:r>
      <w:r w:rsidR="00773485" w:rsidRPr="00E55439">
        <w:rPr>
          <w:b/>
          <w:color w:val="0000FF"/>
        </w:rPr>
        <w:t>a</w:t>
      </w:r>
      <w:r w:rsidRPr="00E55439">
        <w:rPr>
          <w:b/>
          <w:color w:val="0000FF"/>
        </w:rPr>
        <w:t>.2</w:t>
      </w:r>
      <w:r w:rsidR="00E41417" w:rsidRPr="00E55439">
        <w:rPr>
          <w:iCs/>
        </w:rPr>
        <w:t xml:space="preserve"> </w:t>
      </w:r>
      <w:r w:rsidR="00C41794" w:rsidRPr="00E55439">
        <w:rPr>
          <w:b/>
        </w:rPr>
        <w:t>FOR OUTCOME MEASURES including PATIENT REPORTED OUTCOMES</w:t>
      </w:r>
      <w:r w:rsidR="003D6721" w:rsidRPr="00E55439">
        <w:rPr>
          <w:b/>
        </w:rPr>
        <w:t xml:space="preserve"> </w:t>
      </w:r>
      <w:r w:rsidR="00C41794" w:rsidRPr="00E55439">
        <w:rPr>
          <w:b/>
        </w:rPr>
        <w:t>-</w:t>
      </w:r>
      <w:r w:rsidR="00C41794" w:rsidRPr="00E55439">
        <w:rPr>
          <w:b/>
          <w:iCs/>
        </w:rPr>
        <w:t xml:space="preserve"> </w:t>
      </w:r>
      <w:r w:rsidR="003D6721" w:rsidRPr="00E55439">
        <w:rPr>
          <w:b/>
          <w:iCs/>
        </w:rPr>
        <w:t xml:space="preserve">Provide empirical data demonstrating </w:t>
      </w:r>
      <w:r w:rsidR="008B51D9" w:rsidRPr="00E55439">
        <w:rPr>
          <w:b/>
          <w:iCs/>
        </w:rPr>
        <w:t xml:space="preserve">the </w:t>
      </w:r>
      <w:r w:rsidR="005D25E9" w:rsidRPr="00E55439">
        <w:rPr>
          <w:b/>
          <w:iCs/>
        </w:rPr>
        <w:t xml:space="preserve">relationship </w:t>
      </w:r>
      <w:r w:rsidR="00AC1E53" w:rsidRPr="00E55439">
        <w:rPr>
          <w:b/>
          <w:iCs/>
        </w:rPr>
        <w:t>between</w:t>
      </w:r>
      <w:r w:rsidR="005D25E9" w:rsidRPr="00E55439">
        <w:rPr>
          <w:b/>
          <w:iCs/>
        </w:rPr>
        <w:t xml:space="preserve"> the </w:t>
      </w:r>
      <w:r w:rsidR="008B51D9" w:rsidRPr="00E55439">
        <w:rPr>
          <w:b/>
          <w:iCs/>
        </w:rPr>
        <w:t>outcome</w:t>
      </w:r>
      <w:r w:rsidR="005857F8" w:rsidRPr="00E55439">
        <w:rPr>
          <w:b/>
          <w:iCs/>
        </w:rPr>
        <w:t xml:space="preserve"> </w:t>
      </w:r>
      <w:r w:rsidR="00AA5587" w:rsidRPr="00E55439">
        <w:rPr>
          <w:b/>
          <w:iCs/>
        </w:rPr>
        <w:t>(</w:t>
      </w:r>
      <w:r w:rsidR="005857F8" w:rsidRPr="00E55439">
        <w:rPr>
          <w:b/>
          <w:iCs/>
        </w:rPr>
        <w:t>or PRO</w:t>
      </w:r>
      <w:r w:rsidR="00AA5587" w:rsidRPr="00E55439">
        <w:rPr>
          <w:b/>
          <w:iCs/>
        </w:rPr>
        <w:t>)</w:t>
      </w:r>
      <w:r w:rsidR="008B51D9" w:rsidRPr="00E55439">
        <w:rPr>
          <w:b/>
          <w:iCs/>
        </w:rPr>
        <w:t xml:space="preserve"> </w:t>
      </w:r>
      <w:r w:rsidR="005D25E9" w:rsidRPr="00E55439">
        <w:rPr>
          <w:b/>
          <w:iCs/>
        </w:rPr>
        <w:t>to</w:t>
      </w:r>
      <w:r w:rsidR="00236F87" w:rsidRPr="00E55439">
        <w:rPr>
          <w:b/>
          <w:iCs/>
        </w:rPr>
        <w:t xml:space="preserve"> </w:t>
      </w:r>
      <w:r w:rsidR="00496AF8" w:rsidRPr="00E55439">
        <w:rPr>
          <w:b/>
          <w:iCs/>
        </w:rPr>
        <w:t>at least one</w:t>
      </w:r>
      <w:r w:rsidR="009B5BEA" w:rsidRPr="00E55439">
        <w:rPr>
          <w:b/>
          <w:iCs/>
        </w:rPr>
        <w:t xml:space="preserve"> </w:t>
      </w:r>
      <w:r w:rsidR="003D6721" w:rsidRPr="00E55439">
        <w:rPr>
          <w:b/>
          <w:iCs/>
        </w:rPr>
        <w:t xml:space="preserve">healthcare structure, process, </w:t>
      </w:r>
      <w:r w:rsidR="00496AF8" w:rsidRPr="00E55439">
        <w:rPr>
          <w:b/>
          <w:iCs/>
        </w:rPr>
        <w:t>intervention, or service</w:t>
      </w:r>
      <w:r w:rsidR="00676BD4" w:rsidRPr="00E55439">
        <w:rPr>
          <w:b/>
          <w:iCs/>
        </w:rPr>
        <w:t>.</w:t>
      </w:r>
      <w:r w:rsidR="00AC1E53" w:rsidRPr="00E55439">
        <w:rPr>
          <w:b/>
          <w:iCs/>
        </w:rPr>
        <w:t xml:space="preserve"> </w:t>
      </w:r>
    </w:p>
    <w:p w14:paraId="02186F65" w14:textId="7E761C93" w:rsidR="00A56E02" w:rsidRDefault="00A56E02" w:rsidP="00C41794">
      <w:pPr>
        <w:ind w:left="432" w:hanging="432"/>
        <w:rPr>
          <w:b/>
        </w:rPr>
      </w:pPr>
    </w:p>
    <w:p w14:paraId="630DA7E8" w14:textId="77777777" w:rsidR="008651C3" w:rsidRDefault="008651C3" w:rsidP="00E27E13">
      <w:pPr>
        <w:spacing w:before="120"/>
        <w:ind w:left="0" w:firstLine="0"/>
        <w:rPr>
          <w:b/>
        </w:rPr>
      </w:pPr>
      <w:r>
        <w:rPr>
          <w:iCs/>
          <w:color w:val="7030A0"/>
        </w:rPr>
        <w:t>The incidence rate of h</w:t>
      </w:r>
      <w:r w:rsidRPr="00D4798B">
        <w:rPr>
          <w:iCs/>
          <w:color w:val="7030A0"/>
        </w:rPr>
        <w:t>eart failure (HF) approaches 10 per 1</w:t>
      </w:r>
      <w:r>
        <w:rPr>
          <w:iCs/>
          <w:color w:val="7030A0"/>
        </w:rPr>
        <w:t>,</w:t>
      </w:r>
      <w:r w:rsidRPr="00D4798B">
        <w:rPr>
          <w:iCs/>
          <w:color w:val="7030A0"/>
        </w:rPr>
        <w:t xml:space="preserve">000 </w:t>
      </w:r>
      <w:r>
        <w:rPr>
          <w:iCs/>
          <w:color w:val="7030A0"/>
        </w:rPr>
        <w:t>in patients 65 years and older</w:t>
      </w:r>
      <w:r w:rsidRPr="00D4798B">
        <w:rPr>
          <w:iCs/>
          <w:color w:val="7030A0"/>
        </w:rPr>
        <w:t xml:space="preserve"> </w:t>
      </w:r>
      <w:r>
        <w:rPr>
          <w:iCs/>
          <w:color w:val="7030A0"/>
        </w:rPr>
        <w:t xml:space="preserve">(NHLBI et al., </w:t>
      </w:r>
      <w:r w:rsidRPr="00D4798B">
        <w:rPr>
          <w:iCs/>
          <w:color w:val="7030A0"/>
        </w:rPr>
        <w:t xml:space="preserve">2007), and </w:t>
      </w:r>
      <w:r>
        <w:rPr>
          <w:iCs/>
          <w:color w:val="7030A0"/>
        </w:rPr>
        <w:t>continues to be one of the</w:t>
      </w:r>
      <w:r w:rsidRPr="00D4798B">
        <w:rPr>
          <w:iCs/>
          <w:color w:val="7030A0"/>
        </w:rPr>
        <w:t xml:space="preserve"> most common discharge diagnos</w:t>
      </w:r>
      <w:r>
        <w:rPr>
          <w:iCs/>
          <w:color w:val="7030A0"/>
        </w:rPr>
        <w:t>e</w:t>
      </w:r>
      <w:r w:rsidRPr="00D4798B">
        <w:rPr>
          <w:iCs/>
          <w:color w:val="7030A0"/>
        </w:rPr>
        <w:t xml:space="preserve">s among the elderly (Jessup and </w:t>
      </w:r>
      <w:proofErr w:type="spellStart"/>
      <w:r w:rsidRPr="00D4798B">
        <w:rPr>
          <w:iCs/>
          <w:color w:val="7030A0"/>
        </w:rPr>
        <w:t>Brozena</w:t>
      </w:r>
      <w:proofErr w:type="spellEnd"/>
      <w:r>
        <w:rPr>
          <w:iCs/>
          <w:color w:val="7030A0"/>
        </w:rPr>
        <w:t xml:space="preserve"> et al.,</w:t>
      </w:r>
      <w:r w:rsidRPr="00D4798B">
        <w:rPr>
          <w:iCs/>
          <w:color w:val="7030A0"/>
        </w:rPr>
        <w:t xml:space="preserve"> 2003)</w:t>
      </w:r>
      <w:r>
        <w:rPr>
          <w:iCs/>
          <w:color w:val="7030A0"/>
        </w:rPr>
        <w:t>.</w:t>
      </w:r>
      <w:r w:rsidRPr="00D4798B">
        <w:rPr>
          <w:iCs/>
          <w:color w:val="7030A0"/>
        </w:rPr>
        <w:t xml:space="preserve"> </w:t>
      </w:r>
      <w:r>
        <w:rPr>
          <w:iCs/>
          <w:color w:val="7030A0"/>
        </w:rPr>
        <w:t>P</w:t>
      </w:r>
      <w:r w:rsidRPr="00D4798B">
        <w:rPr>
          <w:iCs/>
          <w:color w:val="7030A0"/>
        </w:rPr>
        <w:t xml:space="preserve">revalence of HF in the U.S. is estimated </w:t>
      </w:r>
      <w:r>
        <w:rPr>
          <w:iCs/>
          <w:color w:val="7030A0"/>
        </w:rPr>
        <w:t>to be more than</w:t>
      </w:r>
      <w:r w:rsidRPr="003C0D20">
        <w:rPr>
          <w:iCs/>
        </w:rPr>
        <w:t xml:space="preserve"> </w:t>
      </w:r>
      <w:r w:rsidRPr="00D4798B">
        <w:rPr>
          <w:iCs/>
          <w:color w:val="7030A0"/>
        </w:rPr>
        <w:t xml:space="preserve">6 million </w:t>
      </w:r>
      <w:r>
        <w:rPr>
          <w:iCs/>
          <w:color w:val="7030A0"/>
        </w:rPr>
        <w:t xml:space="preserve">cases </w:t>
      </w:r>
      <w:r w:rsidRPr="00D4798B">
        <w:rPr>
          <w:iCs/>
          <w:color w:val="7030A0"/>
        </w:rPr>
        <w:t>(</w:t>
      </w:r>
      <w:proofErr w:type="spellStart"/>
      <w:r w:rsidRPr="00D4798B">
        <w:rPr>
          <w:iCs/>
          <w:color w:val="7030A0"/>
        </w:rPr>
        <w:t>Mozaffarian</w:t>
      </w:r>
      <w:proofErr w:type="spellEnd"/>
      <w:r>
        <w:rPr>
          <w:iCs/>
          <w:color w:val="7030A0"/>
        </w:rPr>
        <w:t xml:space="preserve"> et al.,</w:t>
      </w:r>
      <w:r w:rsidRPr="00D4798B">
        <w:rPr>
          <w:iCs/>
          <w:color w:val="7030A0"/>
        </w:rPr>
        <w:t xml:space="preserve"> 2015, Lloyd-Jones</w:t>
      </w:r>
      <w:r>
        <w:rPr>
          <w:iCs/>
          <w:color w:val="7030A0"/>
        </w:rPr>
        <w:t xml:space="preserve"> et al.,</w:t>
      </w:r>
      <w:r w:rsidRPr="00D4798B">
        <w:rPr>
          <w:iCs/>
          <w:color w:val="7030A0"/>
        </w:rPr>
        <w:t xml:space="preserve"> 2009; </w:t>
      </w:r>
      <w:r w:rsidRPr="003E6F36">
        <w:rPr>
          <w:iCs/>
          <w:color w:val="C00000"/>
        </w:rPr>
        <w:t xml:space="preserve">Jackson </w:t>
      </w:r>
      <w:r>
        <w:rPr>
          <w:iCs/>
          <w:color w:val="C00000"/>
        </w:rPr>
        <w:t xml:space="preserve">et al., </w:t>
      </w:r>
      <w:r w:rsidRPr="003E6F36">
        <w:rPr>
          <w:iCs/>
          <w:color w:val="C00000"/>
        </w:rPr>
        <w:t>2018; Benjamin</w:t>
      </w:r>
      <w:r>
        <w:rPr>
          <w:iCs/>
          <w:color w:val="C00000"/>
        </w:rPr>
        <w:t xml:space="preserve"> et al.,</w:t>
      </w:r>
      <w:r w:rsidRPr="003E6F36">
        <w:rPr>
          <w:iCs/>
          <w:color w:val="C00000"/>
        </w:rPr>
        <w:t xml:space="preserve"> 2020</w:t>
      </w:r>
      <w:r w:rsidRPr="00D4798B">
        <w:rPr>
          <w:iCs/>
          <w:color w:val="7030A0"/>
        </w:rPr>
        <w:t xml:space="preserve">), and is suspected </w:t>
      </w:r>
      <w:r>
        <w:rPr>
          <w:iCs/>
          <w:color w:val="7030A0"/>
        </w:rPr>
        <w:t>to be</w:t>
      </w:r>
      <w:r w:rsidRPr="00D4798B">
        <w:rPr>
          <w:iCs/>
          <w:color w:val="7030A0"/>
        </w:rPr>
        <w:t xml:space="preserve"> the leading cause of death in people over age 65</w:t>
      </w:r>
      <w:r>
        <w:rPr>
          <w:iCs/>
          <w:color w:val="7030A0"/>
        </w:rPr>
        <w:t xml:space="preserve"> </w:t>
      </w:r>
      <w:r w:rsidRPr="00D411D0">
        <w:rPr>
          <w:iCs/>
          <w:color w:val="C00000"/>
        </w:rPr>
        <w:t xml:space="preserve">(Hines et al., 2014). </w:t>
      </w:r>
      <w:r w:rsidRPr="003E6F36">
        <w:rPr>
          <w:iCs/>
          <w:color w:val="C00000"/>
        </w:rPr>
        <w:t xml:space="preserve">The lifetime risk of HF is estimated at 1 in 5 at 40 years of age, and the prevalence in the aging US population is expected to increase by 46% by 2030 (Heidenreich 2013). Total direct medical costs of HF were estimated at $30.7 billion in 2012 and are projected to increase by </w:t>
      </w:r>
      <w:r>
        <w:rPr>
          <w:iCs/>
          <w:color w:val="C00000"/>
        </w:rPr>
        <w:t xml:space="preserve">approximately </w:t>
      </w:r>
      <w:r w:rsidRPr="003E6F36">
        <w:rPr>
          <w:iCs/>
          <w:color w:val="C00000"/>
        </w:rPr>
        <w:t>127% to $69.7 billion by 2030 (Jackson</w:t>
      </w:r>
      <w:r>
        <w:rPr>
          <w:iCs/>
          <w:color w:val="C00000"/>
        </w:rPr>
        <w:t xml:space="preserve"> et al.,</w:t>
      </w:r>
      <w:r w:rsidRPr="003E6F36">
        <w:rPr>
          <w:iCs/>
          <w:color w:val="C00000"/>
        </w:rPr>
        <w:t xml:space="preserve"> 2018; Heidenreich </w:t>
      </w:r>
      <w:r>
        <w:rPr>
          <w:iCs/>
          <w:color w:val="C00000"/>
        </w:rPr>
        <w:t xml:space="preserve">et al., </w:t>
      </w:r>
      <w:r w:rsidRPr="003E6F36">
        <w:rPr>
          <w:iCs/>
          <w:color w:val="C00000"/>
        </w:rPr>
        <w:t>2013).</w:t>
      </w:r>
    </w:p>
    <w:p w14:paraId="1DEF63DF" w14:textId="77777777" w:rsidR="008651C3" w:rsidRPr="00F17629" w:rsidRDefault="008651C3" w:rsidP="008651C3">
      <w:pPr>
        <w:spacing w:before="120" w:after="120"/>
        <w:ind w:left="0" w:firstLine="0"/>
        <w:rPr>
          <w:b/>
        </w:rPr>
      </w:pPr>
      <w:r w:rsidRPr="00D4798B">
        <w:rPr>
          <w:rFonts w:cstheme="minorHAnsi"/>
          <w:iCs/>
          <w:color w:val="7030A0"/>
        </w:rPr>
        <w:t xml:space="preserve">Clinical experience suggests that the care for these patients is highly variable, and studies </w:t>
      </w:r>
      <w:r>
        <w:rPr>
          <w:rFonts w:cstheme="minorHAnsi"/>
          <w:iCs/>
          <w:color w:val="7030A0"/>
        </w:rPr>
        <w:t xml:space="preserve">indicate there are </w:t>
      </w:r>
      <w:r w:rsidRPr="00D4798B">
        <w:rPr>
          <w:rFonts w:cstheme="minorHAnsi"/>
          <w:iCs/>
          <w:color w:val="7030A0"/>
        </w:rPr>
        <w:t xml:space="preserve">gaps in </w:t>
      </w:r>
      <w:r>
        <w:rPr>
          <w:rFonts w:cstheme="minorHAnsi"/>
          <w:iCs/>
          <w:color w:val="7030A0"/>
        </w:rPr>
        <w:t xml:space="preserve">the quality of </w:t>
      </w:r>
      <w:r w:rsidRPr="00D4798B">
        <w:rPr>
          <w:rFonts w:cstheme="minorHAnsi"/>
          <w:iCs/>
          <w:color w:val="7030A0"/>
        </w:rPr>
        <w:t>hospital care—particularly in the transition to outpatient care (Albert 2009, Jha 2005</w:t>
      </w:r>
      <w:r>
        <w:rPr>
          <w:rFonts w:cstheme="minorHAnsi"/>
          <w:iCs/>
          <w:color w:val="7030A0"/>
        </w:rPr>
        <w:t xml:space="preserve">; </w:t>
      </w:r>
      <w:r w:rsidRPr="00D7021F">
        <w:rPr>
          <w:rFonts w:cstheme="minorHAnsi"/>
          <w:iCs/>
          <w:color w:val="C00000"/>
        </w:rPr>
        <w:t>Patel et al., 2018</w:t>
      </w:r>
      <w:r w:rsidRPr="00D4798B">
        <w:rPr>
          <w:rFonts w:cstheme="minorHAnsi"/>
          <w:iCs/>
          <w:color w:val="7030A0"/>
        </w:rPr>
        <w:t xml:space="preserve">). Moreover, there is substantial inter-hospital variation in the </w:t>
      </w:r>
      <w:r>
        <w:rPr>
          <w:rFonts w:cstheme="minorHAnsi"/>
          <w:iCs/>
          <w:color w:val="7030A0"/>
        </w:rPr>
        <w:t>risk of readmission</w:t>
      </w:r>
      <w:r w:rsidRPr="00D4798B">
        <w:rPr>
          <w:rFonts w:cstheme="minorHAnsi"/>
          <w:iCs/>
          <w:color w:val="7030A0"/>
        </w:rPr>
        <w:t xml:space="preserve"> that is not clearly explained by differences in case mix</w:t>
      </w:r>
      <w:r>
        <w:rPr>
          <w:rFonts w:cstheme="minorHAnsi"/>
          <w:iCs/>
          <w:color w:val="7030A0"/>
        </w:rPr>
        <w:t xml:space="preserve"> (</w:t>
      </w:r>
      <w:proofErr w:type="spellStart"/>
      <w:r w:rsidRPr="00D7021F">
        <w:rPr>
          <w:rFonts w:cstheme="minorHAnsi"/>
          <w:iCs/>
          <w:color w:val="C00000"/>
        </w:rPr>
        <w:t>Lahewala</w:t>
      </w:r>
      <w:proofErr w:type="spellEnd"/>
      <w:r w:rsidRPr="00D7021F">
        <w:rPr>
          <w:rFonts w:cstheme="minorHAnsi"/>
          <w:iCs/>
          <w:color w:val="C00000"/>
        </w:rPr>
        <w:t xml:space="preserve"> et al., 2018</w:t>
      </w:r>
      <w:r>
        <w:rPr>
          <w:rFonts w:cstheme="minorHAnsi"/>
          <w:iCs/>
          <w:color w:val="C00000"/>
        </w:rPr>
        <w:t xml:space="preserve">; </w:t>
      </w:r>
      <w:proofErr w:type="spellStart"/>
      <w:r>
        <w:rPr>
          <w:rFonts w:cstheme="minorHAnsi"/>
          <w:iCs/>
          <w:color w:val="C00000"/>
        </w:rPr>
        <w:t>Roshanghalb</w:t>
      </w:r>
      <w:proofErr w:type="spellEnd"/>
      <w:r>
        <w:rPr>
          <w:rFonts w:cstheme="minorHAnsi"/>
          <w:iCs/>
          <w:color w:val="C00000"/>
        </w:rPr>
        <w:t xml:space="preserve"> et al., 2019</w:t>
      </w:r>
      <w:r>
        <w:rPr>
          <w:rFonts w:cstheme="minorHAnsi"/>
          <w:iCs/>
          <w:color w:val="7030A0"/>
        </w:rPr>
        <w:t>)</w:t>
      </w:r>
      <w:r w:rsidRPr="00D4798B">
        <w:rPr>
          <w:rFonts w:cstheme="minorHAnsi"/>
          <w:iCs/>
          <w:color w:val="7030A0"/>
        </w:rPr>
        <w:t>. Measurement of patient outcomes allows for a broad view of quality of care that encompasses more than what can be captured by individual process-of-care measures. Complex and critical aspects of care, such as</w:t>
      </w:r>
      <w:r>
        <w:rPr>
          <w:rFonts w:cstheme="minorHAnsi"/>
          <w:iCs/>
          <w:color w:val="7030A0"/>
        </w:rPr>
        <w:t>:</w:t>
      </w:r>
      <w:r w:rsidRPr="00D4798B">
        <w:rPr>
          <w:rFonts w:cstheme="minorHAnsi"/>
          <w:iCs/>
          <w:color w:val="7030A0"/>
        </w:rPr>
        <w:t xml:space="preserve"> communication between providers</w:t>
      </w:r>
      <w:r>
        <w:rPr>
          <w:rFonts w:cstheme="minorHAnsi"/>
          <w:iCs/>
          <w:color w:val="7030A0"/>
        </w:rPr>
        <w:t xml:space="preserve">; </w:t>
      </w:r>
      <w:r w:rsidRPr="00D4798B">
        <w:rPr>
          <w:rFonts w:cstheme="minorHAnsi"/>
          <w:iCs/>
          <w:color w:val="7030A0"/>
        </w:rPr>
        <w:t>prevention of</w:t>
      </w:r>
      <w:r>
        <w:rPr>
          <w:rFonts w:cstheme="minorHAnsi"/>
          <w:iCs/>
          <w:color w:val="7030A0"/>
        </w:rPr>
        <w:t>,</w:t>
      </w:r>
      <w:r w:rsidRPr="00D4798B">
        <w:rPr>
          <w:rFonts w:cstheme="minorHAnsi"/>
          <w:iCs/>
          <w:color w:val="7030A0"/>
        </w:rPr>
        <w:t xml:space="preserve"> and response to</w:t>
      </w:r>
      <w:r>
        <w:rPr>
          <w:rFonts w:cstheme="minorHAnsi"/>
          <w:iCs/>
          <w:color w:val="7030A0"/>
        </w:rPr>
        <w:t>,</w:t>
      </w:r>
      <w:r w:rsidRPr="00D4798B">
        <w:rPr>
          <w:rFonts w:cstheme="minorHAnsi"/>
          <w:iCs/>
          <w:color w:val="7030A0"/>
        </w:rPr>
        <w:t xml:space="preserve"> complications</w:t>
      </w:r>
      <w:r>
        <w:rPr>
          <w:rFonts w:cstheme="minorHAnsi"/>
          <w:iCs/>
          <w:color w:val="7030A0"/>
        </w:rPr>
        <w:t>;</w:t>
      </w:r>
      <w:r w:rsidRPr="00D4798B">
        <w:rPr>
          <w:rFonts w:cstheme="minorHAnsi"/>
          <w:iCs/>
          <w:color w:val="7030A0"/>
        </w:rPr>
        <w:t xml:space="preserve"> </w:t>
      </w:r>
      <w:r>
        <w:rPr>
          <w:rFonts w:cstheme="minorHAnsi"/>
          <w:iCs/>
          <w:color w:val="7030A0"/>
        </w:rPr>
        <w:t xml:space="preserve">and </w:t>
      </w:r>
      <w:r w:rsidRPr="00D4798B">
        <w:rPr>
          <w:rFonts w:cstheme="minorHAnsi"/>
          <w:iCs/>
          <w:color w:val="7030A0"/>
        </w:rPr>
        <w:t>patient safety and coordinated transitions to the outpatient environment all contribute to patient outcomes but are difficult to measure by individual process measures.</w:t>
      </w:r>
    </w:p>
    <w:p w14:paraId="03D72DC5" w14:textId="77FE9C8F" w:rsidR="008651C3" w:rsidRDefault="008651C3" w:rsidP="008651C3">
      <w:pPr>
        <w:spacing w:before="120" w:after="120"/>
        <w:ind w:left="0" w:firstLine="0"/>
        <w:rPr>
          <w:iCs/>
          <w:color w:val="7030A0"/>
        </w:rPr>
      </w:pPr>
      <w:r w:rsidRPr="009862CA">
        <w:rPr>
          <w:iCs/>
          <w:color w:val="7030A0"/>
        </w:rPr>
        <w:t xml:space="preserve">The HF risk-standardized </w:t>
      </w:r>
      <w:r>
        <w:rPr>
          <w:iCs/>
          <w:color w:val="7030A0"/>
        </w:rPr>
        <w:t>excess days in acute care</w:t>
      </w:r>
      <w:r w:rsidRPr="009862CA">
        <w:rPr>
          <w:iCs/>
          <w:color w:val="7030A0"/>
        </w:rPr>
        <w:t xml:space="preserve"> measure is thus intended to inform quality-of-care improvement efforts, as individual process-based performance measures cannot encompass all the complex and critical aspects of care within a hospital that contribute to patient outcomes. Many stakeholders, including patient organizations, are interested in outcomes measures that allow patients and providers to assess relative outcomes performance for hospitals.</w:t>
      </w:r>
    </w:p>
    <w:p w14:paraId="6A77578A" w14:textId="0E7DC4F4" w:rsidR="00A56E02" w:rsidRDefault="00A56E02" w:rsidP="00A56E02">
      <w:pPr>
        <w:spacing w:before="120" w:after="120"/>
        <w:ind w:left="0" w:firstLine="0"/>
        <w:rPr>
          <w:iCs/>
          <w:color w:val="7030A0"/>
        </w:rPr>
      </w:pPr>
      <w:r>
        <w:rPr>
          <w:iCs/>
          <w:color w:val="7030A0"/>
        </w:rPr>
        <w:t xml:space="preserve">The diagram </w:t>
      </w:r>
      <w:r w:rsidR="00E27E13">
        <w:rPr>
          <w:iCs/>
          <w:color w:val="7030A0"/>
        </w:rPr>
        <w:t>in Figure 1</w:t>
      </w:r>
      <w:r>
        <w:rPr>
          <w:iCs/>
          <w:color w:val="7030A0"/>
        </w:rPr>
        <w:t xml:space="preserve"> indicates some of the many care processes that can influence post-discharge acute care utilization after a hospitalization for heart failure. These complex and critical aspects of care – such as communication between providers, patient education, patient safety, and coordinated transitions to the outpatient environment – all contribute to patient outcomes but are difficult to measure by individual process measures. Interventions during and after a hospitalization can be effective in reducing utilization rates in geriatric populations (</w:t>
      </w:r>
      <w:proofErr w:type="spellStart"/>
      <w:r>
        <w:rPr>
          <w:iCs/>
          <w:color w:val="7030A0"/>
        </w:rPr>
        <w:t>Benbassat</w:t>
      </w:r>
      <w:proofErr w:type="spellEnd"/>
      <w:r>
        <w:rPr>
          <w:iCs/>
          <w:color w:val="7030A0"/>
        </w:rPr>
        <w:t xml:space="preserve"> et al., 2000; Naylor et al., 1999; Coleman et al., 2006; Courtney et al., 2009; Koehler et al., 2009) and, particularly, for older patients </w:t>
      </w:r>
      <w:r>
        <w:rPr>
          <w:iCs/>
          <w:color w:val="7030A0"/>
        </w:rPr>
        <w:lastRenderedPageBreak/>
        <w:t xml:space="preserve">(Carroll et al., 2007; Young et al., 2003; </w:t>
      </w:r>
      <w:proofErr w:type="spellStart"/>
      <w:r>
        <w:rPr>
          <w:iCs/>
          <w:color w:val="7030A0"/>
        </w:rPr>
        <w:t>Bondestam</w:t>
      </w:r>
      <w:proofErr w:type="spellEnd"/>
      <w:r>
        <w:rPr>
          <w:iCs/>
          <w:color w:val="7030A0"/>
        </w:rPr>
        <w:t xml:space="preserve"> et al., 1995; Ades et al, 1992; </w:t>
      </w:r>
      <w:proofErr w:type="spellStart"/>
      <w:r>
        <w:rPr>
          <w:iCs/>
          <w:color w:val="7030A0"/>
        </w:rPr>
        <w:t>Carlhed</w:t>
      </w:r>
      <w:proofErr w:type="spellEnd"/>
      <w:r>
        <w:rPr>
          <w:iCs/>
          <w:color w:val="7030A0"/>
        </w:rPr>
        <w:t xml:space="preserve"> et al., 2009). Several randomized trials have reduced 30-day readmission rates by 20-40% (Jack et al., 2009; Coleman et al., 2004; Courtney et al., 2009; </w:t>
      </w:r>
      <w:proofErr w:type="spellStart"/>
      <w:r>
        <w:rPr>
          <w:iCs/>
          <w:color w:val="7030A0"/>
        </w:rPr>
        <w:t>Garasen</w:t>
      </w:r>
      <w:proofErr w:type="spellEnd"/>
      <w:r>
        <w:rPr>
          <w:iCs/>
          <w:color w:val="7030A0"/>
        </w:rPr>
        <w:t xml:space="preserve"> et al., 2007; Koehler et al., 2009; </w:t>
      </w:r>
      <w:proofErr w:type="spellStart"/>
      <w:r>
        <w:rPr>
          <w:iCs/>
          <w:color w:val="7030A0"/>
        </w:rPr>
        <w:t>Mistiaen</w:t>
      </w:r>
      <w:proofErr w:type="spellEnd"/>
      <w:r>
        <w:rPr>
          <w:iCs/>
          <w:color w:val="7030A0"/>
        </w:rPr>
        <w:t xml:space="preserve"> et al., 2007; Naylor et al., 1994; Naylor et al., 1999; van </w:t>
      </w:r>
      <w:proofErr w:type="spellStart"/>
      <w:r>
        <w:rPr>
          <w:iCs/>
          <w:color w:val="7030A0"/>
        </w:rPr>
        <w:t>Walraven</w:t>
      </w:r>
      <w:proofErr w:type="spellEnd"/>
      <w:r>
        <w:rPr>
          <w:iCs/>
          <w:color w:val="7030A0"/>
        </w:rPr>
        <w:t xml:space="preserve"> et al., 2002; Weiss et al., 2010; </w:t>
      </w:r>
      <w:proofErr w:type="spellStart"/>
      <w:r>
        <w:rPr>
          <w:iCs/>
          <w:color w:val="7030A0"/>
        </w:rPr>
        <w:t>Krumholz</w:t>
      </w:r>
      <w:proofErr w:type="spellEnd"/>
      <w:r>
        <w:rPr>
          <w:iCs/>
          <w:color w:val="7030A0"/>
        </w:rPr>
        <w:t xml:space="preserve"> et al., 2012; Balaban et al., 2008; </w:t>
      </w:r>
      <w:r>
        <w:rPr>
          <w:iCs/>
          <w:color w:val="C00000"/>
        </w:rPr>
        <w:t>Patel et al., 2018</w:t>
      </w:r>
      <w:r>
        <w:rPr>
          <w:iCs/>
          <w:color w:val="7030A0"/>
        </w:rPr>
        <w:t xml:space="preserve">). These types of interventions have also been demonstrated to be cost-saving (Naylor et al., 1999; Naylor et al., 2004; </w:t>
      </w:r>
      <w:proofErr w:type="spellStart"/>
      <w:r>
        <w:rPr>
          <w:iCs/>
          <w:color w:val="7030A0"/>
        </w:rPr>
        <w:t>Koelling</w:t>
      </w:r>
      <w:proofErr w:type="spellEnd"/>
      <w:r>
        <w:rPr>
          <w:iCs/>
          <w:color w:val="7030A0"/>
        </w:rPr>
        <w:t xml:space="preserve"> et al., 2005; </w:t>
      </w:r>
      <w:proofErr w:type="spellStart"/>
      <w:r>
        <w:rPr>
          <w:iCs/>
          <w:color w:val="7030A0"/>
        </w:rPr>
        <w:t>Krumholz</w:t>
      </w:r>
      <w:proofErr w:type="spellEnd"/>
      <w:r>
        <w:rPr>
          <w:iCs/>
          <w:color w:val="7030A0"/>
        </w:rPr>
        <w:t xml:space="preserve"> et al., 2002; Stauffer et al., 2011). Outside the randomized controlled trial setting, there is also increasing evidence that hospitals and health plans have been able to reduce readmission rates through more generalizable quality improvement initiatives (Gerhardt et al., 2012; Stauffer et al., 2011; Graham et al., 2012; Harrison et al., 2011; Hernandez et al., 2010; </w:t>
      </w:r>
      <w:r>
        <w:rPr>
          <w:color w:val="C00000"/>
        </w:rPr>
        <w:t>Radhakrishnan et al., 2018</w:t>
      </w:r>
      <w:r>
        <w:rPr>
          <w:iCs/>
          <w:color w:val="7030A0"/>
        </w:rPr>
        <w:t>).</w:t>
      </w:r>
    </w:p>
    <w:p w14:paraId="11EA3BFD" w14:textId="7723A6BA" w:rsidR="00A56E02" w:rsidRPr="00634421" w:rsidRDefault="00A56E02" w:rsidP="00A56E02">
      <w:pPr>
        <w:ind w:left="0" w:firstLine="0"/>
        <w:rPr>
          <w:color w:val="C00000"/>
        </w:rPr>
      </w:pPr>
      <w:r w:rsidRPr="003511B6">
        <w:rPr>
          <w:color w:val="C00000"/>
        </w:rPr>
        <w:t xml:space="preserve">In the case of heart failure, specifically, </w:t>
      </w:r>
      <w:proofErr w:type="gramStart"/>
      <w:r w:rsidR="00283AC3" w:rsidRPr="003511B6">
        <w:rPr>
          <w:color w:val="C00000"/>
        </w:rPr>
        <w:t>a number of</w:t>
      </w:r>
      <w:proofErr w:type="gramEnd"/>
      <w:r w:rsidR="00283AC3" w:rsidRPr="003511B6">
        <w:rPr>
          <w:color w:val="C00000"/>
        </w:rPr>
        <w:t xml:space="preserve"> strategies have been shown to reduce </w:t>
      </w:r>
      <w:r w:rsidR="00A63483" w:rsidRPr="003511B6">
        <w:rPr>
          <w:color w:val="C00000"/>
        </w:rPr>
        <w:t>re-</w:t>
      </w:r>
      <w:r w:rsidR="00283AC3" w:rsidRPr="003511B6">
        <w:rPr>
          <w:color w:val="C00000"/>
        </w:rPr>
        <w:t>h</w:t>
      </w:r>
      <w:r w:rsidR="00A63483" w:rsidRPr="003511B6">
        <w:rPr>
          <w:color w:val="C00000"/>
        </w:rPr>
        <w:t>ospitalization.  For example</w:t>
      </w:r>
      <w:r w:rsidR="00937646" w:rsidRPr="003511B6">
        <w:rPr>
          <w:color w:val="C00000"/>
        </w:rPr>
        <w:t>,</w:t>
      </w:r>
      <w:r w:rsidR="00A63483" w:rsidRPr="003511B6">
        <w:rPr>
          <w:color w:val="C00000"/>
        </w:rPr>
        <w:t xml:space="preserve"> Al </w:t>
      </w:r>
      <w:proofErr w:type="spellStart"/>
      <w:r w:rsidR="00A63483" w:rsidRPr="003511B6">
        <w:rPr>
          <w:color w:val="C00000"/>
        </w:rPr>
        <w:t>Damlugi</w:t>
      </w:r>
      <w:proofErr w:type="spellEnd"/>
      <w:r w:rsidR="00A63483" w:rsidRPr="003511B6">
        <w:rPr>
          <w:color w:val="C00000"/>
        </w:rPr>
        <w:t xml:space="preserve"> and </w:t>
      </w:r>
      <w:r w:rsidR="00937646" w:rsidRPr="003511B6">
        <w:rPr>
          <w:color w:val="C00000"/>
        </w:rPr>
        <w:t>colleagues</w:t>
      </w:r>
      <w:r w:rsidR="00A63483" w:rsidRPr="003511B6">
        <w:rPr>
          <w:color w:val="C00000"/>
        </w:rPr>
        <w:t xml:space="preserve"> showed that</w:t>
      </w:r>
      <w:r w:rsidR="00937646" w:rsidRPr="003511B6">
        <w:rPr>
          <w:color w:val="C00000"/>
        </w:rPr>
        <w:t xml:space="preserve"> </w:t>
      </w:r>
      <w:r w:rsidR="00283AC3" w:rsidRPr="003511B6">
        <w:rPr>
          <w:color w:val="C00000"/>
        </w:rPr>
        <w:t>better care coordination at dischar</w:t>
      </w:r>
      <w:r w:rsidR="00A63483" w:rsidRPr="003511B6">
        <w:rPr>
          <w:color w:val="C00000"/>
        </w:rPr>
        <w:t>ge</w:t>
      </w:r>
      <w:r w:rsidR="00937646" w:rsidRPr="003511B6">
        <w:rPr>
          <w:color w:val="C00000"/>
        </w:rPr>
        <w:t xml:space="preserve"> </w:t>
      </w:r>
      <w:r w:rsidR="003511B6" w:rsidRPr="003511B6">
        <w:rPr>
          <w:color w:val="C00000"/>
        </w:rPr>
        <w:t>reduced the likelihood of a readmission</w:t>
      </w:r>
      <w:r w:rsidR="003B0A44">
        <w:rPr>
          <w:color w:val="C00000"/>
        </w:rPr>
        <w:t xml:space="preserve">: </w:t>
      </w:r>
      <w:r w:rsidR="003511B6" w:rsidRPr="003511B6">
        <w:rPr>
          <w:color w:val="C00000"/>
        </w:rPr>
        <w:t xml:space="preserve"> discharge summaries that were transmitted to </w:t>
      </w:r>
      <w:r w:rsidR="003B0A44">
        <w:rPr>
          <w:color w:val="C00000"/>
        </w:rPr>
        <w:t xml:space="preserve">any </w:t>
      </w:r>
      <w:r w:rsidR="003511B6" w:rsidRPr="003511B6">
        <w:rPr>
          <w:color w:val="C00000"/>
        </w:rPr>
        <w:t xml:space="preserve">outpatient clinician were associated with lower odds of readmission, and discharge summaries that included elements related to transitions of care were also associated with lower odds of readmission (Al </w:t>
      </w:r>
      <w:proofErr w:type="spellStart"/>
      <w:r w:rsidR="003511B6" w:rsidRPr="003511B6">
        <w:rPr>
          <w:color w:val="C00000"/>
        </w:rPr>
        <w:t>Damlu</w:t>
      </w:r>
      <w:r w:rsidR="000F6837">
        <w:rPr>
          <w:color w:val="C00000"/>
        </w:rPr>
        <w:t>j</w:t>
      </w:r>
      <w:r w:rsidR="003511B6" w:rsidRPr="003511B6">
        <w:rPr>
          <w:color w:val="C00000"/>
        </w:rPr>
        <w:t>i</w:t>
      </w:r>
      <w:proofErr w:type="spellEnd"/>
      <w:r w:rsidR="003511B6" w:rsidRPr="003511B6">
        <w:rPr>
          <w:color w:val="C00000"/>
        </w:rPr>
        <w:t xml:space="preserve"> et al., 2015).</w:t>
      </w:r>
      <w:r w:rsidR="00A63483" w:rsidRPr="003511B6">
        <w:rPr>
          <w:color w:val="C00000"/>
        </w:rPr>
        <w:t xml:space="preserve"> </w:t>
      </w:r>
      <w:r w:rsidR="003511B6" w:rsidRPr="003511B6">
        <w:rPr>
          <w:color w:val="C00000"/>
        </w:rPr>
        <w:t xml:space="preserve">In addition, </w:t>
      </w:r>
      <w:r w:rsidR="00A63483" w:rsidRPr="003511B6">
        <w:rPr>
          <w:color w:val="C00000"/>
        </w:rPr>
        <w:t>a meta-analysis found that interventions such as patient education and patient education combined with other interventions were the most beneficial</w:t>
      </w:r>
      <w:r w:rsidR="00937646" w:rsidRPr="003511B6">
        <w:rPr>
          <w:color w:val="C00000"/>
        </w:rPr>
        <w:t>; interventions that included one or more interventions were 1.4 to 6.8 times less likely to be readmitted</w:t>
      </w:r>
      <w:r w:rsidR="00A63483" w:rsidRPr="003511B6">
        <w:rPr>
          <w:color w:val="C00000"/>
        </w:rPr>
        <w:t xml:space="preserve"> (Wan et al., 201</w:t>
      </w:r>
      <w:r w:rsidR="003B0A44">
        <w:rPr>
          <w:color w:val="C00000"/>
        </w:rPr>
        <w:t>7</w:t>
      </w:r>
      <w:r w:rsidR="00A63483" w:rsidRPr="003511B6">
        <w:rPr>
          <w:color w:val="C00000"/>
        </w:rPr>
        <w:t>).</w:t>
      </w:r>
      <w:r w:rsidR="00634421" w:rsidRPr="00634421">
        <w:t xml:space="preserve"> </w:t>
      </w:r>
      <w:r w:rsidR="00634421" w:rsidRPr="00634421">
        <w:rPr>
          <w:color w:val="C00000"/>
        </w:rPr>
        <w:t xml:space="preserve">A review article examining effective strategies to prevent hospitalization and rehospitalization found that comprehensive discharge support, including individualized instruction and early post-discharge follow-up (by phone, home visit, or in clinic) in the immediate post-discharge period reduced mortality and/or readmissions in clinical trials (Horwitz and </w:t>
      </w:r>
      <w:proofErr w:type="spellStart"/>
      <w:r w:rsidR="00634421" w:rsidRPr="00634421">
        <w:rPr>
          <w:color w:val="C00000"/>
        </w:rPr>
        <w:t>Krumholz</w:t>
      </w:r>
      <w:proofErr w:type="spellEnd"/>
      <w:r w:rsidR="00634421" w:rsidRPr="00634421">
        <w:rPr>
          <w:color w:val="C00000"/>
        </w:rPr>
        <w:t>, 2019)</w:t>
      </w:r>
      <w:r w:rsidR="00634421">
        <w:rPr>
          <w:color w:val="C00000"/>
        </w:rPr>
        <w:t xml:space="preserve">. </w:t>
      </w:r>
      <w:r>
        <w:rPr>
          <w:iCs/>
          <w:color w:val="7030A0"/>
        </w:rPr>
        <w:t>Studies have also reported reductions in emergency department (ED) visit rates for patients with other conditions after implementation of interventions that focused on the inpatient and outpatient settings (</w:t>
      </w:r>
      <w:proofErr w:type="spellStart"/>
      <w:r>
        <w:rPr>
          <w:iCs/>
          <w:color w:val="7030A0"/>
        </w:rPr>
        <w:t>Bondestam</w:t>
      </w:r>
      <w:proofErr w:type="spellEnd"/>
      <w:r>
        <w:rPr>
          <w:iCs/>
          <w:color w:val="7030A0"/>
        </w:rPr>
        <w:t xml:space="preserve"> et al., 1995).</w:t>
      </w:r>
    </w:p>
    <w:p w14:paraId="0F447BB6" w14:textId="514AAC7D" w:rsidR="00283AC3" w:rsidRDefault="00283AC3" w:rsidP="00A56E02">
      <w:pPr>
        <w:ind w:left="0" w:firstLine="0"/>
        <w:rPr>
          <w:iCs/>
          <w:color w:val="7030A0"/>
        </w:rPr>
      </w:pPr>
    </w:p>
    <w:p w14:paraId="019A96C8" w14:textId="77777777" w:rsidR="00A56E02" w:rsidRDefault="00A56E02" w:rsidP="00A56E02">
      <w:pPr>
        <w:ind w:left="0" w:firstLine="0"/>
        <w:rPr>
          <w:iCs/>
          <w:color w:val="7030A0"/>
        </w:rPr>
      </w:pPr>
      <w:r>
        <w:rPr>
          <w:iCs/>
          <w:color w:val="7030A0"/>
        </w:rPr>
        <w:t>The current process-based performance measures cannot capture all the ways that care within the hospital might influence outcomes. As a result, many stakeholders, including patient organizations, are interested in outcomes measures that allow patients and providers to assess relative outcomes performance among hospitals (</w:t>
      </w:r>
      <w:proofErr w:type="spellStart"/>
      <w:r>
        <w:rPr>
          <w:iCs/>
          <w:color w:val="7030A0"/>
        </w:rPr>
        <w:t>Bratzler</w:t>
      </w:r>
      <w:proofErr w:type="spellEnd"/>
      <w:r>
        <w:rPr>
          <w:iCs/>
          <w:color w:val="7030A0"/>
        </w:rPr>
        <w:t xml:space="preserve"> et al., 2007).</w:t>
      </w:r>
    </w:p>
    <w:p w14:paraId="229725CA" w14:textId="77777777" w:rsidR="00A56E02" w:rsidRDefault="00A56E02" w:rsidP="00A56E02">
      <w:pPr>
        <w:ind w:left="0" w:firstLine="0"/>
        <w:rPr>
          <w:iCs/>
          <w:color w:val="7030A0"/>
        </w:rPr>
      </w:pPr>
    </w:p>
    <w:p w14:paraId="1B917387" w14:textId="77777777" w:rsidR="00A56E02" w:rsidRDefault="00A56E02" w:rsidP="00A56E02">
      <w:pPr>
        <w:ind w:left="0" w:firstLine="0"/>
        <w:rPr>
          <w:iCs/>
          <w:color w:val="7030A0"/>
        </w:rPr>
      </w:pPr>
      <w:r>
        <w:rPr>
          <w:iCs/>
          <w:color w:val="7030A0"/>
        </w:rPr>
        <w:t xml:space="preserve">In the context of the Centers for Medicare and Medicaid Services’ (CMS’s) publicly reported readmission measures, the increasing use of ED visits and observation stays has raised concerns that current readmission measures do not capture the full range of unplanned acute care in the post-discharge period (Vashi et al., 2013; Rising et al., 2012; Feng et al., 2012). Observation stays can occur in many different parts of the hospital, including dedicated treatment rooms, the ED, or inpatient units. In particular, there is concern that high use of observation stays could in some cases replace readmissions, and that hospitals with high rates of observation stays in the post-discharge period may therefore have low readmission rates that do not accurately reflect the quality of care (Vashi et al., 2013; </w:t>
      </w:r>
      <w:r>
        <w:rPr>
          <w:iCs/>
          <w:color w:val="C00000"/>
        </w:rPr>
        <w:t>Nuckols et al., 2018).</w:t>
      </w:r>
    </w:p>
    <w:p w14:paraId="3609C96A" w14:textId="77777777" w:rsidR="00A56E02" w:rsidRDefault="00A56E02" w:rsidP="00A56E02">
      <w:pPr>
        <w:ind w:left="0" w:firstLine="0"/>
        <w:rPr>
          <w:iCs/>
          <w:color w:val="7030A0"/>
        </w:rPr>
      </w:pPr>
    </w:p>
    <w:p w14:paraId="3080AEA7" w14:textId="77777777" w:rsidR="00A56E02" w:rsidRDefault="00A56E02" w:rsidP="00A56E02">
      <w:pPr>
        <w:ind w:left="0" w:firstLine="0"/>
        <w:rPr>
          <w:iCs/>
          <w:color w:val="7030A0"/>
          <w:u w:val="single"/>
        </w:rPr>
      </w:pPr>
      <w:r>
        <w:rPr>
          <w:iCs/>
          <w:color w:val="7030A0"/>
          <w:u w:val="single"/>
        </w:rPr>
        <w:t>References</w:t>
      </w:r>
      <w:r>
        <w:rPr>
          <w:iCs/>
          <w:color w:val="7030A0"/>
        </w:rPr>
        <w:t>:</w:t>
      </w:r>
    </w:p>
    <w:p w14:paraId="1A2ED936" w14:textId="77777777" w:rsidR="003511B6" w:rsidRDefault="00A56E02" w:rsidP="00A56E02">
      <w:pPr>
        <w:spacing w:before="120"/>
        <w:ind w:left="0" w:firstLine="0"/>
      </w:pPr>
      <w:r>
        <w:rPr>
          <w:iCs/>
          <w:color w:val="7030A0"/>
        </w:rPr>
        <w:t>Ades PA, Huang D, Weaver SO. 1992. Cardiac rehabilitation participation predicts lower rehospitalization costs. Am Heart J 123(4 Pt 1):916-921.</w:t>
      </w:r>
      <w:r w:rsidR="003511B6" w:rsidRPr="003511B6">
        <w:t xml:space="preserve"> </w:t>
      </w:r>
    </w:p>
    <w:p w14:paraId="32C42E57" w14:textId="3DB858CF" w:rsidR="003511B6" w:rsidRPr="003511B6" w:rsidRDefault="003511B6" w:rsidP="00A56E02">
      <w:pPr>
        <w:spacing w:before="120"/>
        <w:ind w:left="0" w:firstLine="0"/>
        <w:rPr>
          <w:iCs/>
          <w:color w:val="C00000"/>
        </w:rPr>
      </w:pPr>
      <w:r w:rsidRPr="003511B6">
        <w:rPr>
          <w:iCs/>
          <w:color w:val="C00000"/>
        </w:rPr>
        <w:lastRenderedPageBreak/>
        <w:t>Salim Al-</w:t>
      </w:r>
      <w:proofErr w:type="spellStart"/>
      <w:r w:rsidRPr="003511B6">
        <w:rPr>
          <w:iCs/>
          <w:color w:val="C00000"/>
        </w:rPr>
        <w:t>Damluji</w:t>
      </w:r>
      <w:proofErr w:type="spellEnd"/>
      <w:r w:rsidRPr="003511B6">
        <w:rPr>
          <w:iCs/>
          <w:color w:val="C00000"/>
        </w:rPr>
        <w:t xml:space="preserve"> M, </w:t>
      </w:r>
      <w:proofErr w:type="spellStart"/>
      <w:r w:rsidRPr="003511B6">
        <w:rPr>
          <w:iCs/>
          <w:color w:val="C00000"/>
        </w:rPr>
        <w:t>Dzara</w:t>
      </w:r>
      <w:proofErr w:type="spellEnd"/>
      <w:r w:rsidRPr="003511B6">
        <w:rPr>
          <w:iCs/>
          <w:color w:val="C00000"/>
        </w:rPr>
        <w:t xml:space="preserve"> K, </w:t>
      </w:r>
      <w:proofErr w:type="spellStart"/>
      <w:r w:rsidRPr="003511B6">
        <w:rPr>
          <w:iCs/>
          <w:color w:val="C00000"/>
        </w:rPr>
        <w:t>Hodshon</w:t>
      </w:r>
      <w:proofErr w:type="spellEnd"/>
      <w:r w:rsidRPr="003511B6">
        <w:rPr>
          <w:iCs/>
          <w:color w:val="C00000"/>
        </w:rPr>
        <w:t xml:space="preserve"> B, </w:t>
      </w:r>
      <w:proofErr w:type="spellStart"/>
      <w:r w:rsidRPr="003511B6">
        <w:rPr>
          <w:iCs/>
          <w:color w:val="C00000"/>
        </w:rPr>
        <w:t>Punnanithinont</w:t>
      </w:r>
      <w:proofErr w:type="spellEnd"/>
      <w:r w:rsidRPr="003511B6">
        <w:rPr>
          <w:iCs/>
          <w:color w:val="C00000"/>
        </w:rPr>
        <w:t xml:space="preserve"> N, </w:t>
      </w:r>
      <w:proofErr w:type="spellStart"/>
      <w:r w:rsidRPr="003511B6">
        <w:rPr>
          <w:iCs/>
          <w:color w:val="C00000"/>
        </w:rPr>
        <w:t>Krumholz</w:t>
      </w:r>
      <w:proofErr w:type="spellEnd"/>
      <w:r w:rsidRPr="003511B6">
        <w:rPr>
          <w:iCs/>
          <w:color w:val="C00000"/>
        </w:rPr>
        <w:t xml:space="preserve"> HM, Chaudhry SI, Horwitz LI. 2015. Association of discharge summary quality with readmission risk for patients hospitalized with heart failure exacerbation. Circ Cardiovasc Qual Outcomes. 8(1):109-111. </w:t>
      </w:r>
    </w:p>
    <w:p w14:paraId="7E706D18" w14:textId="77777777" w:rsidR="00A56E02" w:rsidRDefault="00A56E02" w:rsidP="00A56E02">
      <w:pPr>
        <w:spacing w:before="120"/>
        <w:ind w:left="0" w:firstLine="0"/>
        <w:rPr>
          <w:iCs/>
          <w:color w:val="7030A0"/>
        </w:rPr>
      </w:pPr>
      <w:r>
        <w:rPr>
          <w:iCs/>
          <w:color w:val="7030A0"/>
        </w:rPr>
        <w:t xml:space="preserve">Balaban RB, Weissman JS, Samuel PA, </w:t>
      </w:r>
      <w:proofErr w:type="spellStart"/>
      <w:r>
        <w:rPr>
          <w:iCs/>
          <w:color w:val="7030A0"/>
        </w:rPr>
        <w:t>Woolhandler</w:t>
      </w:r>
      <w:proofErr w:type="spellEnd"/>
      <w:r>
        <w:rPr>
          <w:iCs/>
          <w:color w:val="7030A0"/>
        </w:rPr>
        <w:t xml:space="preserve"> S. Redefining and redesigning hospital discharge to enhance patient care: a randomized controlled study. </w:t>
      </w:r>
      <w:r>
        <w:rPr>
          <w:i/>
          <w:iCs/>
          <w:color w:val="7030A0"/>
        </w:rPr>
        <w:t xml:space="preserve">J Gen Intern Med. </w:t>
      </w:r>
      <w:r>
        <w:rPr>
          <w:iCs/>
          <w:color w:val="7030A0"/>
        </w:rPr>
        <w:t>2008;23(8):1228-1233.</w:t>
      </w:r>
    </w:p>
    <w:p w14:paraId="3A162ACE" w14:textId="77777777" w:rsidR="00A56E02" w:rsidRDefault="00A56E02" w:rsidP="00A56E02">
      <w:pPr>
        <w:spacing w:before="120"/>
        <w:ind w:left="0" w:firstLine="0"/>
        <w:rPr>
          <w:iCs/>
          <w:color w:val="7030A0"/>
        </w:rPr>
      </w:pPr>
      <w:proofErr w:type="spellStart"/>
      <w:r>
        <w:rPr>
          <w:iCs/>
          <w:color w:val="7030A0"/>
        </w:rPr>
        <w:t>Benbassat</w:t>
      </w:r>
      <w:proofErr w:type="spellEnd"/>
      <w:r>
        <w:rPr>
          <w:iCs/>
          <w:color w:val="7030A0"/>
        </w:rPr>
        <w:t xml:space="preserve">, J., and M. </w:t>
      </w:r>
      <w:proofErr w:type="spellStart"/>
      <w:r>
        <w:rPr>
          <w:iCs/>
          <w:color w:val="7030A0"/>
        </w:rPr>
        <w:t>Taragin</w:t>
      </w:r>
      <w:proofErr w:type="spellEnd"/>
      <w:r>
        <w:rPr>
          <w:iCs/>
          <w:color w:val="7030A0"/>
        </w:rPr>
        <w:t>. 2000. Hospital readmissions as a measure of quality of health care: advantages and limitations. Arch Intern Med 160 (8):1074-81.</w:t>
      </w:r>
    </w:p>
    <w:p w14:paraId="7F74E8B0" w14:textId="77777777" w:rsidR="00A56E02" w:rsidRDefault="00A56E02" w:rsidP="00A56E02">
      <w:pPr>
        <w:spacing w:before="120"/>
        <w:ind w:left="0" w:firstLine="0"/>
        <w:rPr>
          <w:iCs/>
          <w:color w:val="7030A0"/>
        </w:rPr>
      </w:pPr>
      <w:proofErr w:type="spellStart"/>
      <w:r>
        <w:rPr>
          <w:iCs/>
          <w:color w:val="7030A0"/>
        </w:rPr>
        <w:t>Bondestam</w:t>
      </w:r>
      <w:proofErr w:type="spellEnd"/>
      <w:r>
        <w:rPr>
          <w:iCs/>
          <w:color w:val="7030A0"/>
        </w:rPr>
        <w:t xml:space="preserve"> E, </w:t>
      </w:r>
      <w:proofErr w:type="spellStart"/>
      <w:r>
        <w:rPr>
          <w:iCs/>
          <w:color w:val="7030A0"/>
        </w:rPr>
        <w:t>Breikss</w:t>
      </w:r>
      <w:proofErr w:type="spellEnd"/>
      <w:r>
        <w:rPr>
          <w:iCs/>
          <w:color w:val="7030A0"/>
        </w:rPr>
        <w:t xml:space="preserve"> A, Hartford M. 1995. Effects of early rehabilitation on consumption of medical care during the first year after acute myocardial infarction in patients &gt; or = 65 years of age. Am J </w:t>
      </w:r>
      <w:proofErr w:type="spellStart"/>
      <w:r>
        <w:rPr>
          <w:iCs/>
          <w:color w:val="7030A0"/>
        </w:rPr>
        <w:t>Cardiol</w:t>
      </w:r>
      <w:proofErr w:type="spellEnd"/>
      <w:r>
        <w:rPr>
          <w:iCs/>
          <w:color w:val="7030A0"/>
        </w:rPr>
        <w:t xml:space="preserve"> 75(12):767-771.</w:t>
      </w:r>
    </w:p>
    <w:p w14:paraId="430FAF8F" w14:textId="77777777" w:rsidR="00A56E02" w:rsidRDefault="00A56E02" w:rsidP="00A56E02">
      <w:pPr>
        <w:spacing w:before="120"/>
        <w:ind w:left="0" w:firstLine="0"/>
        <w:rPr>
          <w:iCs/>
          <w:color w:val="7030A0"/>
        </w:rPr>
      </w:pPr>
      <w:proofErr w:type="spellStart"/>
      <w:r>
        <w:rPr>
          <w:iCs/>
          <w:color w:val="7030A0"/>
        </w:rPr>
        <w:t>Bratzler</w:t>
      </w:r>
      <w:proofErr w:type="spellEnd"/>
      <w:r>
        <w:rPr>
          <w:iCs/>
          <w:color w:val="7030A0"/>
        </w:rPr>
        <w:t xml:space="preserve">, DW, </w:t>
      </w:r>
      <w:proofErr w:type="spellStart"/>
      <w:r>
        <w:rPr>
          <w:iCs/>
          <w:color w:val="7030A0"/>
        </w:rPr>
        <w:t>Nsa</w:t>
      </w:r>
      <w:proofErr w:type="spellEnd"/>
      <w:r>
        <w:rPr>
          <w:iCs/>
          <w:color w:val="7030A0"/>
        </w:rPr>
        <w:t xml:space="preserve"> W, Houck PM. Performance measures for pneumonia: are they valuable, and are process measures adequate. Current Opinion in Infectious Diseases. 20(2):182-189, April 2007.</w:t>
      </w:r>
    </w:p>
    <w:p w14:paraId="4BCED219" w14:textId="77777777" w:rsidR="00A56E02" w:rsidRDefault="00A56E02" w:rsidP="00A56E02">
      <w:pPr>
        <w:spacing w:before="120"/>
        <w:ind w:left="0" w:firstLine="0"/>
        <w:rPr>
          <w:iCs/>
          <w:color w:val="7030A0"/>
        </w:rPr>
      </w:pPr>
      <w:proofErr w:type="spellStart"/>
      <w:r>
        <w:rPr>
          <w:iCs/>
          <w:color w:val="7030A0"/>
        </w:rPr>
        <w:t>Carlhed</w:t>
      </w:r>
      <w:proofErr w:type="spellEnd"/>
      <w:r>
        <w:rPr>
          <w:iCs/>
          <w:color w:val="7030A0"/>
        </w:rPr>
        <w:t xml:space="preserve"> R, </w:t>
      </w:r>
      <w:proofErr w:type="spellStart"/>
      <w:r>
        <w:rPr>
          <w:iCs/>
          <w:color w:val="7030A0"/>
        </w:rPr>
        <w:t>Bojestig</w:t>
      </w:r>
      <w:proofErr w:type="spellEnd"/>
      <w:r>
        <w:rPr>
          <w:iCs/>
          <w:color w:val="7030A0"/>
        </w:rPr>
        <w:t xml:space="preserve"> M, Peterson A, et al. Improved clinical outcome after acute myocardial infarction in hospitals participating in a Swedish quality improvement initiative. Circulation. Cardiovascular Quality &amp; Outcomes. 2009;2(5):458-464.</w:t>
      </w:r>
    </w:p>
    <w:p w14:paraId="585ED80E" w14:textId="77777777" w:rsidR="00A56E02" w:rsidRDefault="00A56E02" w:rsidP="00A56E02">
      <w:pPr>
        <w:spacing w:before="120"/>
        <w:ind w:left="0" w:firstLine="0"/>
        <w:rPr>
          <w:iCs/>
          <w:color w:val="7030A0"/>
        </w:rPr>
      </w:pPr>
      <w:r>
        <w:rPr>
          <w:iCs/>
          <w:color w:val="7030A0"/>
        </w:rPr>
        <w:t xml:space="preserve">Carroll DL, Rankin SH, Cooper BA. 2007. The effects of a collaborative peer advisor/advanced practice nurse intervention: cardiac rehabilitation participation and rehospitalization in older adults after a cardiac event. J Cardiovasc </w:t>
      </w:r>
      <w:proofErr w:type="spellStart"/>
      <w:r>
        <w:rPr>
          <w:iCs/>
          <w:color w:val="7030A0"/>
        </w:rPr>
        <w:t>Nurs</w:t>
      </w:r>
      <w:proofErr w:type="spellEnd"/>
      <w:r>
        <w:rPr>
          <w:iCs/>
          <w:color w:val="7030A0"/>
        </w:rPr>
        <w:t xml:space="preserve"> 22(4):313-319.</w:t>
      </w:r>
    </w:p>
    <w:p w14:paraId="49937C29" w14:textId="77777777" w:rsidR="00A56E02" w:rsidRDefault="00A56E02" w:rsidP="00A56E02">
      <w:pPr>
        <w:spacing w:before="120"/>
        <w:ind w:left="0" w:firstLine="0"/>
        <w:rPr>
          <w:iCs/>
          <w:color w:val="7030A0"/>
        </w:rPr>
      </w:pPr>
      <w:r>
        <w:rPr>
          <w:iCs/>
          <w:color w:val="7030A0"/>
        </w:rPr>
        <w:t>Coleman EA, Parry C, Chalmers S, et al. 2006. The care transitions intervention: results of a randomized controlled trial. Arch Intern Med 166:1822-1828.</w:t>
      </w:r>
    </w:p>
    <w:p w14:paraId="3A0EFA06" w14:textId="77777777" w:rsidR="00A56E02" w:rsidRDefault="00A56E02" w:rsidP="00A56E02">
      <w:pPr>
        <w:spacing w:before="120"/>
        <w:ind w:left="0" w:firstLine="0"/>
        <w:rPr>
          <w:iCs/>
          <w:color w:val="7030A0"/>
        </w:rPr>
      </w:pPr>
      <w:r>
        <w:rPr>
          <w:iCs/>
          <w:color w:val="7030A0"/>
        </w:rPr>
        <w:t xml:space="preserve">Coleman EA, Smith JD, Frank JC, Min SJ, Parry C, Kramer AM. Preparing patients and caregivers to participate in care delivered across settings: </w:t>
      </w:r>
      <w:proofErr w:type="gramStart"/>
      <w:r>
        <w:rPr>
          <w:iCs/>
          <w:color w:val="7030A0"/>
        </w:rPr>
        <w:t>the</w:t>
      </w:r>
      <w:proofErr w:type="gramEnd"/>
      <w:r>
        <w:rPr>
          <w:iCs/>
          <w:color w:val="7030A0"/>
        </w:rPr>
        <w:t xml:space="preserve"> Care Transitions Intervention. J Am </w:t>
      </w:r>
      <w:proofErr w:type="spellStart"/>
      <w:r>
        <w:rPr>
          <w:iCs/>
          <w:color w:val="7030A0"/>
        </w:rPr>
        <w:t>Geriatr</w:t>
      </w:r>
      <w:proofErr w:type="spellEnd"/>
      <w:r>
        <w:rPr>
          <w:iCs/>
          <w:color w:val="7030A0"/>
        </w:rPr>
        <w:t xml:space="preserve"> Soc 2004;52(11):1817-25.</w:t>
      </w:r>
    </w:p>
    <w:p w14:paraId="6B9A9CCE" w14:textId="77777777" w:rsidR="00A56E02" w:rsidRDefault="00A56E02" w:rsidP="00A56E02">
      <w:pPr>
        <w:spacing w:before="120"/>
        <w:ind w:left="0" w:firstLine="0"/>
        <w:rPr>
          <w:iCs/>
          <w:color w:val="7030A0"/>
        </w:rPr>
      </w:pPr>
      <w:r>
        <w:rPr>
          <w:iCs/>
          <w:color w:val="7030A0"/>
        </w:rPr>
        <w:t xml:space="preserve">Courtney M, Edwards H, Chang A, Parker A, Finlayson K, Hamilton K. Fewer emergency readmissions and better quality of life for older adults at risk of hospital readmission: a randomized controlled trial to determine the effectiveness of a 24-week exercise and telephone follow-up program. J Am </w:t>
      </w:r>
      <w:proofErr w:type="spellStart"/>
      <w:r>
        <w:rPr>
          <w:iCs/>
          <w:color w:val="7030A0"/>
        </w:rPr>
        <w:t>Geriatr</w:t>
      </w:r>
      <w:proofErr w:type="spellEnd"/>
      <w:r>
        <w:rPr>
          <w:iCs/>
          <w:color w:val="7030A0"/>
        </w:rPr>
        <w:t xml:space="preserve"> Soc 2009;57(3):395-402.</w:t>
      </w:r>
    </w:p>
    <w:p w14:paraId="257E88DE" w14:textId="77777777" w:rsidR="00A56E02" w:rsidRDefault="00A56E02" w:rsidP="00A56E02">
      <w:pPr>
        <w:spacing w:before="120"/>
        <w:ind w:left="0" w:firstLine="0"/>
        <w:rPr>
          <w:iCs/>
          <w:color w:val="7030A0"/>
        </w:rPr>
      </w:pPr>
      <w:r>
        <w:rPr>
          <w:iCs/>
          <w:color w:val="7030A0"/>
        </w:rPr>
        <w:t xml:space="preserve">Feng Z, Wright B, </w:t>
      </w:r>
      <w:proofErr w:type="spellStart"/>
      <w:r>
        <w:rPr>
          <w:iCs/>
          <w:color w:val="7030A0"/>
        </w:rPr>
        <w:t>Mor</w:t>
      </w:r>
      <w:proofErr w:type="spellEnd"/>
      <w:r>
        <w:rPr>
          <w:iCs/>
          <w:color w:val="7030A0"/>
        </w:rPr>
        <w:t xml:space="preserve"> V. Sharp rise in Medicare enrollees being held in hospitals for observation raises concerns about causes and consequences. Health affairs (Project Hope). Jun 2012;31(6):1251-1259.</w:t>
      </w:r>
    </w:p>
    <w:p w14:paraId="02557436" w14:textId="77777777" w:rsidR="00A56E02" w:rsidRDefault="00A56E02" w:rsidP="00A56E02">
      <w:pPr>
        <w:spacing w:before="120"/>
        <w:ind w:left="0" w:firstLine="0"/>
        <w:rPr>
          <w:iCs/>
          <w:color w:val="7030A0"/>
        </w:rPr>
      </w:pPr>
      <w:proofErr w:type="spellStart"/>
      <w:r>
        <w:rPr>
          <w:iCs/>
          <w:color w:val="7030A0"/>
        </w:rPr>
        <w:t>Garasen</w:t>
      </w:r>
      <w:proofErr w:type="spellEnd"/>
      <w:r>
        <w:rPr>
          <w:iCs/>
          <w:color w:val="7030A0"/>
        </w:rPr>
        <w:t xml:space="preserve"> H, </w:t>
      </w:r>
      <w:proofErr w:type="spellStart"/>
      <w:r>
        <w:rPr>
          <w:iCs/>
          <w:color w:val="7030A0"/>
        </w:rPr>
        <w:t>Windspoll</w:t>
      </w:r>
      <w:proofErr w:type="spellEnd"/>
      <w:r>
        <w:rPr>
          <w:iCs/>
          <w:color w:val="7030A0"/>
        </w:rPr>
        <w:t xml:space="preserve"> R, Johnsen R. Intermediate care at a community hospital as an alternative to prolonged general hospital care for elderly patients: a </w:t>
      </w:r>
      <w:proofErr w:type="spellStart"/>
      <w:r>
        <w:rPr>
          <w:iCs/>
          <w:color w:val="7030A0"/>
        </w:rPr>
        <w:t>randomised</w:t>
      </w:r>
      <w:proofErr w:type="spellEnd"/>
      <w:r>
        <w:rPr>
          <w:iCs/>
          <w:color w:val="7030A0"/>
        </w:rPr>
        <w:t xml:space="preserve"> controlled trial. BMC Public Health </w:t>
      </w:r>
      <w:proofErr w:type="gramStart"/>
      <w:r>
        <w:rPr>
          <w:iCs/>
          <w:color w:val="7030A0"/>
        </w:rPr>
        <w:t>2007;7:68</w:t>
      </w:r>
      <w:proofErr w:type="gramEnd"/>
      <w:r>
        <w:rPr>
          <w:iCs/>
          <w:color w:val="7030A0"/>
        </w:rPr>
        <w:t>.</w:t>
      </w:r>
    </w:p>
    <w:p w14:paraId="2357DAA4" w14:textId="77777777" w:rsidR="00A56E02" w:rsidRDefault="00A56E02" w:rsidP="00A56E02">
      <w:pPr>
        <w:spacing w:before="120"/>
        <w:ind w:left="0" w:firstLine="0"/>
        <w:rPr>
          <w:iCs/>
          <w:color w:val="7030A0"/>
        </w:rPr>
      </w:pPr>
      <w:r>
        <w:rPr>
          <w:iCs/>
          <w:color w:val="7030A0"/>
        </w:rPr>
        <w:t xml:space="preserve">Gerhardt G, </w:t>
      </w:r>
      <w:proofErr w:type="spellStart"/>
      <w:r>
        <w:rPr>
          <w:iCs/>
          <w:color w:val="7030A0"/>
        </w:rPr>
        <w:t>Yemane</w:t>
      </w:r>
      <w:proofErr w:type="spellEnd"/>
      <w:r>
        <w:rPr>
          <w:iCs/>
          <w:color w:val="7030A0"/>
        </w:rPr>
        <w:t xml:space="preserve"> A, Hickman P, </w:t>
      </w:r>
      <w:proofErr w:type="spellStart"/>
      <w:r>
        <w:rPr>
          <w:iCs/>
          <w:color w:val="7030A0"/>
        </w:rPr>
        <w:t>Oelschlaeger</w:t>
      </w:r>
      <w:proofErr w:type="spellEnd"/>
      <w:r>
        <w:rPr>
          <w:iCs/>
          <w:color w:val="7030A0"/>
        </w:rPr>
        <w:t xml:space="preserve"> A, Rollins E, Brennan N. Medicare Readmission Rates Showed Meaningful Decline in 2012. </w:t>
      </w:r>
      <w:r>
        <w:rPr>
          <w:i/>
          <w:iCs/>
          <w:color w:val="7030A0"/>
        </w:rPr>
        <w:t xml:space="preserve">Medicare &amp; Medicaid Research Review. </w:t>
      </w:r>
      <w:r>
        <w:rPr>
          <w:iCs/>
          <w:color w:val="7030A0"/>
        </w:rPr>
        <w:t>2013;3(2</w:t>
      </w:r>
      <w:proofErr w:type="gramStart"/>
      <w:r>
        <w:rPr>
          <w:iCs/>
          <w:color w:val="7030A0"/>
        </w:rPr>
        <w:t>):E</w:t>
      </w:r>
      <w:proofErr w:type="gramEnd"/>
      <w:r>
        <w:rPr>
          <w:iCs/>
          <w:color w:val="7030A0"/>
        </w:rPr>
        <w:t>1-E12.</w:t>
      </w:r>
    </w:p>
    <w:p w14:paraId="7C6B80B2" w14:textId="77777777" w:rsidR="00A56E02" w:rsidRDefault="00A56E02" w:rsidP="00A56E02">
      <w:pPr>
        <w:spacing w:before="120"/>
        <w:ind w:left="0" w:firstLine="0"/>
        <w:rPr>
          <w:iCs/>
          <w:color w:val="7030A0"/>
        </w:rPr>
      </w:pPr>
      <w:r>
        <w:rPr>
          <w:iCs/>
          <w:color w:val="7030A0"/>
        </w:rPr>
        <w:t xml:space="preserve">Graham J, </w:t>
      </w:r>
      <w:proofErr w:type="spellStart"/>
      <w:r>
        <w:rPr>
          <w:iCs/>
          <w:color w:val="7030A0"/>
        </w:rPr>
        <w:t>Tomcavage</w:t>
      </w:r>
      <w:proofErr w:type="spellEnd"/>
      <w:r>
        <w:rPr>
          <w:iCs/>
          <w:color w:val="7030A0"/>
        </w:rPr>
        <w:t xml:space="preserve"> J, </w:t>
      </w:r>
      <w:proofErr w:type="spellStart"/>
      <w:r>
        <w:rPr>
          <w:iCs/>
          <w:color w:val="7030A0"/>
        </w:rPr>
        <w:t>Salek</w:t>
      </w:r>
      <w:proofErr w:type="spellEnd"/>
      <w:r>
        <w:rPr>
          <w:iCs/>
          <w:color w:val="7030A0"/>
        </w:rPr>
        <w:t xml:space="preserve"> D, </w:t>
      </w:r>
      <w:proofErr w:type="spellStart"/>
      <w:r>
        <w:rPr>
          <w:iCs/>
          <w:color w:val="7030A0"/>
        </w:rPr>
        <w:t>Sciandra</w:t>
      </w:r>
      <w:proofErr w:type="spellEnd"/>
      <w:r>
        <w:rPr>
          <w:iCs/>
          <w:color w:val="7030A0"/>
        </w:rPr>
        <w:t xml:space="preserve"> J, Davis DE, Stewart WF. </w:t>
      </w:r>
      <w:proofErr w:type="spellStart"/>
      <w:r>
        <w:rPr>
          <w:iCs/>
          <w:color w:val="7030A0"/>
        </w:rPr>
        <w:t>Postdischarge</w:t>
      </w:r>
      <w:proofErr w:type="spellEnd"/>
      <w:r>
        <w:rPr>
          <w:iCs/>
          <w:color w:val="7030A0"/>
        </w:rPr>
        <w:t xml:space="preserve"> monitoring using interactive voice response system reduces 30-day readmission rates in a case-managed Medicare population. </w:t>
      </w:r>
      <w:r>
        <w:rPr>
          <w:i/>
          <w:iCs/>
          <w:color w:val="7030A0"/>
        </w:rPr>
        <w:t xml:space="preserve">Medical Care. </w:t>
      </w:r>
      <w:r>
        <w:rPr>
          <w:iCs/>
          <w:color w:val="7030A0"/>
        </w:rPr>
        <w:t>2012;50(1):50-57.</w:t>
      </w:r>
    </w:p>
    <w:p w14:paraId="43352992" w14:textId="77777777" w:rsidR="00A56E02" w:rsidRDefault="00A56E02" w:rsidP="00A56E02">
      <w:pPr>
        <w:spacing w:before="120"/>
        <w:ind w:left="0" w:firstLine="0"/>
        <w:rPr>
          <w:iCs/>
          <w:color w:val="7030A0"/>
        </w:rPr>
      </w:pPr>
      <w:r>
        <w:rPr>
          <w:iCs/>
          <w:color w:val="7030A0"/>
        </w:rPr>
        <w:t xml:space="preserve">Harrison PL, Hara PA, Pope JE, Young MC, </w:t>
      </w:r>
      <w:proofErr w:type="spellStart"/>
      <w:r>
        <w:rPr>
          <w:iCs/>
          <w:color w:val="7030A0"/>
        </w:rPr>
        <w:t>Rula</w:t>
      </w:r>
      <w:proofErr w:type="spellEnd"/>
      <w:r>
        <w:rPr>
          <w:iCs/>
          <w:color w:val="7030A0"/>
        </w:rPr>
        <w:t xml:space="preserve"> EY. The impact of </w:t>
      </w:r>
      <w:proofErr w:type="spellStart"/>
      <w:r>
        <w:rPr>
          <w:iCs/>
          <w:color w:val="7030A0"/>
        </w:rPr>
        <w:t>postdischarge</w:t>
      </w:r>
      <w:proofErr w:type="spellEnd"/>
      <w:r>
        <w:rPr>
          <w:iCs/>
          <w:color w:val="7030A0"/>
        </w:rPr>
        <w:t xml:space="preserve"> telephonic follow-up on hospital readmissions. </w:t>
      </w:r>
      <w:r>
        <w:rPr>
          <w:i/>
          <w:iCs/>
          <w:color w:val="7030A0"/>
        </w:rPr>
        <w:t xml:space="preserve">Population Health Management. </w:t>
      </w:r>
      <w:r>
        <w:rPr>
          <w:iCs/>
          <w:color w:val="7030A0"/>
        </w:rPr>
        <w:t>2011;14(1):27-32.</w:t>
      </w:r>
    </w:p>
    <w:p w14:paraId="7B2159E4" w14:textId="77777777" w:rsidR="008651C3" w:rsidRPr="00A57A50" w:rsidRDefault="008651C3" w:rsidP="008651C3">
      <w:pPr>
        <w:spacing w:before="120" w:after="120"/>
        <w:ind w:left="0" w:firstLine="0"/>
        <w:rPr>
          <w:rFonts w:cstheme="minorHAnsi"/>
          <w:iCs/>
          <w:color w:val="7030A0"/>
        </w:rPr>
      </w:pPr>
      <w:r w:rsidRPr="003E6F36">
        <w:rPr>
          <w:rFonts w:cstheme="minorHAnsi"/>
          <w:iCs/>
          <w:color w:val="C00000"/>
        </w:rPr>
        <w:lastRenderedPageBreak/>
        <w:t xml:space="preserve">Heidenreich PA, Albert NM, Allen LA, et al. Forecasting the impact of heart failure in the United States: a policy statement from the American Heart Association. Circ Heart Fail. 2013;6(3):606–619. doi:10.1161/HHF.0b013e318291329a. </w:t>
      </w:r>
    </w:p>
    <w:p w14:paraId="49826C53" w14:textId="1EE013DE" w:rsidR="008651C3" w:rsidRDefault="008651C3" w:rsidP="008651C3">
      <w:pPr>
        <w:spacing w:before="120" w:after="120"/>
        <w:ind w:left="0" w:firstLine="0"/>
        <w:rPr>
          <w:rStyle w:val="Hyperlink"/>
          <w:color w:val="C00000"/>
          <w:shd w:val="clear" w:color="auto" w:fill="FFFFFF"/>
        </w:rPr>
      </w:pPr>
      <w:r w:rsidRPr="008854AC">
        <w:rPr>
          <w:rStyle w:val="mixed-citation"/>
          <w:color w:val="C00000"/>
          <w:shd w:val="clear" w:color="auto" w:fill="FFFFFF"/>
        </w:rPr>
        <w:t>Hines AL, Barrett ML, Jiang HJ, Steiner CA. </w:t>
      </w:r>
      <w:r w:rsidRPr="008854AC">
        <w:rPr>
          <w:rStyle w:val="ref-journal"/>
          <w:color w:val="C00000"/>
          <w:shd w:val="clear" w:color="auto" w:fill="FFFFFF"/>
        </w:rPr>
        <w:t>Conditions with the largest number of adult hospital readmissions by payer, 2011</w:t>
      </w:r>
      <w:r w:rsidRPr="008854AC">
        <w:rPr>
          <w:rStyle w:val="mixed-citation"/>
          <w:color w:val="C00000"/>
          <w:shd w:val="clear" w:color="auto" w:fill="FFFFFF"/>
        </w:rPr>
        <w:t> Rockville, MD: Agency for Healthcare Research and Quality; 2014. [updated 2014 Apr; accessed 2016 Apr 1]. Available from: </w:t>
      </w:r>
      <w:hyperlink r:id="rId17" w:tgtFrame="_blank" w:history="1">
        <w:r w:rsidRPr="008854AC">
          <w:rPr>
            <w:rStyle w:val="Hyperlink"/>
            <w:color w:val="C00000"/>
            <w:shd w:val="clear" w:color="auto" w:fill="FFFFFF"/>
          </w:rPr>
          <w:t>https://www.hcup-us.ahrq.gov/reports/statbriefs/sb172-Conditions-Readmissions-Payer.jsp</w:t>
        </w:r>
      </w:hyperlink>
    </w:p>
    <w:p w14:paraId="1566E293" w14:textId="793B710E" w:rsidR="00634421" w:rsidRPr="00634421" w:rsidRDefault="00634421" w:rsidP="008651C3">
      <w:pPr>
        <w:spacing w:before="120" w:after="120"/>
        <w:ind w:left="0" w:firstLine="0"/>
        <w:rPr>
          <w:rStyle w:val="mixed-citation"/>
        </w:rPr>
      </w:pPr>
      <w:r w:rsidRPr="00634421">
        <w:rPr>
          <w:rStyle w:val="ref-journal"/>
          <w:color w:val="C00000"/>
          <w:shd w:val="clear" w:color="auto" w:fill="FFFFFF"/>
        </w:rPr>
        <w:t xml:space="preserve">Horwitz L, and </w:t>
      </w:r>
      <w:proofErr w:type="spellStart"/>
      <w:r w:rsidRPr="00634421">
        <w:rPr>
          <w:rStyle w:val="ref-journal"/>
          <w:color w:val="C00000"/>
          <w:shd w:val="clear" w:color="auto" w:fill="FFFFFF"/>
        </w:rPr>
        <w:t>Krumholz</w:t>
      </w:r>
      <w:proofErr w:type="spellEnd"/>
      <w:r w:rsidRPr="00634421">
        <w:rPr>
          <w:rStyle w:val="ref-journal"/>
          <w:color w:val="C00000"/>
          <w:shd w:val="clear" w:color="auto" w:fill="FFFFFF"/>
        </w:rPr>
        <w:t>, H</w:t>
      </w:r>
      <w:r w:rsidRPr="00634421">
        <w:rPr>
          <w:rStyle w:val="mixed-citation"/>
        </w:rPr>
        <w:t xml:space="preserve">. 2019. </w:t>
      </w:r>
      <w:r w:rsidRPr="00634421">
        <w:rPr>
          <w:rStyle w:val="mixed-citation"/>
          <w:color w:val="C00000"/>
          <w:shd w:val="clear" w:color="auto" w:fill="FFFFFF"/>
        </w:rPr>
        <w:t>Systems-based strategies to reduce hospitalizations in patients with heart failure.  UpToDate, last updated March 2019.</w:t>
      </w:r>
    </w:p>
    <w:p w14:paraId="2B828698" w14:textId="77777777" w:rsidR="008651C3" w:rsidRDefault="008651C3" w:rsidP="008651C3">
      <w:pPr>
        <w:spacing w:before="120" w:after="120"/>
        <w:ind w:left="0" w:firstLine="0"/>
        <w:rPr>
          <w:iCs/>
          <w:color w:val="7030A0"/>
        </w:rPr>
      </w:pPr>
      <w:r w:rsidRPr="009862CA">
        <w:rPr>
          <w:iCs/>
          <w:color w:val="7030A0"/>
        </w:rPr>
        <w:t>Jack BW, Chetty VK, Anthony D, Greenwald JL, Sanchez GM, Johnson AE, et al. A reengineered hospital discharge program to decrease rehospitalization: a randomized trial. Ann Intern Med 2009;150(3):178-87.</w:t>
      </w:r>
    </w:p>
    <w:p w14:paraId="497231E9" w14:textId="77777777" w:rsidR="008651C3" w:rsidRDefault="008651C3" w:rsidP="008651C3">
      <w:pPr>
        <w:spacing w:before="120" w:after="120"/>
        <w:ind w:left="0" w:firstLine="0"/>
        <w:rPr>
          <w:rFonts w:cstheme="minorHAnsi"/>
          <w:color w:val="C00000"/>
          <w:shd w:val="clear" w:color="auto" w:fill="FFFFFF"/>
        </w:rPr>
      </w:pPr>
      <w:r w:rsidRPr="003E6F36">
        <w:rPr>
          <w:rFonts w:cstheme="minorHAnsi"/>
          <w:color w:val="C00000"/>
          <w:shd w:val="clear" w:color="auto" w:fill="FFFFFF"/>
        </w:rPr>
        <w:t xml:space="preserve">Jackson SL, Tong X, King RJ, </w:t>
      </w:r>
      <w:proofErr w:type="spellStart"/>
      <w:r w:rsidRPr="003E6F36">
        <w:rPr>
          <w:rFonts w:cstheme="minorHAnsi"/>
          <w:color w:val="C00000"/>
          <w:shd w:val="clear" w:color="auto" w:fill="FFFFFF"/>
        </w:rPr>
        <w:t>Loustalot</w:t>
      </w:r>
      <w:proofErr w:type="spellEnd"/>
      <w:r w:rsidRPr="003E6F36">
        <w:rPr>
          <w:rFonts w:cstheme="minorHAnsi"/>
          <w:color w:val="C00000"/>
          <w:shd w:val="clear" w:color="auto" w:fill="FFFFFF"/>
        </w:rPr>
        <w:t xml:space="preserve"> F, Hong Y, Ritchey MD. National Burden of Heart Failure Events in the United States, 2006 to 2014. </w:t>
      </w:r>
      <w:r w:rsidRPr="003E6F36">
        <w:rPr>
          <w:rFonts w:cstheme="minorHAnsi"/>
          <w:i/>
          <w:iCs/>
          <w:color w:val="C00000"/>
          <w:shd w:val="clear" w:color="auto" w:fill="FFFFFF"/>
        </w:rPr>
        <w:t>Circ Heart Fail</w:t>
      </w:r>
      <w:r w:rsidRPr="003E6F36">
        <w:rPr>
          <w:rFonts w:cstheme="minorHAnsi"/>
          <w:color w:val="C00000"/>
          <w:shd w:val="clear" w:color="auto" w:fill="FFFFFF"/>
        </w:rPr>
        <w:t>. 2018;11(12</w:t>
      </w:r>
      <w:proofErr w:type="gramStart"/>
      <w:r w:rsidRPr="003E6F36">
        <w:rPr>
          <w:rFonts w:cstheme="minorHAnsi"/>
          <w:color w:val="C00000"/>
          <w:shd w:val="clear" w:color="auto" w:fill="FFFFFF"/>
        </w:rPr>
        <w:t>):e</w:t>
      </w:r>
      <w:proofErr w:type="gramEnd"/>
      <w:r w:rsidRPr="003E6F36">
        <w:rPr>
          <w:rFonts w:cstheme="minorHAnsi"/>
          <w:color w:val="C00000"/>
          <w:shd w:val="clear" w:color="auto" w:fill="FFFFFF"/>
        </w:rPr>
        <w:t>004873. doi:10.1161/CIRCHEARTFAILURE.117.004873.</w:t>
      </w:r>
    </w:p>
    <w:p w14:paraId="536EA067" w14:textId="77777777" w:rsidR="008651C3" w:rsidRPr="003E6F36" w:rsidRDefault="008651C3" w:rsidP="008651C3">
      <w:pPr>
        <w:spacing w:before="120"/>
        <w:ind w:left="0" w:firstLine="0"/>
        <w:rPr>
          <w:rFonts w:cstheme="minorHAnsi"/>
          <w:iCs/>
          <w:color w:val="C00000"/>
        </w:rPr>
      </w:pPr>
      <w:r w:rsidRPr="003E6F36">
        <w:rPr>
          <w:rFonts w:cstheme="minorHAnsi"/>
          <w:iCs/>
          <w:color w:val="C00000"/>
        </w:rPr>
        <w:t xml:space="preserve">Kao, D.P., J. Lindenfeld, D. Macaulay, H.G. Birnbaum, J.L. Jarvis, U.S. Desai, and R.L. Page, 2nd, Impact of a Telehealth and Care Management Program on All-Cause Mortality and Healthcare Utilization in Patients with Heart Failure. </w:t>
      </w:r>
      <w:proofErr w:type="spellStart"/>
      <w:r w:rsidRPr="003E6F36">
        <w:rPr>
          <w:rFonts w:cstheme="minorHAnsi"/>
          <w:iCs/>
          <w:color w:val="C00000"/>
        </w:rPr>
        <w:t>Telemed</w:t>
      </w:r>
      <w:proofErr w:type="spellEnd"/>
      <w:r w:rsidRPr="003E6F36">
        <w:rPr>
          <w:rFonts w:cstheme="minorHAnsi"/>
          <w:iCs/>
          <w:color w:val="C00000"/>
        </w:rPr>
        <w:t xml:space="preserve"> J E Health, 2016. 22(1): p. 2-11.</w:t>
      </w:r>
    </w:p>
    <w:p w14:paraId="153DB3A4" w14:textId="5CF1C3FC" w:rsidR="008651C3" w:rsidRDefault="008651C3" w:rsidP="008651C3">
      <w:pPr>
        <w:spacing w:before="120"/>
        <w:ind w:left="0" w:firstLine="0"/>
        <w:rPr>
          <w:iCs/>
          <w:color w:val="7030A0"/>
        </w:rPr>
      </w:pPr>
      <w:r w:rsidRPr="009862CA">
        <w:rPr>
          <w:iCs/>
          <w:color w:val="7030A0"/>
        </w:rPr>
        <w:t>Lloyd-Jones D et al,</w:t>
      </w:r>
      <w:r>
        <w:rPr>
          <w:iCs/>
          <w:color w:val="7030A0"/>
        </w:rPr>
        <w:t xml:space="preserve"> </w:t>
      </w:r>
      <w:r w:rsidRPr="009862CA">
        <w:rPr>
          <w:iCs/>
          <w:color w:val="7030A0"/>
        </w:rPr>
        <w:t>American Heart Association Statistics Committee</w:t>
      </w:r>
    </w:p>
    <w:p w14:paraId="69889815" w14:textId="59CFD57B" w:rsidR="00A56E02" w:rsidRDefault="00A56E02" w:rsidP="00A56E02">
      <w:pPr>
        <w:spacing w:before="120"/>
        <w:ind w:left="0" w:firstLine="0"/>
        <w:rPr>
          <w:iCs/>
          <w:color w:val="7030A0"/>
        </w:rPr>
      </w:pPr>
      <w:r>
        <w:rPr>
          <w:iCs/>
          <w:color w:val="7030A0"/>
        </w:rPr>
        <w:t xml:space="preserve">Hernandez AF, Greiner MA, </w:t>
      </w:r>
      <w:proofErr w:type="spellStart"/>
      <w:r>
        <w:rPr>
          <w:iCs/>
          <w:color w:val="7030A0"/>
        </w:rPr>
        <w:t>Fonarow</w:t>
      </w:r>
      <w:proofErr w:type="spellEnd"/>
      <w:r>
        <w:rPr>
          <w:iCs/>
          <w:color w:val="7030A0"/>
        </w:rPr>
        <w:t xml:space="preserve"> GC, et al. Relationship between early physician follow-up and 30-day readmission among Medicare beneficiaries hospitalized for heart failure. </w:t>
      </w:r>
      <w:r>
        <w:rPr>
          <w:i/>
          <w:iCs/>
          <w:color w:val="7030A0"/>
        </w:rPr>
        <w:t xml:space="preserve">Jama. </w:t>
      </w:r>
      <w:r>
        <w:rPr>
          <w:iCs/>
          <w:color w:val="7030A0"/>
        </w:rPr>
        <w:t>2010;303(17):1716-1722.</w:t>
      </w:r>
    </w:p>
    <w:p w14:paraId="0189162E" w14:textId="23BCA244" w:rsidR="008651C3" w:rsidRDefault="00A56E02" w:rsidP="00A56E02">
      <w:pPr>
        <w:spacing w:before="120"/>
        <w:ind w:left="0" w:firstLine="0"/>
        <w:rPr>
          <w:iCs/>
          <w:color w:val="7030A0"/>
        </w:rPr>
      </w:pPr>
      <w:r>
        <w:rPr>
          <w:iCs/>
          <w:color w:val="7030A0"/>
        </w:rPr>
        <w:t>Jack BW, Chetty VK, Anthony D, Greenwald JL, Sanchez GM, Johnson AE, et al. A reengineered hospital discharge program to decrease rehospitalization: a randomized trial. Ann Intern Med 2009;150(3):178-87.</w:t>
      </w:r>
    </w:p>
    <w:p w14:paraId="71672CE7" w14:textId="77777777" w:rsidR="00A56E02" w:rsidRDefault="00A56E02" w:rsidP="00A56E02">
      <w:pPr>
        <w:spacing w:before="120"/>
        <w:ind w:left="0" w:firstLine="0"/>
        <w:rPr>
          <w:iCs/>
          <w:color w:val="7030A0"/>
        </w:rPr>
      </w:pPr>
      <w:r>
        <w:rPr>
          <w:iCs/>
          <w:color w:val="7030A0"/>
        </w:rPr>
        <w:t xml:space="preserve">Koehler BE, Richter KM, Youngblood L, Cohen BA, </w:t>
      </w:r>
      <w:proofErr w:type="spellStart"/>
      <w:r>
        <w:rPr>
          <w:iCs/>
          <w:color w:val="7030A0"/>
        </w:rPr>
        <w:t>Prengler</w:t>
      </w:r>
      <w:proofErr w:type="spellEnd"/>
      <w:r>
        <w:rPr>
          <w:iCs/>
          <w:color w:val="7030A0"/>
        </w:rPr>
        <w:t xml:space="preserve"> ID, Cheng D, et al. Reduction of 30-day </w:t>
      </w:r>
      <w:proofErr w:type="spellStart"/>
      <w:r>
        <w:rPr>
          <w:iCs/>
          <w:color w:val="7030A0"/>
        </w:rPr>
        <w:t>postdischarge</w:t>
      </w:r>
      <w:proofErr w:type="spellEnd"/>
      <w:r>
        <w:rPr>
          <w:iCs/>
          <w:color w:val="7030A0"/>
        </w:rPr>
        <w:t xml:space="preserve"> hospital readmission or emergency department (ED) visit rates in high-risk elderly medical patients through delivery of a targeted care bundle. J Hosp Med 2009;4(4):211-218.</w:t>
      </w:r>
    </w:p>
    <w:p w14:paraId="1E328DE9" w14:textId="77777777" w:rsidR="00A56E02" w:rsidRDefault="00A56E02" w:rsidP="00A56E02">
      <w:pPr>
        <w:spacing w:before="120"/>
        <w:ind w:left="0" w:firstLine="0"/>
        <w:rPr>
          <w:iCs/>
          <w:color w:val="7030A0"/>
        </w:rPr>
      </w:pPr>
      <w:proofErr w:type="spellStart"/>
      <w:r>
        <w:rPr>
          <w:iCs/>
          <w:color w:val="7030A0"/>
        </w:rPr>
        <w:t>Koelling</w:t>
      </w:r>
      <w:proofErr w:type="spellEnd"/>
      <w:r>
        <w:rPr>
          <w:iCs/>
          <w:color w:val="7030A0"/>
        </w:rPr>
        <w:t xml:space="preserve">, TM. 2005. Multifaceted outpatient support can improve outcomes for people with heart failure. Commentary. Evid Based Cardiovasc Med 9 </w:t>
      </w:r>
      <w:proofErr w:type="spellStart"/>
      <w:r>
        <w:rPr>
          <w:iCs/>
          <w:color w:val="7030A0"/>
        </w:rPr>
        <w:t>Koelling</w:t>
      </w:r>
      <w:proofErr w:type="spellEnd"/>
      <w:r>
        <w:rPr>
          <w:iCs/>
          <w:color w:val="7030A0"/>
        </w:rPr>
        <w:t>, TM. 2005. Multifaceted outpatient support can improve outcomes for people with heart failure. Commentary. Evid Based Cardiovasc Med 9 (2):138-41.</w:t>
      </w:r>
    </w:p>
    <w:p w14:paraId="147ADE04" w14:textId="16A9CF31" w:rsidR="00A56E02" w:rsidRDefault="00A56E02" w:rsidP="00A56E02">
      <w:pPr>
        <w:spacing w:before="120"/>
        <w:ind w:left="0" w:firstLine="0"/>
        <w:rPr>
          <w:iCs/>
          <w:color w:val="7030A0"/>
        </w:rPr>
      </w:pPr>
      <w:proofErr w:type="spellStart"/>
      <w:r>
        <w:rPr>
          <w:iCs/>
          <w:color w:val="7030A0"/>
        </w:rPr>
        <w:t>Krumholz</w:t>
      </w:r>
      <w:proofErr w:type="spellEnd"/>
      <w:r>
        <w:rPr>
          <w:iCs/>
          <w:color w:val="7030A0"/>
        </w:rPr>
        <w:t xml:space="preserve"> HM, </w:t>
      </w:r>
      <w:proofErr w:type="spellStart"/>
      <w:r>
        <w:rPr>
          <w:iCs/>
          <w:color w:val="7030A0"/>
        </w:rPr>
        <w:t>Amatruda</w:t>
      </w:r>
      <w:proofErr w:type="spellEnd"/>
      <w:r>
        <w:rPr>
          <w:iCs/>
          <w:color w:val="7030A0"/>
        </w:rPr>
        <w:t xml:space="preserve"> J, Smith GL, et al. Randomized trial of an education and support intervention to prevent readmission of patients with heart failure. J Am Coll </w:t>
      </w:r>
      <w:proofErr w:type="spellStart"/>
      <w:r>
        <w:rPr>
          <w:iCs/>
          <w:color w:val="7030A0"/>
        </w:rPr>
        <w:t>Cardiol</w:t>
      </w:r>
      <w:proofErr w:type="spellEnd"/>
      <w:r>
        <w:rPr>
          <w:iCs/>
          <w:color w:val="7030A0"/>
        </w:rPr>
        <w:t xml:space="preserve">. Jan </w:t>
      </w:r>
      <w:proofErr w:type="gramStart"/>
      <w:r>
        <w:rPr>
          <w:iCs/>
          <w:color w:val="7030A0"/>
        </w:rPr>
        <w:t>2</w:t>
      </w:r>
      <w:proofErr w:type="gramEnd"/>
      <w:r>
        <w:rPr>
          <w:iCs/>
          <w:color w:val="7030A0"/>
        </w:rPr>
        <w:t xml:space="preserve"> 2002;39(1):83-89.</w:t>
      </w:r>
    </w:p>
    <w:p w14:paraId="0544BA2D" w14:textId="77777777" w:rsidR="008651C3" w:rsidRDefault="008651C3" w:rsidP="008651C3">
      <w:pPr>
        <w:spacing w:before="120"/>
        <w:ind w:left="0" w:firstLine="0"/>
        <w:rPr>
          <w:rFonts w:cstheme="minorHAnsi"/>
          <w:color w:val="C00000"/>
          <w:shd w:val="clear" w:color="auto" w:fill="FFFFFF"/>
        </w:rPr>
      </w:pPr>
      <w:proofErr w:type="spellStart"/>
      <w:r w:rsidRPr="00950AD7">
        <w:rPr>
          <w:rFonts w:cstheme="minorHAnsi"/>
          <w:color w:val="C00000"/>
          <w:shd w:val="clear" w:color="auto" w:fill="FFFFFF"/>
        </w:rPr>
        <w:t>Lahewala</w:t>
      </w:r>
      <w:proofErr w:type="spellEnd"/>
      <w:r w:rsidRPr="00950AD7">
        <w:rPr>
          <w:rFonts w:cstheme="minorHAnsi"/>
          <w:color w:val="C00000"/>
          <w:shd w:val="clear" w:color="auto" w:fill="FFFFFF"/>
        </w:rPr>
        <w:t xml:space="preserve"> S, Arora S, Tripathi B, et al. Heart failure: Same-hospital vs. different-hospital readmission outcomes [published correction appears in Int J </w:t>
      </w:r>
      <w:proofErr w:type="spellStart"/>
      <w:r w:rsidRPr="00950AD7">
        <w:rPr>
          <w:rFonts w:cstheme="minorHAnsi"/>
          <w:color w:val="C00000"/>
          <w:shd w:val="clear" w:color="auto" w:fill="FFFFFF"/>
        </w:rPr>
        <w:t>Cardiol</w:t>
      </w:r>
      <w:proofErr w:type="spellEnd"/>
      <w:r w:rsidRPr="00950AD7">
        <w:rPr>
          <w:rFonts w:cstheme="minorHAnsi"/>
          <w:color w:val="C00000"/>
          <w:shd w:val="clear" w:color="auto" w:fill="FFFFFF"/>
        </w:rPr>
        <w:t xml:space="preserve">. 2020 Jun </w:t>
      </w:r>
      <w:proofErr w:type="gramStart"/>
      <w:r w:rsidRPr="00950AD7">
        <w:rPr>
          <w:rFonts w:cstheme="minorHAnsi"/>
          <w:color w:val="C00000"/>
          <w:shd w:val="clear" w:color="auto" w:fill="FFFFFF"/>
        </w:rPr>
        <w:t>15;309:100</w:t>
      </w:r>
      <w:proofErr w:type="gramEnd"/>
      <w:r w:rsidRPr="00950AD7">
        <w:rPr>
          <w:rFonts w:cstheme="minorHAnsi"/>
          <w:color w:val="C00000"/>
          <w:shd w:val="clear" w:color="auto" w:fill="FFFFFF"/>
        </w:rPr>
        <w:t>]. </w:t>
      </w:r>
      <w:r w:rsidRPr="00950AD7">
        <w:rPr>
          <w:rFonts w:cstheme="minorHAnsi"/>
          <w:i/>
          <w:iCs/>
          <w:color w:val="C00000"/>
          <w:shd w:val="clear" w:color="auto" w:fill="FFFFFF"/>
        </w:rPr>
        <w:t xml:space="preserve">Int J </w:t>
      </w:r>
      <w:proofErr w:type="spellStart"/>
      <w:r w:rsidRPr="00950AD7">
        <w:rPr>
          <w:rFonts w:cstheme="minorHAnsi"/>
          <w:i/>
          <w:iCs/>
          <w:color w:val="C00000"/>
          <w:shd w:val="clear" w:color="auto" w:fill="FFFFFF"/>
        </w:rPr>
        <w:t>Cardiol</w:t>
      </w:r>
      <w:proofErr w:type="spellEnd"/>
      <w:r w:rsidRPr="00950AD7">
        <w:rPr>
          <w:rFonts w:cstheme="minorHAnsi"/>
          <w:color w:val="C00000"/>
          <w:shd w:val="clear" w:color="auto" w:fill="FFFFFF"/>
        </w:rPr>
        <w:t xml:space="preserve">. </w:t>
      </w:r>
      <w:proofErr w:type="gramStart"/>
      <w:r w:rsidRPr="00950AD7">
        <w:rPr>
          <w:rFonts w:cstheme="minorHAnsi"/>
          <w:color w:val="C00000"/>
          <w:shd w:val="clear" w:color="auto" w:fill="FFFFFF"/>
        </w:rPr>
        <w:t>2019;278:186</w:t>
      </w:r>
      <w:proofErr w:type="gramEnd"/>
      <w:r w:rsidRPr="00950AD7">
        <w:rPr>
          <w:rFonts w:cstheme="minorHAnsi"/>
          <w:color w:val="C00000"/>
          <w:shd w:val="clear" w:color="auto" w:fill="FFFFFF"/>
        </w:rPr>
        <w:t xml:space="preserve">‐191. </w:t>
      </w:r>
      <w:proofErr w:type="gramStart"/>
      <w:r w:rsidRPr="00950AD7">
        <w:rPr>
          <w:rFonts w:cstheme="minorHAnsi"/>
          <w:color w:val="C00000"/>
          <w:shd w:val="clear" w:color="auto" w:fill="FFFFFF"/>
        </w:rPr>
        <w:t>doi:10.1016/j.ijcard</w:t>
      </w:r>
      <w:proofErr w:type="gramEnd"/>
      <w:r w:rsidRPr="00950AD7">
        <w:rPr>
          <w:rFonts w:cstheme="minorHAnsi"/>
          <w:color w:val="C00000"/>
          <w:shd w:val="clear" w:color="auto" w:fill="FFFFFF"/>
        </w:rPr>
        <w:t>.2018.12.043.</w:t>
      </w:r>
    </w:p>
    <w:p w14:paraId="48A40609" w14:textId="77777777" w:rsidR="00A56E02" w:rsidRDefault="00A56E02" w:rsidP="00A56E02">
      <w:pPr>
        <w:spacing w:before="120"/>
        <w:ind w:left="0" w:firstLine="0"/>
        <w:rPr>
          <w:iCs/>
          <w:color w:val="7030A0"/>
        </w:rPr>
      </w:pPr>
      <w:proofErr w:type="spellStart"/>
      <w:r>
        <w:rPr>
          <w:iCs/>
          <w:color w:val="7030A0"/>
        </w:rPr>
        <w:t>Mistiaen</w:t>
      </w:r>
      <w:proofErr w:type="spellEnd"/>
      <w:r>
        <w:rPr>
          <w:iCs/>
          <w:color w:val="7030A0"/>
        </w:rPr>
        <w:t xml:space="preserve"> P, </w:t>
      </w:r>
      <w:proofErr w:type="spellStart"/>
      <w:r>
        <w:rPr>
          <w:iCs/>
          <w:color w:val="7030A0"/>
        </w:rPr>
        <w:t>Francke</w:t>
      </w:r>
      <w:proofErr w:type="spellEnd"/>
      <w:r>
        <w:rPr>
          <w:iCs/>
          <w:color w:val="7030A0"/>
        </w:rPr>
        <w:t xml:space="preserve"> AL, Poot E. Interventions aimed at reducing problems in adult patients discharged from hospital to home: a systematic metareview. BMC Health Serv Res </w:t>
      </w:r>
      <w:proofErr w:type="gramStart"/>
      <w:r>
        <w:rPr>
          <w:iCs/>
          <w:color w:val="7030A0"/>
        </w:rPr>
        <w:t>2007;7:47</w:t>
      </w:r>
      <w:proofErr w:type="gramEnd"/>
      <w:r>
        <w:rPr>
          <w:iCs/>
          <w:color w:val="7030A0"/>
        </w:rPr>
        <w:t>.</w:t>
      </w:r>
    </w:p>
    <w:p w14:paraId="57886527" w14:textId="77777777" w:rsidR="00A56E02" w:rsidRDefault="00A56E02" w:rsidP="00A56E02">
      <w:pPr>
        <w:spacing w:before="120"/>
        <w:ind w:left="0" w:firstLine="0"/>
        <w:rPr>
          <w:iCs/>
          <w:color w:val="7030A0"/>
        </w:rPr>
      </w:pPr>
      <w:r>
        <w:rPr>
          <w:iCs/>
          <w:color w:val="7030A0"/>
        </w:rPr>
        <w:t>Naylor, MD, Brooten D, Campbell R, et al. 1999. Comprehensive discharge planning and home follow-up of hospitalized elders: a randomized clinical trial. JAMA 281 (7):613-20.</w:t>
      </w:r>
    </w:p>
    <w:p w14:paraId="269D79DD" w14:textId="77777777" w:rsidR="00A56E02" w:rsidRDefault="00A56E02" w:rsidP="00A56E02">
      <w:pPr>
        <w:spacing w:before="120"/>
        <w:ind w:left="0" w:firstLine="0"/>
        <w:rPr>
          <w:iCs/>
          <w:color w:val="7030A0"/>
        </w:rPr>
      </w:pPr>
      <w:r>
        <w:rPr>
          <w:iCs/>
          <w:color w:val="7030A0"/>
        </w:rPr>
        <w:lastRenderedPageBreak/>
        <w:t xml:space="preserve">Naylor MD, Brooten D, Jones R, </w:t>
      </w:r>
      <w:proofErr w:type="spellStart"/>
      <w:r>
        <w:rPr>
          <w:iCs/>
          <w:color w:val="7030A0"/>
        </w:rPr>
        <w:t>Lavizzo-Mourey</w:t>
      </w:r>
      <w:proofErr w:type="spellEnd"/>
      <w:r>
        <w:rPr>
          <w:iCs/>
          <w:color w:val="7030A0"/>
        </w:rPr>
        <w:t xml:space="preserve"> R, </w:t>
      </w:r>
      <w:proofErr w:type="spellStart"/>
      <w:r>
        <w:rPr>
          <w:iCs/>
          <w:color w:val="7030A0"/>
        </w:rPr>
        <w:t>Mezey</w:t>
      </w:r>
      <w:proofErr w:type="spellEnd"/>
      <w:r>
        <w:rPr>
          <w:iCs/>
          <w:color w:val="7030A0"/>
        </w:rPr>
        <w:t xml:space="preserve"> M, Pauly M. Comprehensive discharge planning for the hospitalized elderly. A randomized clinical trial. Ann Intern Med 1994;120(12):999-1006.</w:t>
      </w:r>
    </w:p>
    <w:p w14:paraId="0258CDF5" w14:textId="77777777" w:rsidR="00A56E02" w:rsidRDefault="00A56E02" w:rsidP="00A56E02">
      <w:pPr>
        <w:spacing w:before="120"/>
        <w:ind w:left="0" w:firstLine="0"/>
        <w:rPr>
          <w:iCs/>
          <w:color w:val="7030A0"/>
        </w:rPr>
      </w:pPr>
      <w:r>
        <w:rPr>
          <w:iCs/>
          <w:color w:val="7030A0"/>
        </w:rPr>
        <w:t xml:space="preserve">Naylor MD, Brooten D, Campbell R, et al. 2004. Transitional care of older adults hospitalized with heart failure: a randomized, controlled trial. J Am </w:t>
      </w:r>
      <w:proofErr w:type="spellStart"/>
      <w:r>
        <w:rPr>
          <w:iCs/>
          <w:color w:val="7030A0"/>
        </w:rPr>
        <w:t>Geriatr</w:t>
      </w:r>
      <w:proofErr w:type="spellEnd"/>
      <w:r>
        <w:rPr>
          <w:iCs/>
          <w:color w:val="7030A0"/>
        </w:rPr>
        <w:t xml:space="preserve"> Soc 52 (5):675-84.</w:t>
      </w:r>
    </w:p>
    <w:p w14:paraId="23E1EC19" w14:textId="77777777" w:rsidR="00A56E02" w:rsidRDefault="00A56E02" w:rsidP="00A56E02">
      <w:pPr>
        <w:spacing w:before="120"/>
        <w:ind w:left="0" w:firstLine="0"/>
        <w:rPr>
          <w:iCs/>
          <w:color w:val="C00000"/>
        </w:rPr>
      </w:pPr>
      <w:r>
        <w:rPr>
          <w:iCs/>
          <w:color w:val="C00000"/>
        </w:rPr>
        <w:t xml:space="preserve">Nuckols TK, </w:t>
      </w:r>
      <w:proofErr w:type="spellStart"/>
      <w:r>
        <w:rPr>
          <w:iCs/>
          <w:color w:val="C00000"/>
        </w:rPr>
        <w:t>Fingar</w:t>
      </w:r>
      <w:proofErr w:type="spellEnd"/>
      <w:r>
        <w:rPr>
          <w:iCs/>
          <w:color w:val="C00000"/>
        </w:rPr>
        <w:t xml:space="preserve"> KR, Barrett ML, et al. Returns to Emergency Department, Observation, or Inpatient Care Within 30 Days After Hospitalization in 4 States, 2009 and 2010 Versus 2013 and 2014. J Hosp Med. 2018;13(5):296-303. doi:10.12788/jhm.2883.</w:t>
      </w:r>
    </w:p>
    <w:p w14:paraId="2D2B487D" w14:textId="77777777" w:rsidR="00A56E02" w:rsidRDefault="00A56E02" w:rsidP="00A56E02">
      <w:pPr>
        <w:spacing w:before="120" w:after="120"/>
        <w:ind w:left="0" w:firstLine="0"/>
        <w:rPr>
          <w:rFonts w:cstheme="minorHAnsi"/>
          <w:iCs/>
          <w:color w:val="C00000"/>
        </w:rPr>
      </w:pPr>
      <w:r>
        <w:rPr>
          <w:rFonts w:cstheme="minorHAnsi"/>
          <w:color w:val="C00000"/>
          <w:shd w:val="clear" w:color="auto" w:fill="FFFFFF"/>
        </w:rPr>
        <w:t>Patel PH, Dickerson KW. Impact of the Implementation of Project Re-Engineered Discharge for Heart Failure patients at a Veterans Affairs Hospital at the Central Arkansas Veterans Healthcare System. </w:t>
      </w:r>
      <w:r>
        <w:rPr>
          <w:rFonts w:cstheme="minorHAnsi"/>
          <w:i/>
          <w:iCs/>
          <w:color w:val="C00000"/>
          <w:shd w:val="clear" w:color="auto" w:fill="FFFFFF"/>
        </w:rPr>
        <w:t>Hosp Pharm</w:t>
      </w:r>
      <w:r>
        <w:rPr>
          <w:rFonts w:cstheme="minorHAnsi"/>
          <w:color w:val="C00000"/>
          <w:shd w:val="clear" w:color="auto" w:fill="FFFFFF"/>
        </w:rPr>
        <w:t>. 2018;53(4):266‐271. doi:10.1177/0018578717749925.</w:t>
      </w:r>
    </w:p>
    <w:p w14:paraId="70889FE0" w14:textId="77777777" w:rsidR="00A56E02" w:rsidRDefault="00A56E02" w:rsidP="00A56E02">
      <w:pPr>
        <w:spacing w:before="120" w:after="120"/>
        <w:ind w:left="0" w:firstLine="0"/>
        <w:rPr>
          <w:color w:val="C00000"/>
        </w:rPr>
      </w:pPr>
      <w:r>
        <w:rPr>
          <w:color w:val="C00000"/>
        </w:rPr>
        <w:t xml:space="preserve">Radhakrishnan K, Jones TL, Weems D, Knight TW, Rice WH. Seamless Transitions: Achieving Patient Safety Through Communication and Collaboration. </w:t>
      </w:r>
      <w:r>
        <w:rPr>
          <w:i/>
          <w:iCs/>
          <w:color w:val="C00000"/>
        </w:rPr>
        <w:t xml:space="preserve">J Patient </w:t>
      </w:r>
      <w:proofErr w:type="spellStart"/>
      <w:r>
        <w:rPr>
          <w:i/>
          <w:iCs/>
          <w:color w:val="C00000"/>
        </w:rPr>
        <w:t>Saf</w:t>
      </w:r>
      <w:proofErr w:type="spellEnd"/>
      <w:r>
        <w:rPr>
          <w:i/>
          <w:iCs/>
          <w:color w:val="C00000"/>
        </w:rPr>
        <w:t xml:space="preserve">. </w:t>
      </w:r>
      <w:r>
        <w:rPr>
          <w:color w:val="C00000"/>
        </w:rPr>
        <w:t>2018;14(1</w:t>
      </w:r>
      <w:proofErr w:type="gramStart"/>
      <w:r>
        <w:rPr>
          <w:color w:val="C00000"/>
        </w:rPr>
        <w:t>):e</w:t>
      </w:r>
      <w:proofErr w:type="gramEnd"/>
      <w:r>
        <w:rPr>
          <w:color w:val="C00000"/>
        </w:rPr>
        <w:t>3-e5.</w:t>
      </w:r>
    </w:p>
    <w:p w14:paraId="446A449E" w14:textId="77777777" w:rsidR="00A56E02" w:rsidRDefault="00A56E02" w:rsidP="00A56E02">
      <w:pPr>
        <w:spacing w:before="120"/>
        <w:ind w:left="0" w:firstLine="0"/>
        <w:rPr>
          <w:iCs/>
          <w:color w:val="7030A0"/>
        </w:rPr>
      </w:pPr>
      <w:r>
        <w:rPr>
          <w:iCs/>
          <w:color w:val="7030A0"/>
        </w:rPr>
        <w:t>Rising KL, White LF, Fernandez WG, Boutwell AE. Emergency Department Visits After Hospital Discharge: A Missing Part of the Equation. Annals of Emergency Medicine. (0).</w:t>
      </w:r>
    </w:p>
    <w:p w14:paraId="3BD73F22" w14:textId="77777777" w:rsidR="00A56E02" w:rsidRDefault="00A56E02" w:rsidP="00A56E02">
      <w:pPr>
        <w:spacing w:before="120"/>
        <w:ind w:left="0" w:firstLine="0"/>
        <w:rPr>
          <w:iCs/>
          <w:color w:val="7030A0"/>
        </w:rPr>
      </w:pPr>
      <w:r>
        <w:rPr>
          <w:iCs/>
          <w:color w:val="7030A0"/>
        </w:rPr>
        <w:t xml:space="preserve">Stauffer BD, Fullerton C, Fleming N, et al. Effectiveness and cost of a transitional care program for heart failure: a prospective study with concurrent controls. </w:t>
      </w:r>
      <w:r>
        <w:rPr>
          <w:i/>
          <w:iCs/>
          <w:color w:val="7030A0"/>
        </w:rPr>
        <w:t xml:space="preserve">Archives of Internal Medicine. </w:t>
      </w:r>
      <w:r>
        <w:rPr>
          <w:iCs/>
          <w:color w:val="7030A0"/>
        </w:rPr>
        <w:t>2011;171(14):1238-1243.</w:t>
      </w:r>
    </w:p>
    <w:p w14:paraId="4B9DDE1B" w14:textId="77777777" w:rsidR="00A56E02" w:rsidRDefault="00A56E02" w:rsidP="00A56E02">
      <w:pPr>
        <w:spacing w:before="120" w:after="120"/>
        <w:ind w:left="0" w:firstLine="0"/>
        <w:rPr>
          <w:color w:val="C00000"/>
          <w:shd w:val="clear" w:color="auto" w:fill="FFFFFF"/>
        </w:rPr>
      </w:pPr>
      <w:bookmarkStart w:id="5" w:name="_Hlk43123662"/>
      <w:proofErr w:type="spellStart"/>
      <w:r>
        <w:rPr>
          <w:color w:val="C00000"/>
          <w:shd w:val="clear" w:color="auto" w:fill="FFFFFF"/>
        </w:rPr>
        <w:t>Torio</w:t>
      </w:r>
      <w:proofErr w:type="spellEnd"/>
      <w:r>
        <w:rPr>
          <w:color w:val="C00000"/>
          <w:shd w:val="clear" w:color="auto" w:fill="FFFFFF"/>
        </w:rPr>
        <w:t xml:space="preserve"> CM, Moore BJ. </w:t>
      </w:r>
      <w:r>
        <w:rPr>
          <w:rStyle w:val="ref-title"/>
          <w:color w:val="C00000"/>
          <w:shd w:val="clear" w:color="auto" w:fill="FFFFFF"/>
        </w:rPr>
        <w:t>National Inpatient Hospital Costs: The Most Expensive Conditions by Payer, 2013</w:t>
      </w:r>
      <w:r>
        <w:rPr>
          <w:color w:val="C00000"/>
          <w:shd w:val="clear" w:color="auto" w:fill="FFFFFF"/>
        </w:rPr>
        <w:t>. HCUP Statistical Brief # 204. Available at: </w:t>
      </w:r>
      <w:hyperlink r:id="rId18" w:history="1">
        <w:r>
          <w:rPr>
            <w:rStyle w:val="Hyperlink"/>
            <w:color w:val="C00000"/>
            <w:shd w:val="clear" w:color="auto" w:fill="FFFFFF"/>
          </w:rPr>
          <w:t>http://www.hcup-us.ahrq.gov/reports/statbriefs/sb204-Most-Expensive-Hospital-Conditions.pdf</w:t>
        </w:r>
      </w:hyperlink>
      <w:r>
        <w:rPr>
          <w:color w:val="C00000"/>
          <w:shd w:val="clear" w:color="auto" w:fill="FFFFFF"/>
        </w:rPr>
        <w:t>. Published May 2016. Accessed August 23, 2020.</w:t>
      </w:r>
    </w:p>
    <w:bookmarkEnd w:id="5"/>
    <w:p w14:paraId="025E9B16" w14:textId="77777777" w:rsidR="00A56E02" w:rsidRDefault="00A56E02" w:rsidP="00A56E02">
      <w:pPr>
        <w:spacing w:before="120"/>
        <w:ind w:left="0" w:firstLine="0"/>
        <w:rPr>
          <w:iCs/>
          <w:color w:val="7030A0"/>
        </w:rPr>
      </w:pPr>
      <w:r>
        <w:rPr>
          <w:iCs/>
          <w:color w:val="7030A0"/>
        </w:rPr>
        <w:t xml:space="preserve">van </w:t>
      </w:r>
      <w:proofErr w:type="spellStart"/>
      <w:r>
        <w:rPr>
          <w:iCs/>
          <w:color w:val="7030A0"/>
        </w:rPr>
        <w:t>Walraven</w:t>
      </w:r>
      <w:proofErr w:type="spellEnd"/>
      <w:r>
        <w:rPr>
          <w:iCs/>
          <w:color w:val="7030A0"/>
        </w:rPr>
        <w:t xml:space="preserve"> C, Seth R, Austin PC, </w:t>
      </w:r>
      <w:proofErr w:type="spellStart"/>
      <w:r>
        <w:rPr>
          <w:iCs/>
          <w:color w:val="7030A0"/>
        </w:rPr>
        <w:t>Laupacis</w:t>
      </w:r>
      <w:proofErr w:type="spellEnd"/>
      <w:r>
        <w:rPr>
          <w:iCs/>
          <w:color w:val="7030A0"/>
        </w:rPr>
        <w:t xml:space="preserve"> A. Effect of discharge summary availability during post-discharge visits on hospital readmission. J Gen Intern Med 2002;17(3):186-92.</w:t>
      </w:r>
    </w:p>
    <w:p w14:paraId="02705657" w14:textId="77777777" w:rsidR="00A56E02" w:rsidRDefault="00A56E02" w:rsidP="00A56E02">
      <w:pPr>
        <w:spacing w:before="120"/>
        <w:ind w:left="0" w:firstLine="0"/>
        <w:rPr>
          <w:iCs/>
          <w:color w:val="7030A0"/>
        </w:rPr>
      </w:pPr>
      <w:r>
        <w:rPr>
          <w:iCs/>
          <w:color w:val="7030A0"/>
        </w:rPr>
        <w:t xml:space="preserve">Vashi AA, Fox JP, </w:t>
      </w:r>
      <w:proofErr w:type="spellStart"/>
      <w:r>
        <w:rPr>
          <w:iCs/>
          <w:color w:val="7030A0"/>
        </w:rPr>
        <w:t>Carr</w:t>
      </w:r>
      <w:proofErr w:type="spellEnd"/>
      <w:r>
        <w:rPr>
          <w:iCs/>
          <w:color w:val="7030A0"/>
        </w:rPr>
        <w:t xml:space="preserve"> BG, et al. Use of hospital-based acute care among patients recently discharged from the hospital. JAMA. Jan </w:t>
      </w:r>
      <w:proofErr w:type="gramStart"/>
      <w:r>
        <w:rPr>
          <w:iCs/>
          <w:color w:val="7030A0"/>
        </w:rPr>
        <w:t>23</w:t>
      </w:r>
      <w:proofErr w:type="gramEnd"/>
      <w:r>
        <w:rPr>
          <w:iCs/>
          <w:color w:val="7030A0"/>
        </w:rPr>
        <w:t xml:space="preserve"> 2013;309(4):364-371.</w:t>
      </w:r>
    </w:p>
    <w:p w14:paraId="2AACF5B1" w14:textId="5258449A" w:rsidR="00A56E02" w:rsidRDefault="00A56E02" w:rsidP="00A56E02">
      <w:pPr>
        <w:spacing w:before="120" w:after="120"/>
        <w:ind w:left="0" w:firstLine="0"/>
        <w:rPr>
          <w:rFonts w:cstheme="minorHAnsi"/>
          <w:color w:val="C00000"/>
        </w:rPr>
      </w:pPr>
      <w:bookmarkStart w:id="6" w:name="_Hlk42094040"/>
      <w:bookmarkStart w:id="7" w:name="_Hlk43123487"/>
      <w:r>
        <w:rPr>
          <w:rFonts w:cstheme="minorHAnsi"/>
          <w:color w:val="C00000"/>
        </w:rPr>
        <w:t xml:space="preserve">Wallace L., Grady J., Djordjevic, D., et al. 2019 Condition-Specific Measures Updates and Specifications Report Hospital-Level 30-Day Risk-Standardized Readmission Measures: Acute Myocardial Infarction – Version 12.0, Chronic Obstructive Pulmonary Disease – Version 8.0, Heart Failure – Version 12.0, Pneumonia – Version 12.0. </w:t>
      </w:r>
      <w:bookmarkEnd w:id="6"/>
      <w:r>
        <w:rPr>
          <w:rFonts w:cstheme="minorHAnsi"/>
          <w:color w:val="C00000"/>
        </w:rPr>
        <w:t xml:space="preserve">2019; </w:t>
      </w:r>
      <w:hyperlink r:id="rId19" w:history="1">
        <w:r>
          <w:rPr>
            <w:rStyle w:val="Hyperlink"/>
            <w:rFonts w:cstheme="minorHAnsi"/>
            <w:color w:val="C00000"/>
          </w:rPr>
          <w:t>https://qualitynet.org/inpatient/measures/readmission/methodology</w:t>
        </w:r>
      </w:hyperlink>
      <w:r>
        <w:rPr>
          <w:rFonts w:cstheme="minorHAnsi"/>
          <w:color w:val="C00000"/>
        </w:rPr>
        <w:t>. Available as of April 23, 2019.</w:t>
      </w:r>
    </w:p>
    <w:p w14:paraId="1F4CB1E5" w14:textId="5B9F4E5B" w:rsidR="000F6837" w:rsidRDefault="000F6837" w:rsidP="00A56E02">
      <w:pPr>
        <w:spacing w:before="120" w:after="120"/>
        <w:ind w:left="0" w:firstLine="0"/>
        <w:rPr>
          <w:rFonts w:cstheme="minorHAnsi"/>
          <w:color w:val="C00000"/>
        </w:rPr>
      </w:pPr>
      <w:r w:rsidRPr="000F6837">
        <w:rPr>
          <w:rFonts w:cstheme="minorHAnsi"/>
          <w:color w:val="C00000"/>
        </w:rPr>
        <w:t xml:space="preserve">Wan TTH, Terry A, Cobb E, McKee B, </w:t>
      </w:r>
      <w:proofErr w:type="spellStart"/>
      <w:r w:rsidRPr="000F6837">
        <w:rPr>
          <w:rFonts w:cstheme="minorHAnsi"/>
          <w:color w:val="C00000"/>
        </w:rPr>
        <w:t>Tregerman</w:t>
      </w:r>
      <w:proofErr w:type="spellEnd"/>
      <w:r w:rsidRPr="000F6837">
        <w:rPr>
          <w:rFonts w:cstheme="minorHAnsi"/>
          <w:color w:val="C00000"/>
        </w:rPr>
        <w:t xml:space="preserve"> R, </w:t>
      </w:r>
      <w:proofErr w:type="spellStart"/>
      <w:r w:rsidRPr="000F6837">
        <w:rPr>
          <w:rFonts w:cstheme="minorHAnsi"/>
          <w:color w:val="C00000"/>
        </w:rPr>
        <w:t>Barbaro</w:t>
      </w:r>
      <w:proofErr w:type="spellEnd"/>
      <w:r w:rsidRPr="000F6837">
        <w:rPr>
          <w:rFonts w:cstheme="minorHAnsi"/>
          <w:color w:val="C00000"/>
        </w:rPr>
        <w:t xml:space="preserve"> SDS. </w:t>
      </w:r>
      <w:r>
        <w:rPr>
          <w:rFonts w:cstheme="minorHAnsi"/>
          <w:color w:val="C00000"/>
        </w:rPr>
        <w:t xml:space="preserve">2017. </w:t>
      </w:r>
      <w:r w:rsidRPr="000F6837">
        <w:rPr>
          <w:rFonts w:cstheme="minorHAnsi"/>
          <w:color w:val="C00000"/>
        </w:rPr>
        <w:t xml:space="preserve">Strategies to Modify the Risk of Heart Failure Readmission: A Systematic Review and Meta-Analysis. Health Serv Res </w:t>
      </w:r>
      <w:proofErr w:type="spellStart"/>
      <w:r w:rsidRPr="000F6837">
        <w:rPr>
          <w:rFonts w:cstheme="minorHAnsi"/>
          <w:color w:val="C00000"/>
        </w:rPr>
        <w:t>Manag</w:t>
      </w:r>
      <w:proofErr w:type="spellEnd"/>
      <w:r w:rsidRPr="000F6837">
        <w:rPr>
          <w:rFonts w:cstheme="minorHAnsi"/>
          <w:color w:val="C00000"/>
        </w:rPr>
        <w:t xml:space="preserve"> Epidemiol. </w:t>
      </w:r>
      <w:proofErr w:type="gramStart"/>
      <w:r w:rsidRPr="000F6837">
        <w:rPr>
          <w:rFonts w:cstheme="minorHAnsi"/>
          <w:color w:val="C00000"/>
        </w:rPr>
        <w:t>18;4:</w:t>
      </w:r>
      <w:r>
        <w:rPr>
          <w:rFonts w:cstheme="minorHAnsi"/>
          <w:color w:val="C00000"/>
        </w:rPr>
        <w:t>1</w:t>
      </w:r>
      <w:proofErr w:type="gramEnd"/>
      <w:r>
        <w:rPr>
          <w:rFonts w:cstheme="minorHAnsi"/>
          <w:color w:val="C00000"/>
        </w:rPr>
        <w:t>-16.</w:t>
      </w:r>
    </w:p>
    <w:bookmarkEnd w:id="7"/>
    <w:p w14:paraId="485A469C" w14:textId="77777777" w:rsidR="00A56E02" w:rsidRDefault="00A56E02" w:rsidP="00A56E02">
      <w:pPr>
        <w:spacing w:before="120"/>
        <w:ind w:left="0" w:firstLine="0"/>
        <w:rPr>
          <w:iCs/>
          <w:color w:val="7030A0"/>
        </w:rPr>
      </w:pPr>
      <w:r>
        <w:rPr>
          <w:iCs/>
          <w:color w:val="7030A0"/>
        </w:rPr>
        <w:t xml:space="preserve">Weiss M, </w:t>
      </w:r>
      <w:proofErr w:type="spellStart"/>
      <w:r>
        <w:rPr>
          <w:iCs/>
          <w:color w:val="7030A0"/>
        </w:rPr>
        <w:t>Yakusheva</w:t>
      </w:r>
      <w:proofErr w:type="spellEnd"/>
      <w:r>
        <w:rPr>
          <w:iCs/>
          <w:color w:val="7030A0"/>
        </w:rPr>
        <w:t xml:space="preserve"> O, </w:t>
      </w:r>
      <w:proofErr w:type="spellStart"/>
      <w:r>
        <w:rPr>
          <w:iCs/>
          <w:color w:val="7030A0"/>
        </w:rPr>
        <w:t>Bobay</w:t>
      </w:r>
      <w:proofErr w:type="spellEnd"/>
      <w:r>
        <w:rPr>
          <w:iCs/>
          <w:color w:val="7030A0"/>
        </w:rPr>
        <w:t xml:space="preserve"> K. Nurse and patient perceptions of discharge readiness in relation to </w:t>
      </w:r>
      <w:proofErr w:type="spellStart"/>
      <w:r>
        <w:rPr>
          <w:iCs/>
          <w:color w:val="7030A0"/>
        </w:rPr>
        <w:t>postdischarge</w:t>
      </w:r>
      <w:proofErr w:type="spellEnd"/>
      <w:r>
        <w:rPr>
          <w:iCs/>
          <w:color w:val="7030A0"/>
        </w:rPr>
        <w:t xml:space="preserve"> utilization. Med Care 2010;48(5):482-6.</w:t>
      </w:r>
    </w:p>
    <w:p w14:paraId="4A53B386" w14:textId="77777777" w:rsidR="00A56E02" w:rsidRDefault="00A56E02" w:rsidP="00A56E02">
      <w:pPr>
        <w:spacing w:before="120"/>
        <w:ind w:left="0" w:firstLine="0"/>
        <w:rPr>
          <w:iCs/>
          <w:color w:val="7030A0"/>
        </w:rPr>
      </w:pPr>
      <w:r>
        <w:rPr>
          <w:iCs/>
          <w:color w:val="7030A0"/>
        </w:rPr>
        <w:t xml:space="preserve">Young W, </w:t>
      </w:r>
      <w:proofErr w:type="spellStart"/>
      <w:r>
        <w:rPr>
          <w:iCs/>
          <w:color w:val="7030A0"/>
        </w:rPr>
        <w:t>Rewa</w:t>
      </w:r>
      <w:proofErr w:type="spellEnd"/>
      <w:r>
        <w:rPr>
          <w:iCs/>
          <w:color w:val="7030A0"/>
        </w:rPr>
        <w:t xml:space="preserve"> G, Goodman SG, et al. 2003. Evaluation of a community-based inner-city disease management program for </w:t>
      </w:r>
      <w:proofErr w:type="spellStart"/>
      <w:r>
        <w:rPr>
          <w:iCs/>
          <w:color w:val="7030A0"/>
        </w:rPr>
        <w:t>postmyocardial</w:t>
      </w:r>
      <w:proofErr w:type="spellEnd"/>
      <w:r>
        <w:rPr>
          <w:iCs/>
          <w:color w:val="7030A0"/>
        </w:rPr>
        <w:t xml:space="preserve"> infarction patients: a randomized controlled trial. CMAJ Canadian Med Assn J 169(9):905-910.</w:t>
      </w:r>
    </w:p>
    <w:p w14:paraId="14333E06" w14:textId="77777777" w:rsidR="00A56E02" w:rsidRPr="00E55439" w:rsidRDefault="00A56E02" w:rsidP="00C41794">
      <w:pPr>
        <w:ind w:left="432" w:hanging="432"/>
        <w:rPr>
          <w:b/>
        </w:rPr>
      </w:pPr>
    </w:p>
    <w:p w14:paraId="55B8DA65" w14:textId="77777777" w:rsidR="00676BD4" w:rsidRPr="00E55439" w:rsidRDefault="00676BD4" w:rsidP="002E2177">
      <w:pPr>
        <w:ind w:left="0" w:firstLine="0"/>
        <w:rPr>
          <w:i/>
          <w:iCs/>
          <w:u w:val="single"/>
        </w:rPr>
      </w:pPr>
    </w:p>
    <w:p w14:paraId="55B8DA66" w14:textId="725FE95F" w:rsidR="00C41794" w:rsidRPr="00E55439" w:rsidRDefault="002B06BD" w:rsidP="00C41794">
      <w:pPr>
        <w:ind w:left="0" w:firstLine="0"/>
        <w:rPr>
          <w:b/>
          <w:iCs/>
        </w:rPr>
      </w:pPr>
      <w:bookmarkStart w:id="8" w:name="Section1a3"/>
      <w:bookmarkEnd w:id="8"/>
      <w:r w:rsidRPr="00E55439">
        <w:rPr>
          <w:b/>
          <w:iCs/>
          <w:color w:val="0000FF"/>
        </w:rPr>
        <w:t>1a.3.</w:t>
      </w:r>
      <w:r w:rsidRPr="00E55439">
        <w:rPr>
          <w:i/>
          <w:iCs/>
          <w:color w:val="0000FF"/>
        </w:rPr>
        <w:t xml:space="preserve"> </w:t>
      </w:r>
      <w:r w:rsidR="00C41794" w:rsidRPr="00E55439">
        <w:rPr>
          <w:b/>
          <w:iCs/>
          <w:color w:val="0000FF"/>
        </w:rPr>
        <w:t>SYSTEMATIC REVIEW</w:t>
      </w:r>
      <w:r w:rsidR="00AB4ECE" w:rsidRPr="00E55439">
        <w:rPr>
          <w:b/>
          <w:iCs/>
          <w:color w:val="0000FF"/>
        </w:rPr>
        <w:t>(SR)</w:t>
      </w:r>
      <w:r w:rsidR="00C41794" w:rsidRPr="00E55439">
        <w:rPr>
          <w:b/>
          <w:iCs/>
          <w:color w:val="0000FF"/>
        </w:rPr>
        <w:t xml:space="preserve"> OF THE EVIDENCE (</w:t>
      </w:r>
      <w:r w:rsidR="00C41794" w:rsidRPr="00E55439">
        <w:rPr>
          <w:b/>
          <w:iCs/>
        </w:rPr>
        <w:t>for</w:t>
      </w:r>
      <w:r w:rsidR="00C41794" w:rsidRPr="00E55439">
        <w:rPr>
          <w:b/>
          <w:iCs/>
          <w:caps/>
        </w:rPr>
        <w:t xml:space="preserve">  intermediate outcome, PROCESS, or STRUCTURE PERFORMANCE measures</w:t>
      </w:r>
      <w:r w:rsidR="003D6721" w:rsidRPr="00E55439">
        <w:rPr>
          <w:b/>
          <w:iCs/>
          <w:caps/>
        </w:rPr>
        <w:t>, including those that are instrument-based</w:t>
      </w:r>
      <w:r w:rsidR="00C41794" w:rsidRPr="00E55439">
        <w:rPr>
          <w:b/>
          <w:iCs/>
          <w:caps/>
        </w:rPr>
        <w:t>)</w:t>
      </w:r>
      <w:r w:rsidR="00C41794" w:rsidRPr="00E55439">
        <w:rPr>
          <w:b/>
          <w:iCs/>
        </w:rPr>
        <w:t xml:space="preserve"> If the </w:t>
      </w:r>
      <w:r w:rsidR="00C41794" w:rsidRPr="00E55439">
        <w:rPr>
          <w:b/>
          <w:iCs/>
        </w:rPr>
        <w:lastRenderedPageBreak/>
        <w:t>evidence is not based on a system</w:t>
      </w:r>
      <w:r w:rsidR="00AB4ECE" w:rsidRPr="00E55439">
        <w:rPr>
          <w:b/>
          <w:iCs/>
        </w:rPr>
        <w:t>a</w:t>
      </w:r>
      <w:r w:rsidR="00C41794" w:rsidRPr="00E55439">
        <w:rPr>
          <w:b/>
          <w:iCs/>
        </w:rPr>
        <w:t>tic review go to section 1a.4)</w:t>
      </w:r>
      <w:r w:rsidR="00AB4ECE" w:rsidRPr="00E55439">
        <w:rPr>
          <w:b/>
          <w:iCs/>
        </w:rPr>
        <w:t xml:space="preserve"> If you wish to include more than one systematic review, add </w:t>
      </w:r>
      <w:r w:rsidR="000F4A7F" w:rsidRPr="00E55439">
        <w:rPr>
          <w:b/>
          <w:iCs/>
        </w:rPr>
        <w:t>additional tables.</w:t>
      </w:r>
      <w:r w:rsidR="00AB4ECE" w:rsidRPr="00E55439">
        <w:rPr>
          <w:b/>
          <w:iCs/>
        </w:rPr>
        <w:t xml:space="preserve"> </w:t>
      </w:r>
    </w:p>
    <w:p w14:paraId="55B8DA67" w14:textId="77777777" w:rsidR="00496AF8" w:rsidRPr="00E55439"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E55439">
        <w:rPr>
          <w:rFonts w:ascii="Calibri" w:eastAsia="Calibri" w:hAnsi="Calibri" w:cs="Times New Roman"/>
          <w:b/>
        </w:rPr>
        <w:t xml:space="preserve">What is the source of the </w:t>
      </w:r>
      <w:r w:rsidRPr="00E55439">
        <w:rPr>
          <w:rFonts w:ascii="Calibri" w:eastAsia="Calibri" w:hAnsi="Calibri" w:cs="Times New Roman"/>
          <w:b/>
          <w:u w:val="single"/>
        </w:rPr>
        <w:t>systematic review of the body of evidence</w:t>
      </w:r>
      <w:r w:rsidRPr="00E55439">
        <w:rPr>
          <w:rFonts w:ascii="Calibri" w:eastAsia="Calibri" w:hAnsi="Calibri" w:cs="Times New Roman"/>
          <w:b/>
        </w:rPr>
        <w:t xml:space="preserve"> that supports the performance measure?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9" w:name="Section1a8"/>
      <w:bookmarkEnd w:id="9"/>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C63A5CD" w14:textId="77777777" w:rsidR="00E55439" w:rsidRDefault="00E55439" w:rsidP="002E2177">
      <w:pPr>
        <w:ind w:left="0" w:firstLine="0"/>
        <w:rPr>
          <w:b/>
          <w:color w:val="0000FF"/>
        </w:rPr>
      </w:pPr>
    </w:p>
    <w:p w14:paraId="55B8DA99" w14:textId="456204EC" w:rsidR="000E5C93" w:rsidRDefault="000E5C93" w:rsidP="002E2177">
      <w:pPr>
        <w:ind w:left="0" w:firstLine="0"/>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458A5710" w14:textId="77777777" w:rsidR="0023164B" w:rsidRDefault="0023164B" w:rsidP="002E2177">
      <w:pPr>
        <w:ind w:left="0" w:firstLine="0"/>
        <w:rPr>
          <w:b/>
          <w:color w:val="0000FF"/>
        </w:rPr>
      </w:pPr>
    </w:p>
    <w:p w14:paraId="55B8DA9D" w14:textId="15C51A30" w:rsidR="00837121"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EFD312" w14:textId="77777777" w:rsidR="00746409" w:rsidRDefault="00746409" w:rsidP="007E37A5">
      <w:r>
        <w:separator/>
      </w:r>
    </w:p>
  </w:endnote>
  <w:endnote w:type="continuationSeparator" w:id="0">
    <w:p w14:paraId="0E7FF7B2" w14:textId="77777777" w:rsidR="00746409" w:rsidRDefault="00746409"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8DAA3" w14:textId="5743F906"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8869C0">
      <w:rPr>
        <w:noProof/>
      </w:rPr>
      <w:t>7</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18F769" w14:textId="77777777" w:rsidR="00746409" w:rsidRDefault="00746409" w:rsidP="007E37A5">
      <w:r>
        <w:separator/>
      </w:r>
    </w:p>
  </w:footnote>
  <w:footnote w:type="continuationSeparator" w:id="0">
    <w:p w14:paraId="6F59B1D6" w14:textId="77777777" w:rsidR="00746409" w:rsidRDefault="00746409"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9"/>
  </w:num>
  <w:num w:numId="8">
    <w:abstractNumId w:val="8"/>
  </w:num>
  <w:num w:numId="9">
    <w:abstractNumId w:val="10"/>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5C93"/>
    <w:rsid w:val="000F4A7F"/>
    <w:rsid w:val="000F6837"/>
    <w:rsid w:val="00114848"/>
    <w:rsid w:val="00120934"/>
    <w:rsid w:val="00132070"/>
    <w:rsid w:val="00141875"/>
    <w:rsid w:val="0014347E"/>
    <w:rsid w:val="00154438"/>
    <w:rsid w:val="001551F6"/>
    <w:rsid w:val="0015535B"/>
    <w:rsid w:val="00162036"/>
    <w:rsid w:val="001632DD"/>
    <w:rsid w:val="00176E60"/>
    <w:rsid w:val="00194913"/>
    <w:rsid w:val="00194D9A"/>
    <w:rsid w:val="001A196B"/>
    <w:rsid w:val="001A6D05"/>
    <w:rsid w:val="001B38BF"/>
    <w:rsid w:val="001B772D"/>
    <w:rsid w:val="001D5B5D"/>
    <w:rsid w:val="001E6153"/>
    <w:rsid w:val="00201FF9"/>
    <w:rsid w:val="00205857"/>
    <w:rsid w:val="0023164B"/>
    <w:rsid w:val="00235ADC"/>
    <w:rsid w:val="00236F87"/>
    <w:rsid w:val="00265702"/>
    <w:rsid w:val="002662B2"/>
    <w:rsid w:val="002717C7"/>
    <w:rsid w:val="00283AC3"/>
    <w:rsid w:val="002875E9"/>
    <w:rsid w:val="00287EB3"/>
    <w:rsid w:val="00290909"/>
    <w:rsid w:val="002A47BA"/>
    <w:rsid w:val="002A6777"/>
    <w:rsid w:val="002B06BD"/>
    <w:rsid w:val="002C0E48"/>
    <w:rsid w:val="002C6F04"/>
    <w:rsid w:val="002E2177"/>
    <w:rsid w:val="002E2E41"/>
    <w:rsid w:val="002E78CD"/>
    <w:rsid w:val="002F20A7"/>
    <w:rsid w:val="003008F4"/>
    <w:rsid w:val="00302B1D"/>
    <w:rsid w:val="00306B02"/>
    <w:rsid w:val="00307FA5"/>
    <w:rsid w:val="00324D64"/>
    <w:rsid w:val="003511B6"/>
    <w:rsid w:val="00352B52"/>
    <w:rsid w:val="0035760D"/>
    <w:rsid w:val="00363ECC"/>
    <w:rsid w:val="0039020B"/>
    <w:rsid w:val="00395263"/>
    <w:rsid w:val="003956E0"/>
    <w:rsid w:val="0039609A"/>
    <w:rsid w:val="00397500"/>
    <w:rsid w:val="003B0A44"/>
    <w:rsid w:val="003B1CC5"/>
    <w:rsid w:val="003B65CE"/>
    <w:rsid w:val="003D6721"/>
    <w:rsid w:val="003E039E"/>
    <w:rsid w:val="0040230E"/>
    <w:rsid w:val="0041662F"/>
    <w:rsid w:val="00422917"/>
    <w:rsid w:val="00440687"/>
    <w:rsid w:val="0044131D"/>
    <w:rsid w:val="00441ADA"/>
    <w:rsid w:val="00457E46"/>
    <w:rsid w:val="004922E4"/>
    <w:rsid w:val="00496AF8"/>
    <w:rsid w:val="004A575D"/>
    <w:rsid w:val="004B65C6"/>
    <w:rsid w:val="004D1DC7"/>
    <w:rsid w:val="004E7215"/>
    <w:rsid w:val="004F7D7E"/>
    <w:rsid w:val="00500B0C"/>
    <w:rsid w:val="00515FDB"/>
    <w:rsid w:val="005353EE"/>
    <w:rsid w:val="00537150"/>
    <w:rsid w:val="00540984"/>
    <w:rsid w:val="00543851"/>
    <w:rsid w:val="0055559D"/>
    <w:rsid w:val="005569AE"/>
    <w:rsid w:val="00573A3A"/>
    <w:rsid w:val="005857F8"/>
    <w:rsid w:val="005B0D18"/>
    <w:rsid w:val="005B12C3"/>
    <w:rsid w:val="005B409D"/>
    <w:rsid w:val="005D0FDB"/>
    <w:rsid w:val="005D25E9"/>
    <w:rsid w:val="005D6D59"/>
    <w:rsid w:val="0061327A"/>
    <w:rsid w:val="00617390"/>
    <w:rsid w:val="00623420"/>
    <w:rsid w:val="00634421"/>
    <w:rsid w:val="00634768"/>
    <w:rsid w:val="0063596F"/>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372D0"/>
    <w:rsid w:val="007434FA"/>
    <w:rsid w:val="00746409"/>
    <w:rsid w:val="007573F0"/>
    <w:rsid w:val="00765156"/>
    <w:rsid w:val="00767669"/>
    <w:rsid w:val="00773485"/>
    <w:rsid w:val="00776E8F"/>
    <w:rsid w:val="00776F6D"/>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1C3"/>
    <w:rsid w:val="008659ED"/>
    <w:rsid w:val="008708DC"/>
    <w:rsid w:val="00870987"/>
    <w:rsid w:val="0087564A"/>
    <w:rsid w:val="00881160"/>
    <w:rsid w:val="0088371C"/>
    <w:rsid w:val="008869C0"/>
    <w:rsid w:val="008A45F3"/>
    <w:rsid w:val="008B51D9"/>
    <w:rsid w:val="008B652E"/>
    <w:rsid w:val="008D05B7"/>
    <w:rsid w:val="008F1DC6"/>
    <w:rsid w:val="008F6F51"/>
    <w:rsid w:val="00905C5B"/>
    <w:rsid w:val="00923295"/>
    <w:rsid w:val="00925F11"/>
    <w:rsid w:val="00935265"/>
    <w:rsid w:val="00937646"/>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56E02"/>
    <w:rsid w:val="00A63483"/>
    <w:rsid w:val="00A67EB1"/>
    <w:rsid w:val="00A9011D"/>
    <w:rsid w:val="00A91A47"/>
    <w:rsid w:val="00A95D2B"/>
    <w:rsid w:val="00AA5587"/>
    <w:rsid w:val="00AB4ECE"/>
    <w:rsid w:val="00AC1E53"/>
    <w:rsid w:val="00AD79C8"/>
    <w:rsid w:val="00AE6CE0"/>
    <w:rsid w:val="00B058A6"/>
    <w:rsid w:val="00B117D0"/>
    <w:rsid w:val="00B13998"/>
    <w:rsid w:val="00B35C5F"/>
    <w:rsid w:val="00B439DD"/>
    <w:rsid w:val="00B52E0F"/>
    <w:rsid w:val="00B74629"/>
    <w:rsid w:val="00B91F58"/>
    <w:rsid w:val="00BA579E"/>
    <w:rsid w:val="00BE2295"/>
    <w:rsid w:val="00BE6373"/>
    <w:rsid w:val="00BF533A"/>
    <w:rsid w:val="00C05685"/>
    <w:rsid w:val="00C41794"/>
    <w:rsid w:val="00C46677"/>
    <w:rsid w:val="00C5180E"/>
    <w:rsid w:val="00C54E40"/>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2B66"/>
    <w:rsid w:val="00D048DB"/>
    <w:rsid w:val="00D14F0B"/>
    <w:rsid w:val="00D178CA"/>
    <w:rsid w:val="00D3311C"/>
    <w:rsid w:val="00D53405"/>
    <w:rsid w:val="00D5457B"/>
    <w:rsid w:val="00D72995"/>
    <w:rsid w:val="00D73685"/>
    <w:rsid w:val="00DA7FA2"/>
    <w:rsid w:val="00DC2D8D"/>
    <w:rsid w:val="00DC7F67"/>
    <w:rsid w:val="00DE1F5D"/>
    <w:rsid w:val="00DE50D8"/>
    <w:rsid w:val="00DF278A"/>
    <w:rsid w:val="00E02B74"/>
    <w:rsid w:val="00E12153"/>
    <w:rsid w:val="00E1664B"/>
    <w:rsid w:val="00E27E13"/>
    <w:rsid w:val="00E30D12"/>
    <w:rsid w:val="00E3394E"/>
    <w:rsid w:val="00E35241"/>
    <w:rsid w:val="00E41417"/>
    <w:rsid w:val="00E42FAA"/>
    <w:rsid w:val="00E536D3"/>
    <w:rsid w:val="00E55439"/>
    <w:rsid w:val="00E57BE2"/>
    <w:rsid w:val="00E62A95"/>
    <w:rsid w:val="00E746A2"/>
    <w:rsid w:val="00E90D06"/>
    <w:rsid w:val="00E97E59"/>
    <w:rsid w:val="00EA79C9"/>
    <w:rsid w:val="00EB66AC"/>
    <w:rsid w:val="00EC1225"/>
    <w:rsid w:val="00EC2247"/>
    <w:rsid w:val="00EE1F87"/>
    <w:rsid w:val="00EE3931"/>
    <w:rsid w:val="00EE5AF6"/>
    <w:rsid w:val="00EF2CEF"/>
    <w:rsid w:val="00F1092D"/>
    <w:rsid w:val="00F42C20"/>
    <w:rsid w:val="00F431D8"/>
    <w:rsid w:val="00F63E8D"/>
    <w:rsid w:val="00F67706"/>
    <w:rsid w:val="00F81FE3"/>
    <w:rsid w:val="00F90F82"/>
    <w:rsid w:val="00F92D75"/>
    <w:rsid w:val="00F97327"/>
    <w:rsid w:val="00FA296F"/>
    <w:rsid w:val="00FA4E05"/>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customStyle="1" w:styleId="ref-title">
    <w:name w:val="ref-title"/>
    <w:basedOn w:val="DefaultParagraphFont"/>
    <w:rsid w:val="00A56E02"/>
  </w:style>
  <w:style w:type="character" w:customStyle="1" w:styleId="element-citation">
    <w:name w:val="element-citation"/>
    <w:basedOn w:val="DefaultParagraphFont"/>
    <w:rsid w:val="00D02B66"/>
  </w:style>
  <w:style w:type="character" w:customStyle="1" w:styleId="ref-journal">
    <w:name w:val="ref-journal"/>
    <w:basedOn w:val="DefaultParagraphFont"/>
    <w:rsid w:val="00D02B66"/>
  </w:style>
  <w:style w:type="character" w:customStyle="1" w:styleId="ref-vol">
    <w:name w:val="ref-vol"/>
    <w:basedOn w:val="DefaultParagraphFont"/>
    <w:rsid w:val="00D02B66"/>
  </w:style>
  <w:style w:type="character" w:customStyle="1" w:styleId="nowrap">
    <w:name w:val="nowrap"/>
    <w:basedOn w:val="DefaultParagraphFont"/>
    <w:rsid w:val="00D02B66"/>
  </w:style>
  <w:style w:type="character" w:styleId="UnresolvedMention">
    <w:name w:val="Unresolved Mention"/>
    <w:basedOn w:val="DefaultParagraphFont"/>
    <w:uiPriority w:val="99"/>
    <w:semiHidden/>
    <w:unhideWhenUsed/>
    <w:rsid w:val="008869C0"/>
    <w:rPr>
      <w:color w:val="808080"/>
      <w:shd w:val="clear" w:color="auto" w:fill="E6E6E6"/>
    </w:rPr>
  </w:style>
  <w:style w:type="character" w:customStyle="1" w:styleId="mixed-citation">
    <w:name w:val="mixed-citation"/>
    <w:basedOn w:val="DefaultParagraphFont"/>
    <w:rsid w:val="008651C3"/>
  </w:style>
  <w:style w:type="paragraph" w:styleId="NormalWeb">
    <w:name w:val="Normal (Web)"/>
    <w:basedOn w:val="Normal"/>
    <w:uiPriority w:val="99"/>
    <w:semiHidden/>
    <w:unhideWhenUsed/>
    <w:rsid w:val="00283AC3"/>
    <w:pPr>
      <w:spacing w:before="100" w:beforeAutospacing="1" w:after="100" w:afterAutospacing="1"/>
      <w:ind w:left="0" w:firstLine="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5057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hyperlink" Target="http://www.hcup-us.ahrq.gov/reports/statbriefs/sb204-Most-Expensive-Hospital-Conditions.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s://www.hcup-us.ahrq.gov/reports/statbriefs/sb172-Conditions-Readmissions-Payer.jsp"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s://qualitynet.org/inpatient/measures/readmission/methodology"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160241"/>
    <w:rsid w:val="001F47A0"/>
    <w:rsid w:val="002B5F47"/>
    <w:rsid w:val="003A1E4B"/>
    <w:rsid w:val="00455EB5"/>
    <w:rsid w:val="00461C1C"/>
    <w:rsid w:val="004D7855"/>
    <w:rsid w:val="004E2027"/>
    <w:rsid w:val="005F21F3"/>
    <w:rsid w:val="008F6A9B"/>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Props1.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2.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836b82f1-340d-495e-85b5-201c5296619a"/>
  </ds:schemaRefs>
</ds:datastoreItem>
</file>

<file path=customXml/itemProps3.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E810F8-CC18-41B8-9849-421A98879398}">
  <ds:schemaRefs>
    <ds:schemaRef ds:uri="http://schemas.openxmlformats.org/officeDocument/2006/bibliography"/>
  </ds:schemaRefs>
</ds:datastoreItem>
</file>

<file path=customXml/itemProps5.xml><?xml version="1.0" encoding="utf-8"?>
<ds:datastoreItem xmlns:ds="http://schemas.openxmlformats.org/officeDocument/2006/customXml" ds:itemID="{E5E77C6A-324F-4FC0-B7AC-A64B0A132FF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9</Pages>
  <Words>3935</Words>
  <Characters>22433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Hassan, Sapha</cp:lastModifiedBy>
  <cp:revision>20</cp:revision>
  <dcterms:created xsi:type="dcterms:W3CDTF">2017-10-09T19:55:00Z</dcterms:created>
  <dcterms:modified xsi:type="dcterms:W3CDTF">2021-04-15T20:20:00Z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