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2C3C8F2"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207960">
            <w:rPr>
              <w:rStyle w:val="Style1"/>
            </w:rPr>
            <w:t>2882</w:t>
          </w:r>
        </w:sdtContent>
      </w:sdt>
    </w:p>
    <w:p w14:paraId="55B8DA2F" w14:textId="3F1DDB53"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noProof/>
                <w:color w:val="auto"/>
              </w:rPr>
              <w:id w:val="-1266220352"/>
              <w:placeholder>
                <w:docPart w:val="A7C7928B89A444B7A3E0ADC50DE6194B"/>
              </w:placeholder>
            </w:sdtPr>
            <w:sdtEndPr>
              <w:rPr>
                <w:rStyle w:val="Style1"/>
              </w:rPr>
            </w:sdtEndPr>
            <w:sdtContent>
              <w:r w:rsidR="00207960">
                <w:rPr>
                  <w:rStyle w:val="Style1"/>
                  <w:color w:val="7030A0"/>
                </w:rPr>
                <w:t>Excess days in acute care (EDAC) after hospitalization for</w:t>
              </w:r>
            </w:sdtContent>
          </w:sdt>
          <w:r w:rsidR="00207960">
            <w:rPr>
              <w:rStyle w:val="Style1"/>
              <w:color w:val="7030A0"/>
            </w:rPr>
            <w:t xml:space="preserve"> pneumonia</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4A578CC3"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21-01-05T00:00:00Z">
            <w:dateFormat w:val="M/d/yyyy"/>
            <w:lid w:val="en-US"/>
            <w:storeMappedDataAs w:val="dateTime"/>
            <w:calendar w:val="gregorian"/>
          </w:date>
        </w:sdtPr>
        <w:sdtEndPr>
          <w:rPr>
            <w:rStyle w:val="DefaultParagraphFont"/>
            <w:noProof/>
            <w:color w:val="auto"/>
            <w:u w:val="none"/>
          </w:rPr>
        </w:sdtEndPr>
        <w:sdtContent>
          <w:r w:rsidR="00131EE9">
            <w:rPr>
              <w:rStyle w:val="Style2"/>
            </w:rPr>
            <w:t>1</w:t>
          </w:r>
          <w:r w:rsidR="00207960">
            <w:rPr>
              <w:rStyle w:val="Style2"/>
            </w:rPr>
            <w:t>/5/2021</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224D6086" w:rsidR="00496AF8" w:rsidRPr="003B1CC5" w:rsidRDefault="00F841C8"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73A3A">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AD07FD">
            <w:t>Excess days in acute care (EDAC) after hospitalization for pneumonia</w:t>
          </w:r>
        </w:sdtContent>
      </w:sdt>
    </w:p>
    <w:p w14:paraId="55B8DA52" w14:textId="77777777" w:rsidR="00236F87" w:rsidRPr="003B1CC5" w:rsidRDefault="00F841C8"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F841C8"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F841C8"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E55439"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E55439">
            <w:rPr>
              <w:rFonts w:ascii="MS Gothic" w:eastAsia="MS Gothic" w:hAnsi="MS Gothic" w:hint="eastAsia"/>
              <w:bCs/>
              <w:color w:val="0000FF"/>
            </w:rPr>
            <w:t>☐</w:t>
          </w:r>
        </w:sdtContent>
      </w:sdt>
      <w:r w:rsidRPr="00E55439">
        <w:rPr>
          <w:rFonts w:ascii="MS Gothic" w:eastAsia="MS Gothic" w:hAnsi="MS Gothic"/>
          <w:bCs/>
          <w:color w:val="0000FF"/>
        </w:rPr>
        <w:t xml:space="preserve"> </w:t>
      </w:r>
      <w:r w:rsidRPr="00E55439">
        <w:rPr>
          <w:rFonts w:eastAsia="MS Gothic"/>
          <w:bCs/>
        </w:rPr>
        <w:t>Appropriate use measure:</w:t>
      </w:r>
      <w:r w:rsidR="00496AF8" w:rsidRPr="00E55439">
        <w:rPr>
          <w:bCs/>
        </w:rPr>
        <w:t xml:space="preserve"> </w:t>
      </w:r>
      <w:r w:rsidRPr="00E55439">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E55439">
            <w:rPr>
              <w:rStyle w:val="PlaceholderText"/>
              <w:rFonts w:cstheme="minorHAnsi"/>
              <w:color w:val="A6A6A6" w:themeColor="background1" w:themeShade="A6"/>
            </w:rPr>
            <w:t>Click here to name what is being measured</w:t>
          </w:r>
        </w:sdtContent>
      </w:sdt>
      <w:r w:rsidRPr="00E55439">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sidRPr="00E55439">
            <w:rPr>
              <w:rStyle w:val="Style2"/>
              <w:rFonts w:cstheme="minorHAnsi"/>
            </w:rPr>
            <w:t xml:space="preserve">     </w:t>
          </w:r>
        </w:sdtContent>
      </w:sdt>
    </w:p>
    <w:p w14:paraId="55B8DA57" w14:textId="77777777" w:rsidR="00496AF8" w:rsidRPr="00E55439" w:rsidRDefault="00F841C8"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sidRPr="00E55439">
            <w:rPr>
              <w:rFonts w:ascii="MS Gothic" w:eastAsia="MS Gothic" w:hAnsi="MS Gothic" w:hint="eastAsia"/>
              <w:bCs/>
              <w:color w:val="0000FF"/>
            </w:rPr>
            <w:t>☐</w:t>
          </w:r>
        </w:sdtContent>
      </w:sdt>
      <w:r w:rsidR="0015535B" w:rsidRPr="00E55439">
        <w:rPr>
          <w:bCs/>
        </w:rPr>
        <w:t xml:space="preserve"> </w:t>
      </w:r>
      <w:r w:rsidR="00E41417" w:rsidRPr="00E55439">
        <w:rPr>
          <w:bCs/>
        </w:rPr>
        <w:t>S</w:t>
      </w:r>
      <w:r w:rsidR="00496AF8" w:rsidRPr="00E55439">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E55439">
            <w:rPr>
              <w:rStyle w:val="PlaceholderText"/>
              <w:rFonts w:cstheme="minorHAnsi"/>
              <w:color w:val="A6A6A6" w:themeColor="background1" w:themeShade="A6"/>
            </w:rPr>
            <w:t>Click here to name the structure</w:t>
          </w:r>
        </w:sdtContent>
      </w:sdt>
    </w:p>
    <w:p w14:paraId="55B8DA58" w14:textId="77777777" w:rsidR="00496AF8" w:rsidRPr="00E55439" w:rsidRDefault="00F841C8"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E55439">
            <w:rPr>
              <w:rFonts w:ascii="MS Gothic" w:eastAsia="MS Gothic" w:hAnsi="MS Gothic" w:cs="MS Gothic" w:hint="eastAsia"/>
              <w:bCs/>
              <w:color w:val="0000FF"/>
            </w:rPr>
            <w:t>☐</w:t>
          </w:r>
        </w:sdtContent>
      </w:sdt>
      <w:r w:rsidR="0015535B" w:rsidRPr="00E55439">
        <w:rPr>
          <w:bCs/>
        </w:rPr>
        <w:t xml:space="preserve"> </w:t>
      </w:r>
      <w:r w:rsidR="00D73685" w:rsidRPr="00E55439">
        <w:rPr>
          <w:bCs/>
        </w:rPr>
        <w:t>Composite</w:t>
      </w:r>
      <w:r w:rsidR="00496AF8" w:rsidRPr="00E55439">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E55439">
            <w:rPr>
              <w:rStyle w:val="PlaceholderText"/>
              <w:rFonts w:cstheme="minorHAnsi"/>
              <w:color w:val="A6A6A6" w:themeColor="background1" w:themeShade="A6"/>
            </w:rPr>
            <w:t>Click here to name what is being measured</w:t>
          </w:r>
        </w:sdtContent>
      </w:sdt>
    </w:p>
    <w:p w14:paraId="55B8DA59" w14:textId="77777777" w:rsidR="00496AF8" w:rsidRPr="00E55439" w:rsidRDefault="00496AF8" w:rsidP="002E2177">
      <w:pPr>
        <w:ind w:left="0" w:firstLine="0"/>
        <w:rPr>
          <w:bCs/>
        </w:rPr>
      </w:pPr>
    </w:p>
    <w:p w14:paraId="55B8DA5A" w14:textId="6FD1C64B" w:rsidR="002B06BD" w:rsidRPr="00E55439" w:rsidRDefault="00676BD4" w:rsidP="002B06BD">
      <w:pPr>
        <w:ind w:left="432" w:hanging="432"/>
        <w:rPr>
          <w:iCs/>
        </w:rPr>
      </w:pPr>
      <w:r w:rsidRPr="00E55439">
        <w:rPr>
          <w:b/>
          <w:bCs/>
          <w:color w:val="0000FF"/>
        </w:rPr>
        <w:t>1a.</w:t>
      </w:r>
      <w:r w:rsidR="00C41794" w:rsidRPr="00E55439">
        <w:rPr>
          <w:b/>
          <w:bCs/>
          <w:color w:val="0000FF"/>
        </w:rPr>
        <w:t>2</w:t>
      </w:r>
      <w:r w:rsidR="002B06BD" w:rsidRPr="00E55439">
        <w:rPr>
          <w:bCs/>
        </w:rPr>
        <w:t xml:space="preserve"> </w:t>
      </w:r>
      <w:r w:rsidRPr="00E55439">
        <w:rPr>
          <w:b/>
          <w:bCs/>
        </w:rPr>
        <w:t>LOGIC MODEL</w:t>
      </w:r>
      <w:r w:rsidRPr="00E55439">
        <w:rPr>
          <w:bCs/>
        </w:rPr>
        <w:t xml:space="preserve"> </w:t>
      </w:r>
      <w:r w:rsidRPr="00E55439">
        <w:rPr>
          <w:iCs/>
        </w:rPr>
        <w:t>Diagram or briefly describe</w:t>
      </w:r>
      <w:r w:rsidR="002B06BD" w:rsidRPr="00E55439">
        <w:rPr>
          <w:iCs/>
        </w:rPr>
        <w:t xml:space="preserve"> the </w:t>
      </w:r>
      <w:r w:rsidRPr="00E55439">
        <w:rPr>
          <w:iCs/>
        </w:rPr>
        <w:t>steps</w:t>
      </w:r>
      <w:r w:rsidR="00236F87" w:rsidRPr="00E55439">
        <w:rPr>
          <w:iCs/>
        </w:rPr>
        <w:t xml:space="preserve"> </w:t>
      </w:r>
      <w:r w:rsidR="002B06BD" w:rsidRPr="00E55439">
        <w:rPr>
          <w:iCs/>
        </w:rPr>
        <w:t xml:space="preserve">between </w:t>
      </w:r>
      <w:r w:rsidR="00CB06C9" w:rsidRPr="00E55439">
        <w:rPr>
          <w:iCs/>
        </w:rPr>
        <w:t>the</w:t>
      </w:r>
      <w:r w:rsidR="002B06BD" w:rsidRPr="00E55439">
        <w:rPr>
          <w:iCs/>
        </w:rPr>
        <w:t xml:space="preserve"> healthcare structure</w:t>
      </w:r>
      <w:r w:rsidR="00CB06C9" w:rsidRPr="00E55439">
        <w:rPr>
          <w:iCs/>
        </w:rPr>
        <w:t>s</w:t>
      </w:r>
      <w:r w:rsidR="00F90F82" w:rsidRPr="00E55439">
        <w:rPr>
          <w:iCs/>
        </w:rPr>
        <w:t xml:space="preserve"> and</w:t>
      </w:r>
      <w:r w:rsidR="002B06BD" w:rsidRPr="00E55439">
        <w:rPr>
          <w:iCs/>
        </w:rPr>
        <w:t xml:space="preserve"> process</w:t>
      </w:r>
      <w:r w:rsidR="00CB06C9" w:rsidRPr="00E55439">
        <w:rPr>
          <w:iCs/>
        </w:rPr>
        <w:t>es</w:t>
      </w:r>
      <w:r w:rsidRPr="00E55439">
        <w:rPr>
          <w:iCs/>
        </w:rPr>
        <w:t xml:space="preserve"> (e.g.,</w:t>
      </w:r>
      <w:r w:rsidR="002B06BD" w:rsidRPr="00E55439">
        <w:rPr>
          <w:iCs/>
        </w:rPr>
        <w:t xml:space="preserve"> intervention</w:t>
      </w:r>
      <w:r w:rsidR="00CB06C9" w:rsidRPr="00E55439">
        <w:rPr>
          <w:iCs/>
        </w:rPr>
        <w:t>s</w:t>
      </w:r>
      <w:r w:rsidR="002B06BD" w:rsidRPr="00E55439">
        <w:rPr>
          <w:iCs/>
        </w:rPr>
        <w:t>, or service</w:t>
      </w:r>
      <w:r w:rsidR="00CB06C9" w:rsidRPr="00E55439">
        <w:rPr>
          <w:iCs/>
        </w:rPr>
        <w:t>s</w:t>
      </w:r>
      <w:r w:rsidRPr="00E55439">
        <w:rPr>
          <w:iCs/>
        </w:rPr>
        <w:t>)</w:t>
      </w:r>
      <w:r w:rsidR="00CB06C9" w:rsidRPr="00E55439">
        <w:rPr>
          <w:iCs/>
        </w:rPr>
        <w:t xml:space="preserve"> </w:t>
      </w:r>
      <w:r w:rsidRPr="00E55439">
        <w:rPr>
          <w:iCs/>
        </w:rPr>
        <w:t>and the patient’s health outcome</w:t>
      </w:r>
      <w:r w:rsidR="00F90F82" w:rsidRPr="00E55439">
        <w:rPr>
          <w:iCs/>
        </w:rPr>
        <w:t>(s)</w:t>
      </w:r>
      <w:r w:rsidRPr="00E55439">
        <w:rPr>
          <w:iCs/>
        </w:rPr>
        <w:t xml:space="preserve">. The relationships in the diagram should be easily understood by general, non-technical audiences. Indicate the </w:t>
      </w:r>
      <w:r w:rsidR="00F90F82" w:rsidRPr="00E55439">
        <w:rPr>
          <w:iCs/>
        </w:rPr>
        <w:t xml:space="preserve">structure, </w:t>
      </w:r>
      <w:r w:rsidRPr="00E55439">
        <w:rPr>
          <w:iCs/>
        </w:rPr>
        <w:t>process or outcome being measured.</w:t>
      </w:r>
    </w:p>
    <w:p w14:paraId="0A07C1F0" w14:textId="158320B6" w:rsidR="00207960" w:rsidRDefault="00207960" w:rsidP="00207960">
      <w:pPr>
        <w:spacing w:before="120" w:after="120"/>
        <w:ind w:left="0" w:firstLine="0"/>
        <w:rPr>
          <w:color w:val="7030A0"/>
        </w:rPr>
      </w:pPr>
      <w:bookmarkStart w:id="5" w:name="_Hlk54866421"/>
      <w:r>
        <w:rPr>
          <w:color w:val="7030A0"/>
        </w:rPr>
        <w:t>Figure 1. P</w:t>
      </w:r>
      <w:r w:rsidR="00F841C8">
        <w:rPr>
          <w:color w:val="7030A0"/>
        </w:rPr>
        <w:t>neumonia</w:t>
      </w:r>
      <w:r>
        <w:rPr>
          <w:color w:val="7030A0"/>
        </w:rPr>
        <w:t xml:space="preserve"> EDAC Logic Model</w:t>
      </w:r>
    </w:p>
    <w:p w14:paraId="6BE16CE0" w14:textId="421AC69C" w:rsidR="00F841C8" w:rsidRDefault="00F841C8" w:rsidP="00207960">
      <w:pPr>
        <w:spacing w:before="120" w:after="120"/>
        <w:ind w:left="0" w:firstLine="0"/>
        <w:rPr>
          <w:color w:val="7030A0"/>
        </w:rPr>
      </w:pPr>
      <w:r>
        <w:rPr>
          <w:noProof/>
        </w:rPr>
        <w:drawing>
          <wp:inline distT="0" distB="0" distL="0" distR="0" wp14:anchorId="1842249E" wp14:editId="44684B99">
            <wp:extent cx="5943600" cy="2378710"/>
            <wp:effectExtent l="0" t="0" r="0" b="2540"/>
            <wp:docPr id="1" name="Picture 1" descr="Figure 1. Pneumonia EDAC Logic Model&#10;&#10;This figure shows a diagram of the logic model for this measure, and is made up of three text boxes with arrows pointing to the right between each box.&#10;The first text box states the following: delivery of timely, high-quality care; reducing the risk of infection and other complications; ensuring the patient is ready for discharge; improving communication among providers involved at care transition; reconciling medications; education patients about symptoms, whom to contact with questions, and where/when to seek follow-up care; and encouraging strategies that promote disease management.&#10;The second text box states: improving health status; and improved healthcare support and management. &#10;The final text box states: decreased risk of excess days in acute care (ED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378710"/>
                    </a:xfrm>
                    <a:prstGeom prst="rect">
                      <a:avLst/>
                    </a:prstGeom>
                  </pic:spPr>
                </pic:pic>
              </a:graphicData>
            </a:graphic>
          </wp:inline>
        </w:drawing>
      </w:r>
    </w:p>
    <w:p w14:paraId="66A7C09E" w14:textId="3F2ECD3A" w:rsidR="00207960" w:rsidRDefault="00207960" w:rsidP="00207960">
      <w:pPr>
        <w:spacing w:before="120" w:after="120"/>
        <w:ind w:left="0" w:firstLine="0"/>
        <w:rPr>
          <w:color w:val="7030A0"/>
        </w:rPr>
      </w:pPr>
    </w:p>
    <w:p w14:paraId="17548689" w14:textId="77777777" w:rsidR="00712B67" w:rsidRPr="00712B67" w:rsidRDefault="00712B67" w:rsidP="0036301D">
      <w:pPr>
        <w:spacing w:before="120" w:after="120"/>
        <w:ind w:left="0" w:firstLine="0"/>
        <w:rPr>
          <w:color w:val="7030A0"/>
        </w:rPr>
      </w:pPr>
      <w:r>
        <w:rPr>
          <w:iCs/>
          <w:color w:val="7030A0"/>
        </w:rPr>
        <w:t>The diagram above indicates some of the many care processes that can influence post-discharge acute care utilization after a hospitalization for pneumonia. These complex and critical aspects of care – such as communication between providers, patient education, patient safety, and coordinated transitions to the outpatient environment – all contribute to patient outcomes but are difficult to measure by individual process measures.</w:t>
      </w:r>
    </w:p>
    <w:p w14:paraId="19F3F1A1" w14:textId="1B7196CE" w:rsidR="00207960" w:rsidRDefault="00207960" w:rsidP="0036301D">
      <w:pPr>
        <w:spacing w:before="120" w:after="120"/>
        <w:ind w:left="0" w:firstLine="0"/>
        <w:rPr>
          <w:color w:val="7030A0"/>
        </w:rPr>
      </w:pPr>
      <w:r>
        <w:rPr>
          <w:color w:val="7030A0"/>
        </w:rPr>
        <w:t xml:space="preserve">The goal of this measure is to improve patient outcomes by providing patients, physicians, and hospitals with information about hospital-level, risk-standardized excess days in acute care (EDAC) following </w:t>
      </w:r>
      <w:r>
        <w:rPr>
          <w:color w:val="7030A0"/>
        </w:rPr>
        <w:lastRenderedPageBreak/>
        <w:t xml:space="preserve">hospitalization for pneumonia. Measurement of patient outcomes allows for a broad view of quality of care that encompasses more than what can be captured by individual process-of-care measures. Complex and critical aspects of care, such as: communication between providers, prevention of, and response to, complications, patient safety and coordinated transitions to the outpatient environment, all contribute to patient outcomes but are difficult to measure by individual process measures. The goal of outcomes measurement is to risk-adjust for patients’ conditions at the time of hospital admission and then evaluate patient outcomes. This </w:t>
      </w:r>
      <w:r>
        <w:rPr>
          <w:color w:val="FF0000"/>
        </w:rPr>
        <w:t xml:space="preserve">excess days in care </w:t>
      </w:r>
      <w:r>
        <w:rPr>
          <w:color w:val="7030A0"/>
        </w:rPr>
        <w:t>measure was developed to identify institutions, whose performance is better or worse than would be expected based on their patient case-mix, and therefore promote hospital quality improvement and better inform consumers about care quality.</w:t>
      </w:r>
    </w:p>
    <w:p w14:paraId="55B8DA5C" w14:textId="47993695" w:rsidR="00676BD4" w:rsidRPr="00E55439" w:rsidRDefault="00676BD4" w:rsidP="002E2177">
      <w:pPr>
        <w:ind w:left="432" w:hanging="432"/>
        <w:rPr>
          <w:b/>
          <w:color w:val="0000FF"/>
        </w:rPr>
      </w:pPr>
    </w:p>
    <w:bookmarkEnd w:id="5"/>
    <w:p w14:paraId="33C7741B" w14:textId="4993289B" w:rsidR="004922E4" w:rsidRPr="00E55439" w:rsidRDefault="004922E4" w:rsidP="004922E4">
      <w:pPr>
        <w:ind w:right="140"/>
        <w:rPr>
          <w:b/>
          <w:iCs/>
        </w:rPr>
      </w:pPr>
      <w:r w:rsidRPr="00E55439">
        <w:rPr>
          <w:b/>
          <w:bCs/>
          <w:color w:val="0000FF"/>
        </w:rPr>
        <w:t>1a.3</w:t>
      </w:r>
      <w:r w:rsidRPr="00E55439">
        <w:rPr>
          <w:bCs/>
        </w:rPr>
        <w:t xml:space="preserve"> </w:t>
      </w:r>
      <w:r w:rsidRPr="00E55439">
        <w:rPr>
          <w:b/>
          <w:bCs/>
        </w:rPr>
        <w:t xml:space="preserve">Value and Meaningfulness:  </w:t>
      </w:r>
      <w:r w:rsidRPr="00E55439">
        <w:rPr>
          <w:bCs/>
        </w:rPr>
        <w:t xml:space="preserve"> </w:t>
      </w:r>
      <w:r w:rsidRPr="00E55439">
        <w:rPr>
          <w:b/>
          <w:iCs/>
        </w:rPr>
        <w:t xml:space="preserve">IF </w:t>
      </w:r>
      <w:r w:rsidRPr="00E55439">
        <w:rPr>
          <w:iCs/>
        </w:rPr>
        <w:t xml:space="preserve">this measure is derived from patient report, provide evidence that the target population values the measured </w:t>
      </w:r>
      <w:r w:rsidRPr="00E55439">
        <w:rPr>
          <w:b/>
          <w:i/>
          <w:iCs/>
        </w:rPr>
        <w:t>outcome, process, or structure</w:t>
      </w:r>
      <w:r w:rsidRPr="00E55439">
        <w:rPr>
          <w:iCs/>
        </w:rPr>
        <w:t xml:space="preserve"> and finds it meaningful. (Describe how and from whom their input was obtained.)</w:t>
      </w:r>
    </w:p>
    <w:p w14:paraId="55B8DA5F" w14:textId="42EBE83A" w:rsidR="00676BD4" w:rsidRPr="00E55439" w:rsidRDefault="00676BD4" w:rsidP="00A9011D">
      <w:pPr>
        <w:ind w:left="0" w:firstLine="0"/>
        <w:rPr>
          <w:b/>
          <w:color w:val="0000FF"/>
        </w:rPr>
      </w:pPr>
    </w:p>
    <w:p w14:paraId="55B8DA60" w14:textId="77777777" w:rsidR="00676BD4" w:rsidRPr="00E55439" w:rsidRDefault="00676BD4" w:rsidP="002E2177">
      <w:pPr>
        <w:ind w:left="432" w:hanging="432"/>
        <w:rPr>
          <w:b/>
          <w:color w:val="0000FF"/>
        </w:rPr>
      </w:pPr>
    </w:p>
    <w:p w14:paraId="55B8DA61" w14:textId="77777777" w:rsidR="00676BD4" w:rsidRPr="00E55439" w:rsidRDefault="00C41794" w:rsidP="002E2177">
      <w:pPr>
        <w:ind w:left="432" w:hanging="432"/>
        <w:rPr>
          <w:b/>
          <w:color w:val="0000FF"/>
        </w:rPr>
      </w:pPr>
      <w:r w:rsidRPr="00E55439">
        <w:rPr>
          <w:b/>
          <w:color w:val="0000FF"/>
        </w:rPr>
        <w:t xml:space="preserve">**RESPOND TO ONLY ONE SECTION </w:t>
      </w:r>
      <w:r w:rsidR="004E7215" w:rsidRPr="00E55439">
        <w:rPr>
          <w:b/>
          <w:color w:val="0000FF"/>
        </w:rPr>
        <w:t>BELOW -</w:t>
      </w:r>
      <w:r w:rsidRPr="00E55439">
        <w:rPr>
          <w:b/>
          <w:color w:val="0000FF"/>
        </w:rPr>
        <w:t xml:space="preserve">EITHER 1a.2, 1a.3 or 1a.4) </w:t>
      </w:r>
      <w:r w:rsidR="00AB4ECE" w:rsidRPr="00E55439">
        <w:rPr>
          <w:b/>
          <w:color w:val="0000FF"/>
        </w:rPr>
        <w:t>**</w:t>
      </w:r>
    </w:p>
    <w:p w14:paraId="55B8DA62" w14:textId="77777777" w:rsidR="00676BD4" w:rsidRPr="00E55439" w:rsidRDefault="00676BD4" w:rsidP="002E2177">
      <w:pPr>
        <w:ind w:left="432" w:hanging="432"/>
        <w:rPr>
          <w:b/>
          <w:color w:val="0000FF"/>
        </w:rPr>
      </w:pPr>
    </w:p>
    <w:p w14:paraId="55B8DA63" w14:textId="3B6D1407" w:rsidR="00496AF8" w:rsidRDefault="00B058A6" w:rsidP="00C41794">
      <w:pPr>
        <w:ind w:left="432" w:hanging="432"/>
        <w:rPr>
          <w:b/>
          <w:iCs/>
        </w:rPr>
      </w:pPr>
      <w:r w:rsidRPr="00E55439">
        <w:rPr>
          <w:b/>
          <w:color w:val="0000FF"/>
        </w:rPr>
        <w:t>1</w:t>
      </w:r>
      <w:r w:rsidR="00773485" w:rsidRPr="00E55439">
        <w:rPr>
          <w:b/>
          <w:color w:val="0000FF"/>
        </w:rPr>
        <w:t>a</w:t>
      </w:r>
      <w:r w:rsidRPr="00E55439">
        <w:rPr>
          <w:b/>
          <w:color w:val="0000FF"/>
        </w:rPr>
        <w:t>.2</w:t>
      </w:r>
      <w:r w:rsidR="00E41417" w:rsidRPr="00E55439">
        <w:rPr>
          <w:iCs/>
        </w:rPr>
        <w:t xml:space="preserve"> </w:t>
      </w:r>
      <w:r w:rsidR="00C41794" w:rsidRPr="00E55439">
        <w:rPr>
          <w:b/>
        </w:rPr>
        <w:t>FOR OUTCOME MEASURES including PATIENT REPORTED OUTCOMES</w:t>
      </w:r>
      <w:r w:rsidR="003D6721" w:rsidRPr="00E55439">
        <w:rPr>
          <w:b/>
        </w:rPr>
        <w:t xml:space="preserve"> </w:t>
      </w:r>
      <w:r w:rsidR="00C41794" w:rsidRPr="00E55439">
        <w:rPr>
          <w:b/>
        </w:rPr>
        <w:t>-</w:t>
      </w:r>
      <w:r w:rsidR="00C41794" w:rsidRPr="00E55439">
        <w:rPr>
          <w:b/>
          <w:iCs/>
        </w:rPr>
        <w:t xml:space="preserve"> </w:t>
      </w:r>
      <w:r w:rsidR="003D6721" w:rsidRPr="00E55439">
        <w:rPr>
          <w:b/>
          <w:iCs/>
        </w:rPr>
        <w:t xml:space="preserve">Provide empirical data demonstrating </w:t>
      </w:r>
      <w:r w:rsidR="008B51D9" w:rsidRPr="00E55439">
        <w:rPr>
          <w:b/>
          <w:iCs/>
        </w:rPr>
        <w:t xml:space="preserve">the </w:t>
      </w:r>
      <w:r w:rsidR="005D25E9" w:rsidRPr="00E55439">
        <w:rPr>
          <w:b/>
          <w:iCs/>
        </w:rPr>
        <w:t xml:space="preserve">relationship </w:t>
      </w:r>
      <w:r w:rsidR="00AC1E53" w:rsidRPr="00E55439">
        <w:rPr>
          <w:b/>
          <w:iCs/>
        </w:rPr>
        <w:t>between</w:t>
      </w:r>
      <w:r w:rsidR="005D25E9" w:rsidRPr="00E55439">
        <w:rPr>
          <w:b/>
          <w:iCs/>
        </w:rPr>
        <w:t xml:space="preserve"> the </w:t>
      </w:r>
      <w:r w:rsidR="008B51D9" w:rsidRPr="00E55439">
        <w:rPr>
          <w:b/>
          <w:iCs/>
        </w:rPr>
        <w:t>outcome</w:t>
      </w:r>
      <w:r w:rsidR="005857F8" w:rsidRPr="00E55439">
        <w:rPr>
          <w:b/>
          <w:iCs/>
        </w:rPr>
        <w:t xml:space="preserve"> </w:t>
      </w:r>
      <w:r w:rsidR="00AA5587" w:rsidRPr="00E55439">
        <w:rPr>
          <w:b/>
          <w:iCs/>
        </w:rPr>
        <w:t>(</w:t>
      </w:r>
      <w:r w:rsidR="005857F8" w:rsidRPr="00E55439">
        <w:rPr>
          <w:b/>
          <w:iCs/>
        </w:rPr>
        <w:t>or PRO</w:t>
      </w:r>
      <w:r w:rsidR="00AA5587" w:rsidRPr="00E55439">
        <w:rPr>
          <w:b/>
          <w:iCs/>
        </w:rPr>
        <w:t>)</w:t>
      </w:r>
      <w:r w:rsidR="008B51D9" w:rsidRPr="00E55439">
        <w:rPr>
          <w:b/>
          <w:iCs/>
        </w:rPr>
        <w:t xml:space="preserve"> </w:t>
      </w:r>
      <w:r w:rsidR="005D25E9" w:rsidRPr="00E55439">
        <w:rPr>
          <w:b/>
          <w:iCs/>
        </w:rPr>
        <w:t>to</w:t>
      </w:r>
      <w:r w:rsidR="00236F87" w:rsidRPr="00E55439">
        <w:rPr>
          <w:b/>
          <w:iCs/>
        </w:rPr>
        <w:t xml:space="preserve"> </w:t>
      </w:r>
      <w:r w:rsidR="00496AF8" w:rsidRPr="00E55439">
        <w:rPr>
          <w:b/>
          <w:iCs/>
        </w:rPr>
        <w:t>at least one</w:t>
      </w:r>
      <w:r w:rsidR="009B5BEA" w:rsidRPr="00E55439">
        <w:rPr>
          <w:b/>
          <w:iCs/>
        </w:rPr>
        <w:t xml:space="preserve"> </w:t>
      </w:r>
      <w:r w:rsidR="003D6721" w:rsidRPr="00E55439">
        <w:rPr>
          <w:b/>
          <w:iCs/>
        </w:rPr>
        <w:t xml:space="preserve">healthcare structure, process, </w:t>
      </w:r>
      <w:r w:rsidR="00496AF8" w:rsidRPr="00E55439">
        <w:rPr>
          <w:b/>
          <w:iCs/>
        </w:rPr>
        <w:t>intervention, or service</w:t>
      </w:r>
      <w:r w:rsidR="00676BD4" w:rsidRPr="00E55439">
        <w:rPr>
          <w:b/>
          <w:iCs/>
        </w:rPr>
        <w:t>.</w:t>
      </w:r>
      <w:r w:rsidR="00AC1E53" w:rsidRPr="00E55439">
        <w:rPr>
          <w:b/>
          <w:iCs/>
        </w:rPr>
        <w:t xml:space="preserve"> </w:t>
      </w:r>
    </w:p>
    <w:p w14:paraId="5B28D78E" w14:textId="310B9D74" w:rsidR="003E31CB" w:rsidRDefault="003E31CB" w:rsidP="003E31CB">
      <w:pPr>
        <w:rPr>
          <w:b/>
          <w:bCs/>
          <w:iCs/>
          <w:color w:val="7030A0"/>
        </w:rPr>
      </w:pPr>
    </w:p>
    <w:p w14:paraId="2A9F4E7C" w14:textId="544DBCA8" w:rsidR="003E31CB" w:rsidRPr="003E31CB" w:rsidRDefault="003E31CB" w:rsidP="0036301D">
      <w:pPr>
        <w:spacing w:before="120" w:after="120"/>
        <w:ind w:left="0" w:firstLine="0"/>
        <w:rPr>
          <w:color w:val="C00000"/>
        </w:rPr>
      </w:pPr>
      <w:r w:rsidRPr="008854AC">
        <w:rPr>
          <w:color w:val="7030A0"/>
        </w:rPr>
        <w:t xml:space="preserve">In 2007, the Medicare Payment Advisory Commission (MedPAC) called for hospital-specific public reporting of readmission rates, and identified pneumonia as a priority condition (MedPAC, 2007). </w:t>
      </w:r>
      <w:bookmarkStart w:id="6" w:name="_Hlk43464904"/>
      <w:r>
        <w:rPr>
          <w:color w:val="7030A0"/>
        </w:rPr>
        <w:t xml:space="preserve">Since then, </w:t>
      </w:r>
      <w:r>
        <w:rPr>
          <w:color w:val="C00000"/>
        </w:rPr>
        <w:t>p</w:t>
      </w:r>
      <w:r w:rsidRPr="008854AC">
        <w:rPr>
          <w:color w:val="C00000"/>
        </w:rPr>
        <w:t xml:space="preserve">neumonia continues to be the most common infectious cause of hospitalization in the US, leading to more than 1 million hospitalizations </w:t>
      </w:r>
      <w:r w:rsidR="0008288F">
        <w:rPr>
          <w:color w:val="C00000"/>
        </w:rPr>
        <w:t>per</w:t>
      </w:r>
      <w:r w:rsidRPr="008854AC">
        <w:rPr>
          <w:color w:val="C00000"/>
        </w:rPr>
        <w:t xml:space="preserve"> year and incurring billions of dollars in healthcar</w:t>
      </w:r>
      <w:r>
        <w:rPr>
          <w:color w:val="C00000"/>
        </w:rPr>
        <w:t>e costs (Lindenauer et al., 2018</w:t>
      </w:r>
      <w:r w:rsidRPr="008854AC">
        <w:rPr>
          <w:color w:val="C00000"/>
        </w:rPr>
        <w:t>; Jain et al., 2018;).</w:t>
      </w:r>
      <w:bookmarkEnd w:id="6"/>
      <w:r w:rsidRPr="008854AC">
        <w:rPr>
          <w:color w:val="C00000"/>
        </w:rPr>
        <w:t xml:space="preserve"> </w:t>
      </w:r>
      <w:r w:rsidRPr="008854AC">
        <w:rPr>
          <w:color w:val="7030A0"/>
        </w:rPr>
        <w:t>Approximately 20% of pneumonia patients are rehospitalized within thirty days, representing the second-highest proportion of all rehospitalizations at 6.3% (Jencks et al., 2009;</w:t>
      </w:r>
      <w:r>
        <w:t xml:space="preserve"> </w:t>
      </w:r>
      <w:r w:rsidRPr="008854AC">
        <w:rPr>
          <w:color w:val="C00000"/>
        </w:rPr>
        <w:t>Mehta et al., 2017</w:t>
      </w:r>
      <w:r w:rsidRPr="008854AC">
        <w:rPr>
          <w:color w:val="7030A0"/>
        </w:rPr>
        <w:t>). Among patients 65 years [of age] or older in the United States,</w:t>
      </w:r>
      <w:r w:rsidRPr="00C92222">
        <w:t xml:space="preserve"> </w:t>
      </w:r>
      <w:r w:rsidRPr="008854AC">
        <w:rPr>
          <w:color w:val="C00000"/>
        </w:rPr>
        <w:t>pneumonia is the third leading cause of rehospitalization</w:t>
      </w:r>
      <w:r w:rsidRPr="00C92222">
        <w:t xml:space="preserve">, </w:t>
      </w:r>
      <w:r w:rsidRPr="008854AC">
        <w:rPr>
          <w:color w:val="C00000"/>
        </w:rPr>
        <w:t>accounting for more than 88,800 readmissions at a cost of $1.1 billion in total costs (Hines et al., 2014</w:t>
      </w:r>
      <w:r>
        <w:rPr>
          <w:color w:val="C00000"/>
        </w:rPr>
        <w:t>).</w:t>
      </w:r>
    </w:p>
    <w:p w14:paraId="4F732EC1" w14:textId="6593336D" w:rsidR="007A640F" w:rsidRPr="00712B67" w:rsidRDefault="007A640F" w:rsidP="0036301D">
      <w:pPr>
        <w:ind w:left="0" w:firstLine="0"/>
        <w:rPr>
          <w:iCs/>
          <w:color w:val="7030A0"/>
        </w:rPr>
      </w:pPr>
      <w:r>
        <w:rPr>
          <w:iCs/>
          <w:color w:val="7030A0"/>
        </w:rPr>
        <w:t xml:space="preserve">In the context of the Centers for Medicare and Medicaid Services’ (CMS’s) publicly reported measures, the increasing use of ED visits and observation stays has raised concerns that current readmission measures do not capture the full range of unplanned acute care in the post-discharge period (Vashi et al., 2013; Rising et al., 2012; Feng et al., 2012). Observation stays can occur in many different parts of the hospital, including dedicated treatment rooms, the ED, or inpatient units. In particular, there is concern that high use of observation stays could in some cases replace readmissions, and that hospitals with high rates of observation stays in the post-discharge period may therefore have low readmission rates that do not accurately reflect the quality of care (Vashi et al., 2013; </w:t>
      </w:r>
      <w:r>
        <w:rPr>
          <w:iCs/>
          <w:color w:val="C00000"/>
        </w:rPr>
        <w:t>Nuckols et al., 2018).</w:t>
      </w:r>
    </w:p>
    <w:p w14:paraId="0668DA04" w14:textId="36F9B2DA" w:rsidR="00AD07FD" w:rsidRDefault="00685D17" w:rsidP="0036301D">
      <w:pPr>
        <w:spacing w:before="120" w:after="120"/>
        <w:ind w:left="0" w:firstLine="0"/>
        <w:rPr>
          <w:iCs/>
          <w:color w:val="7030A0"/>
        </w:rPr>
      </w:pPr>
      <w:r>
        <w:rPr>
          <w:iCs/>
          <w:color w:val="7030A0"/>
        </w:rPr>
        <w:t xml:space="preserve">The diagram in Figure 1 indicates some of the many care processes that can influence post-discharge acute care utilization after a hospitalization for pneumonia. These complex and critical aspects of care – such as communication between providers, patient education, medication reconciliation, and coordinated transitions to the outpatient environment – all contribute to patient outcomes but are difficult to measure by individual process measures. </w:t>
      </w:r>
      <w:r w:rsidR="00AD07FD">
        <w:rPr>
          <w:iCs/>
          <w:color w:val="7030A0"/>
        </w:rPr>
        <w:t xml:space="preserve">Interventions during and after a hospitalization can be effective in reducing utilization rates in geriatric populations (Benbassat et al., 2000; Naylor et al., 1999; Coleman et al., 2006; Courtney et al., 2009; Koehler et al., 2009) and, particularly, for older </w:t>
      </w:r>
      <w:r w:rsidR="00AD07FD">
        <w:rPr>
          <w:iCs/>
          <w:color w:val="7030A0"/>
        </w:rPr>
        <w:lastRenderedPageBreak/>
        <w:t xml:space="preserve">patients (Young et al., 2003; Bondestam et al., 1995; Ades et al, 1992;). Several randomized trials have reduced 30-day readmission rates by 20-40% (Jack et al., 2009; Coleman et al., 2004; Courtney et al., 2009; Garasen et al., 2007; Koehler et al., 2009; Mistiaen et al., 2007; Naylor et al., 1994; Naylor et al., 1999; van Walraven et al., 2002; Weiss et al., 2010; Krumholz et al., 2012; Balaban et al., 2008; </w:t>
      </w:r>
      <w:r w:rsidR="00AD07FD">
        <w:rPr>
          <w:iCs/>
          <w:color w:val="C00000"/>
        </w:rPr>
        <w:t>Patel et al., 2018</w:t>
      </w:r>
      <w:r w:rsidR="00AD07FD">
        <w:rPr>
          <w:iCs/>
          <w:color w:val="7030A0"/>
        </w:rPr>
        <w:t xml:space="preserve">). These types of interventions have also been demonstrated to be cost-saving (Naylor et al., 1999; Naylor et al., 2004; Krumholz et al., 2002; Stauffer et al., 2011). Outside the randomized controlled trial setting, there is also increasing evidence that hospitals and health plans have been able to reduce readmission rates through more generalizable quality improvement initiatives (Gerhardt et al., 2012; Stauffer et al., 2011; Graham et al., 2012; Harrison et al., 2011; Hernandez et al., 2010; </w:t>
      </w:r>
      <w:r w:rsidR="00AD07FD">
        <w:rPr>
          <w:color w:val="C00000"/>
        </w:rPr>
        <w:t>Radhakrishnan et al., 2018</w:t>
      </w:r>
      <w:r w:rsidR="00AD07FD">
        <w:rPr>
          <w:iCs/>
          <w:color w:val="7030A0"/>
        </w:rPr>
        <w:t>).</w:t>
      </w:r>
    </w:p>
    <w:p w14:paraId="57308FED" w14:textId="45456D75" w:rsidR="00712B67" w:rsidRPr="003E31CB" w:rsidRDefault="00AD07FD" w:rsidP="003E31CB">
      <w:pPr>
        <w:spacing w:before="120" w:after="120"/>
        <w:ind w:left="0" w:firstLine="0"/>
        <w:rPr>
          <w:color w:val="7030A0"/>
        </w:rPr>
      </w:pPr>
      <w:bookmarkStart w:id="7" w:name="_Hlk57719388"/>
      <w:r w:rsidRPr="003E31CB">
        <w:rPr>
          <w:iCs/>
          <w:color w:val="7030A0"/>
        </w:rPr>
        <w:t>In the case of pneumonia, specifically,</w:t>
      </w:r>
      <w:r w:rsidRPr="00207960">
        <w:rPr>
          <w:b/>
          <w:bCs/>
          <w:iCs/>
          <w:color w:val="7030A0"/>
        </w:rPr>
        <w:t xml:space="preserve"> </w:t>
      </w:r>
      <w:r w:rsidR="003E31CB">
        <w:rPr>
          <w:iCs/>
          <w:color w:val="7030A0"/>
        </w:rPr>
        <w:t>s</w:t>
      </w:r>
      <w:r>
        <w:rPr>
          <w:iCs/>
          <w:color w:val="7030A0"/>
        </w:rPr>
        <w:t>tudies have also reported reductions in emergency department (ED) visit rates for patients with other conditions after implementation of interventions that focused on the inpatient and outpatient settings (Bondestam et al., 1995).</w:t>
      </w:r>
      <w:r w:rsidR="003E31CB" w:rsidRPr="003E31CB">
        <w:rPr>
          <w:color w:val="7030A0"/>
        </w:rPr>
        <w:t xml:space="preserve"> </w:t>
      </w:r>
      <w:bookmarkEnd w:id="7"/>
      <w:r w:rsidR="003E31CB" w:rsidRPr="008854AC">
        <w:rPr>
          <w:color w:val="7030A0"/>
        </w:rPr>
        <w:t xml:space="preserve">Although many current hospital interventions are known to decrease the risk of readmission within 30 days of hospital discharge (Leppin et al., 2014; </w:t>
      </w:r>
      <w:bookmarkStart w:id="8" w:name="_Hlk43465457"/>
      <w:r w:rsidR="003E31CB" w:rsidRPr="008854AC">
        <w:rPr>
          <w:color w:val="C00000"/>
        </w:rPr>
        <w:t>Radhakrishnan et al. 2018</w:t>
      </w:r>
      <w:bookmarkEnd w:id="8"/>
      <w:r w:rsidR="003E31CB" w:rsidRPr="008854AC">
        <w:rPr>
          <w:color w:val="7030A0"/>
        </w:rPr>
        <w:t>), current pro</w:t>
      </w:r>
      <w:r w:rsidR="003E31CB">
        <w:rPr>
          <w:color w:val="7030A0"/>
        </w:rPr>
        <w:t>cess-based performance measures</w:t>
      </w:r>
      <w:r w:rsidR="003E31CB" w:rsidRPr="008854AC">
        <w:rPr>
          <w:color w:val="7030A0"/>
        </w:rPr>
        <w:t xml:space="preserve"> cannot capture all the ways that care within the hospital might influence outcomes. </w:t>
      </w:r>
      <w:bookmarkStart w:id="9" w:name="_Hlk43465533"/>
      <w:r w:rsidR="003E31CB" w:rsidRPr="008854AC">
        <w:rPr>
          <w:color w:val="7030A0"/>
        </w:rPr>
        <w:t>Measurement of patient outcomes allows for a comprehensive view of quality of care that reflects complex aspects of care such as</w:t>
      </w:r>
      <w:r w:rsidR="003E31CB">
        <w:rPr>
          <w:color w:val="7030A0"/>
        </w:rPr>
        <w:t>:</w:t>
      </w:r>
      <w:r w:rsidR="003E31CB" w:rsidRPr="008854AC">
        <w:rPr>
          <w:color w:val="7030A0"/>
        </w:rPr>
        <w:t xml:space="preserve"> communication between providers and coordinated transitions to the outpatient environment. These aspects are critical to patient outcomes, and are broader than what can be captured by individual process-of-care measures</w:t>
      </w:r>
      <w:r w:rsidR="003E31CB">
        <w:rPr>
          <w:color w:val="7030A0"/>
        </w:rPr>
        <w:t>.</w:t>
      </w:r>
      <w:bookmarkEnd w:id="9"/>
    </w:p>
    <w:p w14:paraId="2132AA40" w14:textId="77777777" w:rsidR="00AD07FD" w:rsidRDefault="00AD07FD" w:rsidP="00AD07FD">
      <w:pPr>
        <w:ind w:left="0" w:firstLine="0"/>
        <w:rPr>
          <w:iCs/>
          <w:color w:val="7030A0"/>
          <w:u w:val="single"/>
        </w:rPr>
      </w:pPr>
      <w:r>
        <w:rPr>
          <w:iCs/>
          <w:color w:val="7030A0"/>
          <w:u w:val="single"/>
        </w:rPr>
        <w:t>References</w:t>
      </w:r>
      <w:r>
        <w:rPr>
          <w:iCs/>
          <w:color w:val="7030A0"/>
        </w:rPr>
        <w:t>:</w:t>
      </w:r>
    </w:p>
    <w:p w14:paraId="2FBA2215" w14:textId="77777777" w:rsidR="00AD07FD" w:rsidRDefault="00AD07FD" w:rsidP="00AD07FD">
      <w:pPr>
        <w:spacing w:before="120"/>
        <w:ind w:left="0" w:firstLine="0"/>
        <w:rPr>
          <w:iCs/>
          <w:color w:val="7030A0"/>
        </w:rPr>
      </w:pPr>
      <w:r>
        <w:rPr>
          <w:iCs/>
          <w:color w:val="7030A0"/>
        </w:rPr>
        <w:t>Ades PA, Huang D, Weaver SO. 1992. Cardiac rehabilitation participation predicts lower rehospitalization costs. Am Heart J 123(4 Pt 1):916-921.</w:t>
      </w:r>
    </w:p>
    <w:p w14:paraId="12BA4863" w14:textId="77777777" w:rsidR="00AD07FD" w:rsidRDefault="00AD07FD" w:rsidP="00AD07FD">
      <w:pPr>
        <w:spacing w:before="120"/>
        <w:ind w:left="0" w:firstLine="0"/>
        <w:rPr>
          <w:iCs/>
          <w:color w:val="7030A0"/>
        </w:rPr>
      </w:pPr>
      <w:r>
        <w:rPr>
          <w:iCs/>
          <w:color w:val="7030A0"/>
        </w:rPr>
        <w:t xml:space="preserve">Balaban RB, Weissman JS, Samuel PA, Woolhandler S. Redefining and redesigning hospital discharge to enhance patient care: a randomized controlled study. </w:t>
      </w:r>
      <w:r>
        <w:rPr>
          <w:i/>
          <w:iCs/>
          <w:color w:val="7030A0"/>
        </w:rPr>
        <w:t xml:space="preserve">J Gen Intern Med. </w:t>
      </w:r>
      <w:r>
        <w:rPr>
          <w:iCs/>
          <w:color w:val="7030A0"/>
        </w:rPr>
        <w:t>2008;23(8):1228-1233.</w:t>
      </w:r>
    </w:p>
    <w:p w14:paraId="0F77BFC1" w14:textId="77777777" w:rsidR="00AD07FD" w:rsidRDefault="00AD07FD" w:rsidP="00AD07FD">
      <w:pPr>
        <w:spacing w:before="120"/>
        <w:ind w:left="0" w:firstLine="0"/>
        <w:rPr>
          <w:iCs/>
          <w:color w:val="7030A0"/>
        </w:rPr>
      </w:pPr>
      <w:r>
        <w:rPr>
          <w:iCs/>
          <w:color w:val="7030A0"/>
        </w:rPr>
        <w:t>Benbassat, J., and M. Taragin. 2000. Hospital readmissions as a measure of quality of health care: advantages and limitations. Arch Intern Med 160 (8):1074-81.</w:t>
      </w:r>
    </w:p>
    <w:p w14:paraId="00041507" w14:textId="77777777" w:rsidR="00AD07FD" w:rsidRDefault="00AD07FD" w:rsidP="00AD07FD">
      <w:pPr>
        <w:spacing w:before="120"/>
        <w:ind w:left="0" w:firstLine="0"/>
        <w:rPr>
          <w:iCs/>
          <w:color w:val="7030A0"/>
        </w:rPr>
      </w:pPr>
      <w:r>
        <w:rPr>
          <w:iCs/>
          <w:color w:val="7030A0"/>
        </w:rPr>
        <w:t>Bondestam E, Breikss A, Hartford M. 1995. Effects of early rehabilitation on consumption of medical care during the first year after acute myocardial infarction in patients &gt; or = 65 years of age. Am J Cardiol 75(12):767-771.</w:t>
      </w:r>
    </w:p>
    <w:p w14:paraId="37A74CB7" w14:textId="77777777" w:rsidR="00AD07FD" w:rsidRDefault="00AD07FD" w:rsidP="00AD07FD">
      <w:pPr>
        <w:spacing w:before="120"/>
        <w:ind w:left="0" w:firstLine="0"/>
        <w:rPr>
          <w:iCs/>
          <w:color w:val="7030A0"/>
        </w:rPr>
      </w:pPr>
      <w:r>
        <w:rPr>
          <w:iCs/>
          <w:color w:val="7030A0"/>
        </w:rPr>
        <w:t>Bratzler, DW, Nsa W, Houck PM. Performance measures for pneumonia: are they valuable, and are process measures adequate. Current Opinion in Infectious Diseases. 20(2):182-189, April 2007.</w:t>
      </w:r>
    </w:p>
    <w:p w14:paraId="67A7E9D2" w14:textId="77777777" w:rsidR="00AD07FD" w:rsidRDefault="00AD07FD" w:rsidP="00AD07FD">
      <w:pPr>
        <w:spacing w:before="120"/>
        <w:ind w:left="0" w:firstLine="0"/>
        <w:rPr>
          <w:iCs/>
          <w:color w:val="7030A0"/>
        </w:rPr>
      </w:pPr>
      <w:r>
        <w:rPr>
          <w:iCs/>
          <w:color w:val="7030A0"/>
        </w:rPr>
        <w:t>Coleman EA, Parry C, Chalmers S, et al. 2006. The care transitions intervention: results of a randomized controlled trial. Arch Intern Med 166:1822-1828.</w:t>
      </w:r>
    </w:p>
    <w:p w14:paraId="2FC20F8E" w14:textId="77777777" w:rsidR="00AD07FD" w:rsidRDefault="00AD07FD" w:rsidP="00AD07FD">
      <w:pPr>
        <w:spacing w:before="120"/>
        <w:ind w:left="0" w:firstLine="0"/>
        <w:rPr>
          <w:iCs/>
          <w:color w:val="7030A0"/>
        </w:rPr>
      </w:pPr>
      <w:r>
        <w:rPr>
          <w:iCs/>
          <w:color w:val="7030A0"/>
        </w:rPr>
        <w:t>Coleman EA, Smith JD, Frank JC, Min SJ, Parry C, Kramer AM. Preparing patients and caregivers to participate in care delivered across settings: the Care Transitions Intervention. J Am Geriatr Soc 2004;52(11):1817-25.</w:t>
      </w:r>
    </w:p>
    <w:p w14:paraId="42DB9480" w14:textId="77777777" w:rsidR="00AD07FD" w:rsidRDefault="00AD07FD" w:rsidP="00AD07FD">
      <w:pPr>
        <w:spacing w:before="120"/>
        <w:ind w:left="0" w:firstLine="0"/>
        <w:rPr>
          <w:iCs/>
          <w:color w:val="7030A0"/>
        </w:rPr>
      </w:pPr>
      <w:r>
        <w:rPr>
          <w:iCs/>
          <w:color w:val="7030A0"/>
        </w:rPr>
        <w:t>Courtney M, Edwards H, Chang A, Parker A, Finlayson K, Hamilton K. Fewer emergency readmissions and better quality of life for older adults at risk of hospital readmission: a randomized controlled trial to determine the effectiveness of a 24-week exercise and telephone follow-up program. J Am Geriatr Soc 2009;57(3):395-402.</w:t>
      </w:r>
    </w:p>
    <w:p w14:paraId="7CDCCB23" w14:textId="77777777" w:rsidR="00AD07FD" w:rsidRDefault="00AD07FD" w:rsidP="00AD07FD">
      <w:pPr>
        <w:spacing w:before="120"/>
        <w:ind w:left="0" w:firstLine="0"/>
        <w:rPr>
          <w:iCs/>
          <w:color w:val="7030A0"/>
        </w:rPr>
      </w:pPr>
      <w:r>
        <w:rPr>
          <w:iCs/>
          <w:color w:val="7030A0"/>
        </w:rPr>
        <w:t>Feng Z, Wright B, Mor V. Sharp rise in Medicare enrollees being held in hospitals for observation raises concerns about causes and consequences. Health affairs (Project Hope). Jun 2012;31(6):1251-1259.</w:t>
      </w:r>
    </w:p>
    <w:p w14:paraId="3D69F959" w14:textId="77777777" w:rsidR="00AD07FD" w:rsidRDefault="00AD07FD" w:rsidP="00AD07FD">
      <w:pPr>
        <w:spacing w:before="120"/>
        <w:ind w:left="0" w:firstLine="0"/>
        <w:rPr>
          <w:iCs/>
          <w:color w:val="7030A0"/>
        </w:rPr>
      </w:pPr>
      <w:r>
        <w:rPr>
          <w:iCs/>
          <w:color w:val="7030A0"/>
        </w:rPr>
        <w:lastRenderedPageBreak/>
        <w:t>Garasen H, Windspoll R, Johnsen R. Intermediate care at a community hospital as an alternative to prolonged general hospital care for elderly patients: a randomised controlled trial. BMC Public Health 2007;7:68.</w:t>
      </w:r>
    </w:p>
    <w:p w14:paraId="258F9A15" w14:textId="77777777" w:rsidR="00AD07FD" w:rsidRDefault="00AD07FD" w:rsidP="00AD07FD">
      <w:pPr>
        <w:spacing w:before="120"/>
        <w:ind w:left="0" w:firstLine="0"/>
        <w:rPr>
          <w:iCs/>
          <w:color w:val="7030A0"/>
        </w:rPr>
      </w:pPr>
      <w:r>
        <w:rPr>
          <w:iCs/>
          <w:color w:val="7030A0"/>
        </w:rPr>
        <w:t xml:space="preserve">Gerhardt G, Yemane A, Hickman P, Oelschlaeger A, Rollins E, Brennan N. Medicare Readmission Rates Showed Meaningful Decline in 2012. </w:t>
      </w:r>
      <w:r>
        <w:rPr>
          <w:i/>
          <w:iCs/>
          <w:color w:val="7030A0"/>
        </w:rPr>
        <w:t xml:space="preserve">Medicare &amp; Medicaid Research Review. </w:t>
      </w:r>
      <w:r>
        <w:rPr>
          <w:iCs/>
          <w:color w:val="7030A0"/>
        </w:rPr>
        <w:t>2013;3(2):E1-E12.</w:t>
      </w:r>
    </w:p>
    <w:p w14:paraId="1116EDCD" w14:textId="77777777" w:rsidR="00AD07FD" w:rsidRDefault="00AD07FD" w:rsidP="00AD07FD">
      <w:pPr>
        <w:spacing w:before="120"/>
        <w:ind w:left="0" w:firstLine="0"/>
        <w:rPr>
          <w:iCs/>
          <w:color w:val="7030A0"/>
        </w:rPr>
      </w:pPr>
      <w:r>
        <w:rPr>
          <w:iCs/>
          <w:color w:val="7030A0"/>
        </w:rPr>
        <w:t xml:space="preserve">Graham J, Tomcavage J, Salek D, Sciandra J, Davis DE, Stewart WF. Postdischarge monitoring using interactive voice response system reduces 30-day readmission rates in a case-managed Medicare population. </w:t>
      </w:r>
      <w:r>
        <w:rPr>
          <w:i/>
          <w:iCs/>
          <w:color w:val="7030A0"/>
        </w:rPr>
        <w:t xml:space="preserve">Medical Care. </w:t>
      </w:r>
      <w:r>
        <w:rPr>
          <w:iCs/>
          <w:color w:val="7030A0"/>
        </w:rPr>
        <w:t>2012;50(1):50-57.</w:t>
      </w:r>
    </w:p>
    <w:p w14:paraId="37AD809A" w14:textId="77777777" w:rsidR="00AD07FD" w:rsidRDefault="00AD07FD" w:rsidP="00AD07FD">
      <w:pPr>
        <w:spacing w:before="120"/>
        <w:ind w:left="0" w:firstLine="0"/>
        <w:rPr>
          <w:iCs/>
          <w:color w:val="7030A0"/>
        </w:rPr>
      </w:pPr>
      <w:r>
        <w:rPr>
          <w:iCs/>
          <w:color w:val="7030A0"/>
        </w:rPr>
        <w:t xml:space="preserve">Harrison PL, Hara PA, Pope JE, Young MC, Rula EY. The impact of postdischarge telephonic follow-up on hospital readmissions. </w:t>
      </w:r>
      <w:r>
        <w:rPr>
          <w:i/>
          <w:iCs/>
          <w:color w:val="7030A0"/>
        </w:rPr>
        <w:t xml:space="preserve">Population Health Management. </w:t>
      </w:r>
      <w:r>
        <w:rPr>
          <w:iCs/>
          <w:color w:val="7030A0"/>
        </w:rPr>
        <w:t>2011;14(1):27-32.</w:t>
      </w:r>
    </w:p>
    <w:p w14:paraId="162B7774" w14:textId="5EB38CEC" w:rsidR="00AD07FD" w:rsidRDefault="00AD07FD" w:rsidP="00AD07FD">
      <w:pPr>
        <w:spacing w:before="120"/>
        <w:ind w:left="0" w:firstLine="0"/>
        <w:rPr>
          <w:iCs/>
          <w:color w:val="7030A0"/>
        </w:rPr>
      </w:pPr>
      <w:r>
        <w:rPr>
          <w:iCs/>
          <w:color w:val="7030A0"/>
        </w:rPr>
        <w:t xml:space="preserve">Hernandez AF, Greiner MA, Fonarow GC, et al. Relationship between early physician follow-up and 30-day readmission among Medicare beneficiaries hospitalized for heart failure. </w:t>
      </w:r>
      <w:r>
        <w:rPr>
          <w:i/>
          <w:iCs/>
          <w:color w:val="7030A0"/>
        </w:rPr>
        <w:t xml:space="preserve">Jama. </w:t>
      </w:r>
      <w:r>
        <w:rPr>
          <w:iCs/>
          <w:color w:val="7030A0"/>
        </w:rPr>
        <w:t>2010;303(17):1716-1722.</w:t>
      </w:r>
    </w:p>
    <w:p w14:paraId="293218E5" w14:textId="4F055595" w:rsidR="003E31CB" w:rsidRPr="003E31CB" w:rsidRDefault="003E31CB" w:rsidP="003E31CB">
      <w:pPr>
        <w:spacing w:before="120" w:after="120"/>
        <w:ind w:left="0" w:firstLine="0"/>
        <w:rPr>
          <w:color w:val="C00000"/>
          <w:u w:val="single"/>
          <w:shd w:val="clear" w:color="auto" w:fill="FFFFFF"/>
        </w:rPr>
      </w:pPr>
      <w:r w:rsidRPr="008854AC">
        <w:rPr>
          <w:rStyle w:val="mixed-citation"/>
          <w:color w:val="C00000"/>
          <w:shd w:val="clear" w:color="auto" w:fill="FFFFFF"/>
        </w:rPr>
        <w:t>Hines AL, Barrett ML, Jiang HJ, Steiner CA. </w:t>
      </w:r>
      <w:r w:rsidRPr="008854AC">
        <w:rPr>
          <w:rStyle w:val="ref-journal"/>
          <w:color w:val="C00000"/>
          <w:shd w:val="clear" w:color="auto" w:fill="FFFFFF"/>
        </w:rPr>
        <w:t>Conditions with the largest number of adult hospital readmissions by payer, 2011</w:t>
      </w:r>
      <w:r w:rsidRPr="008854AC">
        <w:rPr>
          <w:rStyle w:val="mixed-citation"/>
          <w:color w:val="C00000"/>
          <w:shd w:val="clear" w:color="auto" w:fill="FFFFFF"/>
        </w:rPr>
        <w:t> Rockville, MD: Agency for Healthcare Research and Quality; 2014. [updated 2014 Apr; accessed 2016 Apr 1]. Available from: </w:t>
      </w:r>
      <w:hyperlink r:id="rId17" w:tgtFrame="_blank" w:history="1">
        <w:r w:rsidRPr="008854AC">
          <w:rPr>
            <w:rStyle w:val="Hyperlink"/>
            <w:color w:val="C00000"/>
            <w:shd w:val="clear" w:color="auto" w:fill="FFFFFF"/>
          </w:rPr>
          <w:t>https://www.hcup-us.ahrq.gov/reports/statbriefs/sb172-Conditions-Readmissions-Payer.jsp</w:t>
        </w:r>
      </w:hyperlink>
    </w:p>
    <w:p w14:paraId="1C925903" w14:textId="4DBFC50F" w:rsidR="00AD07FD" w:rsidRDefault="00AD07FD" w:rsidP="00AD07FD">
      <w:pPr>
        <w:spacing w:before="120"/>
        <w:ind w:left="0" w:firstLine="0"/>
        <w:rPr>
          <w:iCs/>
          <w:color w:val="7030A0"/>
        </w:rPr>
      </w:pPr>
      <w:r>
        <w:rPr>
          <w:iCs/>
          <w:color w:val="7030A0"/>
        </w:rPr>
        <w:t>Jack BW, Chetty VK, Anthony D, Greenwald JL, Sanchez GM, Johnson AE, et al. A reengineered hospital discharge program to decrease rehospitalization: a randomized trial. Ann Intern Med 2009;150(3):178-87.</w:t>
      </w:r>
    </w:p>
    <w:p w14:paraId="50F7A0FF" w14:textId="0861C95C" w:rsidR="003E31CB" w:rsidRPr="003E31CB" w:rsidRDefault="003E31CB" w:rsidP="003E31CB">
      <w:pPr>
        <w:spacing w:before="120" w:after="120"/>
        <w:ind w:left="0" w:firstLine="0"/>
        <w:rPr>
          <w:rFonts w:cstheme="minorHAnsi"/>
          <w:color w:val="C00000"/>
          <w:shd w:val="clear" w:color="auto" w:fill="FFFFFF"/>
        </w:rPr>
      </w:pPr>
      <w:bookmarkStart w:id="10" w:name="_Hlk43466627"/>
      <w:r w:rsidRPr="008854AC">
        <w:rPr>
          <w:rFonts w:cstheme="minorHAnsi"/>
          <w:color w:val="C00000"/>
          <w:shd w:val="clear" w:color="auto" w:fill="FFFFFF"/>
        </w:rPr>
        <w:t>Jain S, Khera R, Mortensen EM, Weissler JC. Readmissions of adults within three age groups following hospitalization for pneumonia: Analysis from the Nationwide Readmissions Database. </w:t>
      </w:r>
      <w:r w:rsidRPr="008854AC">
        <w:rPr>
          <w:rFonts w:cstheme="minorHAnsi"/>
          <w:i/>
          <w:iCs/>
          <w:color w:val="C00000"/>
          <w:shd w:val="clear" w:color="auto" w:fill="FFFFFF"/>
        </w:rPr>
        <w:t>PLoS One</w:t>
      </w:r>
      <w:r w:rsidRPr="008854AC">
        <w:rPr>
          <w:rFonts w:cstheme="minorHAnsi"/>
          <w:color w:val="C00000"/>
          <w:shd w:val="clear" w:color="auto" w:fill="FFFFFF"/>
        </w:rPr>
        <w:t>. 2018;13(9):e0203375. Published 2018 Sep 13. doi:10.1371/journal.pone.0203375</w:t>
      </w:r>
      <w:bookmarkEnd w:id="10"/>
    </w:p>
    <w:p w14:paraId="356D8096" w14:textId="77777777" w:rsidR="00AD07FD" w:rsidRDefault="00AD07FD" w:rsidP="00AD07FD">
      <w:pPr>
        <w:spacing w:before="120"/>
        <w:ind w:left="0" w:firstLine="0"/>
        <w:rPr>
          <w:iCs/>
          <w:color w:val="7030A0"/>
        </w:rPr>
      </w:pPr>
      <w:r>
        <w:rPr>
          <w:iCs/>
          <w:color w:val="7030A0"/>
        </w:rPr>
        <w:t>Koehler BE, Richter KM, Youngblood L, Cohen BA, Prengler ID, Cheng D, et al. Reduction of 30-day postdischarge hospital readmission or emergency department (ED) visit rates in high-risk elderly medical patients through delivery of a targeted care bundle. J Hosp Med 2009;4(4):211-218.</w:t>
      </w:r>
    </w:p>
    <w:p w14:paraId="7FA15564" w14:textId="169DA600" w:rsidR="00AD07FD" w:rsidRDefault="00AD07FD" w:rsidP="00AD07FD">
      <w:pPr>
        <w:spacing w:before="120"/>
        <w:ind w:left="0" w:firstLine="0"/>
        <w:rPr>
          <w:iCs/>
          <w:color w:val="7030A0"/>
        </w:rPr>
      </w:pPr>
      <w:r>
        <w:rPr>
          <w:iCs/>
          <w:color w:val="7030A0"/>
        </w:rPr>
        <w:t>Krumholz HM, Amatruda J, Smith GL, et al. Randomized trial of an education and support intervention to prevent readmission of patients with heart failure. J Am Coll Cardiol. Jan 2 2002;39(1):83-89.</w:t>
      </w:r>
    </w:p>
    <w:p w14:paraId="38F609A5" w14:textId="4A7F4C85" w:rsidR="003E31CB" w:rsidRPr="003E31CB" w:rsidRDefault="003E31CB" w:rsidP="003E31CB">
      <w:pPr>
        <w:spacing w:before="120" w:after="120"/>
        <w:ind w:left="0" w:firstLine="0"/>
        <w:rPr>
          <w:iCs/>
          <w:color w:val="C00000"/>
        </w:rPr>
      </w:pPr>
      <w:r w:rsidRPr="008854AC">
        <w:rPr>
          <w:iCs/>
          <w:color w:val="C00000"/>
        </w:rPr>
        <w:t>Lindenauer PK, Strait KM, Grady JN, et al. Variation in the Diagnosis of Aspiration Pneumonia and Association with Hospital Pneumonia Outcomes. Ann Am Thorac Soc. 2018;15(5):562-569.</w:t>
      </w:r>
    </w:p>
    <w:p w14:paraId="6B55EB04" w14:textId="77777777" w:rsidR="00AD07FD" w:rsidRDefault="00AD07FD" w:rsidP="00AD07FD">
      <w:pPr>
        <w:spacing w:before="120"/>
        <w:ind w:left="0" w:firstLine="0"/>
        <w:rPr>
          <w:iCs/>
          <w:color w:val="7030A0"/>
        </w:rPr>
      </w:pPr>
      <w:r>
        <w:rPr>
          <w:iCs/>
          <w:color w:val="7030A0"/>
        </w:rPr>
        <w:t>Mistiaen P, Francke AL, Poot E. Interventions aimed at reducing problems in adult patients discharged from hospital to home: a systematic metareview. BMC Health Serv Res 2007;7:47.</w:t>
      </w:r>
    </w:p>
    <w:p w14:paraId="5A25E4E0" w14:textId="77777777" w:rsidR="00AD07FD" w:rsidRDefault="00AD07FD" w:rsidP="00AD07FD">
      <w:pPr>
        <w:spacing w:before="120"/>
        <w:ind w:left="0" w:firstLine="0"/>
        <w:rPr>
          <w:iCs/>
          <w:color w:val="7030A0"/>
        </w:rPr>
      </w:pPr>
      <w:r>
        <w:rPr>
          <w:iCs/>
          <w:color w:val="7030A0"/>
        </w:rPr>
        <w:t>Naylor, MD, Brooten D, Campbell R, et al. 1999. Comprehensive discharge planning and home follow-up of hospitalized elders: a randomized clinical trial. JAMA 281 (7):613-20.</w:t>
      </w:r>
    </w:p>
    <w:p w14:paraId="7ACA38EB" w14:textId="77777777" w:rsidR="00AD07FD" w:rsidRDefault="00AD07FD" w:rsidP="00AD07FD">
      <w:pPr>
        <w:spacing w:before="120"/>
        <w:ind w:left="0" w:firstLine="0"/>
        <w:rPr>
          <w:iCs/>
          <w:color w:val="7030A0"/>
        </w:rPr>
      </w:pPr>
      <w:r>
        <w:rPr>
          <w:iCs/>
          <w:color w:val="7030A0"/>
        </w:rPr>
        <w:t>Naylor MD, Brooten D, Jones R, Lavizzo-Mourey R, Mezey M, Pauly M. Comprehensive discharge planning for the hospitalized elderly. A randomized clinical trial. Ann Intern Med 1994;120(12):999-1006.</w:t>
      </w:r>
    </w:p>
    <w:p w14:paraId="3AF67D84" w14:textId="77777777" w:rsidR="00AD07FD" w:rsidRDefault="00AD07FD" w:rsidP="00AD07FD">
      <w:pPr>
        <w:spacing w:before="120"/>
        <w:ind w:left="0" w:firstLine="0"/>
        <w:rPr>
          <w:iCs/>
          <w:color w:val="7030A0"/>
        </w:rPr>
      </w:pPr>
      <w:r>
        <w:rPr>
          <w:iCs/>
          <w:color w:val="7030A0"/>
        </w:rPr>
        <w:t>Naylor MD, Brooten D, Campbell R, et al. 2004. Transitional care of older adults hospitalized with heart failure: a randomized, controlled trial. J Am Geriatr Soc 52 (5):675-84.</w:t>
      </w:r>
    </w:p>
    <w:p w14:paraId="1D3A0B65" w14:textId="77777777" w:rsidR="00AD07FD" w:rsidRDefault="00AD07FD" w:rsidP="00AD07FD">
      <w:pPr>
        <w:spacing w:before="120"/>
        <w:ind w:left="0" w:firstLine="0"/>
        <w:rPr>
          <w:iCs/>
          <w:color w:val="C00000"/>
        </w:rPr>
      </w:pPr>
      <w:r>
        <w:rPr>
          <w:iCs/>
          <w:color w:val="C00000"/>
        </w:rPr>
        <w:lastRenderedPageBreak/>
        <w:t>Nuckols TK, Fingar KR, Barrett ML, et al. Returns to Emergency Department, Observation, or Inpatient Care Within 30 Days After Hospitalization in 4 States, 2009 and 2010 Versus 2013 and 2014. J Hosp Med. 2018;13(5):296-303. doi:10.12788/jhm.2883.</w:t>
      </w:r>
    </w:p>
    <w:p w14:paraId="56D3DE62" w14:textId="77777777" w:rsidR="00AD07FD" w:rsidRDefault="00AD07FD" w:rsidP="00AD07FD">
      <w:pPr>
        <w:spacing w:before="120" w:after="120"/>
        <w:ind w:left="0" w:firstLine="0"/>
        <w:rPr>
          <w:rFonts w:cstheme="minorHAnsi"/>
          <w:iCs/>
          <w:color w:val="C00000"/>
        </w:rPr>
      </w:pPr>
      <w:r>
        <w:rPr>
          <w:rFonts w:cstheme="minorHAnsi"/>
          <w:color w:val="C00000"/>
          <w:shd w:val="clear" w:color="auto" w:fill="FFFFFF"/>
        </w:rPr>
        <w:t>Patel PH, Dickerson KW. Impact of the Implementation of Project Re-Engineered Discharge for Heart Failure patients at a Veterans Affairs Hospital at the Central Arkansas Veterans Healthcare System. </w:t>
      </w:r>
      <w:r>
        <w:rPr>
          <w:rFonts w:cstheme="minorHAnsi"/>
          <w:i/>
          <w:iCs/>
          <w:color w:val="C00000"/>
          <w:shd w:val="clear" w:color="auto" w:fill="FFFFFF"/>
        </w:rPr>
        <w:t>Hosp Pharm</w:t>
      </w:r>
      <w:r>
        <w:rPr>
          <w:rFonts w:cstheme="minorHAnsi"/>
          <w:color w:val="C00000"/>
          <w:shd w:val="clear" w:color="auto" w:fill="FFFFFF"/>
        </w:rPr>
        <w:t>. 2018;53(4):266‐271. doi:10.1177/0018578717749925.</w:t>
      </w:r>
    </w:p>
    <w:p w14:paraId="19073463" w14:textId="77777777" w:rsidR="00AD07FD" w:rsidRDefault="00AD07FD" w:rsidP="00AD07FD">
      <w:pPr>
        <w:spacing w:before="120" w:after="120"/>
        <w:ind w:left="0" w:firstLine="0"/>
        <w:rPr>
          <w:color w:val="C00000"/>
        </w:rPr>
      </w:pPr>
      <w:r>
        <w:rPr>
          <w:color w:val="C00000"/>
        </w:rPr>
        <w:t xml:space="preserve">Radhakrishnan K, Jones TL, Weems D, Knight TW, Rice WH. Seamless Transitions: Achieving Patient Safety Through Communication and Collaboration. </w:t>
      </w:r>
      <w:r>
        <w:rPr>
          <w:i/>
          <w:iCs/>
          <w:color w:val="C00000"/>
        </w:rPr>
        <w:t xml:space="preserve">J Patient Saf. </w:t>
      </w:r>
      <w:r>
        <w:rPr>
          <w:color w:val="C00000"/>
        </w:rPr>
        <w:t>2018;14(1):e3-e5.</w:t>
      </w:r>
    </w:p>
    <w:p w14:paraId="44718B30" w14:textId="77777777" w:rsidR="00AD07FD" w:rsidRDefault="00AD07FD" w:rsidP="00AD07FD">
      <w:pPr>
        <w:spacing w:before="120"/>
        <w:ind w:left="0" w:firstLine="0"/>
        <w:rPr>
          <w:iCs/>
          <w:color w:val="7030A0"/>
        </w:rPr>
      </w:pPr>
      <w:r>
        <w:rPr>
          <w:iCs/>
          <w:color w:val="7030A0"/>
        </w:rPr>
        <w:t>Rising KL, White LF, Fernandez WG, Boutwell AE. Emergency Department Visits After Hospital Discharge: A Missing Part of the Equation. Annals of Emergency Medicine. (0).</w:t>
      </w:r>
    </w:p>
    <w:p w14:paraId="52F58661" w14:textId="77777777" w:rsidR="00AD07FD" w:rsidRDefault="00AD07FD" w:rsidP="00AD07FD">
      <w:pPr>
        <w:spacing w:before="120"/>
        <w:ind w:left="0" w:firstLine="0"/>
        <w:rPr>
          <w:iCs/>
          <w:color w:val="7030A0"/>
        </w:rPr>
      </w:pPr>
      <w:r>
        <w:rPr>
          <w:iCs/>
          <w:color w:val="7030A0"/>
        </w:rPr>
        <w:t xml:space="preserve">Stauffer BD, Fullerton C, Fleming N, et al. Effectiveness and cost of a transitional care program for heart failure: a prospective study with concurrent controls. </w:t>
      </w:r>
      <w:r>
        <w:rPr>
          <w:i/>
          <w:iCs/>
          <w:color w:val="7030A0"/>
        </w:rPr>
        <w:t xml:space="preserve">Archives of Internal Medicine. </w:t>
      </w:r>
      <w:r>
        <w:rPr>
          <w:iCs/>
          <w:color w:val="7030A0"/>
        </w:rPr>
        <w:t>2011;171(14):1238-1243.</w:t>
      </w:r>
    </w:p>
    <w:p w14:paraId="30311E31" w14:textId="77777777" w:rsidR="00AD07FD" w:rsidRDefault="00AD07FD" w:rsidP="00AD07FD">
      <w:pPr>
        <w:spacing w:before="120" w:after="120"/>
        <w:ind w:left="0" w:firstLine="0"/>
        <w:rPr>
          <w:color w:val="C00000"/>
          <w:shd w:val="clear" w:color="auto" w:fill="FFFFFF"/>
        </w:rPr>
      </w:pPr>
      <w:bookmarkStart w:id="11" w:name="_Hlk43123662"/>
      <w:r>
        <w:rPr>
          <w:color w:val="C00000"/>
          <w:shd w:val="clear" w:color="auto" w:fill="FFFFFF"/>
        </w:rPr>
        <w:t>Torio CM, Moore BJ. </w:t>
      </w:r>
      <w:r>
        <w:rPr>
          <w:rStyle w:val="ref-title"/>
          <w:color w:val="C00000"/>
          <w:shd w:val="clear" w:color="auto" w:fill="FFFFFF"/>
        </w:rPr>
        <w:t>National Inpatient Hospital Costs: The Most Expensive Conditions by Payer, 2013</w:t>
      </w:r>
      <w:r>
        <w:rPr>
          <w:color w:val="C00000"/>
          <w:shd w:val="clear" w:color="auto" w:fill="FFFFFF"/>
        </w:rPr>
        <w:t>. HCUP Statistical Brief # 204. Available at: </w:t>
      </w:r>
      <w:hyperlink r:id="rId18" w:history="1">
        <w:r>
          <w:rPr>
            <w:rStyle w:val="Hyperlink"/>
            <w:color w:val="C00000"/>
            <w:shd w:val="clear" w:color="auto" w:fill="FFFFFF"/>
          </w:rPr>
          <w:t>http://www.hcup-us.ahrq.gov/reports/statbriefs/sb204-Most-Expensive-Hospital-Conditions.pdf</w:t>
        </w:r>
      </w:hyperlink>
      <w:r>
        <w:rPr>
          <w:color w:val="C00000"/>
          <w:shd w:val="clear" w:color="auto" w:fill="FFFFFF"/>
        </w:rPr>
        <w:t>. Published May 2016. Accessed August 23, 2020.</w:t>
      </w:r>
    </w:p>
    <w:bookmarkEnd w:id="11"/>
    <w:p w14:paraId="6760074E" w14:textId="77777777" w:rsidR="00AD07FD" w:rsidRDefault="00AD07FD" w:rsidP="00AD07FD">
      <w:pPr>
        <w:spacing w:before="120"/>
        <w:ind w:left="0" w:firstLine="0"/>
        <w:rPr>
          <w:iCs/>
          <w:color w:val="7030A0"/>
        </w:rPr>
      </w:pPr>
      <w:r>
        <w:rPr>
          <w:iCs/>
          <w:color w:val="7030A0"/>
        </w:rPr>
        <w:t>van Walraven C, Seth R, Austin PC, Laupacis A. Effect of discharge summary availability during post-discharge visits on hospital readmission. J Gen Intern Med 2002;17(3):186-92.</w:t>
      </w:r>
    </w:p>
    <w:p w14:paraId="6A051C71" w14:textId="77777777" w:rsidR="00AD07FD" w:rsidRDefault="00AD07FD" w:rsidP="00AD07FD">
      <w:pPr>
        <w:spacing w:before="120"/>
        <w:ind w:left="0" w:firstLine="0"/>
        <w:rPr>
          <w:iCs/>
          <w:color w:val="7030A0"/>
        </w:rPr>
      </w:pPr>
      <w:r>
        <w:rPr>
          <w:iCs/>
          <w:color w:val="7030A0"/>
        </w:rPr>
        <w:t>Vashi AA, Fox JP, Carr BG, et al. Use of hospital-based acute care among patients recently discharged from the hospital. JAMA. Jan 23 2013;309(4):364-371.</w:t>
      </w:r>
    </w:p>
    <w:p w14:paraId="61210479" w14:textId="77777777" w:rsidR="00AD07FD" w:rsidRDefault="00AD07FD" w:rsidP="00AD07FD">
      <w:pPr>
        <w:spacing w:before="120" w:after="120"/>
        <w:ind w:left="0" w:firstLine="0"/>
        <w:rPr>
          <w:rFonts w:cstheme="minorHAnsi"/>
          <w:color w:val="C00000"/>
        </w:rPr>
      </w:pPr>
      <w:bookmarkStart w:id="12" w:name="_Hlk42094040"/>
      <w:bookmarkStart w:id="13" w:name="_Hlk43123487"/>
      <w:r>
        <w:rPr>
          <w:rFonts w:cstheme="minorHAnsi"/>
          <w:color w:val="C00000"/>
        </w:rPr>
        <w:t xml:space="preserve">Wallace L., Grady J., Djordjevic, D., et al. 2019 Condition-Specific Measures Updates and Specifications Report Hospital-Level 30-Day Risk-Standardized Readmission Measures: Acute Myocardial Infarction – Version 12.0, Chronic Obstructive Pulmonary Disease – Version 8.0, Heart Failure – Version 12.0, Pneumonia – Version 12.0. </w:t>
      </w:r>
      <w:bookmarkEnd w:id="12"/>
      <w:r>
        <w:rPr>
          <w:rFonts w:cstheme="minorHAnsi"/>
          <w:color w:val="C00000"/>
        </w:rPr>
        <w:t xml:space="preserve">2019; </w:t>
      </w:r>
      <w:hyperlink r:id="rId19" w:history="1">
        <w:r>
          <w:rPr>
            <w:rStyle w:val="Hyperlink"/>
            <w:rFonts w:cstheme="minorHAnsi"/>
            <w:color w:val="C00000"/>
          </w:rPr>
          <w:t>https://qualitynet.org/inpatient/measures/readmission/methodology</w:t>
        </w:r>
      </w:hyperlink>
      <w:r>
        <w:rPr>
          <w:rFonts w:cstheme="minorHAnsi"/>
          <w:color w:val="C00000"/>
        </w:rPr>
        <w:t>. Available as of April 23, 2019.</w:t>
      </w:r>
    </w:p>
    <w:bookmarkEnd w:id="13"/>
    <w:p w14:paraId="4AB5859A" w14:textId="77777777" w:rsidR="00AD07FD" w:rsidRDefault="00AD07FD" w:rsidP="00AD07FD">
      <w:pPr>
        <w:spacing w:before="120"/>
        <w:ind w:left="0" w:firstLine="0"/>
        <w:rPr>
          <w:iCs/>
          <w:color w:val="7030A0"/>
        </w:rPr>
      </w:pPr>
      <w:r>
        <w:rPr>
          <w:iCs/>
          <w:color w:val="7030A0"/>
        </w:rPr>
        <w:t>Weiss M, Yakusheva O, Bobay K. Nurse and patient perceptions of discharge readiness in relation to postdischarge utilization. Med Care 2010;48(5):482-6.</w:t>
      </w:r>
    </w:p>
    <w:p w14:paraId="30D33126" w14:textId="77777777" w:rsidR="00AD07FD" w:rsidRDefault="00AD07FD" w:rsidP="00AD07FD">
      <w:pPr>
        <w:spacing w:before="120"/>
        <w:ind w:left="0" w:firstLine="0"/>
        <w:rPr>
          <w:iCs/>
          <w:color w:val="7030A0"/>
        </w:rPr>
      </w:pPr>
      <w:r>
        <w:rPr>
          <w:iCs/>
          <w:color w:val="7030A0"/>
        </w:rPr>
        <w:t>Young W, Rewa G, Goodman SG, et al. 2003. Evaluation of a community-based inner-city disease management program for postmyocardial infarction patients: a randomized controlled trial. CMAJ Canadian Med Assn J 169(9):905-910.</w:t>
      </w:r>
    </w:p>
    <w:p w14:paraId="62A63279" w14:textId="77777777" w:rsidR="00AD07FD" w:rsidRPr="00E55439" w:rsidRDefault="00AD07FD" w:rsidP="00C41794">
      <w:pPr>
        <w:ind w:left="432" w:hanging="432"/>
        <w:rPr>
          <w:b/>
        </w:rPr>
      </w:pPr>
    </w:p>
    <w:p w14:paraId="55B8DA65" w14:textId="77777777" w:rsidR="00676BD4" w:rsidRPr="00E55439" w:rsidRDefault="00676BD4" w:rsidP="002E2177">
      <w:pPr>
        <w:ind w:left="0" w:firstLine="0"/>
        <w:rPr>
          <w:i/>
          <w:iCs/>
          <w:u w:val="single"/>
        </w:rPr>
      </w:pPr>
    </w:p>
    <w:p w14:paraId="55B8DA66" w14:textId="725FE95F" w:rsidR="00C41794" w:rsidRPr="00E55439" w:rsidRDefault="002B06BD" w:rsidP="00C41794">
      <w:pPr>
        <w:ind w:left="0" w:firstLine="0"/>
        <w:rPr>
          <w:b/>
          <w:iCs/>
        </w:rPr>
      </w:pPr>
      <w:bookmarkStart w:id="14" w:name="Section1a3"/>
      <w:bookmarkEnd w:id="14"/>
      <w:r w:rsidRPr="00E55439">
        <w:rPr>
          <w:b/>
          <w:iCs/>
          <w:color w:val="0000FF"/>
        </w:rPr>
        <w:t>1a.3.</w:t>
      </w:r>
      <w:r w:rsidRPr="00E55439">
        <w:rPr>
          <w:i/>
          <w:iCs/>
          <w:color w:val="0000FF"/>
        </w:rPr>
        <w:t xml:space="preserve"> </w:t>
      </w:r>
      <w:r w:rsidR="00C41794" w:rsidRPr="00E55439">
        <w:rPr>
          <w:b/>
          <w:iCs/>
          <w:color w:val="0000FF"/>
        </w:rPr>
        <w:t>SYSTEMATIC REVIEW</w:t>
      </w:r>
      <w:r w:rsidR="00AB4ECE" w:rsidRPr="00E55439">
        <w:rPr>
          <w:b/>
          <w:iCs/>
          <w:color w:val="0000FF"/>
        </w:rPr>
        <w:t>(SR)</w:t>
      </w:r>
      <w:r w:rsidR="00C41794" w:rsidRPr="00E55439">
        <w:rPr>
          <w:b/>
          <w:iCs/>
          <w:color w:val="0000FF"/>
        </w:rPr>
        <w:t xml:space="preserve"> OF THE EVIDENCE (</w:t>
      </w:r>
      <w:r w:rsidR="00C41794" w:rsidRPr="00E55439">
        <w:rPr>
          <w:b/>
          <w:iCs/>
        </w:rPr>
        <w:t>for</w:t>
      </w:r>
      <w:r w:rsidR="00C41794" w:rsidRPr="00E55439">
        <w:rPr>
          <w:b/>
          <w:iCs/>
          <w:caps/>
        </w:rPr>
        <w:t xml:space="preserve">  intermediate outcome, PROCESS, or STRUCTURE PERFORMANCE measures</w:t>
      </w:r>
      <w:r w:rsidR="003D6721" w:rsidRPr="00E55439">
        <w:rPr>
          <w:b/>
          <w:iCs/>
          <w:caps/>
        </w:rPr>
        <w:t>, including those that are instrument-based</w:t>
      </w:r>
      <w:r w:rsidR="00C41794" w:rsidRPr="00E55439">
        <w:rPr>
          <w:b/>
          <w:iCs/>
          <w:caps/>
        </w:rPr>
        <w:t>)</w:t>
      </w:r>
      <w:r w:rsidR="00C41794" w:rsidRPr="00E55439">
        <w:rPr>
          <w:b/>
          <w:iCs/>
        </w:rPr>
        <w:t xml:space="preserve"> If the evidence is not based on a system</w:t>
      </w:r>
      <w:r w:rsidR="00AB4ECE" w:rsidRPr="00E55439">
        <w:rPr>
          <w:b/>
          <w:iCs/>
        </w:rPr>
        <w:t>a</w:t>
      </w:r>
      <w:r w:rsidR="00C41794" w:rsidRPr="00E55439">
        <w:rPr>
          <w:b/>
          <w:iCs/>
        </w:rPr>
        <w:t>tic review go to section 1a.4)</w:t>
      </w:r>
      <w:r w:rsidR="00AB4ECE" w:rsidRPr="00E55439">
        <w:rPr>
          <w:b/>
          <w:iCs/>
        </w:rPr>
        <w:t xml:space="preserve"> If you wish to include more than one systematic review, add </w:t>
      </w:r>
      <w:r w:rsidR="000F4A7F" w:rsidRPr="00E55439">
        <w:rPr>
          <w:b/>
          <w:iCs/>
        </w:rPr>
        <w:t>additional tables.</w:t>
      </w:r>
      <w:r w:rsidR="00AB4ECE" w:rsidRPr="00E55439">
        <w:rPr>
          <w:b/>
          <w:iCs/>
        </w:rPr>
        <w:t xml:space="preserve"> </w:t>
      </w:r>
    </w:p>
    <w:p w14:paraId="55B8DA67" w14:textId="77777777" w:rsidR="00496AF8" w:rsidRPr="00E55439"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E55439">
        <w:rPr>
          <w:rFonts w:ascii="Calibri" w:eastAsia="Calibri" w:hAnsi="Calibri" w:cs="Times New Roman"/>
          <w:b/>
        </w:rPr>
        <w:t xml:space="preserve">What is the source of the </w:t>
      </w:r>
      <w:r w:rsidRPr="00E55439">
        <w:rPr>
          <w:rFonts w:ascii="Calibri" w:eastAsia="Calibri" w:hAnsi="Calibri" w:cs="Times New Roman"/>
          <w:b/>
          <w:u w:val="single"/>
        </w:rPr>
        <w:t>systematic review of the body of evidence</w:t>
      </w:r>
      <w:r w:rsidRPr="00E55439">
        <w:rPr>
          <w:rFonts w:ascii="Calibri" w:eastAsia="Calibri" w:hAnsi="Calibri" w:cs="Times New Roman"/>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lastRenderedPageBreak/>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15" w:name="Section1a8"/>
      <w:bookmarkEnd w:id="15"/>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C63A5CD" w14:textId="77777777" w:rsidR="00E55439" w:rsidRDefault="00E55439" w:rsidP="002E2177">
      <w:pPr>
        <w:ind w:left="0" w:firstLine="0"/>
        <w:rPr>
          <w:b/>
          <w:color w:val="0000FF"/>
        </w:rPr>
      </w:pPr>
    </w:p>
    <w:p w14:paraId="55B8DA99" w14:textId="456204EC"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lastRenderedPageBreak/>
        <w:t xml:space="preserve">1a.4.2 </w:t>
      </w:r>
      <w:r w:rsidR="00837121" w:rsidRPr="003B1CC5">
        <w:rPr>
          <w:b/>
        </w:rPr>
        <w:t>What process was used to identify the evidence?</w:t>
      </w:r>
    </w:p>
    <w:p w14:paraId="458A5710" w14:textId="77777777" w:rsidR="0023164B" w:rsidRDefault="0023164B" w:rsidP="002E2177">
      <w:pPr>
        <w:ind w:left="0" w:firstLine="0"/>
        <w:rPr>
          <w:b/>
          <w:color w:val="0000FF"/>
        </w:rPr>
      </w:pPr>
    </w:p>
    <w:p w14:paraId="55B8DA9D" w14:textId="15C51A30"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FD521" w14:textId="77777777" w:rsidR="00A23C65" w:rsidRDefault="00A23C65" w:rsidP="007E37A5">
      <w:r>
        <w:separator/>
      </w:r>
    </w:p>
  </w:endnote>
  <w:endnote w:type="continuationSeparator" w:id="0">
    <w:p w14:paraId="071B680C" w14:textId="77777777" w:rsidR="00A23C65" w:rsidRDefault="00A23C65"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3" w14:textId="1B7FDF29"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F3198">
      <w:rPr>
        <w:noProof/>
      </w:rPr>
      <w:t>4</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6F53B" w14:textId="77777777" w:rsidR="00A23C65" w:rsidRDefault="00A23C65" w:rsidP="007E37A5">
      <w:r>
        <w:separator/>
      </w:r>
    </w:p>
  </w:footnote>
  <w:footnote w:type="continuationSeparator" w:id="0">
    <w:p w14:paraId="22E9047C" w14:textId="77777777" w:rsidR="00A23C65" w:rsidRDefault="00A23C65"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1BC7"/>
    <w:rsid w:val="00073079"/>
    <w:rsid w:val="0007593F"/>
    <w:rsid w:val="0007783B"/>
    <w:rsid w:val="0008288F"/>
    <w:rsid w:val="00095EC9"/>
    <w:rsid w:val="00096A37"/>
    <w:rsid w:val="000A0810"/>
    <w:rsid w:val="000B627F"/>
    <w:rsid w:val="000D649E"/>
    <w:rsid w:val="000D6D06"/>
    <w:rsid w:val="000E5C93"/>
    <w:rsid w:val="000F4A7F"/>
    <w:rsid w:val="00114848"/>
    <w:rsid w:val="00120934"/>
    <w:rsid w:val="00131EE9"/>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07960"/>
    <w:rsid w:val="0023164B"/>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01D"/>
    <w:rsid w:val="00363ECC"/>
    <w:rsid w:val="0039020B"/>
    <w:rsid w:val="00395263"/>
    <w:rsid w:val="003956E0"/>
    <w:rsid w:val="0039609A"/>
    <w:rsid w:val="00397500"/>
    <w:rsid w:val="003B1CC5"/>
    <w:rsid w:val="003B65CE"/>
    <w:rsid w:val="003D6721"/>
    <w:rsid w:val="003E039E"/>
    <w:rsid w:val="003E31CB"/>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15FDB"/>
    <w:rsid w:val="00537150"/>
    <w:rsid w:val="00540984"/>
    <w:rsid w:val="00543851"/>
    <w:rsid w:val="0055559D"/>
    <w:rsid w:val="005569AE"/>
    <w:rsid w:val="00573A3A"/>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85D17"/>
    <w:rsid w:val="006A0249"/>
    <w:rsid w:val="006B5C51"/>
    <w:rsid w:val="006C7F30"/>
    <w:rsid w:val="006D43FF"/>
    <w:rsid w:val="006E6FDD"/>
    <w:rsid w:val="006F4B7F"/>
    <w:rsid w:val="006F760B"/>
    <w:rsid w:val="00701CC3"/>
    <w:rsid w:val="00712B67"/>
    <w:rsid w:val="00724801"/>
    <w:rsid w:val="00734949"/>
    <w:rsid w:val="00736AEC"/>
    <w:rsid w:val="00736E0F"/>
    <w:rsid w:val="007434FA"/>
    <w:rsid w:val="007573F0"/>
    <w:rsid w:val="00765156"/>
    <w:rsid w:val="00767669"/>
    <w:rsid w:val="00773485"/>
    <w:rsid w:val="00776E8F"/>
    <w:rsid w:val="00776F6D"/>
    <w:rsid w:val="007A640F"/>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C2EB2"/>
    <w:rsid w:val="009E37BD"/>
    <w:rsid w:val="009E6B86"/>
    <w:rsid w:val="00A03301"/>
    <w:rsid w:val="00A12762"/>
    <w:rsid w:val="00A13867"/>
    <w:rsid w:val="00A23C65"/>
    <w:rsid w:val="00A26FED"/>
    <w:rsid w:val="00A421D4"/>
    <w:rsid w:val="00A44FF0"/>
    <w:rsid w:val="00A50E55"/>
    <w:rsid w:val="00A67EB1"/>
    <w:rsid w:val="00A9011D"/>
    <w:rsid w:val="00A91A47"/>
    <w:rsid w:val="00A95D2B"/>
    <w:rsid w:val="00AA5587"/>
    <w:rsid w:val="00AB4ECE"/>
    <w:rsid w:val="00AC1E53"/>
    <w:rsid w:val="00AD07FD"/>
    <w:rsid w:val="00AD79C8"/>
    <w:rsid w:val="00AE6CE0"/>
    <w:rsid w:val="00AF3198"/>
    <w:rsid w:val="00B058A6"/>
    <w:rsid w:val="00B117D0"/>
    <w:rsid w:val="00B13998"/>
    <w:rsid w:val="00B35C5F"/>
    <w:rsid w:val="00B439DD"/>
    <w:rsid w:val="00B52E0F"/>
    <w:rsid w:val="00B74629"/>
    <w:rsid w:val="00B91F58"/>
    <w:rsid w:val="00BA579E"/>
    <w:rsid w:val="00BE2295"/>
    <w:rsid w:val="00BE6373"/>
    <w:rsid w:val="00BF533A"/>
    <w:rsid w:val="00C05685"/>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B7693"/>
    <w:rsid w:val="00DC2D8D"/>
    <w:rsid w:val="00DC7F67"/>
    <w:rsid w:val="00DE1F5D"/>
    <w:rsid w:val="00DE50D8"/>
    <w:rsid w:val="00DF278A"/>
    <w:rsid w:val="00E12153"/>
    <w:rsid w:val="00E1664B"/>
    <w:rsid w:val="00E30D12"/>
    <w:rsid w:val="00E3394E"/>
    <w:rsid w:val="00E35241"/>
    <w:rsid w:val="00E41417"/>
    <w:rsid w:val="00E42FAA"/>
    <w:rsid w:val="00E536D3"/>
    <w:rsid w:val="00E55439"/>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841C8"/>
    <w:rsid w:val="00F90F82"/>
    <w:rsid w:val="00F92D75"/>
    <w:rsid w:val="00F97327"/>
    <w:rsid w:val="00FA296F"/>
    <w:rsid w:val="00FA4E05"/>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ref-title">
    <w:name w:val="ref-title"/>
    <w:basedOn w:val="DefaultParagraphFont"/>
    <w:rsid w:val="00207960"/>
  </w:style>
  <w:style w:type="character" w:customStyle="1" w:styleId="mixed-citation">
    <w:name w:val="mixed-citation"/>
    <w:basedOn w:val="DefaultParagraphFont"/>
    <w:rsid w:val="003E31CB"/>
  </w:style>
  <w:style w:type="character" w:customStyle="1" w:styleId="ref-journal">
    <w:name w:val="ref-journal"/>
    <w:basedOn w:val="DefaultParagraphFont"/>
    <w:rsid w:val="003E3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812072">
      <w:bodyDiv w:val="1"/>
      <w:marLeft w:val="0"/>
      <w:marRight w:val="0"/>
      <w:marTop w:val="0"/>
      <w:marBottom w:val="0"/>
      <w:divBdr>
        <w:top w:val="none" w:sz="0" w:space="0" w:color="auto"/>
        <w:left w:val="none" w:sz="0" w:space="0" w:color="auto"/>
        <w:bottom w:val="none" w:sz="0" w:space="0" w:color="auto"/>
        <w:right w:val="none" w:sz="0" w:space="0" w:color="auto"/>
      </w:divBdr>
    </w:div>
    <w:div w:id="1221554503">
      <w:bodyDiv w:val="1"/>
      <w:marLeft w:val="0"/>
      <w:marRight w:val="0"/>
      <w:marTop w:val="0"/>
      <w:marBottom w:val="0"/>
      <w:divBdr>
        <w:top w:val="none" w:sz="0" w:space="0" w:color="auto"/>
        <w:left w:val="none" w:sz="0" w:space="0" w:color="auto"/>
        <w:bottom w:val="none" w:sz="0" w:space="0" w:color="auto"/>
        <w:right w:val="none" w:sz="0" w:space="0" w:color="auto"/>
      </w:divBdr>
    </w:div>
    <w:div w:id="178592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www.hcup-us.ahrq.gov/reports/statbriefs/sb204-Most-Expensive-Hospital-Conditions.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hcup-us.ahrq.gov/reports/statbriefs/sb172-Conditions-Readmissions-Payer.jsp"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qualitynet.org/inpatient/measures/readmission/methodolog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A7C7928B89A444B7A3E0ADC50DE6194B"/>
        <w:category>
          <w:name w:val="General"/>
          <w:gallery w:val="placeholder"/>
        </w:category>
        <w:types>
          <w:type w:val="bbPlcHdr"/>
        </w:types>
        <w:behaviors>
          <w:behavior w:val="content"/>
        </w:behaviors>
        <w:guid w:val="{86FDB32C-0CAF-4AAB-9909-C8836F29182B}"/>
      </w:docPartPr>
      <w:docPartBody>
        <w:p w:rsidR="0022764B" w:rsidRDefault="00F92A11" w:rsidP="00F92A11">
          <w:pPr>
            <w:pStyle w:val="A7C7928B89A444B7A3E0ADC50DE6194B"/>
          </w:pPr>
          <w:r>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2764B"/>
    <w:rsid w:val="002B5F47"/>
    <w:rsid w:val="003A1E4B"/>
    <w:rsid w:val="00455EB5"/>
    <w:rsid w:val="00461C1C"/>
    <w:rsid w:val="004E2027"/>
    <w:rsid w:val="005F21F3"/>
    <w:rsid w:val="00727DEF"/>
    <w:rsid w:val="008F6A9B"/>
    <w:rsid w:val="00986D96"/>
    <w:rsid w:val="00A77B15"/>
    <w:rsid w:val="00BE0F2D"/>
    <w:rsid w:val="00C03643"/>
    <w:rsid w:val="00C2797F"/>
    <w:rsid w:val="00C80225"/>
    <w:rsid w:val="00D228C9"/>
    <w:rsid w:val="00D2552B"/>
    <w:rsid w:val="00D75B64"/>
    <w:rsid w:val="00DB5324"/>
    <w:rsid w:val="00E97654"/>
    <w:rsid w:val="00EA555A"/>
    <w:rsid w:val="00F87EB9"/>
    <w:rsid w:val="00F92A11"/>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2A11"/>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A7C7928B89A444B7A3E0ADC50DE6194B">
    <w:name w:val="A7C7928B89A444B7A3E0ADC50DE6194B"/>
    <w:rsid w:val="00F92A1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EEFEC284-B07E-450F-A845-F3AADF76A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3329</Words>
  <Characters>18981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Hassan, Sapha</cp:lastModifiedBy>
  <cp:revision>19</cp:revision>
  <dcterms:created xsi:type="dcterms:W3CDTF">2017-10-09T19:55:00Z</dcterms:created>
  <dcterms:modified xsi:type="dcterms:W3CDTF">2021-04-15T20:23:00Z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