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3F7F7" w14:textId="77777777" w:rsidR="00927027" w:rsidRDefault="000E78F6" w:rsidP="006F0B61">
      <w:pPr>
        <w:spacing w:line="240" w:lineRule="auto"/>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6F0B61">
      <w:pPr>
        <w:spacing w:line="240" w:lineRule="auto"/>
        <w:contextualSpacing/>
        <w:rPr>
          <w:rFonts w:cstheme="minorHAnsi"/>
          <w:b/>
          <w:noProof/>
        </w:rPr>
      </w:pPr>
    </w:p>
    <w:p w14:paraId="01EB44C8" w14:textId="77777777" w:rsidR="00927027" w:rsidRDefault="00797624" w:rsidP="006F0B61">
      <w:pPr>
        <w:spacing w:line="240" w:lineRule="auto"/>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39BA6899" w14:textId="162DB967" w:rsidR="00105D8B" w:rsidRPr="00A25024" w:rsidRDefault="00105D8B" w:rsidP="006F0B61">
      <w:pPr>
        <w:spacing w:line="240" w:lineRule="auto"/>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color w:val="auto"/>
          </w:rPr>
          <w:id w:val="-882640736"/>
          <w:placeholder>
            <w:docPart w:val="00949831315D4E1BAFC508BD77E32A40"/>
          </w:placeholder>
        </w:sdtPr>
        <w:sdtEndPr>
          <w:rPr>
            <w:rStyle w:val="DefaultParagraphFont"/>
            <w:noProof/>
          </w:rPr>
        </w:sdtEndPr>
        <w:sdtContent>
          <w:r w:rsidR="0031329B" w:rsidRPr="0031329B">
            <w:rPr>
              <w:rStyle w:val="Style1"/>
              <w:rFonts w:cstheme="minorHAnsi"/>
              <w:color w:val="auto"/>
            </w:rPr>
            <w:t xml:space="preserve">Risk-Standardized Acute Admission Rates for </w:t>
          </w:r>
          <w:r w:rsidR="002F20F0">
            <w:rPr>
              <w:rStyle w:val="Style1"/>
              <w:rFonts w:cstheme="minorHAnsi"/>
              <w:color w:val="auto"/>
            </w:rPr>
            <w:t xml:space="preserve">Older </w:t>
          </w:r>
          <w:r w:rsidR="0031329B" w:rsidRPr="0031329B">
            <w:rPr>
              <w:rStyle w:val="Style1"/>
              <w:rFonts w:cstheme="minorHAnsi"/>
              <w:color w:val="auto"/>
            </w:rPr>
            <w:t xml:space="preserve">Patients with </w:t>
          </w:r>
          <w:r w:rsidR="002F20F0">
            <w:rPr>
              <w:rStyle w:val="Style1"/>
              <w:rFonts w:cstheme="minorHAnsi"/>
              <w:color w:val="auto"/>
            </w:rPr>
            <w:t>Diabetes</w:t>
          </w:r>
        </w:sdtContent>
      </w:sdt>
    </w:p>
    <w:p w14:paraId="3F4B9B6A" w14:textId="6605F74E" w:rsidR="005C73CA" w:rsidRDefault="00105D8B" w:rsidP="006F0B61">
      <w:pPr>
        <w:spacing w:after="0" w:line="240" w:lineRule="auto"/>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6-01-29T00:00:00Z">
            <w:dateFormat w:val="M/d/yyyy"/>
            <w:lid w:val="en-US"/>
            <w:storeMappedDataAs w:val="dateTime"/>
            <w:calendar w:val="gregorian"/>
          </w:date>
        </w:sdtPr>
        <w:sdtEndPr>
          <w:rPr>
            <w:rStyle w:val="DefaultParagraphFont"/>
            <w:noProof/>
            <w:color w:val="auto"/>
            <w:u w:val="none"/>
          </w:rPr>
        </w:sdtEndPr>
        <w:sdtContent>
          <w:r w:rsidR="00135882">
            <w:rPr>
              <w:rStyle w:val="Style2"/>
              <w:rFonts w:cstheme="minorHAnsi"/>
            </w:rPr>
            <w:t>1/29/2016</w:t>
          </w:r>
        </w:sdtContent>
      </w:sdt>
    </w:p>
    <w:p w14:paraId="5295F637" w14:textId="77777777" w:rsidR="00CD364B" w:rsidRPr="009E1846" w:rsidRDefault="009E1846" w:rsidP="006F0B61">
      <w:pPr>
        <w:spacing w:after="0" w:line="240" w:lineRule="auto"/>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63"/>
        <w:gridCol w:w="4587"/>
      </w:tblGrid>
      <w:tr w:rsidR="00CD364B" w:rsidRPr="00B82A57" w14:paraId="1043A329" w14:textId="77777777" w:rsidTr="000B3880">
        <w:trPr>
          <w:jc w:val="center"/>
        </w:trPr>
        <w:tc>
          <w:tcPr>
            <w:tcW w:w="2547" w:type="pct"/>
          </w:tcPr>
          <w:p w14:paraId="5E138B79" w14:textId="77777777" w:rsidR="00CD364B" w:rsidRPr="00B82A57" w:rsidRDefault="00351877" w:rsidP="006F0B61">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5EB78794" w:rsidR="00CD364B" w:rsidRPr="00B82A57" w:rsidRDefault="00351877" w:rsidP="006F0B61">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Content>
                <w:r w:rsidR="001E263B">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351877" w:rsidP="006F0B61">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77777777" w:rsidR="00CD364B" w:rsidRPr="00B82A57" w:rsidRDefault="00351877" w:rsidP="006F0B61">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351877" w:rsidP="006F0B61">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351877" w:rsidP="006F0B61">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6F0B61">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7FA8B2C1" w14:textId="77777777" w:rsidTr="00145149">
        <w:trPr>
          <w:jc w:val="center"/>
        </w:trPr>
        <w:tc>
          <w:tcPr>
            <w:tcW w:w="9576" w:type="dxa"/>
          </w:tcPr>
          <w:p w14:paraId="3F1C6EBF" w14:textId="77777777" w:rsidR="00B53E8B" w:rsidRPr="00B53E8B" w:rsidRDefault="00B53E8B" w:rsidP="006F0B61">
            <w:pPr>
              <w:rPr>
                <w:rFonts w:cstheme="minorHAnsi"/>
                <w:b/>
                <w:noProof/>
              </w:rPr>
            </w:pPr>
            <w:r w:rsidRPr="00B53E8B">
              <w:rPr>
                <w:rFonts w:cstheme="minorHAnsi"/>
                <w:b/>
                <w:noProof/>
              </w:rPr>
              <w:t>Instructions</w:t>
            </w:r>
          </w:p>
          <w:p w14:paraId="40D15D65" w14:textId="77777777" w:rsidR="00C14CCC" w:rsidRPr="00C14CCC" w:rsidRDefault="00C14CCC" w:rsidP="006F0B6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6F0B6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6F0B6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6F0B6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6F0B61">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6F0B6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6F0B61">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6F0B6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71770FDE" w14:textId="69582C0C" w:rsidR="00A64EBF" w:rsidRDefault="00A64EBF" w:rsidP="006F0B6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6F0B61">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ADFCBF2" w14:textId="77777777" w:rsidTr="00145149">
        <w:trPr>
          <w:jc w:val="center"/>
        </w:trPr>
        <w:tc>
          <w:tcPr>
            <w:tcW w:w="9576" w:type="dxa"/>
          </w:tcPr>
          <w:p w14:paraId="43FD986B" w14:textId="77777777" w:rsidR="00B53E8B" w:rsidRPr="000F034A" w:rsidRDefault="00B53E8B" w:rsidP="006F0B61">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6F0B61">
            <w:pPr>
              <w:rPr>
                <w:rFonts w:cstheme="minorHAnsi"/>
                <w:b/>
                <w:bCs/>
                <w:sz w:val="20"/>
                <w:szCs w:val="20"/>
              </w:rPr>
            </w:pPr>
          </w:p>
          <w:p w14:paraId="4224A2AD" w14:textId="77777777" w:rsidR="00BC0D25" w:rsidRPr="000F034A" w:rsidRDefault="00145149" w:rsidP="006F0B61">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6F0B61">
            <w:pPr>
              <w:autoSpaceDE w:val="0"/>
              <w:autoSpaceDN w:val="0"/>
              <w:adjustRightInd w:val="0"/>
              <w:rPr>
                <w:rFonts w:cstheme="minorHAnsi"/>
                <w:b/>
                <w:iCs/>
              </w:rPr>
            </w:pPr>
          </w:p>
          <w:p w14:paraId="12770C2E" w14:textId="77777777" w:rsidR="00145149" w:rsidRPr="000F034A" w:rsidRDefault="00145149" w:rsidP="006F0B61">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6F0B61">
            <w:pPr>
              <w:rPr>
                <w:rFonts w:cstheme="minorHAnsi"/>
              </w:rPr>
            </w:pPr>
            <w:bookmarkStart w:id="0" w:name="_Toc256067249"/>
          </w:p>
          <w:p w14:paraId="33D4078E" w14:textId="77777777" w:rsidR="00145149" w:rsidRPr="000F034A" w:rsidRDefault="00145149" w:rsidP="006F0B61">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6F0B61">
            <w:pPr>
              <w:rPr>
                <w:rFonts w:cstheme="minorHAnsi"/>
                <w:b/>
              </w:rPr>
            </w:pPr>
            <w:r w:rsidRPr="000F034A">
              <w:rPr>
                <w:rFonts w:cstheme="minorHAnsi"/>
                <w:b/>
              </w:rPr>
              <w:t xml:space="preserve">AND </w:t>
            </w:r>
          </w:p>
          <w:p w14:paraId="79CBB1C0" w14:textId="77777777" w:rsidR="00145149" w:rsidRPr="000F034A" w:rsidRDefault="00145149" w:rsidP="006F0B61">
            <w:pPr>
              <w:rPr>
                <w:rFonts w:cstheme="minorHAnsi"/>
              </w:rPr>
            </w:pPr>
            <w:r w:rsidRPr="000F034A">
              <w:rPr>
                <w:rFonts w:cstheme="minorHAnsi"/>
              </w:rPr>
              <w:lastRenderedPageBreak/>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6F0B61">
            <w:pPr>
              <w:rPr>
                <w:rFonts w:cstheme="minorHAnsi"/>
                <w:b/>
                <w:bCs/>
              </w:rPr>
            </w:pPr>
          </w:p>
          <w:p w14:paraId="3E53AB18" w14:textId="77777777" w:rsidR="00145149" w:rsidRPr="000F034A" w:rsidRDefault="00145149" w:rsidP="006F0B61">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6F0B61">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6F0B61">
            <w:pPr>
              <w:rPr>
                <w:rFonts w:cstheme="minorHAnsi"/>
                <w:b/>
              </w:rPr>
            </w:pPr>
            <w:r w:rsidRPr="000F034A">
              <w:rPr>
                <w:rFonts w:cstheme="minorHAnsi"/>
                <w:b/>
              </w:rPr>
              <w:t>OR</w:t>
            </w:r>
          </w:p>
          <w:p w14:paraId="1FB7ADCC" w14:textId="77777777" w:rsidR="00145149" w:rsidRPr="000F034A" w:rsidRDefault="00145149" w:rsidP="006F0B61">
            <w:pPr>
              <w:numPr>
                <w:ilvl w:val="0"/>
                <w:numId w:val="26"/>
              </w:numPr>
              <w:ind w:left="0" w:firstLine="0"/>
              <w:rPr>
                <w:rFonts w:cstheme="minorHAnsi"/>
              </w:rPr>
            </w:pPr>
            <w:r w:rsidRPr="000F034A">
              <w:rPr>
                <w:rFonts w:cstheme="minorHAnsi"/>
              </w:rPr>
              <w:t xml:space="preserve">rationale/data support no risk adjustment/ stratification. </w:t>
            </w:r>
          </w:p>
          <w:p w14:paraId="64932554" w14:textId="77777777" w:rsidR="00145149" w:rsidRPr="000F034A" w:rsidRDefault="00145149" w:rsidP="006F0B61">
            <w:pPr>
              <w:rPr>
                <w:rFonts w:cstheme="minorHAnsi"/>
                <w:b/>
                <w:bCs/>
              </w:rPr>
            </w:pPr>
          </w:p>
          <w:bookmarkEnd w:id="1"/>
          <w:p w14:paraId="7C0BE685" w14:textId="77777777" w:rsidR="00145149" w:rsidRPr="000F034A" w:rsidRDefault="00145149" w:rsidP="006F0B61">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6F0B61">
            <w:pPr>
              <w:rPr>
                <w:rFonts w:cstheme="minorHAnsi"/>
              </w:rPr>
            </w:pPr>
            <w:r w:rsidRPr="000F034A">
              <w:rPr>
                <w:rFonts w:cstheme="minorHAnsi"/>
                <w:b/>
              </w:rPr>
              <w:t>OR</w:t>
            </w:r>
          </w:p>
          <w:p w14:paraId="236836DB" w14:textId="77777777" w:rsidR="00145149" w:rsidRPr="000F034A" w:rsidRDefault="00145149" w:rsidP="006F0B61">
            <w:pPr>
              <w:rPr>
                <w:rFonts w:cstheme="minorHAnsi"/>
              </w:rPr>
            </w:pPr>
            <w:r w:rsidRPr="000F034A">
              <w:rPr>
                <w:rFonts w:cstheme="minorHAnsi"/>
              </w:rPr>
              <w:t xml:space="preserve">there is evidence of overall less-than-optimal performance. </w:t>
            </w:r>
          </w:p>
          <w:p w14:paraId="700D3850" w14:textId="77777777" w:rsidR="00145149" w:rsidRPr="000F034A" w:rsidRDefault="00145149" w:rsidP="006F0B61">
            <w:pPr>
              <w:rPr>
                <w:rFonts w:cstheme="minorHAnsi"/>
                <w:b/>
                <w:bCs/>
              </w:rPr>
            </w:pPr>
          </w:p>
          <w:p w14:paraId="46363D36" w14:textId="77777777" w:rsidR="00145149" w:rsidRPr="000F034A" w:rsidRDefault="00145149" w:rsidP="006F0B61">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6F0B61">
            <w:pPr>
              <w:rPr>
                <w:rFonts w:cstheme="minorHAnsi"/>
              </w:rPr>
            </w:pPr>
          </w:p>
          <w:p w14:paraId="3EE7AC1A" w14:textId="77777777" w:rsidR="00E30584" w:rsidRPr="00A831B4" w:rsidRDefault="00E30584" w:rsidP="006F0B61">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14:paraId="58C2489F" w14:textId="77777777" w:rsidR="00145149" w:rsidRPr="00A831B4" w:rsidRDefault="00145149" w:rsidP="006F0B61">
            <w:pPr>
              <w:rPr>
                <w:rFonts w:cstheme="minorHAnsi"/>
                <w:b/>
                <w:bCs/>
                <w:sz w:val="20"/>
                <w:szCs w:val="20"/>
              </w:rPr>
            </w:pPr>
          </w:p>
          <w:p w14:paraId="3068DA2C" w14:textId="77777777" w:rsidR="00145149" w:rsidRPr="00A831B4" w:rsidRDefault="00145149" w:rsidP="006F0B61">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6F0B61">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6F0B61">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6F0B61">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6F0B61">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6F0B61">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831B4" w:rsidRDefault="00A64EBF" w:rsidP="006F0B61">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6F0B61">
      <w:pPr>
        <w:spacing w:after="0" w:line="240" w:lineRule="auto"/>
        <w:rPr>
          <w:rFonts w:cstheme="minorHAnsi"/>
          <w:noProof/>
        </w:rPr>
      </w:pPr>
    </w:p>
    <w:p w14:paraId="7B104A5F" w14:textId="77777777" w:rsidR="00702C73" w:rsidRPr="00702C73" w:rsidRDefault="00702C73" w:rsidP="006F0B61">
      <w:pPr>
        <w:spacing w:after="0" w:line="240" w:lineRule="auto"/>
        <w:rPr>
          <w:rFonts w:cstheme="minorHAnsi"/>
          <w:noProof/>
        </w:rPr>
      </w:pPr>
    </w:p>
    <w:p w14:paraId="3B0220F6" w14:textId="77777777" w:rsidR="00E27240" w:rsidRPr="00A25024" w:rsidRDefault="002B5016" w:rsidP="006F0B61">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6F0B61">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6F0B61">
      <w:pPr>
        <w:spacing w:after="0" w:line="240" w:lineRule="auto"/>
        <w:rPr>
          <w:rFonts w:cstheme="minorHAnsi"/>
          <w:noProof/>
        </w:rPr>
      </w:pPr>
    </w:p>
    <w:p w14:paraId="5B439D26" w14:textId="77777777" w:rsidR="00A01494" w:rsidRDefault="002B5016" w:rsidP="006F0B61">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6F0B61">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6F0B61">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6F0B61">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77777777" w:rsidR="00A01494" w:rsidRPr="00A01494" w:rsidRDefault="00351877" w:rsidP="006F0B61">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77777777" w:rsidR="00A01494" w:rsidRPr="00A01494" w:rsidRDefault="00351877" w:rsidP="006F0B61">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3FD75786" w:rsidR="00A01494" w:rsidRPr="00A01494" w:rsidRDefault="00351877" w:rsidP="006F0B61">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Content>
                <w:r w:rsidR="001E263B">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69714DB7" w14:textId="400D5195" w:rsidR="00A01494" w:rsidRPr="00A01494" w:rsidRDefault="00351877" w:rsidP="006F0B61">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Content>
                <w:r w:rsidR="001E263B">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AAFB0CC" w14:textId="77777777" w:rsidTr="0014773C">
        <w:trPr>
          <w:jc w:val="center"/>
        </w:trPr>
        <w:tc>
          <w:tcPr>
            <w:tcW w:w="5208" w:type="dxa"/>
          </w:tcPr>
          <w:p w14:paraId="59F21029" w14:textId="77777777" w:rsidR="00A01494" w:rsidRPr="00A01494" w:rsidRDefault="00351877" w:rsidP="006F0B61">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77777777" w:rsidR="00A01494" w:rsidRPr="00A01494" w:rsidRDefault="00351877" w:rsidP="006F0B61">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77777777" w:rsidR="00A01494" w:rsidRPr="00A01494" w:rsidRDefault="00351877" w:rsidP="006F0B61">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77777777" w:rsidR="00A01494" w:rsidRPr="00A01494" w:rsidRDefault="00351877" w:rsidP="006F0B61">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351877" w:rsidP="006F0B61">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77777777" w:rsidR="00A01494" w:rsidRPr="00A01494" w:rsidRDefault="00351877" w:rsidP="006F0B61">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351877" w:rsidP="006F0B61">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351877" w:rsidP="006F0B61">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6F0B61">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Default="002B5016" w:rsidP="00EC4DB0">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34D18A8B" w14:textId="77777777" w:rsidR="001E263B" w:rsidRDefault="001E263B" w:rsidP="004767F9">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To develop and to test the patient-level model, we used several 2010-2012 Medicare claims datasets as outlined below:</w:t>
      </w:r>
    </w:p>
    <w:p w14:paraId="65BCBA74" w14:textId="77777777" w:rsidR="001E263B" w:rsidRDefault="001E263B" w:rsidP="004767F9">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 xml:space="preserve">1. Medicare dataset used to </w:t>
      </w:r>
      <w:r w:rsidRPr="00545747">
        <w:rPr>
          <w:rFonts w:cstheme="minorHAnsi"/>
          <w:bCs/>
          <w:u w:val="single"/>
        </w:rPr>
        <w:t>identify the diabetes cohort and patient risk factors</w:t>
      </w:r>
      <w:r>
        <w:rPr>
          <w:rFonts w:cstheme="minorHAnsi"/>
          <w:bCs/>
        </w:rPr>
        <w:t xml:space="preserve"> for admission:</w:t>
      </w:r>
    </w:p>
    <w:p w14:paraId="1449EAAE" w14:textId="77777777" w:rsidR="001E263B" w:rsidRDefault="001E263B" w:rsidP="004767F9">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 xml:space="preserve">We used the 2010-2011 </w:t>
      </w:r>
      <w:r w:rsidRPr="00742D4C">
        <w:rPr>
          <w:rFonts w:cstheme="minorHAnsi"/>
          <w:bCs/>
        </w:rPr>
        <w:t xml:space="preserve">Chronic Conditions </w:t>
      </w:r>
      <w:r>
        <w:rPr>
          <w:rFonts w:cstheme="minorHAnsi"/>
          <w:bCs/>
        </w:rPr>
        <w:t xml:space="preserve">Data </w:t>
      </w:r>
      <w:r w:rsidRPr="00742D4C">
        <w:rPr>
          <w:rFonts w:cstheme="minorHAnsi"/>
          <w:bCs/>
        </w:rPr>
        <w:t xml:space="preserve">Warehouse (CCW) </w:t>
      </w:r>
      <w:r>
        <w:rPr>
          <w:rFonts w:cstheme="minorHAnsi"/>
          <w:bCs/>
        </w:rPr>
        <w:t xml:space="preserve">100% </w:t>
      </w:r>
      <w:r w:rsidRPr="00742D4C">
        <w:rPr>
          <w:rFonts w:cstheme="minorHAnsi"/>
          <w:bCs/>
        </w:rPr>
        <w:t xml:space="preserve">dataset </w:t>
      </w:r>
      <w:r>
        <w:rPr>
          <w:rFonts w:cstheme="minorHAnsi"/>
          <w:bCs/>
        </w:rPr>
        <w:t xml:space="preserve">which includes patients with at least one of the 27 CCW chronic conditions. We used the CCW 2010-2011 </w:t>
      </w:r>
      <w:r w:rsidRPr="00742D4C">
        <w:rPr>
          <w:rFonts w:cstheme="minorHAnsi"/>
          <w:bCs/>
        </w:rPr>
        <w:t xml:space="preserve">Medicare Part A and Part B </w:t>
      </w:r>
      <w:r>
        <w:rPr>
          <w:rFonts w:cstheme="minorHAnsi"/>
          <w:bCs/>
        </w:rPr>
        <w:t>files</w:t>
      </w:r>
      <w:r w:rsidRPr="00742D4C">
        <w:rPr>
          <w:rFonts w:cstheme="minorHAnsi"/>
          <w:bCs/>
        </w:rPr>
        <w:t xml:space="preserve"> to define the cohort and </w:t>
      </w:r>
      <w:r>
        <w:rPr>
          <w:rFonts w:cstheme="minorHAnsi"/>
          <w:bCs/>
        </w:rPr>
        <w:t xml:space="preserve">CCW 2011 </w:t>
      </w:r>
      <w:r w:rsidRPr="00742D4C">
        <w:rPr>
          <w:rFonts w:cstheme="minorHAnsi"/>
          <w:bCs/>
        </w:rPr>
        <w:t xml:space="preserve">Medicare Part A and Part B </w:t>
      </w:r>
      <w:r>
        <w:rPr>
          <w:rFonts w:cstheme="minorHAnsi"/>
          <w:bCs/>
        </w:rPr>
        <w:t xml:space="preserve">files to identify each patient’s risk factors </w:t>
      </w:r>
      <w:r w:rsidRPr="00742D4C">
        <w:rPr>
          <w:rFonts w:cstheme="minorHAnsi"/>
          <w:bCs/>
        </w:rPr>
        <w:t xml:space="preserve">for </w:t>
      </w:r>
      <w:r>
        <w:rPr>
          <w:rFonts w:cstheme="minorHAnsi"/>
          <w:bCs/>
        </w:rPr>
        <w:t xml:space="preserve">the outcome of acute, unplanned admissions per </w:t>
      </w:r>
      <w:r w:rsidRPr="00545747">
        <w:rPr>
          <w:rFonts w:cstheme="minorHAnsi"/>
          <w:bCs/>
        </w:rPr>
        <w:t>person-year</w:t>
      </w:r>
      <w:r>
        <w:rPr>
          <w:rFonts w:cstheme="minorHAnsi"/>
          <w:bCs/>
        </w:rPr>
        <w:t xml:space="preserve"> at risk for hospitalization. Our diabetes cohort is fully encompassed within this dataset of patients with at least one CCW chronic condition.</w:t>
      </w:r>
    </w:p>
    <w:p w14:paraId="72BCD652" w14:textId="4D9A1DDF" w:rsidR="001E263B" w:rsidRDefault="001E263B" w:rsidP="004767F9">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We used the 2011</w:t>
      </w:r>
      <w:r w:rsidR="00741795">
        <w:rPr>
          <w:rFonts w:cstheme="minorHAnsi"/>
          <w:bCs/>
        </w:rPr>
        <w:t>-2012</w:t>
      </w:r>
      <w:r>
        <w:rPr>
          <w:rFonts w:cstheme="minorHAnsi"/>
          <w:bCs/>
        </w:rPr>
        <w:t xml:space="preserve"> Denomina</w:t>
      </w:r>
      <w:r w:rsidR="0031329B">
        <w:rPr>
          <w:rFonts w:cstheme="minorHAnsi"/>
          <w:bCs/>
        </w:rPr>
        <w:t>tor File to determine Medicare F</w:t>
      </w:r>
      <w:r>
        <w:rPr>
          <w:rFonts w:cstheme="minorHAnsi"/>
          <w:bCs/>
        </w:rPr>
        <w:t>ee-for-</w:t>
      </w:r>
      <w:r w:rsidR="0031329B">
        <w:rPr>
          <w:rFonts w:cstheme="minorHAnsi"/>
          <w:bCs/>
        </w:rPr>
        <w:t>S</w:t>
      </w:r>
      <w:r>
        <w:rPr>
          <w:rFonts w:cstheme="minorHAnsi"/>
          <w:bCs/>
        </w:rPr>
        <w:t xml:space="preserve">ervice (FFS) enrollment, demographic, and death information for beneficiaries in our cohort in order to determine inclusion/exclusion criteria for the cohort. </w:t>
      </w:r>
    </w:p>
    <w:p w14:paraId="51770212" w14:textId="77777777" w:rsidR="001E263B" w:rsidRDefault="001E263B" w:rsidP="004767F9">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 xml:space="preserve">2. Medicare dataset to </w:t>
      </w:r>
      <w:r w:rsidRPr="00545747">
        <w:rPr>
          <w:rFonts w:cstheme="minorHAnsi"/>
          <w:bCs/>
          <w:u w:val="single"/>
        </w:rPr>
        <w:t>capture the outcome</w:t>
      </w:r>
      <w:r>
        <w:rPr>
          <w:rFonts w:cstheme="minorHAnsi"/>
          <w:bCs/>
        </w:rPr>
        <w:t xml:space="preserve"> (acute, unplanned admissions per </w:t>
      </w:r>
      <w:r w:rsidRPr="00545747">
        <w:rPr>
          <w:rFonts w:cstheme="minorHAnsi"/>
          <w:bCs/>
        </w:rPr>
        <w:t>person-years</w:t>
      </w:r>
      <w:r>
        <w:rPr>
          <w:rFonts w:cstheme="minorHAnsi"/>
          <w:bCs/>
        </w:rPr>
        <w:t xml:space="preserve"> at risk for hospitalization):</w:t>
      </w:r>
    </w:p>
    <w:p w14:paraId="5D975729" w14:textId="77777777" w:rsidR="001E263B" w:rsidRDefault="001E263B" w:rsidP="004767F9">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We used the 2012 Medicare Provider Analysis and Review (MedPAR) 100% FFS dataset, containing Medicare Part A claims, to identify the outcome of admissions.</w:t>
      </w:r>
    </w:p>
    <w:p w14:paraId="11F7ABF2" w14:textId="77777777" w:rsidR="001E263B" w:rsidRDefault="001E263B" w:rsidP="004767F9">
      <w:pPr>
        <w:pBdr>
          <w:top w:val="single" w:sz="4" w:space="1" w:color="auto"/>
          <w:left w:val="single" w:sz="4" w:space="4" w:color="auto"/>
          <w:bottom w:val="single" w:sz="4" w:space="0" w:color="auto"/>
          <w:right w:val="single" w:sz="4" w:space="4" w:color="auto"/>
        </w:pBdr>
        <w:spacing w:line="240" w:lineRule="auto"/>
        <w:rPr>
          <w:rFonts w:cstheme="minorHAnsi"/>
          <w:bCs/>
        </w:rPr>
      </w:pPr>
      <w:r>
        <w:rPr>
          <w:rFonts w:cstheme="minorHAnsi"/>
          <w:bCs/>
        </w:rPr>
        <w:lastRenderedPageBreak/>
        <w:t xml:space="preserve">We used the 2012 Denominator File to determine Medicare FFS enrollment, demographic (including 5-digit zip code), and death information for beneficiaries in the diabetes cohort to determine </w:t>
      </w:r>
      <w:r w:rsidRPr="00545747">
        <w:rPr>
          <w:rFonts w:cstheme="minorHAnsi"/>
          <w:bCs/>
        </w:rPr>
        <w:t>person-years</w:t>
      </w:r>
      <w:r>
        <w:rPr>
          <w:rFonts w:cstheme="minorHAnsi"/>
          <w:bCs/>
        </w:rPr>
        <w:t xml:space="preserve"> at risk for hospitalization.</w:t>
      </w:r>
    </w:p>
    <w:p w14:paraId="658C138A" w14:textId="77777777" w:rsidR="001E263B" w:rsidRDefault="001E263B" w:rsidP="004767F9">
      <w:pPr>
        <w:pBdr>
          <w:top w:val="single" w:sz="4" w:space="1" w:color="auto"/>
          <w:left w:val="single" w:sz="4" w:space="4" w:color="auto"/>
          <w:bottom w:val="single" w:sz="4" w:space="0" w:color="auto"/>
          <w:right w:val="single" w:sz="4" w:space="4" w:color="auto"/>
        </w:pBdr>
        <w:spacing w:line="240" w:lineRule="auto"/>
        <w:rPr>
          <w:rFonts w:cstheme="minorHAnsi"/>
          <w:bCs/>
        </w:rPr>
      </w:pPr>
      <w:r>
        <w:rPr>
          <w:rFonts w:cstheme="minorHAnsi"/>
          <w:bCs/>
        </w:rPr>
        <w:t xml:space="preserve">3. Dataset to identify assignment of patients </w:t>
      </w:r>
      <w:r w:rsidRPr="00EF024F">
        <w:rPr>
          <w:rFonts w:cstheme="minorHAnsi"/>
          <w:bCs/>
        </w:rPr>
        <w:t xml:space="preserve">to </w:t>
      </w:r>
      <w:r w:rsidRPr="00545747">
        <w:rPr>
          <w:rFonts w:cstheme="minorHAnsi"/>
          <w:bCs/>
          <w:u w:val="single"/>
        </w:rPr>
        <w:t>Accountable Care Organizations (ACOs)</w:t>
      </w:r>
      <w:r w:rsidRPr="00EF024F">
        <w:rPr>
          <w:rFonts w:cstheme="minorHAnsi"/>
          <w:bCs/>
        </w:rPr>
        <w:t>:</w:t>
      </w:r>
      <w:r>
        <w:rPr>
          <w:rFonts w:cstheme="minorHAnsi"/>
          <w:bCs/>
        </w:rPr>
        <w:t xml:space="preserve"> </w:t>
      </w:r>
    </w:p>
    <w:p w14:paraId="49D690EA" w14:textId="78A30E41" w:rsidR="001E263B" w:rsidRDefault="001E263B" w:rsidP="004767F9">
      <w:pPr>
        <w:pBdr>
          <w:top w:val="single" w:sz="4" w:space="1" w:color="auto"/>
          <w:left w:val="single" w:sz="4" w:space="4" w:color="auto"/>
          <w:bottom w:val="single" w:sz="4" w:space="0" w:color="auto"/>
          <w:right w:val="single" w:sz="4" w:space="4" w:color="auto"/>
        </w:pBdr>
        <w:spacing w:line="240" w:lineRule="auto"/>
        <w:rPr>
          <w:rFonts w:cstheme="minorHAnsi"/>
          <w:bCs/>
        </w:rPr>
      </w:pPr>
      <w:r>
        <w:rPr>
          <w:rFonts w:cstheme="minorHAnsi"/>
          <w:bCs/>
        </w:rPr>
        <w:t xml:space="preserve">We used a file provided by a CMS contractor to identify which Medicare FFS beneficiaries were assigned to each of 114 Medicare Shared Savings </w:t>
      </w:r>
      <w:r w:rsidR="00545747">
        <w:rPr>
          <w:rFonts w:cstheme="minorHAnsi"/>
          <w:bCs/>
        </w:rPr>
        <w:t xml:space="preserve">Program </w:t>
      </w:r>
      <w:r>
        <w:rPr>
          <w:rFonts w:cstheme="minorHAnsi"/>
          <w:bCs/>
        </w:rPr>
        <w:t>ACOs in the year 2012.</w:t>
      </w:r>
    </w:p>
    <w:p w14:paraId="47823D8B" w14:textId="2C6F589C" w:rsidR="001E263B" w:rsidRDefault="001E263B" w:rsidP="004767F9">
      <w:pPr>
        <w:pBdr>
          <w:top w:val="single" w:sz="4" w:space="1" w:color="auto"/>
          <w:left w:val="single" w:sz="4" w:space="4" w:color="auto"/>
          <w:bottom w:val="single" w:sz="4" w:space="0" w:color="auto"/>
          <w:right w:val="single" w:sz="4" w:space="4" w:color="auto"/>
        </w:pBdr>
        <w:spacing w:line="240" w:lineRule="auto"/>
        <w:rPr>
          <w:rFonts w:cstheme="minorHAnsi"/>
          <w:bCs/>
        </w:rPr>
      </w:pPr>
      <w:r>
        <w:rPr>
          <w:rFonts w:cstheme="minorHAnsi"/>
          <w:bCs/>
        </w:rPr>
        <w:t xml:space="preserve">4. Dataset to determine </w:t>
      </w:r>
      <w:r w:rsidRPr="00545747">
        <w:rPr>
          <w:rFonts w:cstheme="minorHAnsi"/>
          <w:bCs/>
          <w:u w:val="single"/>
        </w:rPr>
        <w:t>socioeconomic status</w:t>
      </w:r>
      <w:r>
        <w:rPr>
          <w:rFonts w:cstheme="minorHAnsi"/>
          <w:bCs/>
        </w:rPr>
        <w:t>:</w:t>
      </w:r>
    </w:p>
    <w:p w14:paraId="6A7FE3D9" w14:textId="77777777" w:rsidR="001E263B" w:rsidRDefault="001E263B" w:rsidP="004767F9">
      <w:pPr>
        <w:pBdr>
          <w:top w:val="single" w:sz="4" w:space="1" w:color="auto"/>
          <w:left w:val="single" w:sz="4" w:space="4" w:color="auto"/>
          <w:bottom w:val="single" w:sz="4" w:space="0" w:color="auto"/>
          <w:right w:val="single" w:sz="4" w:space="4" w:color="auto"/>
        </w:pBdr>
        <w:spacing w:line="240" w:lineRule="auto"/>
        <w:rPr>
          <w:rFonts w:cstheme="minorHAnsi"/>
          <w:bCs/>
        </w:rPr>
      </w:pPr>
      <w:r>
        <w:rPr>
          <w:rFonts w:cstheme="minorHAnsi"/>
          <w:bCs/>
        </w:rPr>
        <w:t>We used the 2008-2012 American Community Survey data from the United States (US) Census Bureau to derive the Agency for Healthcare Research and Quality (AHRQ) socioeconomic status (SES) index for each zip code in the US.</w:t>
      </w:r>
    </w:p>
    <w:p w14:paraId="4754DA51" w14:textId="2F492F80" w:rsidR="001E263B" w:rsidRDefault="00730FDE" w:rsidP="004767F9">
      <w:pPr>
        <w:pBdr>
          <w:top w:val="single" w:sz="4" w:space="1" w:color="auto"/>
          <w:left w:val="single" w:sz="4" w:space="4" w:color="auto"/>
          <w:bottom w:val="single" w:sz="4" w:space="0" w:color="auto"/>
          <w:right w:val="single" w:sz="4" w:space="4" w:color="auto"/>
        </w:pBdr>
        <w:spacing w:line="240" w:lineRule="auto"/>
        <w:rPr>
          <w:rFonts w:cstheme="minorHAnsi"/>
          <w:bCs/>
        </w:rPr>
      </w:pPr>
      <w:r>
        <w:rPr>
          <w:rFonts w:cstheme="minorHAnsi"/>
          <w:bCs/>
        </w:rPr>
        <w:t>5. Dataset</w:t>
      </w:r>
      <w:r w:rsidR="001E263B">
        <w:rPr>
          <w:rFonts w:cstheme="minorHAnsi"/>
          <w:bCs/>
        </w:rPr>
        <w:t xml:space="preserve"> to identify </w:t>
      </w:r>
      <w:r w:rsidR="001E263B" w:rsidRPr="00545747">
        <w:rPr>
          <w:rFonts w:cstheme="minorHAnsi"/>
          <w:bCs/>
          <w:u w:val="single"/>
        </w:rPr>
        <w:t>dual-eligibility status</w:t>
      </w:r>
      <w:r w:rsidR="001E263B">
        <w:rPr>
          <w:rFonts w:cstheme="minorHAnsi"/>
          <w:bCs/>
        </w:rPr>
        <w:t>:</w:t>
      </w:r>
    </w:p>
    <w:p w14:paraId="1D483124" w14:textId="77777777" w:rsidR="001E263B" w:rsidRDefault="001E263B" w:rsidP="004767F9">
      <w:pPr>
        <w:pBdr>
          <w:top w:val="single" w:sz="4" w:space="1" w:color="auto"/>
          <w:left w:val="single" w:sz="4" w:space="4" w:color="auto"/>
          <w:bottom w:val="single" w:sz="4" w:space="0" w:color="auto"/>
          <w:right w:val="single" w:sz="4" w:space="4" w:color="auto"/>
        </w:pBdr>
        <w:spacing w:line="240" w:lineRule="auto"/>
        <w:rPr>
          <w:rFonts w:cstheme="minorHAnsi"/>
          <w:bCs/>
        </w:rPr>
      </w:pPr>
      <w:r>
        <w:rPr>
          <w:rFonts w:cstheme="minorHAnsi"/>
          <w:bCs/>
        </w:rPr>
        <w:t>We used the 2012 Denominator File to identify dual-eligible Medicare FFS beneficiaries.</w:t>
      </w:r>
    </w:p>
    <w:p w14:paraId="0FE5EF83" w14:textId="7B033487" w:rsidR="001E263B" w:rsidRDefault="001E263B" w:rsidP="004767F9">
      <w:pPr>
        <w:pBdr>
          <w:top w:val="single" w:sz="4" w:space="1" w:color="auto"/>
          <w:left w:val="single" w:sz="4" w:space="4" w:color="auto"/>
          <w:bottom w:val="single" w:sz="4" w:space="0" w:color="auto"/>
          <w:right w:val="single" w:sz="4" w:space="4" w:color="auto"/>
        </w:pBdr>
        <w:spacing w:line="240" w:lineRule="auto"/>
        <w:rPr>
          <w:rFonts w:cstheme="minorHAnsi"/>
          <w:bCs/>
        </w:rPr>
      </w:pPr>
      <w:r w:rsidRPr="00E07C32">
        <w:t>The datasets used for testing vary by testing type; see Section 1.7 for details.</w:t>
      </w:r>
    </w:p>
    <w:p w14:paraId="05F73BA5" w14:textId="77777777" w:rsidR="009E1846" w:rsidRDefault="009E1846" w:rsidP="00EC4DB0">
      <w:pPr>
        <w:autoSpaceDE w:val="0"/>
        <w:autoSpaceDN w:val="0"/>
        <w:adjustRightInd w:val="0"/>
        <w:spacing w:after="0" w:line="240" w:lineRule="auto"/>
        <w:rPr>
          <w:rFonts w:cstheme="minorHAnsi"/>
          <w:b/>
        </w:rPr>
      </w:pPr>
    </w:p>
    <w:p w14:paraId="78B7DDC3" w14:textId="38C5D734" w:rsidR="0004593A" w:rsidRPr="00A25024" w:rsidRDefault="002B5016" w:rsidP="00EC4DB0">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18DDB039" w14:textId="5821C6B1" w:rsidR="001E263B" w:rsidRDefault="001E263B" w:rsidP="004767F9">
      <w:pPr>
        <w:pBdr>
          <w:top w:val="single" w:sz="4" w:space="1" w:color="auto"/>
          <w:left w:val="single" w:sz="4" w:space="4" w:color="auto"/>
          <w:bottom w:val="single" w:sz="4" w:space="1" w:color="auto"/>
          <w:right w:val="single" w:sz="4" w:space="4" w:color="auto"/>
        </w:pBdr>
        <w:spacing w:line="240" w:lineRule="auto"/>
      </w:pPr>
      <w:r>
        <w:t>We used data from 2010-201</w:t>
      </w:r>
      <w:r w:rsidR="0060280A">
        <w:t>2.</w:t>
      </w:r>
      <w:r>
        <w:t xml:space="preserve"> The dates of the data listed above are as follows:</w:t>
      </w:r>
    </w:p>
    <w:p w14:paraId="0BBE3561" w14:textId="77777777" w:rsidR="001E263B" w:rsidRDefault="001E263B" w:rsidP="004767F9">
      <w:pPr>
        <w:pBdr>
          <w:top w:val="single" w:sz="4" w:space="1" w:color="auto"/>
          <w:left w:val="single" w:sz="4" w:space="4" w:color="auto"/>
          <w:bottom w:val="single" w:sz="4" w:space="1" w:color="auto"/>
          <w:right w:val="single" w:sz="4" w:space="4" w:color="auto"/>
        </w:pBdr>
        <w:spacing w:line="240" w:lineRule="auto"/>
      </w:pPr>
      <w:r>
        <w:t>1. CCW 100% Medicare Parts A and B dataset: 2010-2011</w:t>
      </w:r>
    </w:p>
    <w:p w14:paraId="1B128655" w14:textId="77777777" w:rsidR="001E263B" w:rsidRDefault="001E263B" w:rsidP="004767F9">
      <w:pPr>
        <w:pBdr>
          <w:top w:val="single" w:sz="4" w:space="1" w:color="auto"/>
          <w:left w:val="single" w:sz="4" w:space="4" w:color="auto"/>
          <w:bottom w:val="single" w:sz="4" w:space="1" w:color="auto"/>
          <w:right w:val="single" w:sz="4" w:space="4" w:color="auto"/>
        </w:pBdr>
        <w:spacing w:line="240" w:lineRule="auto"/>
      </w:pPr>
      <w:r>
        <w:t>2. MedPAR dataset: 2012</w:t>
      </w:r>
    </w:p>
    <w:p w14:paraId="30B83848" w14:textId="77777777" w:rsidR="001E263B" w:rsidRDefault="001E263B" w:rsidP="004767F9">
      <w:pPr>
        <w:pBdr>
          <w:top w:val="single" w:sz="4" w:space="1" w:color="auto"/>
          <w:left w:val="single" w:sz="4" w:space="4" w:color="auto"/>
          <w:bottom w:val="single" w:sz="4" w:space="1" w:color="auto"/>
          <w:right w:val="single" w:sz="4" w:space="4" w:color="auto"/>
        </w:pBdr>
        <w:spacing w:line="240" w:lineRule="auto"/>
      </w:pPr>
      <w:r>
        <w:t>3. ACO assignment data: 2012</w:t>
      </w:r>
    </w:p>
    <w:p w14:paraId="2653EDFC" w14:textId="77777777" w:rsidR="001E263B" w:rsidRDefault="001E263B" w:rsidP="004767F9">
      <w:pPr>
        <w:pBdr>
          <w:top w:val="single" w:sz="4" w:space="1" w:color="auto"/>
          <w:left w:val="single" w:sz="4" w:space="4" w:color="auto"/>
          <w:bottom w:val="single" w:sz="4" w:space="1" w:color="auto"/>
          <w:right w:val="single" w:sz="4" w:space="4" w:color="auto"/>
        </w:pBdr>
        <w:spacing w:line="240" w:lineRule="auto"/>
      </w:pPr>
      <w:r>
        <w:t xml:space="preserve">4. US Census Bureau, American Community Survey dataset: 2008-2012 </w:t>
      </w:r>
    </w:p>
    <w:p w14:paraId="40C38437" w14:textId="77777777" w:rsidR="000574AB" w:rsidRDefault="000574AB" w:rsidP="00EC4DB0">
      <w:pPr>
        <w:autoSpaceDE w:val="0"/>
        <w:autoSpaceDN w:val="0"/>
        <w:adjustRightInd w:val="0"/>
        <w:spacing w:after="0" w:line="240" w:lineRule="auto"/>
        <w:rPr>
          <w:rFonts w:cstheme="minorHAnsi"/>
          <w:bCs/>
        </w:rPr>
      </w:pPr>
    </w:p>
    <w:p w14:paraId="27B40DEB" w14:textId="77777777" w:rsidR="000414E8" w:rsidRDefault="002B5016" w:rsidP="00EC4DB0">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EC4DB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EC4DB0">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EC4DB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77777777" w:rsidR="000414E8" w:rsidRPr="00A01494" w:rsidRDefault="00351877" w:rsidP="00EC4DB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4861D414" w14:textId="77777777" w:rsidR="000414E8" w:rsidRPr="00A01494" w:rsidRDefault="00351877" w:rsidP="00EC4DB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0414E8">
        <w:trPr>
          <w:jc w:val="center"/>
        </w:trPr>
        <w:tc>
          <w:tcPr>
            <w:tcW w:w="5027" w:type="dxa"/>
          </w:tcPr>
          <w:p w14:paraId="046A85D6" w14:textId="77777777" w:rsidR="000414E8" w:rsidRPr="00A01494" w:rsidRDefault="00351877" w:rsidP="00EC4DB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59D279B" w14:textId="77777777" w:rsidR="000414E8" w:rsidRPr="00A01494" w:rsidRDefault="00351877" w:rsidP="00EC4DB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0414E8">
        <w:trPr>
          <w:jc w:val="center"/>
        </w:trPr>
        <w:tc>
          <w:tcPr>
            <w:tcW w:w="5027" w:type="dxa"/>
          </w:tcPr>
          <w:p w14:paraId="532A4D7A" w14:textId="77777777" w:rsidR="000414E8" w:rsidRPr="00A01494" w:rsidRDefault="00351877" w:rsidP="00EC4DB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8EB19D0" w14:textId="77777777" w:rsidR="000414E8" w:rsidRPr="00A01494" w:rsidRDefault="00351877" w:rsidP="00EC4DB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77777777" w:rsidR="000414E8" w:rsidRPr="00A01494" w:rsidRDefault="00351877" w:rsidP="00EC4DB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36A27C1" w14:textId="77777777" w:rsidR="000414E8" w:rsidRPr="00A01494" w:rsidRDefault="00351877" w:rsidP="00EC4DB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0414E8">
        <w:trPr>
          <w:jc w:val="center"/>
        </w:trPr>
        <w:tc>
          <w:tcPr>
            <w:tcW w:w="5027" w:type="dxa"/>
          </w:tcPr>
          <w:p w14:paraId="5EA381A5" w14:textId="2DABB1D2" w:rsidR="000414E8" w:rsidRPr="00A01494" w:rsidRDefault="00351877" w:rsidP="00EC4DB0">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Content>
                <w:r w:rsidR="001E263B">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1E263B">
                  <w:rPr>
                    <w:rStyle w:val="Style1"/>
                  </w:rPr>
                  <w:t>ACO</w:t>
                </w:r>
              </w:sdtContent>
            </w:sdt>
          </w:p>
        </w:tc>
        <w:tc>
          <w:tcPr>
            <w:tcW w:w="5028" w:type="dxa"/>
          </w:tcPr>
          <w:p w14:paraId="41B17C78" w14:textId="76D22F08" w:rsidR="000414E8" w:rsidRPr="00A01494" w:rsidRDefault="00351877" w:rsidP="00EC4DB0">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Content>
                <w:r w:rsidR="001E263B">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1E263B">
                  <w:rPr>
                    <w:rStyle w:val="Style1"/>
                  </w:rPr>
                  <w:t>ACO</w:t>
                </w:r>
              </w:sdtContent>
            </w:sdt>
          </w:p>
        </w:tc>
      </w:tr>
    </w:tbl>
    <w:p w14:paraId="2A8A48DA" w14:textId="77777777" w:rsidR="000414E8" w:rsidRPr="00A25024" w:rsidRDefault="000414E8" w:rsidP="00EC4DB0">
      <w:pPr>
        <w:autoSpaceDE w:val="0"/>
        <w:autoSpaceDN w:val="0"/>
        <w:adjustRightInd w:val="0"/>
        <w:spacing w:after="0" w:line="240" w:lineRule="auto"/>
        <w:rPr>
          <w:rFonts w:cstheme="minorHAnsi"/>
          <w:bCs/>
        </w:rPr>
      </w:pPr>
    </w:p>
    <w:p w14:paraId="16198F24" w14:textId="02E78440" w:rsidR="002E78A0" w:rsidRDefault="002B5016" w:rsidP="00EC4DB0">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122C8171" w14:textId="3A7B2B94" w:rsidR="001E263B" w:rsidRPr="001E263B" w:rsidRDefault="001E263B" w:rsidP="004767F9">
      <w:pPr>
        <w:pBdr>
          <w:top w:val="single" w:sz="4" w:space="1" w:color="auto"/>
          <w:left w:val="single" w:sz="4" w:space="4" w:color="auto"/>
          <w:bottom w:val="single" w:sz="4" w:space="1" w:color="auto"/>
          <w:right w:val="single" w:sz="4" w:space="4" w:color="auto"/>
        </w:pBdr>
        <w:spacing w:line="240" w:lineRule="auto"/>
      </w:pPr>
      <w:r>
        <w:t>The number of measured entities (i.e., ACOs) varies by testing type; see Section 1.7 for details.</w:t>
      </w:r>
    </w:p>
    <w:p w14:paraId="6D95178A" w14:textId="77777777" w:rsidR="002B5016" w:rsidRPr="00A25024" w:rsidRDefault="002B5016" w:rsidP="00EC4DB0">
      <w:pPr>
        <w:autoSpaceDE w:val="0"/>
        <w:autoSpaceDN w:val="0"/>
        <w:adjustRightInd w:val="0"/>
        <w:spacing w:after="0" w:line="240" w:lineRule="auto"/>
        <w:rPr>
          <w:rFonts w:cstheme="minorHAnsi"/>
          <w:bCs/>
        </w:rPr>
      </w:pPr>
    </w:p>
    <w:p w14:paraId="15C637BA" w14:textId="77777777" w:rsidR="001E263B" w:rsidRDefault="002B5016" w:rsidP="00EC4DB0">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0BB50392" w14:textId="50D6A9D6" w:rsidR="007422FD" w:rsidRPr="001E263B" w:rsidRDefault="001E263B" w:rsidP="004767F9">
      <w:pPr>
        <w:pBdr>
          <w:top w:val="single" w:sz="4" w:space="1" w:color="auto"/>
          <w:left w:val="single" w:sz="4" w:space="4" w:color="auto"/>
          <w:bottom w:val="single" w:sz="4" w:space="1" w:color="auto"/>
          <w:right w:val="single" w:sz="4" w:space="4" w:color="auto"/>
        </w:pBdr>
        <w:spacing w:line="240" w:lineRule="auto"/>
      </w:pPr>
      <w:r>
        <w:t>The number of patients varies by testing type; see Section 1.7 for details.</w:t>
      </w:r>
    </w:p>
    <w:p w14:paraId="1902DE9A" w14:textId="2D5EB0C8" w:rsidR="0021054A" w:rsidRDefault="002B5016" w:rsidP="00EC4DB0">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430E4292" w14:textId="77777777" w:rsidR="001E263B" w:rsidRDefault="001E263B" w:rsidP="004767F9">
      <w:pPr>
        <w:pBdr>
          <w:top w:val="single" w:sz="4" w:space="1" w:color="auto"/>
          <w:left w:val="single" w:sz="4" w:space="4" w:color="auto"/>
          <w:bottom w:val="single" w:sz="4" w:space="1" w:color="auto"/>
          <w:right w:val="single" w:sz="4" w:space="4" w:color="auto"/>
        </w:pBdr>
        <w:spacing w:line="240" w:lineRule="auto"/>
      </w:pPr>
      <w:r>
        <w:t>As set forth in Section 1.2 above, we use Medicare claims and enrollment data to identify the cohort, to define the outcome, and to accumulate risk-adjustment variables. For measure development and testing, we created datasets using 2010-2012 Medicare data, using 2012 as the measurement year. The datasets, dates, number of measured entities and number of patients used in each type of testing are as follows:</w:t>
      </w:r>
    </w:p>
    <w:p w14:paraId="151CBDA6"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rPr>
          <w:b/>
        </w:rPr>
        <w:t xml:space="preserve">1) </w:t>
      </w:r>
      <w:r w:rsidRPr="00061D8A">
        <w:rPr>
          <w:b/>
        </w:rPr>
        <w:t>2012 Medicare Full Sample</w:t>
      </w:r>
      <w:r>
        <w:t xml:space="preserve"> </w:t>
      </w:r>
    </w:p>
    <w:p w14:paraId="0AA43E48" w14:textId="77777777" w:rsidR="001E263B" w:rsidRPr="00A12178" w:rsidRDefault="001E263B" w:rsidP="004767F9">
      <w:pPr>
        <w:pBdr>
          <w:top w:val="single" w:sz="4" w:space="1" w:color="auto"/>
          <w:left w:val="single" w:sz="4" w:space="4" w:color="auto"/>
          <w:bottom w:val="single" w:sz="4" w:space="1" w:color="auto"/>
          <w:right w:val="single" w:sz="4" w:space="4" w:color="auto"/>
        </w:pBdr>
        <w:spacing w:after="0" w:line="240" w:lineRule="auto"/>
      </w:pPr>
      <w:r w:rsidRPr="00A12178">
        <w:t xml:space="preserve">This sample includes the cohort of all Medicare FFS beneficiaries meeting our diabetes definition for the 2012 measurement year. The 2012 Medicare Full Sample includes 6,521,462 diabetes beneficiaries. Patients were mostly female (54.7%) with an average age of 76.4 years. There were 114 ACOs in the 2012 Medicare Full Sample. Among the 6,521,462 diabetes beneficiaries, </w:t>
      </w:r>
      <w:r w:rsidRPr="00A12178">
        <w:rPr>
          <w:rFonts w:ascii="Calibri" w:eastAsia="Times New Roman" w:hAnsi="Calibri" w:cs="Calibri"/>
          <w:color w:val="000000"/>
        </w:rPr>
        <w:t>341,193</w:t>
      </w:r>
      <w:r w:rsidRPr="00A12178">
        <w:t xml:space="preserve"> (</w:t>
      </w:r>
      <w:r w:rsidRPr="00A12178">
        <w:rPr>
          <w:rFonts w:ascii="Calibri" w:eastAsia="Times New Roman" w:hAnsi="Calibri" w:cs="Calibri"/>
          <w:color w:val="000000"/>
        </w:rPr>
        <w:t>5.2</w:t>
      </w:r>
      <w:r w:rsidRPr="00A12178">
        <w:t xml:space="preserve">%) were assigned to one of 114 ACOs. </w:t>
      </w:r>
    </w:p>
    <w:p w14:paraId="59F613BE" w14:textId="66C9B7AC" w:rsidR="001E263B" w:rsidRPr="00A12178" w:rsidRDefault="001E263B" w:rsidP="004767F9">
      <w:pPr>
        <w:pBdr>
          <w:top w:val="single" w:sz="4" w:space="1" w:color="auto"/>
          <w:left w:val="single" w:sz="4" w:space="4" w:color="auto"/>
          <w:bottom w:val="single" w:sz="4" w:space="1" w:color="auto"/>
          <w:right w:val="single" w:sz="4" w:space="4" w:color="auto"/>
        </w:pBdr>
        <w:spacing w:line="240" w:lineRule="auto"/>
      </w:pPr>
      <w:r w:rsidRPr="00A12178">
        <w:t>-Dataset used for: testing measure exclusions (see Section 2b3),</w:t>
      </w:r>
      <w:r w:rsidR="00294698">
        <w:t xml:space="preserve"> </w:t>
      </w:r>
      <w:r w:rsidR="007C7FDB">
        <w:t>m</w:t>
      </w:r>
      <w:r w:rsidRPr="00A12178">
        <w:t>eaningful differences in performance (see Section 2b5)</w:t>
      </w:r>
      <w:r w:rsidR="00545747">
        <w:t>, risk-adjustment model (Section 2b4.4b)</w:t>
      </w:r>
      <w:r w:rsidR="00351877">
        <w:t>, and all ACO measure score calculations</w:t>
      </w:r>
      <w:r w:rsidRPr="00A12178">
        <w:t xml:space="preserve"> </w:t>
      </w:r>
    </w:p>
    <w:p w14:paraId="506033B8" w14:textId="77777777" w:rsidR="001E263B" w:rsidRPr="00061D8A" w:rsidRDefault="001E263B" w:rsidP="004767F9">
      <w:pPr>
        <w:pBdr>
          <w:top w:val="single" w:sz="4" w:space="1" w:color="auto"/>
          <w:left w:val="single" w:sz="4" w:space="4" w:color="auto"/>
          <w:bottom w:val="single" w:sz="4" w:space="1" w:color="auto"/>
          <w:right w:val="single" w:sz="4" w:space="4" w:color="auto"/>
        </w:pBdr>
        <w:spacing w:line="240" w:lineRule="auto"/>
        <w:rPr>
          <w:i/>
        </w:rPr>
      </w:pPr>
      <w:r>
        <w:rPr>
          <w:i/>
        </w:rPr>
        <w:t>For model development and testing, w</w:t>
      </w:r>
      <w:r w:rsidRPr="00061D8A">
        <w:rPr>
          <w:i/>
        </w:rPr>
        <w:t>e randomly split the 2012 Medicare Full Sample into two equal subsets of patients: the 2012 Development Sample and 2012 Validation Sample (described below).</w:t>
      </w:r>
      <w:r>
        <w:rPr>
          <w:i/>
        </w:rPr>
        <w:t xml:space="preserve"> </w:t>
      </w:r>
    </w:p>
    <w:p w14:paraId="15ACEF91" w14:textId="77777777" w:rsidR="001E263B" w:rsidRPr="007E749C" w:rsidRDefault="001E263B" w:rsidP="004767F9">
      <w:pPr>
        <w:pBdr>
          <w:top w:val="single" w:sz="4" w:space="1" w:color="auto"/>
          <w:left w:val="single" w:sz="4" w:space="4" w:color="auto"/>
          <w:bottom w:val="single" w:sz="4" w:space="1" w:color="auto"/>
          <w:right w:val="single" w:sz="4" w:space="4" w:color="auto"/>
        </w:pBdr>
        <w:spacing w:after="0" w:line="240" w:lineRule="auto"/>
        <w:rPr>
          <w:b/>
        </w:rPr>
      </w:pPr>
      <w:r>
        <w:rPr>
          <w:b/>
        </w:rPr>
        <w:t xml:space="preserve">a) </w:t>
      </w:r>
      <w:r w:rsidRPr="00061D8A">
        <w:rPr>
          <w:b/>
        </w:rPr>
        <w:t>2012 Development Sample</w:t>
      </w:r>
    </w:p>
    <w:p w14:paraId="266F395C" w14:textId="1563D6C8" w:rsidR="001E263B" w:rsidRPr="007E749C" w:rsidRDefault="001E263B" w:rsidP="004767F9">
      <w:pPr>
        <w:pBdr>
          <w:top w:val="single" w:sz="4" w:space="1" w:color="auto"/>
          <w:left w:val="single" w:sz="4" w:space="4" w:color="auto"/>
          <w:bottom w:val="single" w:sz="4" w:space="1" w:color="auto"/>
          <w:right w:val="single" w:sz="4" w:space="4" w:color="auto"/>
        </w:pBdr>
        <w:spacing w:after="0" w:line="240" w:lineRule="auto"/>
      </w:pPr>
      <w:r w:rsidRPr="007E749C">
        <w:t xml:space="preserve">-This sample includes </w:t>
      </w:r>
      <w:r w:rsidR="00F620BE" w:rsidRPr="007E749C">
        <w:t>3,260,731</w:t>
      </w:r>
      <w:r w:rsidRPr="007E749C">
        <w:rPr>
          <w:rFonts w:ascii="Calibri" w:eastAsia="Times New Roman" w:hAnsi="Calibri" w:cs="Calibri"/>
          <w:color w:val="000000"/>
        </w:rPr>
        <w:t xml:space="preserve"> </w:t>
      </w:r>
      <w:r w:rsidRPr="007E749C">
        <w:t xml:space="preserve">patients with diabetes. Patients were mostly female (54.7%), with an average age of 76.4 years. There were 114 ACOs; </w:t>
      </w:r>
      <w:r w:rsidRPr="007E749C">
        <w:rPr>
          <w:rFonts w:ascii="Calibri" w:eastAsia="Times New Roman" w:hAnsi="Calibri" w:cs="Calibri"/>
          <w:color w:val="000000"/>
        </w:rPr>
        <w:t>170,390</w:t>
      </w:r>
      <w:r w:rsidRPr="007E749C" w:rsidDel="001D3E90">
        <w:t xml:space="preserve"> </w:t>
      </w:r>
      <w:r w:rsidRPr="007E749C">
        <w:t>(</w:t>
      </w:r>
      <w:r w:rsidRPr="007E749C">
        <w:rPr>
          <w:rFonts w:ascii="Calibri" w:eastAsia="Times New Roman" w:hAnsi="Calibri" w:cs="Calibri"/>
          <w:color w:val="000000"/>
        </w:rPr>
        <w:t>5.2%</w:t>
      </w:r>
      <w:r w:rsidRPr="007E749C">
        <w:t xml:space="preserve">) of patients in the 2012 Development Sample were assigned to ACOs. </w:t>
      </w:r>
    </w:p>
    <w:p w14:paraId="13F8544B" w14:textId="77777777" w:rsidR="001E263B" w:rsidRPr="007E749C" w:rsidRDefault="001E263B" w:rsidP="004767F9">
      <w:pPr>
        <w:pBdr>
          <w:top w:val="single" w:sz="4" w:space="1" w:color="auto"/>
          <w:left w:val="single" w:sz="4" w:space="4" w:color="auto"/>
          <w:bottom w:val="single" w:sz="4" w:space="1" w:color="auto"/>
          <w:right w:val="single" w:sz="4" w:space="4" w:color="auto"/>
        </w:pBdr>
        <w:spacing w:line="240" w:lineRule="auto"/>
      </w:pPr>
      <w:r w:rsidRPr="007E749C">
        <w:t>-Dataset used for: data element reliability (see Section 2a2.3), testing risk-adjustment model (see Section 2b4)</w:t>
      </w:r>
    </w:p>
    <w:p w14:paraId="38C67ADE" w14:textId="77777777" w:rsidR="001E263B" w:rsidRPr="007E749C" w:rsidRDefault="001E263B" w:rsidP="004767F9">
      <w:pPr>
        <w:pBdr>
          <w:top w:val="single" w:sz="4" w:space="1" w:color="auto"/>
          <w:left w:val="single" w:sz="4" w:space="4" w:color="auto"/>
          <w:bottom w:val="single" w:sz="4" w:space="1" w:color="auto"/>
          <w:right w:val="single" w:sz="4" w:space="4" w:color="auto"/>
        </w:pBdr>
        <w:spacing w:after="0" w:line="240" w:lineRule="auto"/>
        <w:rPr>
          <w:b/>
        </w:rPr>
      </w:pPr>
      <w:r w:rsidRPr="007E749C">
        <w:rPr>
          <w:b/>
        </w:rPr>
        <w:t>b) 2012 Validation Sample</w:t>
      </w:r>
    </w:p>
    <w:p w14:paraId="31646446" w14:textId="7C9D67F0" w:rsidR="001E263B" w:rsidRPr="007E749C" w:rsidRDefault="001E263B" w:rsidP="004767F9">
      <w:pPr>
        <w:pBdr>
          <w:top w:val="single" w:sz="4" w:space="1" w:color="auto"/>
          <w:left w:val="single" w:sz="4" w:space="4" w:color="auto"/>
          <w:bottom w:val="single" w:sz="4" w:space="1" w:color="auto"/>
          <w:right w:val="single" w:sz="4" w:space="4" w:color="auto"/>
        </w:pBdr>
        <w:spacing w:after="0" w:line="240" w:lineRule="auto"/>
      </w:pPr>
      <w:r w:rsidRPr="007E749C">
        <w:t xml:space="preserve">-This sample includes </w:t>
      </w:r>
      <w:r w:rsidR="00F620BE" w:rsidRPr="007E749C">
        <w:t>3,260,731</w:t>
      </w:r>
      <w:r w:rsidRPr="007E749C">
        <w:rPr>
          <w:rFonts w:ascii="Calibri" w:eastAsia="Times New Roman" w:hAnsi="Calibri" w:cs="Calibri"/>
          <w:color w:val="000000"/>
        </w:rPr>
        <w:t xml:space="preserve"> </w:t>
      </w:r>
      <w:r w:rsidRPr="007E749C">
        <w:t xml:space="preserve">patients with diabetes. Patients were mostly female (54.7%), with an average age of 76.4 years. There were 114 ACOs; </w:t>
      </w:r>
      <w:r w:rsidRPr="007E749C">
        <w:rPr>
          <w:rFonts w:ascii="Calibri" w:eastAsia="Times New Roman" w:hAnsi="Calibri" w:cs="Calibri"/>
          <w:color w:val="000000"/>
        </w:rPr>
        <w:t>170,803</w:t>
      </w:r>
      <w:r w:rsidRPr="007E749C" w:rsidDel="001D3E90">
        <w:t xml:space="preserve"> </w:t>
      </w:r>
      <w:r w:rsidRPr="007E749C">
        <w:t xml:space="preserve">(5.2%) of patients in the 2012 Validation Sample were assigned to ACOs.  </w:t>
      </w:r>
    </w:p>
    <w:p w14:paraId="7367B229" w14:textId="77777777" w:rsidR="001E263B" w:rsidRPr="007E749C" w:rsidRDefault="001E263B" w:rsidP="004767F9">
      <w:pPr>
        <w:pBdr>
          <w:top w:val="single" w:sz="4" w:space="1" w:color="auto"/>
          <w:left w:val="single" w:sz="4" w:space="4" w:color="auto"/>
          <w:bottom w:val="single" w:sz="4" w:space="1" w:color="auto"/>
          <w:right w:val="single" w:sz="4" w:space="4" w:color="auto"/>
        </w:pBdr>
        <w:spacing w:line="240" w:lineRule="auto"/>
      </w:pPr>
      <w:r w:rsidRPr="007E749C">
        <w:t>-Dataset used for: data element reliability (see Section 2a2.3), testing risk-adjustment model (see Section 2b4)</w:t>
      </w:r>
    </w:p>
    <w:p w14:paraId="6C2ABBD7" w14:textId="77777777" w:rsidR="001E263B" w:rsidRPr="00AB6D45" w:rsidRDefault="001E263B" w:rsidP="004767F9">
      <w:pPr>
        <w:pBdr>
          <w:top w:val="single" w:sz="4" w:space="1" w:color="auto"/>
          <w:left w:val="single" w:sz="4" w:space="4" w:color="auto"/>
          <w:bottom w:val="single" w:sz="4" w:space="1" w:color="auto"/>
          <w:right w:val="single" w:sz="4" w:space="4" w:color="auto"/>
        </w:pBdr>
        <w:spacing w:line="240" w:lineRule="auto"/>
        <w:rPr>
          <w:i/>
        </w:rPr>
      </w:pPr>
      <w:r>
        <w:rPr>
          <w:i/>
        </w:rPr>
        <w:t>W</w:t>
      </w:r>
      <w:r w:rsidRPr="00494E3A">
        <w:rPr>
          <w:i/>
        </w:rPr>
        <w:t xml:space="preserve">e </w:t>
      </w:r>
      <w:r>
        <w:rPr>
          <w:i/>
        </w:rPr>
        <w:t xml:space="preserve">also </w:t>
      </w:r>
      <w:r w:rsidRPr="00494E3A">
        <w:rPr>
          <w:i/>
        </w:rPr>
        <w:t xml:space="preserve">split the 2012 Medicare Full Sample into subsets of patients by randomly splitting each ACO’s </w:t>
      </w:r>
      <w:r w:rsidRPr="00AB6D45">
        <w:rPr>
          <w:i/>
        </w:rPr>
        <w:t xml:space="preserve">patients in half and then randomly splitting all non-ACO patients in half. </w:t>
      </w:r>
    </w:p>
    <w:p w14:paraId="3E750524" w14:textId="77777777" w:rsidR="001E263B" w:rsidRPr="00AB6D45" w:rsidRDefault="001E263B" w:rsidP="004767F9">
      <w:pPr>
        <w:pBdr>
          <w:top w:val="single" w:sz="4" w:space="1" w:color="auto"/>
          <w:left w:val="single" w:sz="4" w:space="4" w:color="auto"/>
          <w:bottom w:val="single" w:sz="4" w:space="1" w:color="auto"/>
          <w:right w:val="single" w:sz="4" w:space="4" w:color="auto"/>
        </w:pBdr>
        <w:spacing w:after="0" w:line="240" w:lineRule="auto"/>
        <w:rPr>
          <w:b/>
          <w:i/>
        </w:rPr>
      </w:pPr>
      <w:r w:rsidRPr="00AB6D45">
        <w:rPr>
          <w:b/>
        </w:rPr>
        <w:t>c)</w:t>
      </w:r>
      <w:r w:rsidRPr="00AB6D45">
        <w:rPr>
          <w:b/>
          <w:i/>
        </w:rPr>
        <w:t xml:space="preserve"> </w:t>
      </w:r>
      <w:r w:rsidRPr="00AB6D45">
        <w:rPr>
          <w:b/>
        </w:rPr>
        <w:t>2012</w:t>
      </w:r>
      <w:r>
        <w:rPr>
          <w:b/>
        </w:rPr>
        <w:t xml:space="preserve"> Reliability </w:t>
      </w:r>
      <w:r w:rsidRPr="00AB6D45">
        <w:rPr>
          <w:b/>
        </w:rPr>
        <w:t>Sample 1</w:t>
      </w:r>
    </w:p>
    <w:p w14:paraId="2A530E6C" w14:textId="77777777" w:rsidR="001E263B" w:rsidRPr="00AB6D45" w:rsidRDefault="001E263B" w:rsidP="004767F9">
      <w:pPr>
        <w:pBdr>
          <w:top w:val="single" w:sz="4" w:space="1" w:color="auto"/>
          <w:left w:val="single" w:sz="4" w:space="4" w:color="auto"/>
          <w:bottom w:val="single" w:sz="4" w:space="1" w:color="auto"/>
          <w:right w:val="single" w:sz="4" w:space="4" w:color="auto"/>
        </w:pBdr>
        <w:spacing w:after="0" w:line="240" w:lineRule="auto"/>
      </w:pPr>
      <w:r w:rsidRPr="00553FDD">
        <w:t>-2012 Reliability Sample 1 includes 3,260,759 pat</w:t>
      </w:r>
      <w:r>
        <w:t>ients with diabetes</w:t>
      </w:r>
      <w:r w:rsidRPr="00AB6D45">
        <w:t xml:space="preserve">. </w:t>
      </w:r>
      <w:r>
        <w:t xml:space="preserve">Patients were mostly female (54.7%), with an average age of </w:t>
      </w:r>
      <w:r w:rsidRPr="007E26F0">
        <w:t>76.4</w:t>
      </w:r>
      <w:r w:rsidRPr="0029365B">
        <w:t xml:space="preserve"> years.</w:t>
      </w:r>
      <w:r>
        <w:t xml:space="preserve"> 5.2</w:t>
      </w:r>
      <w:r w:rsidRPr="00AB6D45">
        <w:t>% of patients were assigned to ACOs.</w:t>
      </w:r>
    </w:p>
    <w:p w14:paraId="4F5CFEA1" w14:textId="77777777" w:rsidR="001E263B" w:rsidRPr="00AB6D45" w:rsidRDefault="001E263B" w:rsidP="004767F9">
      <w:pPr>
        <w:pBdr>
          <w:top w:val="single" w:sz="4" w:space="1" w:color="auto"/>
          <w:left w:val="single" w:sz="4" w:space="4" w:color="auto"/>
          <w:bottom w:val="single" w:sz="4" w:space="1" w:color="auto"/>
          <w:right w:val="single" w:sz="4" w:space="4" w:color="auto"/>
        </w:pBdr>
        <w:spacing w:line="240" w:lineRule="auto"/>
      </w:pPr>
      <w:r w:rsidRPr="00AB6D45">
        <w:t>-Dataset used for: measure score reliability (see Sections 2a2 and 2b2)</w:t>
      </w:r>
    </w:p>
    <w:p w14:paraId="3DA14593"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rPr>
          <w:b/>
        </w:rPr>
      </w:pPr>
      <w:r w:rsidRPr="00AB6D45">
        <w:rPr>
          <w:b/>
        </w:rPr>
        <w:lastRenderedPageBreak/>
        <w:t>d)</w:t>
      </w:r>
      <w:r w:rsidRPr="00AB6D45">
        <w:rPr>
          <w:b/>
          <w:i/>
        </w:rPr>
        <w:t xml:space="preserve"> </w:t>
      </w:r>
      <w:r w:rsidRPr="00AB6D45">
        <w:rPr>
          <w:b/>
        </w:rPr>
        <w:t xml:space="preserve">2012 </w:t>
      </w:r>
      <w:r>
        <w:rPr>
          <w:b/>
        </w:rPr>
        <w:t xml:space="preserve">Reliability </w:t>
      </w:r>
      <w:r w:rsidRPr="00AB6D45">
        <w:rPr>
          <w:b/>
        </w:rPr>
        <w:t>Sample 2</w:t>
      </w:r>
    </w:p>
    <w:p w14:paraId="6EF6DF22"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 xml:space="preserve">-2012 </w:t>
      </w:r>
      <w:r w:rsidRPr="004037A1">
        <w:t xml:space="preserve">Reliability Sample 2 </w:t>
      </w:r>
      <w:r>
        <w:t xml:space="preserve">includes </w:t>
      </w:r>
      <w:r w:rsidRPr="00735889">
        <w:t>3,260,703</w:t>
      </w:r>
      <w:r>
        <w:t xml:space="preserve"> patients with diabetes. Patients were mostly female (54.7%), with an average of </w:t>
      </w:r>
      <w:r w:rsidRPr="007E26F0">
        <w:t>76.4</w:t>
      </w:r>
      <w:r w:rsidRPr="0029365B">
        <w:t xml:space="preserve"> years</w:t>
      </w:r>
      <w:r>
        <w:t>; 5.2% of patients were assigned to ACOs.</w:t>
      </w:r>
    </w:p>
    <w:p w14:paraId="0FDB072D" w14:textId="77777777" w:rsidR="001E263B" w:rsidRDefault="001E263B" w:rsidP="004767F9">
      <w:pPr>
        <w:pBdr>
          <w:top w:val="single" w:sz="4" w:space="1" w:color="auto"/>
          <w:left w:val="single" w:sz="4" w:space="4" w:color="auto"/>
          <w:bottom w:val="single" w:sz="4" w:space="1" w:color="auto"/>
          <w:right w:val="single" w:sz="4" w:space="4" w:color="auto"/>
        </w:pBdr>
        <w:spacing w:line="240" w:lineRule="auto"/>
      </w:pPr>
      <w:r>
        <w:t>-Dataset used for: measure score reliability (see Sections 2a2 and 2b2)</w:t>
      </w:r>
    </w:p>
    <w:p w14:paraId="28DF458F" w14:textId="77777777" w:rsidR="00E37E1B" w:rsidRDefault="00E37E1B" w:rsidP="00EC4DB0">
      <w:pPr>
        <w:autoSpaceDE w:val="0"/>
        <w:autoSpaceDN w:val="0"/>
        <w:adjustRightInd w:val="0"/>
        <w:spacing w:after="0" w:line="240" w:lineRule="auto"/>
        <w:rPr>
          <w:rFonts w:cstheme="minorHAnsi"/>
          <w:bCs/>
        </w:rPr>
      </w:pPr>
    </w:p>
    <w:p w14:paraId="163C5B5A" w14:textId="77777777" w:rsidR="008C483C" w:rsidRDefault="008C483C" w:rsidP="00EC4DB0">
      <w:pPr>
        <w:autoSpaceDE w:val="0"/>
        <w:autoSpaceDN w:val="0"/>
        <w:adjustRightInd w:val="0"/>
        <w:spacing w:after="0" w:line="240" w:lineRule="auto"/>
        <w:rPr>
          <w:rFonts w:cstheme="minorHAnsi"/>
          <w:b/>
          <w:bCs/>
        </w:rPr>
      </w:pPr>
      <w:r w:rsidRPr="000B78C8">
        <w:rPr>
          <w:rFonts w:cstheme="minorHAnsi"/>
          <w:b/>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24894D09" w14:textId="77777777" w:rsidR="008C483C" w:rsidRDefault="008C483C" w:rsidP="00EC4DB0">
      <w:pPr>
        <w:autoSpaceDE w:val="0"/>
        <w:autoSpaceDN w:val="0"/>
        <w:adjustRightInd w:val="0"/>
        <w:spacing w:after="0" w:line="240" w:lineRule="auto"/>
        <w:rPr>
          <w:rFonts w:cstheme="minorHAnsi"/>
          <w:b/>
          <w:bCs/>
        </w:rPr>
      </w:pPr>
    </w:p>
    <w:p w14:paraId="425D14BB" w14:textId="1ED3C249" w:rsidR="008C483C" w:rsidRDefault="008C483C" w:rsidP="004767F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7301D">
        <w:rPr>
          <w:rFonts w:cstheme="minorHAnsi"/>
          <w:bCs/>
        </w:rPr>
        <w:t>We used two different indicators of Medicare beneficiaries’ socioeconomic status (SES): (1) the SES score of the patient’s five-digit zip code, adapted from the AHRQ SES Index, which was created for the purpose of characterizing the SES of Medicare beneficiaries and (2) the Medicaid dual-eligibility status of beneficiaries</w:t>
      </w:r>
      <w:r>
        <w:rPr>
          <w:rFonts w:cstheme="minorHAnsi"/>
          <w:bCs/>
        </w:rPr>
        <w:t xml:space="preserve"> [1]</w:t>
      </w:r>
      <w:r w:rsidR="007B2FAC">
        <w:rPr>
          <w:rFonts w:cstheme="minorHAnsi"/>
          <w:bCs/>
        </w:rPr>
        <w:t>.</w:t>
      </w:r>
      <w:r>
        <w:rPr>
          <w:rFonts w:cstheme="minorHAnsi"/>
          <w:bCs/>
        </w:rPr>
        <w:t xml:space="preserve"> Although race was available (as black or other) in the Medicare data, we chose not to further evaluate it based on our conceptual model and input from our </w:t>
      </w:r>
      <w:r w:rsidR="00BD4CE0">
        <w:rPr>
          <w:rFonts w:cstheme="minorHAnsi"/>
          <w:bCs/>
        </w:rPr>
        <w:t>T</w:t>
      </w:r>
      <w:r>
        <w:rPr>
          <w:rFonts w:cstheme="minorHAnsi"/>
          <w:bCs/>
        </w:rPr>
        <w:t xml:space="preserve">echnical </w:t>
      </w:r>
      <w:r w:rsidR="00BD4CE0">
        <w:rPr>
          <w:rFonts w:cstheme="minorHAnsi"/>
          <w:bCs/>
        </w:rPr>
        <w:t>E</w:t>
      </w:r>
      <w:r>
        <w:rPr>
          <w:rFonts w:cstheme="minorHAnsi"/>
          <w:bCs/>
        </w:rPr>
        <w:t xml:space="preserve">xpert </w:t>
      </w:r>
      <w:r w:rsidR="00BD4CE0">
        <w:rPr>
          <w:rFonts w:cstheme="minorHAnsi"/>
          <w:bCs/>
        </w:rPr>
        <w:t>P</w:t>
      </w:r>
      <w:r>
        <w:rPr>
          <w:rFonts w:cstheme="minorHAnsi"/>
          <w:bCs/>
        </w:rPr>
        <w:t>anel (TEP) and</w:t>
      </w:r>
      <w:r w:rsidRPr="00C7301D" w:rsidDel="002B3508">
        <w:rPr>
          <w:rFonts w:cstheme="minorHAnsi"/>
          <w:bCs/>
        </w:rPr>
        <w:t xml:space="preserve"> </w:t>
      </w:r>
      <w:r>
        <w:rPr>
          <w:rFonts w:cstheme="minorHAnsi"/>
          <w:bCs/>
        </w:rPr>
        <w:t>public comment.</w:t>
      </w:r>
    </w:p>
    <w:p w14:paraId="07F12832" w14:textId="77777777" w:rsidR="008C483C" w:rsidRPr="00C7301D" w:rsidRDefault="008C483C" w:rsidP="004767F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499FCCF9" w14:textId="54AF2576" w:rsidR="008C483C" w:rsidRDefault="008C483C" w:rsidP="004767F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7301D">
        <w:rPr>
          <w:rFonts w:cstheme="minorHAnsi"/>
          <w:bCs/>
        </w:rPr>
        <w:t>The AHRQ SES Index is based on seven neighborhood variables previously shown to contribute to SES and to be associated with outcomes. They are:  (1) median household income, (2) percentage of persons living below the federal poverty level, (3) percentage of persons who are aged &gt;16 years and in the labor force but not employed, (4) median value of owner-occupied homes, (5) percentage of persons aged &gt;25 years who completed at least a 12</w:t>
      </w:r>
      <w:r w:rsidR="007D004F" w:rsidRPr="007D004F">
        <w:rPr>
          <w:rFonts w:cstheme="minorHAnsi"/>
          <w:bCs/>
          <w:vertAlign w:val="superscript"/>
        </w:rPr>
        <w:t>th</w:t>
      </w:r>
      <w:r w:rsidR="007D004F">
        <w:rPr>
          <w:rFonts w:cstheme="minorHAnsi"/>
          <w:bCs/>
        </w:rPr>
        <w:t>-</w:t>
      </w:r>
      <w:r w:rsidRPr="00C7301D">
        <w:rPr>
          <w:rFonts w:cstheme="minorHAnsi"/>
          <w:bCs/>
        </w:rPr>
        <w:t>grade education, (6) percentage of persons aged &gt;25 years who completed at least four years of college, and (7) percentage of households that average one or more persons per room. The original AHRQ SES Index was der</w:t>
      </w:r>
      <w:r w:rsidR="00967FFE">
        <w:rPr>
          <w:rFonts w:cstheme="minorHAnsi"/>
          <w:bCs/>
        </w:rPr>
        <w:t>ived using data from the 2000 US</w:t>
      </w:r>
      <w:r w:rsidRPr="00C7301D">
        <w:rPr>
          <w:rFonts w:cstheme="minorHAnsi"/>
          <w:bCs/>
        </w:rPr>
        <w:t xml:space="preserve"> Census Bu</w:t>
      </w:r>
      <w:r w:rsidR="00967FFE">
        <w:rPr>
          <w:rFonts w:cstheme="minorHAnsi"/>
          <w:bCs/>
        </w:rPr>
        <w:t>reau and was calculated using US</w:t>
      </w:r>
      <w:r w:rsidRPr="00C7301D">
        <w:rPr>
          <w:rFonts w:cstheme="minorHAnsi"/>
          <w:bCs/>
        </w:rPr>
        <w:t xml:space="preserve"> Census Block data, which corresponded to Medicare beneficiaries’ nine-digit zip code. For this measure, we used data from the U</w:t>
      </w:r>
      <w:r w:rsidR="00967FFE">
        <w:rPr>
          <w:rFonts w:cstheme="minorHAnsi"/>
          <w:bCs/>
        </w:rPr>
        <w:t>S</w:t>
      </w:r>
      <w:r w:rsidRPr="00C7301D">
        <w:rPr>
          <w:rFonts w:cstheme="minorHAnsi"/>
          <w:bCs/>
        </w:rPr>
        <w:t xml:space="preserve"> Census Bureau, American Community Survey (2008-2012) and performed a principal component analysis to derive a composite SES index score for each five-digit zip code, which we then assigned to the patient based on their zip code of residence (i.e., the smallest unit by which we could identify Medicare beneficiaries’ home address). The AHRQ SES Index is a continuous variable whereby lower scores indicate lower SES zip codes and higher scores indicate higher SES zip codes. </w:t>
      </w:r>
    </w:p>
    <w:p w14:paraId="128738E3" w14:textId="77777777" w:rsidR="008C483C" w:rsidRPr="00C7301D" w:rsidRDefault="008C483C" w:rsidP="004767F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689E1A6E" w14:textId="77777777" w:rsidR="008C483C" w:rsidRDefault="008C483C" w:rsidP="004767F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7301D">
        <w:rPr>
          <w:rFonts w:cstheme="minorHAnsi"/>
          <w:bCs/>
        </w:rPr>
        <w:t xml:space="preserve">We created a dichotomous variable from the AHRQ SES index, stratifying zip code scores into ‘low SES’ and ‘non-low SES.’ Based on the distribution of the AHRQ SES index among the entire FFS Medicare population in the 5% Medicare FFS sample, we selected the lowest quintile to represent low SES. In this lowest quintile, 21.9% of beneficiaries were Medicaid dual-eligible, as compared with 13.7% in the second lowest quintile. </w:t>
      </w:r>
      <w:r>
        <w:rPr>
          <w:rFonts w:cstheme="minorHAnsi"/>
          <w:bCs/>
        </w:rPr>
        <w:t>We then categorized each patient as low or non-low SES based on the AHRQ score derived from their zip code of residence.</w:t>
      </w:r>
    </w:p>
    <w:p w14:paraId="1468D01F" w14:textId="77777777" w:rsidR="008C483C" w:rsidRPr="00C7301D" w:rsidRDefault="008C483C" w:rsidP="004767F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1404E6CB" w14:textId="77777777" w:rsidR="008C483C" w:rsidRPr="000B78C8" w:rsidRDefault="008C483C" w:rsidP="004767F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7301D">
        <w:rPr>
          <w:rFonts w:cstheme="minorHAnsi"/>
          <w:bCs/>
        </w:rPr>
        <w:t>Additionally, we categorized ACOs based on the proportion of low SES patients in their cohort into quartiles (first quartile [Q1] indicating few low SES patients, fourth quartile [Q4] indicating many low SES patients). Similarly, we categorized ACOs by the proportion of Medicaid dual-eligible patients in their cohort into ACOs caring for ‘few’ (Q1) and ‘many’ (Q4) Medicaid dual-eligible patients. For more information on the derivation of the AHRQ SES index and the selection of a low SES thresholds for patients and ACOs, see the Appendix E of the attached Appendix.</w:t>
      </w:r>
    </w:p>
    <w:p w14:paraId="1B16AFB2" w14:textId="77777777" w:rsidR="008C483C" w:rsidRDefault="008C483C" w:rsidP="00EC4DB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505F111C" w14:textId="6FFAE646" w:rsidR="008C483C" w:rsidRDefault="008C483C" w:rsidP="004767F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eastAsia="MS Mincho"/>
          <w:szCs w:val="24"/>
        </w:rPr>
      </w:pPr>
      <w:r>
        <w:rPr>
          <w:rFonts w:eastAsia="MS Mincho"/>
          <w:szCs w:val="24"/>
        </w:rPr>
        <w:lastRenderedPageBreak/>
        <w:t>We did not use race in our analyses s</w:t>
      </w:r>
      <w:r w:rsidRPr="00106C07">
        <w:rPr>
          <w:rFonts w:eastAsia="MS Mincho"/>
          <w:szCs w:val="24"/>
        </w:rPr>
        <w:t xml:space="preserve">ince differences in risk of admission among </w:t>
      </w:r>
      <w:r>
        <w:rPr>
          <w:rFonts w:eastAsia="MS Mincho"/>
          <w:szCs w:val="24"/>
        </w:rPr>
        <w:t>groups of different race</w:t>
      </w:r>
      <w:r w:rsidRPr="00106C07">
        <w:rPr>
          <w:rFonts w:eastAsia="MS Mincho"/>
          <w:szCs w:val="24"/>
        </w:rPr>
        <w:t xml:space="preserve"> should be captured in our risk-adjustment model (which includes age and comorbidities). Any remaining differences in the risk for hospitalization among patients of different race may represent</w:t>
      </w:r>
      <w:r>
        <w:rPr>
          <w:rFonts w:eastAsia="MS Mincho"/>
          <w:szCs w:val="24"/>
        </w:rPr>
        <w:t xml:space="preserve"> </w:t>
      </w:r>
      <w:r w:rsidRPr="00106C07">
        <w:rPr>
          <w:rFonts w:eastAsia="MS Mincho"/>
          <w:szCs w:val="24"/>
        </w:rPr>
        <w:t>disparities in care delivery and quality of care</w:t>
      </w:r>
      <w:r>
        <w:rPr>
          <w:rFonts w:eastAsia="MS Mincho"/>
          <w:szCs w:val="24"/>
        </w:rPr>
        <w:t>.</w:t>
      </w:r>
    </w:p>
    <w:p w14:paraId="6A204A04" w14:textId="77777777" w:rsidR="008C483C" w:rsidRDefault="008C483C" w:rsidP="004767F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eastAsia="MS Mincho"/>
          <w:szCs w:val="24"/>
        </w:rPr>
      </w:pPr>
    </w:p>
    <w:p w14:paraId="73C47C67" w14:textId="77777777" w:rsidR="008C483C" w:rsidRPr="00486CC7" w:rsidRDefault="008C483C" w:rsidP="004767F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eastAsia="MS Mincho"/>
          <w:szCs w:val="24"/>
          <w:u w:val="single"/>
        </w:rPr>
      </w:pPr>
      <w:r w:rsidRPr="00486CC7">
        <w:rPr>
          <w:rFonts w:eastAsia="MS Mincho"/>
          <w:szCs w:val="24"/>
          <w:u w:val="single"/>
        </w:rPr>
        <w:t>Citations</w:t>
      </w:r>
    </w:p>
    <w:p w14:paraId="53E56C69" w14:textId="784787AE" w:rsidR="008C483C" w:rsidRPr="00486CC7" w:rsidRDefault="008C483C" w:rsidP="004767F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Pr>
          <w:noProof/>
        </w:rPr>
        <w:t>1.</w:t>
      </w:r>
      <w:r w:rsidR="00902E55">
        <w:rPr>
          <w:noProof/>
        </w:rPr>
        <w:t xml:space="preserve"> </w:t>
      </w:r>
      <w:r>
        <w:rPr>
          <w:noProof/>
        </w:rPr>
        <w:t xml:space="preserve">Bonito A, Bann C, Eicheldinger C, Carpenter L. Creation of new race-ethnicity codes and socioeconomic status (SES) indicators for Medicare beneficiaries. </w:t>
      </w:r>
      <w:r w:rsidRPr="00486CC7">
        <w:rPr>
          <w:i/>
          <w:noProof/>
        </w:rPr>
        <w:t xml:space="preserve">Final Report, Sub-Task. </w:t>
      </w:r>
      <w:r>
        <w:rPr>
          <w:noProof/>
        </w:rPr>
        <w:t>2008;2.</w:t>
      </w:r>
    </w:p>
    <w:p w14:paraId="187C4E73" w14:textId="237CCEB0" w:rsidR="004348CC" w:rsidRPr="00E37E1B" w:rsidRDefault="008C483C" w:rsidP="00EC4DB0">
      <w:pPr>
        <w:autoSpaceDE w:val="0"/>
        <w:autoSpaceDN w:val="0"/>
        <w:adjustRightInd w:val="0"/>
        <w:spacing w:after="0" w:line="240" w:lineRule="auto"/>
        <w:rPr>
          <w:rFonts w:cstheme="minorHAnsi"/>
          <w:bCs/>
        </w:rPr>
      </w:pPr>
      <w:r>
        <w:rPr>
          <w:rFonts w:cstheme="minorHAnsi"/>
          <w:noProof/>
        </w:rPr>
        <w:t>___</w:t>
      </w:r>
      <w:r w:rsidR="00483E94">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EC4DB0">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9788F28" w14:textId="2FBD0C35" w:rsidR="001E263B" w:rsidRPr="001E263B" w:rsidRDefault="00E310B9" w:rsidP="00EC4DB0">
      <w:pPr>
        <w:autoSpaceDE w:val="0"/>
        <w:autoSpaceDN w:val="0"/>
        <w:adjustRightInd w:val="0"/>
        <w:spacing w:after="0" w:line="240" w:lineRule="auto"/>
        <w:rPr>
          <w:rFonts w:cstheme="minorHAnsi"/>
          <w:bCs/>
          <w:i/>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EC4DB0">
      <w:pPr>
        <w:autoSpaceDE w:val="0"/>
        <w:autoSpaceDN w:val="0"/>
        <w:adjustRightInd w:val="0"/>
        <w:spacing w:after="0" w:line="240" w:lineRule="auto"/>
        <w:rPr>
          <w:rFonts w:cstheme="minorHAnsi"/>
          <w:b/>
          <w:bCs/>
        </w:rPr>
      </w:pPr>
    </w:p>
    <w:p w14:paraId="0120D891" w14:textId="3B736B77" w:rsidR="001969C5" w:rsidRDefault="00092566" w:rsidP="00EC4DB0">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Content>
          <w:r w:rsidR="001E263B">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1E263B">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84AFFDD" w14:textId="77777777" w:rsidR="001E263B" w:rsidRDefault="001E263B" w:rsidP="004767F9">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u w:val="single"/>
        </w:rPr>
      </w:pPr>
      <w:r>
        <w:rPr>
          <w:rFonts w:asciiTheme="minorHAnsi" w:hAnsiTheme="minorHAnsi" w:cstheme="minorHAnsi"/>
          <w:iCs/>
          <w:sz w:val="22"/>
          <w:szCs w:val="20"/>
          <w:u w:val="single"/>
        </w:rPr>
        <w:t>Data Element Reliability</w:t>
      </w:r>
    </w:p>
    <w:p w14:paraId="40466CBF" w14:textId="77777777" w:rsidR="001E263B" w:rsidRPr="00D31B13" w:rsidRDefault="001E263B" w:rsidP="004767F9">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r w:rsidRPr="00D31B13">
        <w:rPr>
          <w:rFonts w:asciiTheme="minorHAnsi" w:hAnsiTheme="minorHAnsi" w:cstheme="minorHAnsi"/>
          <w:iCs/>
          <w:sz w:val="22"/>
          <w:szCs w:val="20"/>
        </w:rPr>
        <w:t>In constructing the measure in Medicare FFS patients, we aim</w:t>
      </w:r>
      <w:r>
        <w:rPr>
          <w:rFonts w:asciiTheme="minorHAnsi" w:hAnsiTheme="minorHAnsi" w:cstheme="minorHAnsi"/>
          <w:iCs/>
          <w:sz w:val="22"/>
          <w:szCs w:val="20"/>
        </w:rPr>
        <w:t>ed</w:t>
      </w:r>
      <w:r w:rsidRPr="00D31B13">
        <w:rPr>
          <w:rFonts w:asciiTheme="minorHAnsi" w:hAnsiTheme="minorHAnsi" w:cstheme="minorHAnsi"/>
          <w:iCs/>
          <w:sz w:val="22"/>
          <w:szCs w:val="20"/>
        </w:rPr>
        <w:t xml:space="preserve"> to utilize only those data elements from claims data that have both face validity and reliability. We avoid</w:t>
      </w:r>
      <w:r>
        <w:rPr>
          <w:rFonts w:asciiTheme="minorHAnsi" w:hAnsiTheme="minorHAnsi" w:cstheme="minorHAnsi"/>
          <w:iCs/>
          <w:sz w:val="22"/>
          <w:szCs w:val="20"/>
        </w:rPr>
        <w:t>ed</w:t>
      </w:r>
      <w:r w:rsidRPr="00D31B13">
        <w:rPr>
          <w:rFonts w:asciiTheme="minorHAnsi" w:hAnsiTheme="minorHAnsi" w:cstheme="minorHAnsi"/>
          <w:iCs/>
          <w:sz w:val="22"/>
          <w:szCs w:val="20"/>
        </w:rPr>
        <w:t xml:space="preserve"> the use of fields that are thought to be coded inconsistently across facilities. Specifically, we use</w:t>
      </w:r>
      <w:r>
        <w:rPr>
          <w:rFonts w:asciiTheme="minorHAnsi" w:hAnsiTheme="minorHAnsi" w:cstheme="minorHAnsi"/>
          <w:iCs/>
          <w:sz w:val="22"/>
          <w:szCs w:val="20"/>
        </w:rPr>
        <w:t>d</w:t>
      </w:r>
      <w:r w:rsidRPr="00D31B13">
        <w:rPr>
          <w:rFonts w:asciiTheme="minorHAnsi" w:hAnsiTheme="minorHAnsi" w:cstheme="minorHAnsi"/>
          <w:iCs/>
          <w:sz w:val="22"/>
          <w:szCs w:val="20"/>
        </w:rPr>
        <w:t xml:space="preserve"> fields that are consequential for payment an</w:t>
      </w:r>
      <w:r>
        <w:rPr>
          <w:rFonts w:asciiTheme="minorHAnsi" w:hAnsiTheme="minorHAnsi" w:cstheme="minorHAnsi"/>
          <w:iCs/>
          <w:sz w:val="22"/>
          <w:szCs w:val="20"/>
        </w:rPr>
        <w:t>d which are audited. We identified</w:t>
      </w:r>
      <w:r w:rsidRPr="00D31B13">
        <w:rPr>
          <w:rFonts w:asciiTheme="minorHAnsi" w:hAnsiTheme="minorHAnsi" w:cstheme="minorHAnsi"/>
          <w:iCs/>
          <w:sz w:val="22"/>
          <w:szCs w:val="20"/>
        </w:rPr>
        <w:t xml:space="preserve"> such variables through empiric analyses and our understanding of </w:t>
      </w:r>
      <w:r>
        <w:rPr>
          <w:rFonts w:asciiTheme="minorHAnsi" w:hAnsiTheme="minorHAnsi" w:cstheme="minorHAnsi"/>
          <w:iCs/>
          <w:sz w:val="22"/>
          <w:szCs w:val="20"/>
        </w:rPr>
        <w:t>the Centers for Medicare &amp; Medicaid Services (</w:t>
      </w:r>
      <w:r w:rsidRPr="00D31B13">
        <w:rPr>
          <w:rFonts w:asciiTheme="minorHAnsi" w:hAnsiTheme="minorHAnsi" w:cstheme="minorHAnsi"/>
          <w:iCs/>
          <w:sz w:val="22"/>
          <w:szCs w:val="20"/>
        </w:rPr>
        <w:t>CMS</w:t>
      </w:r>
      <w:r>
        <w:rPr>
          <w:rFonts w:asciiTheme="minorHAnsi" w:hAnsiTheme="minorHAnsi" w:cstheme="minorHAnsi"/>
          <w:iCs/>
          <w:sz w:val="22"/>
          <w:szCs w:val="20"/>
        </w:rPr>
        <w:t>)</w:t>
      </w:r>
      <w:r w:rsidRPr="00D31B13">
        <w:rPr>
          <w:rFonts w:asciiTheme="minorHAnsi" w:hAnsiTheme="minorHAnsi" w:cstheme="minorHAnsi"/>
          <w:iCs/>
          <w:sz w:val="22"/>
          <w:szCs w:val="20"/>
        </w:rPr>
        <w:t xml:space="preserve"> auditi</w:t>
      </w:r>
      <w:r>
        <w:rPr>
          <w:rFonts w:asciiTheme="minorHAnsi" w:hAnsiTheme="minorHAnsi" w:cstheme="minorHAnsi"/>
          <w:iCs/>
          <w:sz w:val="22"/>
          <w:szCs w:val="20"/>
        </w:rPr>
        <w:t>ng and billing policies. We sought</w:t>
      </w:r>
      <w:r w:rsidRPr="00D31B13">
        <w:rPr>
          <w:rFonts w:asciiTheme="minorHAnsi" w:hAnsiTheme="minorHAnsi" w:cstheme="minorHAnsi"/>
          <w:iCs/>
          <w:sz w:val="22"/>
          <w:szCs w:val="20"/>
        </w:rPr>
        <w:t xml:space="preserve"> to avoid variables w</w:t>
      </w:r>
      <w:r>
        <w:rPr>
          <w:rFonts w:asciiTheme="minorHAnsi" w:hAnsiTheme="minorHAnsi" w:cstheme="minorHAnsi"/>
          <w:iCs/>
          <w:sz w:val="22"/>
          <w:szCs w:val="20"/>
        </w:rPr>
        <w:t>hich do not meet these standards.</w:t>
      </w:r>
    </w:p>
    <w:p w14:paraId="68C6B357" w14:textId="77777777" w:rsidR="001E263B" w:rsidRPr="00D31B13" w:rsidRDefault="001E263B" w:rsidP="004767F9">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p>
    <w:p w14:paraId="29DB0AF7" w14:textId="77777777" w:rsidR="001E263B" w:rsidRPr="00D31B13" w:rsidRDefault="001E263B" w:rsidP="004767F9">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r w:rsidRPr="00D31B13">
        <w:rPr>
          <w:rFonts w:asciiTheme="minorHAnsi" w:hAnsiTheme="minorHAnsi" w:cstheme="minorHAnsi"/>
          <w:iCs/>
          <w:sz w:val="22"/>
          <w:szCs w:val="20"/>
        </w:rPr>
        <w:t>In addition, CMS has in place several hospital auditing</w:t>
      </w:r>
      <w:r>
        <w:rPr>
          <w:rFonts w:asciiTheme="minorHAnsi" w:hAnsiTheme="minorHAnsi" w:cstheme="minorHAnsi"/>
          <w:iCs/>
          <w:sz w:val="22"/>
          <w:szCs w:val="20"/>
        </w:rPr>
        <w:t xml:space="preserve"> programs used to assess overall accuracy of claims-based coding</w:t>
      </w:r>
      <w:r w:rsidRPr="00D31B13">
        <w:rPr>
          <w:rFonts w:asciiTheme="minorHAnsi" w:hAnsiTheme="minorHAnsi" w:cstheme="minorHAnsi"/>
          <w:iCs/>
          <w:sz w:val="22"/>
          <w:szCs w:val="20"/>
        </w:rPr>
        <w:t xml:space="preserve">, to ensure appropriate billing, and for overpayment recoupment. CMS routinely conducts data analysis to identify potential problem areas and </w:t>
      </w:r>
      <w:r>
        <w:rPr>
          <w:rFonts w:asciiTheme="minorHAnsi" w:hAnsiTheme="minorHAnsi" w:cstheme="minorHAnsi"/>
          <w:iCs/>
          <w:sz w:val="22"/>
          <w:szCs w:val="20"/>
        </w:rPr>
        <w:t xml:space="preserve">to </w:t>
      </w:r>
      <w:r w:rsidRPr="00D31B13">
        <w:rPr>
          <w:rFonts w:asciiTheme="minorHAnsi" w:hAnsiTheme="minorHAnsi" w:cstheme="minorHAnsi"/>
          <w:iCs/>
          <w:sz w:val="22"/>
          <w:szCs w:val="20"/>
        </w:rPr>
        <w:t xml:space="preserve">detect fraud, and audits important data fields used in our measures, including diagnosis and procedure codes and other elements that are consequential to payment. </w:t>
      </w:r>
    </w:p>
    <w:p w14:paraId="534070F5" w14:textId="77777777" w:rsidR="001E263B" w:rsidRPr="00D31B13" w:rsidRDefault="001E263B" w:rsidP="004767F9">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p>
    <w:p w14:paraId="6A3A4EED" w14:textId="77777777" w:rsidR="001E263B" w:rsidRPr="008C483C" w:rsidRDefault="001E263B" w:rsidP="004767F9">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r w:rsidRPr="008C483C">
        <w:rPr>
          <w:rFonts w:asciiTheme="minorHAnsi" w:hAnsiTheme="minorHAnsi" w:cstheme="minorHAnsi"/>
          <w:iCs/>
          <w:sz w:val="22"/>
          <w:szCs w:val="20"/>
        </w:rPr>
        <w:t>Finally, we assessed the reliability of the data elements by comparing model variable frequencies in our 2012 Development Sample and 2012 Validation Sample.</w:t>
      </w:r>
    </w:p>
    <w:p w14:paraId="59F2D7D3" w14:textId="77777777" w:rsidR="001E263B" w:rsidRDefault="001E263B" w:rsidP="004767F9">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u w:val="single"/>
        </w:rPr>
      </w:pPr>
    </w:p>
    <w:p w14:paraId="544EB1E9" w14:textId="77777777" w:rsidR="001E263B" w:rsidRPr="002E044B" w:rsidRDefault="001E263B" w:rsidP="004767F9">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u w:val="single"/>
        </w:rPr>
      </w:pPr>
      <w:r w:rsidRPr="0000294A">
        <w:rPr>
          <w:rFonts w:asciiTheme="minorHAnsi" w:hAnsiTheme="minorHAnsi" w:cstheme="minorHAnsi"/>
          <w:iCs/>
          <w:sz w:val="22"/>
          <w:szCs w:val="20"/>
          <w:u w:val="single"/>
        </w:rPr>
        <w:t>Measure Score Reliability</w:t>
      </w:r>
    </w:p>
    <w:p w14:paraId="6A0C25F0" w14:textId="77777777" w:rsidR="001E263B" w:rsidRPr="008C483C" w:rsidRDefault="001E263B" w:rsidP="004767F9">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2"/>
        </w:rPr>
      </w:pPr>
      <w:r w:rsidRPr="001D4CB6">
        <w:rPr>
          <w:rFonts w:asciiTheme="minorHAnsi" w:hAnsiTheme="minorHAnsi" w:cstheme="minorHAnsi"/>
          <w:iCs/>
          <w:sz w:val="22"/>
          <w:szCs w:val="22"/>
        </w:rPr>
        <w:t xml:space="preserve">The reliability of a measurement can be defined as the degree to which repeated measurements of the same entity agree with </w:t>
      </w:r>
      <w:r>
        <w:rPr>
          <w:rFonts w:asciiTheme="minorHAnsi" w:hAnsiTheme="minorHAnsi" w:cstheme="minorHAnsi"/>
          <w:iCs/>
          <w:sz w:val="22"/>
          <w:szCs w:val="22"/>
        </w:rPr>
        <w:t>one</w:t>
      </w:r>
      <w:r w:rsidRPr="001D4CB6">
        <w:rPr>
          <w:rFonts w:asciiTheme="minorHAnsi" w:hAnsiTheme="minorHAnsi" w:cstheme="minorHAnsi"/>
          <w:iCs/>
          <w:sz w:val="22"/>
          <w:szCs w:val="22"/>
        </w:rPr>
        <w:t xml:space="preserve"> </w:t>
      </w:r>
      <w:r>
        <w:rPr>
          <w:rFonts w:asciiTheme="minorHAnsi" w:hAnsiTheme="minorHAnsi" w:cstheme="minorHAnsi"/>
          <w:iCs/>
          <w:sz w:val="22"/>
          <w:szCs w:val="22"/>
        </w:rPr>
        <w:t>an</w:t>
      </w:r>
      <w:r w:rsidRPr="001D4CB6">
        <w:rPr>
          <w:rFonts w:asciiTheme="minorHAnsi" w:hAnsiTheme="minorHAnsi" w:cstheme="minorHAnsi"/>
          <w:iCs/>
          <w:sz w:val="22"/>
          <w:szCs w:val="22"/>
        </w:rPr>
        <w:t xml:space="preserve">other. For </w:t>
      </w:r>
      <w:r>
        <w:rPr>
          <w:rFonts w:asciiTheme="minorHAnsi" w:hAnsiTheme="minorHAnsi" w:cstheme="minorHAnsi"/>
          <w:iCs/>
          <w:sz w:val="22"/>
          <w:szCs w:val="22"/>
        </w:rPr>
        <w:t xml:space="preserve">our </w:t>
      </w:r>
      <w:r w:rsidRPr="001D4CB6">
        <w:rPr>
          <w:rFonts w:asciiTheme="minorHAnsi" w:hAnsiTheme="minorHAnsi" w:cstheme="minorHAnsi"/>
          <w:iCs/>
          <w:sz w:val="22"/>
          <w:szCs w:val="22"/>
        </w:rPr>
        <w:t>mea</w:t>
      </w:r>
      <w:r w:rsidRPr="008C483C">
        <w:rPr>
          <w:rFonts w:asciiTheme="minorHAnsi" w:hAnsiTheme="minorHAnsi" w:cstheme="minorHAnsi"/>
          <w:iCs/>
          <w:sz w:val="22"/>
          <w:szCs w:val="22"/>
        </w:rPr>
        <w:t>sures of facility performance, the measured entity is the ACO, and reliability is the extent to which repeated measurements of the same ACO give similar results [1].</w:t>
      </w:r>
    </w:p>
    <w:p w14:paraId="6F185069" w14:textId="77777777" w:rsidR="001E263B" w:rsidRPr="008C483C" w:rsidRDefault="001E263B" w:rsidP="004767F9">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2"/>
        </w:rPr>
      </w:pPr>
    </w:p>
    <w:p w14:paraId="12D1BF63" w14:textId="7A0BA319" w:rsidR="001E263B" w:rsidRPr="008C483C" w:rsidRDefault="001E263B" w:rsidP="004767F9">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2"/>
        </w:rPr>
      </w:pPr>
      <w:r w:rsidRPr="008C483C">
        <w:rPr>
          <w:rFonts w:asciiTheme="minorHAnsi" w:hAnsiTheme="minorHAnsi" w:cstheme="minorHAnsi"/>
          <w:iCs/>
          <w:sz w:val="22"/>
          <w:szCs w:val="22"/>
        </w:rPr>
        <w:t xml:space="preserve">To calculate measure score reliability, we randomly sampled half of the patients from each ACO and half of the patients who were not in ACOs from the 2012 Medicare Full Sample (2012 Reliability Sample 1 </w:t>
      </w:r>
      <w:r w:rsidRPr="008C483C">
        <w:rPr>
          <w:rFonts w:asciiTheme="minorHAnsi" w:hAnsiTheme="minorHAnsi" w:cstheme="minorHAnsi"/>
          <w:iCs/>
          <w:sz w:val="22"/>
          <w:szCs w:val="22"/>
        </w:rPr>
        <w:lastRenderedPageBreak/>
        <w:t xml:space="preserve">and 2012 Reliability Sample 2). We calculated the measure score for all the ACOs using data from ACO and non-ACO patients, and repeated the calculation using the second half of patients. Thus, each ACO was measured twice, but each measurement was made using an entirely distinct set of patients. To the extent that the calculated measures of these two subsets agree, we have evidence that the measure is assessing an attribute of the ACO, not of the patients. As a metric of agreement, we calculated the intraclass correlation coefficient (ICC) [2], and assessed the values according to conventional standards [3]. The agreement of the two risk-standardized acute admission rates was quantified for ACOs in each sample using the ICC (2,1) by Shrout and Fleiss [2]. </w:t>
      </w:r>
    </w:p>
    <w:p w14:paraId="13A7FA88" w14:textId="77777777" w:rsidR="001E263B" w:rsidRPr="008C483C" w:rsidRDefault="001E263B" w:rsidP="004767F9">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p>
    <w:p w14:paraId="2E42E469" w14:textId="77777777" w:rsidR="001E263B" w:rsidRPr="008C483C" w:rsidRDefault="001E263B" w:rsidP="004767F9">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r w:rsidRPr="008C483C">
        <w:rPr>
          <w:rFonts w:asciiTheme="minorHAnsi" w:hAnsiTheme="minorHAnsi" w:cstheme="minorHAnsi"/>
          <w:iCs/>
          <w:sz w:val="22"/>
          <w:szCs w:val="20"/>
          <w:u w:val="single"/>
        </w:rPr>
        <w:t>Citations</w:t>
      </w:r>
    </w:p>
    <w:p w14:paraId="5741620A" w14:textId="77777777" w:rsidR="001E263B" w:rsidRPr="008C483C" w:rsidRDefault="001E263B" w:rsidP="004767F9">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r w:rsidRPr="008C483C">
        <w:rPr>
          <w:rFonts w:asciiTheme="minorHAnsi" w:hAnsiTheme="minorHAnsi" w:cstheme="minorHAnsi"/>
          <w:iCs/>
          <w:sz w:val="22"/>
          <w:szCs w:val="20"/>
        </w:rPr>
        <w:t>1. Rousson V, Gasser T, Seifert B. Assessing intrarater, interrater and test–retest reliability of continuous measurements. Statistics in Medicine 2002;21:3431-3446.</w:t>
      </w:r>
    </w:p>
    <w:p w14:paraId="025B07EE" w14:textId="77777777" w:rsidR="001E263B" w:rsidRPr="008C483C" w:rsidRDefault="001E263B" w:rsidP="004767F9">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p>
    <w:p w14:paraId="794BF752" w14:textId="77777777" w:rsidR="001E263B" w:rsidRPr="008C483C" w:rsidRDefault="001E263B" w:rsidP="004767F9">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r w:rsidRPr="008C483C">
        <w:rPr>
          <w:rFonts w:asciiTheme="minorHAnsi" w:hAnsiTheme="minorHAnsi" w:cstheme="minorHAnsi"/>
          <w:iCs/>
          <w:sz w:val="22"/>
          <w:szCs w:val="20"/>
        </w:rPr>
        <w:t>2. Shrout P, Fleiss J. Intraclass correlations: uses in assessing rater reliability. Psychological Bulletin 1979;86:420-428.</w:t>
      </w:r>
    </w:p>
    <w:p w14:paraId="725BF807" w14:textId="77777777" w:rsidR="001E263B" w:rsidRPr="008C483C" w:rsidRDefault="001E263B" w:rsidP="004767F9">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p>
    <w:p w14:paraId="028A1D48" w14:textId="3D25C776" w:rsidR="001E263B" w:rsidRPr="001E263B" w:rsidRDefault="001E263B" w:rsidP="004767F9">
      <w:pPr>
        <w:pStyle w:val="CM23"/>
        <w:pBdr>
          <w:top w:val="single" w:sz="4" w:space="1" w:color="auto"/>
          <w:left w:val="single" w:sz="4" w:space="0" w:color="auto"/>
          <w:bottom w:val="single" w:sz="4" w:space="1" w:color="auto"/>
          <w:right w:val="single" w:sz="4" w:space="1" w:color="auto"/>
        </w:pBdr>
        <w:spacing w:before="0"/>
      </w:pPr>
      <w:r>
        <w:rPr>
          <w:rFonts w:asciiTheme="minorHAnsi" w:hAnsiTheme="minorHAnsi" w:cstheme="minorHAnsi"/>
          <w:iCs/>
          <w:sz w:val="22"/>
          <w:szCs w:val="20"/>
        </w:rPr>
        <w:t xml:space="preserve">3. </w:t>
      </w:r>
      <w:r w:rsidRPr="00D0367A">
        <w:rPr>
          <w:rFonts w:asciiTheme="minorHAnsi" w:hAnsiTheme="minorHAnsi" w:cstheme="minorHAnsi"/>
          <w:iCs/>
          <w:sz w:val="22"/>
          <w:szCs w:val="20"/>
        </w:rPr>
        <w:t>Landis J, Koch G, The measurement of observer agreement for categorical data. Biometrics 1977;33:159-174.</w:t>
      </w:r>
    </w:p>
    <w:p w14:paraId="6420D8D0" w14:textId="77777777" w:rsidR="008C54A9" w:rsidRPr="00A25024" w:rsidRDefault="008C54A9" w:rsidP="00EC4DB0">
      <w:pPr>
        <w:autoSpaceDE w:val="0"/>
        <w:autoSpaceDN w:val="0"/>
        <w:adjustRightInd w:val="0"/>
        <w:spacing w:after="0" w:line="240" w:lineRule="auto"/>
        <w:rPr>
          <w:rFonts w:cstheme="minorHAnsi"/>
          <w:bCs/>
        </w:rPr>
      </w:pPr>
    </w:p>
    <w:p w14:paraId="3076A8E5" w14:textId="77777777" w:rsidR="001E263B" w:rsidRDefault="00092566" w:rsidP="00EC4DB0">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76665DE2" w14:textId="77777777" w:rsidR="001E263B" w:rsidRDefault="001E263B" w:rsidP="00EC4DB0">
      <w:pPr>
        <w:tabs>
          <w:tab w:val="left" w:pos="3555"/>
        </w:tabs>
        <w:spacing w:line="240" w:lineRule="auto"/>
        <w:rPr>
          <w:u w:val="single"/>
        </w:rPr>
      </w:pPr>
      <w:r>
        <w:rPr>
          <w:u w:val="single"/>
        </w:rPr>
        <w:t>Data Element Reliability:</w:t>
      </w:r>
    </w:p>
    <w:p w14:paraId="502C9EB0" w14:textId="77777777" w:rsidR="001E263B" w:rsidRDefault="001E263B" w:rsidP="00EC4DB0">
      <w:pPr>
        <w:pStyle w:val="Caption"/>
        <w:keepNext/>
        <w:spacing w:after="0"/>
        <w:rPr>
          <w:color w:val="000000" w:themeColor="text1"/>
          <w:sz w:val="22"/>
          <w:szCs w:val="22"/>
        </w:rPr>
      </w:pPr>
      <w:r>
        <w:rPr>
          <w:color w:val="000000" w:themeColor="text1"/>
          <w:sz w:val="22"/>
          <w:szCs w:val="22"/>
        </w:rPr>
        <w:t xml:space="preserve">Table </w:t>
      </w:r>
      <w:r>
        <w:rPr>
          <w:color w:val="000000" w:themeColor="text1"/>
          <w:sz w:val="22"/>
          <w:szCs w:val="22"/>
        </w:rPr>
        <w:fldChar w:fldCharType="begin"/>
      </w:r>
      <w:r>
        <w:rPr>
          <w:color w:val="000000" w:themeColor="text1"/>
          <w:sz w:val="22"/>
          <w:szCs w:val="22"/>
        </w:rPr>
        <w:instrText xml:space="preserve"> SEQ Table \* ARABIC </w:instrText>
      </w:r>
      <w:r>
        <w:rPr>
          <w:color w:val="000000" w:themeColor="text1"/>
          <w:sz w:val="22"/>
          <w:szCs w:val="22"/>
        </w:rPr>
        <w:fldChar w:fldCharType="separate"/>
      </w:r>
      <w:r>
        <w:rPr>
          <w:noProof/>
          <w:color w:val="000000" w:themeColor="text1"/>
          <w:sz w:val="22"/>
          <w:szCs w:val="22"/>
        </w:rPr>
        <w:t>1</w:t>
      </w:r>
      <w:r>
        <w:rPr>
          <w:color w:val="000000" w:themeColor="text1"/>
          <w:sz w:val="22"/>
          <w:szCs w:val="22"/>
        </w:rPr>
        <w:fldChar w:fldCharType="end"/>
      </w:r>
      <w:r>
        <w:rPr>
          <w:color w:val="000000" w:themeColor="text1"/>
          <w:sz w:val="22"/>
          <w:szCs w:val="22"/>
        </w:rPr>
        <w:t>. Risk variable frequencies for 2012 Development Sample and 2012 Validation Sample</w:t>
      </w:r>
    </w:p>
    <w:tbl>
      <w:tblPr>
        <w:tblW w:w="955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3055"/>
        <w:gridCol w:w="2818"/>
      </w:tblGrid>
      <w:tr w:rsidR="001E263B" w:rsidRPr="00001C1A" w14:paraId="5BC368CE" w14:textId="77777777" w:rsidTr="001E263B">
        <w:trPr>
          <w:trHeight w:val="305"/>
          <w:tblHeader/>
        </w:trPr>
        <w:tc>
          <w:tcPr>
            <w:tcW w:w="3682" w:type="dxa"/>
            <w:tcBorders>
              <w:top w:val="nil"/>
              <w:left w:val="nil"/>
              <w:bottom w:val="nil"/>
              <w:right w:val="single" w:sz="4" w:space="0" w:color="auto"/>
            </w:tcBorders>
            <w:shd w:val="clear" w:color="auto" w:fill="auto"/>
            <w:noWrap/>
            <w:vAlign w:val="center"/>
          </w:tcPr>
          <w:p w14:paraId="5AD09BE1" w14:textId="77777777" w:rsidR="001E263B" w:rsidRPr="00001C1A" w:rsidRDefault="001E263B" w:rsidP="00EC4DB0">
            <w:pPr>
              <w:spacing w:after="0" w:line="240" w:lineRule="auto"/>
              <w:rPr>
                <w:rFonts w:ascii="Calibri" w:eastAsia="Times New Roman" w:hAnsi="Calibri" w:cs="Calibri"/>
                <w:color w:val="000000"/>
              </w:rPr>
            </w:pPr>
          </w:p>
        </w:tc>
        <w:tc>
          <w:tcPr>
            <w:tcW w:w="5873" w:type="dxa"/>
            <w:gridSpan w:val="2"/>
            <w:tcBorders>
              <w:left w:val="single" w:sz="4" w:space="0" w:color="auto"/>
            </w:tcBorders>
            <w:shd w:val="clear" w:color="auto" w:fill="C6D9F1" w:themeFill="text2" w:themeFillTint="33"/>
            <w:noWrap/>
            <w:vAlign w:val="center"/>
          </w:tcPr>
          <w:p w14:paraId="0FF8EDB1" w14:textId="77777777" w:rsidR="001E263B" w:rsidRDefault="001E263B" w:rsidP="00EC4DB0">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Prevalence of risk factors (%)</w:t>
            </w:r>
          </w:p>
        </w:tc>
      </w:tr>
      <w:tr w:rsidR="001E263B" w:rsidRPr="00001C1A" w14:paraId="47ABCB4B" w14:textId="77777777" w:rsidTr="001E263B">
        <w:trPr>
          <w:trHeight w:val="405"/>
          <w:tblHeader/>
        </w:trPr>
        <w:tc>
          <w:tcPr>
            <w:tcW w:w="3682" w:type="dxa"/>
            <w:tcBorders>
              <w:top w:val="nil"/>
              <w:left w:val="nil"/>
              <w:bottom w:val="single" w:sz="4" w:space="0" w:color="auto"/>
              <w:right w:val="single" w:sz="4" w:space="0" w:color="auto"/>
            </w:tcBorders>
            <w:shd w:val="clear" w:color="auto" w:fill="auto"/>
            <w:noWrap/>
            <w:vAlign w:val="center"/>
            <w:hideMark/>
          </w:tcPr>
          <w:p w14:paraId="729887F1" w14:textId="77777777" w:rsidR="001E263B" w:rsidRPr="00001C1A" w:rsidRDefault="001E263B" w:rsidP="00EC4DB0">
            <w:pPr>
              <w:spacing w:after="0" w:line="240" w:lineRule="auto"/>
              <w:rPr>
                <w:rFonts w:ascii="Calibri" w:eastAsia="Times New Roman" w:hAnsi="Calibri" w:cs="Calibri"/>
                <w:color w:val="000000"/>
              </w:rPr>
            </w:pPr>
            <w:r w:rsidRPr="00001C1A">
              <w:rPr>
                <w:rFonts w:ascii="Calibri" w:eastAsia="Times New Roman" w:hAnsi="Calibri" w:cs="Calibri"/>
                <w:color w:val="000000"/>
              </w:rPr>
              <w:t> </w:t>
            </w:r>
          </w:p>
        </w:tc>
        <w:tc>
          <w:tcPr>
            <w:tcW w:w="3055" w:type="dxa"/>
            <w:tcBorders>
              <w:left w:val="single" w:sz="4" w:space="0" w:color="auto"/>
            </w:tcBorders>
            <w:shd w:val="clear" w:color="auto" w:fill="C6D9F1" w:themeFill="text2" w:themeFillTint="33"/>
            <w:noWrap/>
            <w:vAlign w:val="center"/>
            <w:hideMark/>
          </w:tcPr>
          <w:p w14:paraId="60A411F9" w14:textId="77777777" w:rsidR="001E263B" w:rsidRDefault="001E263B" w:rsidP="00EC4DB0">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2012 Development Sample</w:t>
            </w:r>
          </w:p>
          <w:p w14:paraId="11526D2E" w14:textId="77777777" w:rsidR="001E263B" w:rsidRPr="00001C1A" w:rsidRDefault="001E263B" w:rsidP="00EC4DB0">
            <w:pPr>
              <w:spacing w:after="0" w:line="240" w:lineRule="auto"/>
              <w:jc w:val="center"/>
              <w:rPr>
                <w:rFonts w:ascii="Calibri" w:eastAsia="Times New Roman" w:hAnsi="Calibri" w:cs="Calibri"/>
                <w:b/>
                <w:bCs/>
                <w:color w:val="000000"/>
              </w:rPr>
            </w:pPr>
            <w:r w:rsidRPr="00001C1A">
              <w:rPr>
                <w:rFonts w:ascii="Calibri" w:eastAsia="Times New Roman" w:hAnsi="Calibri" w:cs="Calibri"/>
                <w:b/>
                <w:bCs/>
                <w:color w:val="000000"/>
              </w:rPr>
              <w:t>(N</w:t>
            </w:r>
            <w:r>
              <w:rPr>
                <w:rFonts w:ascii="Calibri" w:eastAsia="Times New Roman" w:hAnsi="Calibri" w:cs="Calibri"/>
                <w:b/>
                <w:bCs/>
                <w:color w:val="000000"/>
              </w:rPr>
              <w:t xml:space="preserve"> </w:t>
            </w:r>
            <w:r w:rsidRPr="00001C1A">
              <w:rPr>
                <w:rFonts w:ascii="Calibri" w:eastAsia="Times New Roman" w:hAnsi="Calibri" w:cs="Calibri"/>
                <w:b/>
                <w:bCs/>
                <w:color w:val="000000"/>
              </w:rPr>
              <w:t>=</w:t>
            </w:r>
            <w:r>
              <w:rPr>
                <w:rFonts w:ascii="Calibri" w:eastAsia="Times New Roman" w:hAnsi="Calibri" w:cs="Calibri"/>
                <w:b/>
                <w:bCs/>
                <w:color w:val="000000"/>
              </w:rPr>
              <w:t xml:space="preserve"> </w:t>
            </w:r>
            <w:r w:rsidRPr="00001C1A">
              <w:rPr>
                <w:rFonts w:ascii="Calibri" w:eastAsia="Times New Roman" w:hAnsi="Calibri" w:cs="Calibri"/>
                <w:b/>
                <w:bCs/>
                <w:color w:val="000000"/>
              </w:rPr>
              <w:t>3,260,731)</w:t>
            </w:r>
          </w:p>
        </w:tc>
        <w:tc>
          <w:tcPr>
            <w:tcW w:w="2818" w:type="dxa"/>
            <w:shd w:val="clear" w:color="auto" w:fill="C6D9F1" w:themeFill="text2" w:themeFillTint="33"/>
            <w:noWrap/>
            <w:vAlign w:val="center"/>
            <w:hideMark/>
          </w:tcPr>
          <w:p w14:paraId="22332A85" w14:textId="77777777" w:rsidR="001E263B" w:rsidRDefault="001E263B" w:rsidP="00EC4DB0">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2012 Validation Sample</w:t>
            </w:r>
          </w:p>
          <w:p w14:paraId="1FF2FB9F" w14:textId="77777777" w:rsidR="001E263B" w:rsidRPr="00001C1A" w:rsidRDefault="001E263B" w:rsidP="00EC4DB0">
            <w:pPr>
              <w:spacing w:after="0" w:line="240" w:lineRule="auto"/>
              <w:jc w:val="center"/>
              <w:rPr>
                <w:rFonts w:ascii="Calibri" w:eastAsia="Times New Roman" w:hAnsi="Calibri" w:cs="Calibri"/>
                <w:b/>
                <w:bCs/>
                <w:color w:val="000000"/>
              </w:rPr>
            </w:pPr>
            <w:r w:rsidRPr="00001C1A">
              <w:rPr>
                <w:rFonts w:ascii="Calibri" w:eastAsia="Times New Roman" w:hAnsi="Calibri" w:cs="Calibri"/>
                <w:b/>
                <w:bCs/>
                <w:color w:val="000000"/>
              </w:rPr>
              <w:t>(N</w:t>
            </w:r>
            <w:r>
              <w:rPr>
                <w:rFonts w:ascii="Calibri" w:eastAsia="Times New Roman" w:hAnsi="Calibri" w:cs="Calibri"/>
                <w:b/>
                <w:bCs/>
                <w:color w:val="000000"/>
              </w:rPr>
              <w:t xml:space="preserve"> </w:t>
            </w:r>
            <w:r w:rsidRPr="00001C1A">
              <w:rPr>
                <w:rFonts w:ascii="Calibri" w:eastAsia="Times New Roman" w:hAnsi="Calibri" w:cs="Calibri"/>
                <w:b/>
                <w:bCs/>
                <w:color w:val="000000"/>
              </w:rPr>
              <w:t>=</w:t>
            </w:r>
            <w:r>
              <w:rPr>
                <w:rFonts w:ascii="Calibri" w:eastAsia="Times New Roman" w:hAnsi="Calibri" w:cs="Calibri"/>
                <w:b/>
                <w:bCs/>
                <w:color w:val="000000"/>
              </w:rPr>
              <w:t xml:space="preserve"> </w:t>
            </w:r>
            <w:r w:rsidRPr="00001C1A">
              <w:rPr>
                <w:rFonts w:ascii="Calibri" w:eastAsia="Times New Roman" w:hAnsi="Calibri" w:cs="Calibri"/>
                <w:b/>
                <w:bCs/>
                <w:color w:val="000000"/>
              </w:rPr>
              <w:t>3,260,731)</w:t>
            </w:r>
          </w:p>
        </w:tc>
      </w:tr>
      <w:tr w:rsidR="001E263B" w:rsidRPr="00001C1A" w14:paraId="1E830830" w14:textId="77777777" w:rsidTr="001E263B">
        <w:trPr>
          <w:trHeight w:val="300"/>
        </w:trPr>
        <w:tc>
          <w:tcPr>
            <w:tcW w:w="3682" w:type="dxa"/>
            <w:tcBorders>
              <w:top w:val="single" w:sz="4" w:space="0" w:color="auto"/>
            </w:tcBorders>
            <w:shd w:val="clear" w:color="auto" w:fill="auto"/>
            <w:noWrap/>
            <w:vAlign w:val="center"/>
            <w:hideMark/>
          </w:tcPr>
          <w:p w14:paraId="24A2CF7E" w14:textId="77777777" w:rsidR="001E263B" w:rsidRPr="00001C1A" w:rsidRDefault="001E263B" w:rsidP="00EC4DB0">
            <w:pPr>
              <w:spacing w:after="0" w:line="240" w:lineRule="auto"/>
              <w:rPr>
                <w:rFonts w:ascii="Calibri" w:eastAsia="Times New Roman" w:hAnsi="Calibri" w:cs="Calibri"/>
                <w:color w:val="000000"/>
              </w:rPr>
            </w:pPr>
            <w:r>
              <w:t>Age</w:t>
            </w:r>
            <w:r w:rsidRPr="00001C1A">
              <w:rPr>
                <w:rFonts w:ascii="Calibri" w:eastAsia="Times New Roman" w:hAnsi="Calibri" w:cs="Calibri"/>
                <w:color w:val="000000"/>
              </w:rPr>
              <w:t xml:space="preserve"> </w:t>
            </w:r>
            <w:r>
              <w:rPr>
                <w:rFonts w:ascii="Calibri" w:eastAsia="Times New Roman" w:hAnsi="Calibri" w:cs="Calibri"/>
                <w:color w:val="000000"/>
              </w:rPr>
              <w:t xml:space="preserve">  </w:t>
            </w:r>
            <w:r w:rsidRPr="00001C1A">
              <w:rPr>
                <w:rFonts w:ascii="Calibri" w:eastAsia="Times New Roman" w:hAnsi="Calibri" w:cs="Calibri"/>
                <w:color w:val="000000"/>
              </w:rPr>
              <w:t>mean</w:t>
            </w:r>
            <w:r>
              <w:rPr>
                <w:rFonts w:ascii="Calibri" w:eastAsia="Times New Roman" w:hAnsi="Calibri" w:cs="Calibri"/>
                <w:color w:val="000000"/>
              </w:rPr>
              <w:t xml:space="preserve"> (std)</w:t>
            </w:r>
          </w:p>
        </w:tc>
        <w:tc>
          <w:tcPr>
            <w:tcW w:w="3055" w:type="dxa"/>
            <w:shd w:val="clear" w:color="auto" w:fill="auto"/>
            <w:noWrap/>
            <w:vAlign w:val="center"/>
            <w:hideMark/>
          </w:tcPr>
          <w:p w14:paraId="14FEE70C" w14:textId="77777777" w:rsidR="001E263B" w:rsidRPr="00001C1A" w:rsidRDefault="001E263B" w:rsidP="00EC4DB0">
            <w:pPr>
              <w:spacing w:after="0" w:line="240" w:lineRule="auto"/>
              <w:jc w:val="center"/>
              <w:rPr>
                <w:rFonts w:ascii="Calibri" w:eastAsia="Times New Roman" w:hAnsi="Calibri" w:cs="Calibri"/>
                <w:color w:val="000000"/>
              </w:rPr>
            </w:pPr>
            <w:r>
              <w:rPr>
                <w:rFonts w:ascii="Calibri" w:eastAsia="Times New Roman" w:hAnsi="Calibri" w:cs="Calibri"/>
                <w:color w:val="000000"/>
              </w:rPr>
              <w:t>76.4 (</w:t>
            </w:r>
            <w:r w:rsidRPr="00001C1A">
              <w:rPr>
                <w:rFonts w:ascii="Calibri" w:eastAsia="Times New Roman" w:hAnsi="Calibri" w:cs="Calibri"/>
                <w:color w:val="000000"/>
              </w:rPr>
              <w:t>7.2)</w:t>
            </w:r>
          </w:p>
        </w:tc>
        <w:tc>
          <w:tcPr>
            <w:tcW w:w="2818" w:type="dxa"/>
            <w:shd w:val="clear" w:color="auto" w:fill="auto"/>
            <w:noWrap/>
            <w:vAlign w:val="center"/>
            <w:hideMark/>
          </w:tcPr>
          <w:p w14:paraId="11F27BC6"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 xml:space="preserve">76.4 </w:t>
            </w:r>
            <w:r>
              <w:rPr>
                <w:rFonts w:ascii="Calibri" w:eastAsia="Times New Roman" w:hAnsi="Calibri" w:cs="Calibri"/>
                <w:color w:val="000000"/>
              </w:rPr>
              <w:t>(</w:t>
            </w:r>
            <w:r w:rsidRPr="00001C1A">
              <w:rPr>
                <w:rFonts w:ascii="Calibri" w:eastAsia="Times New Roman" w:hAnsi="Calibri" w:cs="Calibri"/>
                <w:color w:val="000000"/>
              </w:rPr>
              <w:t>7.2)</w:t>
            </w:r>
          </w:p>
        </w:tc>
      </w:tr>
      <w:tr w:rsidR="001E263B" w:rsidRPr="00001C1A" w14:paraId="5EF915FA" w14:textId="77777777" w:rsidTr="001E263B">
        <w:trPr>
          <w:trHeight w:val="300"/>
        </w:trPr>
        <w:tc>
          <w:tcPr>
            <w:tcW w:w="3682" w:type="dxa"/>
            <w:shd w:val="clear" w:color="auto" w:fill="auto"/>
            <w:noWrap/>
            <w:vAlign w:val="center"/>
            <w:hideMark/>
          </w:tcPr>
          <w:p w14:paraId="23DDE830" w14:textId="77777777" w:rsidR="001E263B" w:rsidRPr="00001C1A" w:rsidRDefault="001E263B" w:rsidP="00EC4DB0">
            <w:pPr>
              <w:spacing w:after="0" w:line="240" w:lineRule="auto"/>
              <w:rPr>
                <w:rFonts w:ascii="Calibri" w:eastAsia="Times New Roman" w:hAnsi="Calibri" w:cs="Calibri"/>
                <w:color w:val="000000"/>
              </w:rPr>
            </w:pPr>
            <w:r>
              <w:rPr>
                <w:rFonts w:ascii="Calibri" w:eastAsia="Times New Roman" w:hAnsi="Calibri" w:cs="Calibri"/>
                <w:color w:val="000000"/>
              </w:rPr>
              <w:t>High risk cardiovascular (CV) factors</w:t>
            </w:r>
          </w:p>
        </w:tc>
        <w:tc>
          <w:tcPr>
            <w:tcW w:w="3055" w:type="dxa"/>
            <w:shd w:val="clear" w:color="auto" w:fill="auto"/>
            <w:noWrap/>
            <w:vAlign w:val="center"/>
            <w:hideMark/>
          </w:tcPr>
          <w:p w14:paraId="13214F9C"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549</w:t>
            </w:r>
            <w:r>
              <w:rPr>
                <w:rFonts w:ascii="Calibri" w:eastAsia="Times New Roman" w:hAnsi="Calibri" w:cs="Calibri"/>
                <w:color w:val="000000"/>
              </w:rPr>
              <w:t>,</w:t>
            </w:r>
            <w:r w:rsidRPr="00001C1A">
              <w:rPr>
                <w:rFonts w:ascii="Calibri" w:eastAsia="Times New Roman" w:hAnsi="Calibri" w:cs="Calibri"/>
                <w:color w:val="000000"/>
              </w:rPr>
              <w:t xml:space="preserve">201 </w:t>
            </w:r>
            <w:r>
              <w:rPr>
                <w:rFonts w:ascii="Calibri" w:eastAsia="Times New Roman" w:hAnsi="Calibri" w:cs="Calibri"/>
                <w:color w:val="000000"/>
              </w:rPr>
              <w:t>(</w:t>
            </w:r>
            <w:r w:rsidRPr="00001C1A">
              <w:rPr>
                <w:rFonts w:ascii="Calibri" w:eastAsia="Times New Roman" w:hAnsi="Calibri" w:cs="Calibri"/>
                <w:color w:val="000000"/>
              </w:rPr>
              <w:t>16.8</w:t>
            </w:r>
            <w:r>
              <w:rPr>
                <w:rFonts w:ascii="Calibri" w:eastAsia="Times New Roman" w:hAnsi="Calibri" w:cs="Calibri"/>
                <w:color w:val="000000"/>
              </w:rPr>
              <w:t>%)</w:t>
            </w:r>
          </w:p>
        </w:tc>
        <w:tc>
          <w:tcPr>
            <w:tcW w:w="2818" w:type="dxa"/>
            <w:shd w:val="clear" w:color="auto" w:fill="auto"/>
            <w:noWrap/>
            <w:vAlign w:val="center"/>
            <w:hideMark/>
          </w:tcPr>
          <w:p w14:paraId="7FF7C2CC"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549</w:t>
            </w:r>
            <w:r>
              <w:rPr>
                <w:rFonts w:ascii="Calibri" w:eastAsia="Times New Roman" w:hAnsi="Calibri" w:cs="Calibri"/>
                <w:color w:val="000000"/>
              </w:rPr>
              <w:t>,</w:t>
            </w:r>
            <w:r w:rsidRPr="00001C1A">
              <w:rPr>
                <w:rFonts w:ascii="Calibri" w:eastAsia="Times New Roman" w:hAnsi="Calibri" w:cs="Calibri"/>
                <w:color w:val="000000"/>
              </w:rPr>
              <w:t xml:space="preserve">985 </w:t>
            </w:r>
            <w:r>
              <w:rPr>
                <w:rFonts w:ascii="Calibri" w:eastAsia="Times New Roman" w:hAnsi="Calibri" w:cs="Calibri"/>
                <w:color w:val="000000"/>
              </w:rPr>
              <w:t>(</w:t>
            </w:r>
            <w:r w:rsidRPr="00001C1A">
              <w:rPr>
                <w:rFonts w:ascii="Calibri" w:eastAsia="Times New Roman" w:hAnsi="Calibri" w:cs="Calibri"/>
                <w:color w:val="000000"/>
              </w:rPr>
              <w:t>16.9</w:t>
            </w:r>
            <w:r>
              <w:rPr>
                <w:rFonts w:ascii="Calibri" w:eastAsia="Times New Roman" w:hAnsi="Calibri" w:cs="Calibri"/>
                <w:color w:val="000000"/>
              </w:rPr>
              <w:t>%)</w:t>
            </w:r>
          </w:p>
        </w:tc>
      </w:tr>
      <w:tr w:rsidR="001E263B" w:rsidRPr="00001C1A" w14:paraId="66A8129C" w14:textId="77777777" w:rsidTr="001E263B">
        <w:trPr>
          <w:trHeight w:val="300"/>
        </w:trPr>
        <w:tc>
          <w:tcPr>
            <w:tcW w:w="3682" w:type="dxa"/>
            <w:shd w:val="clear" w:color="auto" w:fill="auto"/>
            <w:noWrap/>
            <w:vAlign w:val="center"/>
            <w:hideMark/>
          </w:tcPr>
          <w:p w14:paraId="14CCFA0E" w14:textId="77777777" w:rsidR="001E263B" w:rsidRPr="00001C1A" w:rsidRDefault="001E263B" w:rsidP="00EC4DB0">
            <w:pPr>
              <w:spacing w:after="0" w:line="240" w:lineRule="auto"/>
              <w:rPr>
                <w:rFonts w:ascii="Calibri" w:eastAsia="Times New Roman" w:hAnsi="Calibri" w:cs="Calibri"/>
                <w:color w:val="000000"/>
              </w:rPr>
            </w:pPr>
            <w:r w:rsidRPr="00001C1A">
              <w:rPr>
                <w:rFonts w:ascii="Calibri" w:eastAsia="Times New Roman" w:hAnsi="Calibri" w:cs="Calibri"/>
                <w:color w:val="000000"/>
              </w:rPr>
              <w:t>Low risk CV</w:t>
            </w:r>
            <w:r>
              <w:rPr>
                <w:rFonts w:ascii="Calibri" w:eastAsia="Times New Roman" w:hAnsi="Calibri" w:cs="Calibri"/>
                <w:color w:val="000000"/>
              </w:rPr>
              <w:t xml:space="preserve"> factors</w:t>
            </w:r>
          </w:p>
        </w:tc>
        <w:tc>
          <w:tcPr>
            <w:tcW w:w="3055" w:type="dxa"/>
            <w:shd w:val="clear" w:color="auto" w:fill="auto"/>
            <w:noWrap/>
            <w:vAlign w:val="center"/>
            <w:hideMark/>
          </w:tcPr>
          <w:p w14:paraId="16A1A396"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1</w:t>
            </w:r>
            <w:r>
              <w:rPr>
                <w:rFonts w:ascii="Calibri" w:eastAsia="Times New Roman" w:hAnsi="Calibri" w:cs="Calibri"/>
                <w:color w:val="000000"/>
              </w:rPr>
              <w:t>,</w:t>
            </w:r>
            <w:r w:rsidRPr="00001C1A">
              <w:rPr>
                <w:rFonts w:ascii="Calibri" w:eastAsia="Times New Roman" w:hAnsi="Calibri" w:cs="Calibri"/>
                <w:color w:val="000000"/>
              </w:rPr>
              <w:t>858</w:t>
            </w:r>
            <w:r>
              <w:rPr>
                <w:rFonts w:ascii="Calibri" w:eastAsia="Times New Roman" w:hAnsi="Calibri" w:cs="Calibri"/>
                <w:color w:val="000000"/>
              </w:rPr>
              <w:t>,</w:t>
            </w:r>
            <w:r w:rsidRPr="00001C1A">
              <w:rPr>
                <w:rFonts w:ascii="Calibri" w:eastAsia="Times New Roman" w:hAnsi="Calibri" w:cs="Calibri"/>
                <w:color w:val="000000"/>
              </w:rPr>
              <w:t xml:space="preserve">261 </w:t>
            </w:r>
            <w:r>
              <w:rPr>
                <w:rFonts w:ascii="Calibri" w:eastAsia="Times New Roman" w:hAnsi="Calibri" w:cs="Calibri"/>
                <w:color w:val="000000"/>
              </w:rPr>
              <w:t>(</w:t>
            </w:r>
            <w:r w:rsidRPr="00001C1A">
              <w:rPr>
                <w:rFonts w:ascii="Calibri" w:eastAsia="Times New Roman" w:hAnsi="Calibri" w:cs="Calibri"/>
                <w:color w:val="000000"/>
              </w:rPr>
              <w:t>57.0</w:t>
            </w:r>
            <w:r>
              <w:rPr>
                <w:rFonts w:ascii="Calibri" w:eastAsia="Times New Roman" w:hAnsi="Calibri" w:cs="Calibri"/>
                <w:color w:val="000000"/>
              </w:rPr>
              <w:t>%)</w:t>
            </w:r>
          </w:p>
        </w:tc>
        <w:tc>
          <w:tcPr>
            <w:tcW w:w="2818" w:type="dxa"/>
            <w:shd w:val="clear" w:color="auto" w:fill="auto"/>
            <w:noWrap/>
            <w:vAlign w:val="center"/>
            <w:hideMark/>
          </w:tcPr>
          <w:p w14:paraId="520D6352"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1</w:t>
            </w:r>
            <w:r>
              <w:rPr>
                <w:rFonts w:ascii="Calibri" w:eastAsia="Times New Roman" w:hAnsi="Calibri" w:cs="Calibri"/>
                <w:color w:val="000000"/>
              </w:rPr>
              <w:t>,</w:t>
            </w:r>
            <w:r w:rsidRPr="00001C1A">
              <w:rPr>
                <w:rFonts w:ascii="Calibri" w:eastAsia="Times New Roman" w:hAnsi="Calibri" w:cs="Calibri"/>
                <w:color w:val="000000"/>
              </w:rPr>
              <w:t>859</w:t>
            </w:r>
            <w:r>
              <w:rPr>
                <w:rFonts w:ascii="Calibri" w:eastAsia="Times New Roman" w:hAnsi="Calibri" w:cs="Calibri"/>
                <w:color w:val="000000"/>
              </w:rPr>
              <w:t>,</w:t>
            </w:r>
            <w:r w:rsidRPr="00001C1A">
              <w:rPr>
                <w:rFonts w:ascii="Calibri" w:eastAsia="Times New Roman" w:hAnsi="Calibri" w:cs="Calibri"/>
                <w:color w:val="000000"/>
              </w:rPr>
              <w:t xml:space="preserve">678 </w:t>
            </w:r>
            <w:r>
              <w:rPr>
                <w:rFonts w:ascii="Calibri" w:eastAsia="Times New Roman" w:hAnsi="Calibri" w:cs="Calibri"/>
                <w:color w:val="000000"/>
              </w:rPr>
              <w:t>(</w:t>
            </w:r>
            <w:r w:rsidRPr="00001C1A">
              <w:rPr>
                <w:rFonts w:ascii="Calibri" w:eastAsia="Times New Roman" w:hAnsi="Calibri" w:cs="Calibri"/>
                <w:color w:val="000000"/>
              </w:rPr>
              <w:t>57.0</w:t>
            </w:r>
            <w:r>
              <w:rPr>
                <w:rFonts w:ascii="Calibri" w:eastAsia="Times New Roman" w:hAnsi="Calibri" w:cs="Calibri"/>
                <w:color w:val="000000"/>
              </w:rPr>
              <w:t>%)</w:t>
            </w:r>
          </w:p>
        </w:tc>
      </w:tr>
      <w:tr w:rsidR="001E263B" w:rsidRPr="00001C1A" w14:paraId="09AECEBC" w14:textId="77777777" w:rsidTr="001E263B">
        <w:trPr>
          <w:trHeight w:val="300"/>
        </w:trPr>
        <w:tc>
          <w:tcPr>
            <w:tcW w:w="3682" w:type="dxa"/>
            <w:shd w:val="clear" w:color="auto" w:fill="auto"/>
            <w:noWrap/>
            <w:vAlign w:val="center"/>
            <w:hideMark/>
          </w:tcPr>
          <w:p w14:paraId="58DED1FF" w14:textId="77777777" w:rsidR="001E263B" w:rsidRPr="00001C1A" w:rsidRDefault="001E263B" w:rsidP="00EC4DB0">
            <w:pPr>
              <w:spacing w:after="0" w:line="240" w:lineRule="auto"/>
              <w:rPr>
                <w:rFonts w:ascii="Calibri" w:eastAsia="Times New Roman" w:hAnsi="Calibri" w:cs="Calibri"/>
                <w:color w:val="000000"/>
              </w:rPr>
            </w:pPr>
            <w:r w:rsidRPr="00001C1A">
              <w:rPr>
                <w:rFonts w:ascii="Calibri" w:eastAsia="Times New Roman" w:hAnsi="Calibri" w:cs="Calibri"/>
                <w:color w:val="000000"/>
              </w:rPr>
              <w:t>Arrhythmia</w:t>
            </w:r>
          </w:p>
        </w:tc>
        <w:tc>
          <w:tcPr>
            <w:tcW w:w="3055" w:type="dxa"/>
            <w:shd w:val="clear" w:color="auto" w:fill="auto"/>
            <w:noWrap/>
            <w:vAlign w:val="center"/>
            <w:hideMark/>
          </w:tcPr>
          <w:p w14:paraId="772B0FFB"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948</w:t>
            </w:r>
            <w:r>
              <w:rPr>
                <w:rFonts w:ascii="Calibri" w:eastAsia="Times New Roman" w:hAnsi="Calibri" w:cs="Calibri"/>
                <w:color w:val="000000"/>
              </w:rPr>
              <w:t>,</w:t>
            </w:r>
            <w:r w:rsidRPr="00001C1A">
              <w:rPr>
                <w:rFonts w:ascii="Calibri" w:eastAsia="Times New Roman" w:hAnsi="Calibri" w:cs="Calibri"/>
                <w:color w:val="000000"/>
              </w:rPr>
              <w:t xml:space="preserve">179 </w:t>
            </w:r>
            <w:r>
              <w:rPr>
                <w:rFonts w:ascii="Calibri" w:eastAsia="Times New Roman" w:hAnsi="Calibri" w:cs="Calibri"/>
                <w:color w:val="000000"/>
              </w:rPr>
              <w:t>(</w:t>
            </w:r>
            <w:r w:rsidRPr="00001C1A">
              <w:rPr>
                <w:rFonts w:ascii="Calibri" w:eastAsia="Times New Roman" w:hAnsi="Calibri" w:cs="Calibri"/>
                <w:color w:val="000000"/>
              </w:rPr>
              <w:t>29.1</w:t>
            </w:r>
            <w:r>
              <w:rPr>
                <w:rFonts w:ascii="Calibri" w:eastAsia="Times New Roman" w:hAnsi="Calibri" w:cs="Calibri"/>
                <w:color w:val="000000"/>
              </w:rPr>
              <w:t>%)</w:t>
            </w:r>
          </w:p>
        </w:tc>
        <w:tc>
          <w:tcPr>
            <w:tcW w:w="2818" w:type="dxa"/>
            <w:shd w:val="clear" w:color="auto" w:fill="auto"/>
            <w:noWrap/>
            <w:vAlign w:val="center"/>
            <w:hideMark/>
          </w:tcPr>
          <w:p w14:paraId="4A11030C"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948</w:t>
            </w:r>
            <w:r>
              <w:rPr>
                <w:rFonts w:ascii="Calibri" w:eastAsia="Times New Roman" w:hAnsi="Calibri" w:cs="Calibri"/>
                <w:color w:val="000000"/>
              </w:rPr>
              <w:t>,</w:t>
            </w:r>
            <w:r w:rsidRPr="00001C1A">
              <w:rPr>
                <w:rFonts w:ascii="Calibri" w:eastAsia="Times New Roman" w:hAnsi="Calibri" w:cs="Calibri"/>
                <w:color w:val="000000"/>
              </w:rPr>
              <w:t xml:space="preserve">271 </w:t>
            </w:r>
            <w:r>
              <w:rPr>
                <w:rFonts w:ascii="Calibri" w:eastAsia="Times New Roman" w:hAnsi="Calibri" w:cs="Calibri"/>
                <w:color w:val="000000"/>
              </w:rPr>
              <w:t>(</w:t>
            </w:r>
            <w:r w:rsidRPr="00001C1A">
              <w:rPr>
                <w:rFonts w:ascii="Calibri" w:eastAsia="Times New Roman" w:hAnsi="Calibri" w:cs="Calibri"/>
                <w:color w:val="000000"/>
              </w:rPr>
              <w:t>29.1</w:t>
            </w:r>
            <w:r>
              <w:rPr>
                <w:rFonts w:ascii="Calibri" w:eastAsia="Times New Roman" w:hAnsi="Calibri" w:cs="Calibri"/>
                <w:color w:val="000000"/>
              </w:rPr>
              <w:t>%)</w:t>
            </w:r>
          </w:p>
        </w:tc>
      </w:tr>
      <w:tr w:rsidR="001E263B" w:rsidRPr="00001C1A" w14:paraId="6D0126AD" w14:textId="77777777" w:rsidTr="001E263B">
        <w:trPr>
          <w:trHeight w:val="300"/>
        </w:trPr>
        <w:tc>
          <w:tcPr>
            <w:tcW w:w="3682" w:type="dxa"/>
            <w:shd w:val="clear" w:color="auto" w:fill="auto"/>
            <w:noWrap/>
            <w:vAlign w:val="center"/>
            <w:hideMark/>
          </w:tcPr>
          <w:p w14:paraId="123DC0F1" w14:textId="77777777" w:rsidR="001E263B" w:rsidRPr="00001C1A" w:rsidRDefault="001E263B" w:rsidP="00EC4DB0">
            <w:pPr>
              <w:spacing w:after="0" w:line="240" w:lineRule="auto"/>
              <w:rPr>
                <w:rFonts w:ascii="Calibri" w:eastAsia="Times New Roman" w:hAnsi="Calibri" w:cs="Calibri"/>
                <w:color w:val="000000"/>
              </w:rPr>
            </w:pPr>
            <w:r>
              <w:rPr>
                <w:rFonts w:ascii="Calibri" w:eastAsia="Times New Roman" w:hAnsi="Calibri" w:cs="Calibri"/>
                <w:color w:val="000000"/>
              </w:rPr>
              <w:t>Advanced c</w:t>
            </w:r>
            <w:r w:rsidRPr="00001C1A">
              <w:rPr>
                <w:rFonts w:ascii="Calibri" w:eastAsia="Times New Roman" w:hAnsi="Calibri" w:cs="Calibri"/>
                <w:color w:val="000000"/>
              </w:rPr>
              <w:t>ancer</w:t>
            </w:r>
          </w:p>
        </w:tc>
        <w:tc>
          <w:tcPr>
            <w:tcW w:w="3055" w:type="dxa"/>
            <w:shd w:val="clear" w:color="auto" w:fill="auto"/>
            <w:noWrap/>
            <w:vAlign w:val="center"/>
            <w:hideMark/>
          </w:tcPr>
          <w:p w14:paraId="661F8B54"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181</w:t>
            </w:r>
            <w:r>
              <w:rPr>
                <w:rFonts w:ascii="Calibri" w:eastAsia="Times New Roman" w:hAnsi="Calibri" w:cs="Calibri"/>
                <w:color w:val="000000"/>
              </w:rPr>
              <w:t>,</w:t>
            </w:r>
            <w:r w:rsidRPr="00001C1A">
              <w:rPr>
                <w:rFonts w:ascii="Calibri" w:eastAsia="Times New Roman" w:hAnsi="Calibri" w:cs="Calibri"/>
                <w:color w:val="000000"/>
              </w:rPr>
              <w:t xml:space="preserve">130 </w:t>
            </w:r>
            <w:r>
              <w:rPr>
                <w:rFonts w:ascii="Calibri" w:eastAsia="Times New Roman" w:hAnsi="Calibri" w:cs="Calibri"/>
                <w:color w:val="000000"/>
              </w:rPr>
              <w:t>(</w:t>
            </w:r>
            <w:r w:rsidRPr="00001C1A">
              <w:rPr>
                <w:rFonts w:ascii="Calibri" w:eastAsia="Times New Roman" w:hAnsi="Calibri" w:cs="Calibri"/>
                <w:color w:val="000000"/>
              </w:rPr>
              <w:t>5.6</w:t>
            </w:r>
            <w:r>
              <w:rPr>
                <w:rFonts w:ascii="Calibri" w:eastAsia="Times New Roman" w:hAnsi="Calibri" w:cs="Calibri"/>
                <w:color w:val="000000"/>
              </w:rPr>
              <w:t>%)</w:t>
            </w:r>
          </w:p>
        </w:tc>
        <w:tc>
          <w:tcPr>
            <w:tcW w:w="2818" w:type="dxa"/>
            <w:shd w:val="clear" w:color="auto" w:fill="auto"/>
            <w:noWrap/>
            <w:vAlign w:val="center"/>
            <w:hideMark/>
          </w:tcPr>
          <w:p w14:paraId="6331150B"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181</w:t>
            </w:r>
            <w:r>
              <w:rPr>
                <w:rFonts w:ascii="Calibri" w:eastAsia="Times New Roman" w:hAnsi="Calibri" w:cs="Calibri"/>
                <w:color w:val="000000"/>
              </w:rPr>
              <w:t>,</w:t>
            </w:r>
            <w:r w:rsidRPr="00001C1A">
              <w:rPr>
                <w:rFonts w:ascii="Calibri" w:eastAsia="Times New Roman" w:hAnsi="Calibri" w:cs="Calibri"/>
                <w:color w:val="000000"/>
              </w:rPr>
              <w:t xml:space="preserve">857 </w:t>
            </w:r>
            <w:r>
              <w:rPr>
                <w:rFonts w:ascii="Calibri" w:eastAsia="Times New Roman" w:hAnsi="Calibri" w:cs="Calibri"/>
                <w:color w:val="000000"/>
              </w:rPr>
              <w:t>(</w:t>
            </w:r>
            <w:r w:rsidRPr="00001C1A">
              <w:rPr>
                <w:rFonts w:ascii="Calibri" w:eastAsia="Times New Roman" w:hAnsi="Calibri" w:cs="Calibri"/>
                <w:color w:val="000000"/>
              </w:rPr>
              <w:t>5.6</w:t>
            </w:r>
            <w:r>
              <w:rPr>
                <w:rFonts w:ascii="Calibri" w:eastAsia="Times New Roman" w:hAnsi="Calibri" w:cs="Calibri"/>
                <w:color w:val="000000"/>
              </w:rPr>
              <w:t>%)</w:t>
            </w:r>
          </w:p>
        </w:tc>
      </w:tr>
      <w:tr w:rsidR="001E263B" w:rsidRPr="00001C1A" w14:paraId="2D37D631" w14:textId="77777777" w:rsidTr="001E263B">
        <w:trPr>
          <w:trHeight w:val="300"/>
        </w:trPr>
        <w:tc>
          <w:tcPr>
            <w:tcW w:w="3682" w:type="dxa"/>
            <w:shd w:val="clear" w:color="auto" w:fill="auto"/>
            <w:noWrap/>
            <w:vAlign w:val="center"/>
            <w:hideMark/>
          </w:tcPr>
          <w:p w14:paraId="6035B953" w14:textId="77777777" w:rsidR="001E263B" w:rsidRPr="00001C1A" w:rsidRDefault="001E263B" w:rsidP="00EC4DB0">
            <w:pPr>
              <w:spacing w:after="0" w:line="240" w:lineRule="auto"/>
              <w:rPr>
                <w:rFonts w:ascii="Calibri" w:eastAsia="Times New Roman" w:hAnsi="Calibri" w:cs="Calibri"/>
                <w:color w:val="000000"/>
              </w:rPr>
            </w:pPr>
            <w:r w:rsidRPr="00001C1A">
              <w:rPr>
                <w:rFonts w:ascii="Calibri" w:eastAsia="Times New Roman" w:hAnsi="Calibri" w:cs="Calibri"/>
                <w:color w:val="000000"/>
              </w:rPr>
              <w:t>Dementia</w:t>
            </w:r>
          </w:p>
        </w:tc>
        <w:tc>
          <w:tcPr>
            <w:tcW w:w="3055" w:type="dxa"/>
            <w:shd w:val="clear" w:color="auto" w:fill="auto"/>
            <w:noWrap/>
            <w:vAlign w:val="center"/>
            <w:hideMark/>
          </w:tcPr>
          <w:p w14:paraId="0813965F"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464</w:t>
            </w:r>
            <w:r>
              <w:rPr>
                <w:rFonts w:ascii="Calibri" w:eastAsia="Times New Roman" w:hAnsi="Calibri" w:cs="Calibri"/>
                <w:color w:val="000000"/>
              </w:rPr>
              <w:t>,</w:t>
            </w:r>
            <w:r w:rsidRPr="00001C1A">
              <w:rPr>
                <w:rFonts w:ascii="Calibri" w:eastAsia="Times New Roman" w:hAnsi="Calibri" w:cs="Calibri"/>
                <w:color w:val="000000"/>
              </w:rPr>
              <w:t xml:space="preserve">377 </w:t>
            </w:r>
            <w:r>
              <w:rPr>
                <w:rFonts w:ascii="Calibri" w:eastAsia="Times New Roman" w:hAnsi="Calibri" w:cs="Calibri"/>
                <w:color w:val="000000"/>
              </w:rPr>
              <w:t>(</w:t>
            </w:r>
            <w:r w:rsidRPr="00001C1A">
              <w:rPr>
                <w:rFonts w:ascii="Calibri" w:eastAsia="Times New Roman" w:hAnsi="Calibri" w:cs="Calibri"/>
                <w:color w:val="000000"/>
              </w:rPr>
              <w:t>14.2</w:t>
            </w:r>
            <w:r>
              <w:rPr>
                <w:rFonts w:ascii="Calibri" w:eastAsia="Times New Roman" w:hAnsi="Calibri" w:cs="Calibri"/>
                <w:color w:val="000000"/>
              </w:rPr>
              <w:t>%)</w:t>
            </w:r>
          </w:p>
        </w:tc>
        <w:tc>
          <w:tcPr>
            <w:tcW w:w="2818" w:type="dxa"/>
            <w:shd w:val="clear" w:color="auto" w:fill="auto"/>
            <w:noWrap/>
            <w:vAlign w:val="center"/>
            <w:hideMark/>
          </w:tcPr>
          <w:p w14:paraId="727C7F98"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464</w:t>
            </w:r>
            <w:r>
              <w:rPr>
                <w:rFonts w:ascii="Calibri" w:eastAsia="Times New Roman" w:hAnsi="Calibri" w:cs="Calibri"/>
                <w:color w:val="000000"/>
              </w:rPr>
              <w:t>,</w:t>
            </w:r>
            <w:r w:rsidRPr="00001C1A">
              <w:rPr>
                <w:rFonts w:ascii="Calibri" w:eastAsia="Times New Roman" w:hAnsi="Calibri" w:cs="Calibri"/>
                <w:color w:val="000000"/>
              </w:rPr>
              <w:t xml:space="preserve">201 </w:t>
            </w:r>
            <w:r>
              <w:rPr>
                <w:rFonts w:ascii="Calibri" w:eastAsia="Times New Roman" w:hAnsi="Calibri" w:cs="Calibri"/>
                <w:color w:val="000000"/>
              </w:rPr>
              <w:t>(</w:t>
            </w:r>
            <w:r w:rsidRPr="00001C1A">
              <w:rPr>
                <w:rFonts w:ascii="Calibri" w:eastAsia="Times New Roman" w:hAnsi="Calibri" w:cs="Calibri"/>
                <w:color w:val="000000"/>
              </w:rPr>
              <w:t>14.2</w:t>
            </w:r>
            <w:r>
              <w:rPr>
                <w:rFonts w:ascii="Calibri" w:eastAsia="Times New Roman" w:hAnsi="Calibri" w:cs="Calibri"/>
                <w:color w:val="000000"/>
              </w:rPr>
              <w:t>%)</w:t>
            </w:r>
          </w:p>
        </w:tc>
      </w:tr>
      <w:tr w:rsidR="001E263B" w:rsidRPr="00001C1A" w14:paraId="33754F72" w14:textId="77777777" w:rsidTr="001E263B">
        <w:trPr>
          <w:trHeight w:val="300"/>
        </w:trPr>
        <w:tc>
          <w:tcPr>
            <w:tcW w:w="3682" w:type="dxa"/>
            <w:shd w:val="clear" w:color="auto" w:fill="auto"/>
            <w:noWrap/>
            <w:vAlign w:val="center"/>
            <w:hideMark/>
          </w:tcPr>
          <w:p w14:paraId="5220E5E6" w14:textId="77777777" w:rsidR="001E263B" w:rsidRPr="00001C1A" w:rsidRDefault="001E263B" w:rsidP="00EC4DB0">
            <w:pPr>
              <w:spacing w:after="0" w:line="240" w:lineRule="auto"/>
              <w:rPr>
                <w:rFonts w:ascii="Calibri" w:eastAsia="Times New Roman" w:hAnsi="Calibri" w:cs="Calibri"/>
                <w:color w:val="000000"/>
              </w:rPr>
            </w:pPr>
            <w:r>
              <w:rPr>
                <w:rFonts w:ascii="Calibri" w:eastAsia="Times New Roman" w:hAnsi="Calibri" w:cs="Calibri"/>
                <w:color w:val="000000"/>
              </w:rPr>
              <w:t>Heart f</w:t>
            </w:r>
            <w:r w:rsidRPr="00001C1A">
              <w:rPr>
                <w:rFonts w:ascii="Calibri" w:eastAsia="Times New Roman" w:hAnsi="Calibri" w:cs="Calibri"/>
                <w:color w:val="000000"/>
              </w:rPr>
              <w:t>ailure</w:t>
            </w:r>
          </w:p>
        </w:tc>
        <w:tc>
          <w:tcPr>
            <w:tcW w:w="3055" w:type="dxa"/>
            <w:shd w:val="clear" w:color="auto" w:fill="auto"/>
            <w:noWrap/>
            <w:vAlign w:val="center"/>
            <w:hideMark/>
          </w:tcPr>
          <w:p w14:paraId="53208910"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751</w:t>
            </w:r>
            <w:r>
              <w:rPr>
                <w:rFonts w:ascii="Calibri" w:eastAsia="Times New Roman" w:hAnsi="Calibri" w:cs="Calibri"/>
                <w:color w:val="000000"/>
              </w:rPr>
              <w:t>,</w:t>
            </w:r>
            <w:r w:rsidRPr="00001C1A">
              <w:rPr>
                <w:rFonts w:ascii="Calibri" w:eastAsia="Times New Roman" w:hAnsi="Calibri" w:cs="Calibri"/>
                <w:color w:val="000000"/>
              </w:rPr>
              <w:t xml:space="preserve">268 </w:t>
            </w:r>
            <w:r>
              <w:rPr>
                <w:rFonts w:ascii="Calibri" w:eastAsia="Times New Roman" w:hAnsi="Calibri" w:cs="Calibri"/>
                <w:color w:val="000000"/>
              </w:rPr>
              <w:t>(</w:t>
            </w:r>
            <w:r w:rsidRPr="00001C1A">
              <w:rPr>
                <w:rFonts w:ascii="Calibri" w:eastAsia="Times New Roman" w:hAnsi="Calibri" w:cs="Calibri"/>
                <w:color w:val="000000"/>
              </w:rPr>
              <w:t>23.0</w:t>
            </w:r>
            <w:r>
              <w:rPr>
                <w:rFonts w:ascii="Calibri" w:eastAsia="Times New Roman" w:hAnsi="Calibri" w:cs="Calibri"/>
                <w:color w:val="000000"/>
              </w:rPr>
              <w:t>%)</w:t>
            </w:r>
          </w:p>
        </w:tc>
        <w:tc>
          <w:tcPr>
            <w:tcW w:w="2818" w:type="dxa"/>
            <w:shd w:val="clear" w:color="auto" w:fill="auto"/>
            <w:noWrap/>
            <w:vAlign w:val="center"/>
            <w:hideMark/>
          </w:tcPr>
          <w:p w14:paraId="223702DB"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751</w:t>
            </w:r>
            <w:r>
              <w:rPr>
                <w:rFonts w:ascii="Calibri" w:eastAsia="Times New Roman" w:hAnsi="Calibri" w:cs="Calibri"/>
                <w:color w:val="000000"/>
              </w:rPr>
              <w:t>,</w:t>
            </w:r>
            <w:r w:rsidRPr="00001C1A">
              <w:rPr>
                <w:rFonts w:ascii="Calibri" w:eastAsia="Times New Roman" w:hAnsi="Calibri" w:cs="Calibri"/>
                <w:color w:val="000000"/>
              </w:rPr>
              <w:t xml:space="preserve">873 </w:t>
            </w:r>
            <w:r>
              <w:rPr>
                <w:rFonts w:ascii="Calibri" w:eastAsia="Times New Roman" w:hAnsi="Calibri" w:cs="Calibri"/>
                <w:color w:val="000000"/>
              </w:rPr>
              <w:t>(</w:t>
            </w:r>
            <w:r w:rsidRPr="00001C1A">
              <w:rPr>
                <w:rFonts w:ascii="Calibri" w:eastAsia="Times New Roman" w:hAnsi="Calibri" w:cs="Calibri"/>
                <w:color w:val="000000"/>
              </w:rPr>
              <w:t>23.1</w:t>
            </w:r>
            <w:r>
              <w:rPr>
                <w:rFonts w:ascii="Calibri" w:eastAsia="Times New Roman" w:hAnsi="Calibri" w:cs="Calibri"/>
                <w:color w:val="000000"/>
              </w:rPr>
              <w:t>%)</w:t>
            </w:r>
          </w:p>
        </w:tc>
      </w:tr>
      <w:tr w:rsidR="001E263B" w:rsidRPr="00001C1A" w14:paraId="38A1A1DB" w14:textId="77777777" w:rsidTr="001E263B">
        <w:trPr>
          <w:trHeight w:val="300"/>
        </w:trPr>
        <w:tc>
          <w:tcPr>
            <w:tcW w:w="3682" w:type="dxa"/>
            <w:shd w:val="clear" w:color="auto" w:fill="auto"/>
            <w:noWrap/>
            <w:vAlign w:val="center"/>
            <w:hideMark/>
          </w:tcPr>
          <w:p w14:paraId="3675919F" w14:textId="77777777" w:rsidR="001E263B" w:rsidRPr="00001C1A" w:rsidRDefault="001E263B" w:rsidP="00EC4DB0">
            <w:pPr>
              <w:spacing w:after="0" w:line="240" w:lineRule="auto"/>
              <w:rPr>
                <w:rFonts w:ascii="Calibri" w:eastAsia="Times New Roman" w:hAnsi="Calibri" w:cs="Calibri"/>
                <w:color w:val="000000"/>
              </w:rPr>
            </w:pPr>
            <w:r w:rsidRPr="00001C1A">
              <w:rPr>
                <w:rFonts w:ascii="Calibri" w:eastAsia="Times New Roman" w:hAnsi="Calibri" w:cs="Calibri"/>
                <w:color w:val="000000"/>
              </w:rPr>
              <w:t>Dialysis</w:t>
            </w:r>
          </w:p>
        </w:tc>
        <w:tc>
          <w:tcPr>
            <w:tcW w:w="3055" w:type="dxa"/>
            <w:shd w:val="clear" w:color="auto" w:fill="auto"/>
            <w:noWrap/>
            <w:vAlign w:val="center"/>
            <w:hideMark/>
          </w:tcPr>
          <w:p w14:paraId="576045FF"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49</w:t>
            </w:r>
            <w:r>
              <w:rPr>
                <w:rFonts w:ascii="Calibri" w:eastAsia="Times New Roman" w:hAnsi="Calibri" w:cs="Calibri"/>
                <w:color w:val="000000"/>
              </w:rPr>
              <w:t>,</w:t>
            </w:r>
            <w:r w:rsidRPr="00001C1A">
              <w:rPr>
                <w:rFonts w:ascii="Calibri" w:eastAsia="Times New Roman" w:hAnsi="Calibri" w:cs="Calibri"/>
                <w:color w:val="000000"/>
              </w:rPr>
              <w:t xml:space="preserve">847 </w:t>
            </w:r>
            <w:r>
              <w:rPr>
                <w:rFonts w:ascii="Calibri" w:eastAsia="Times New Roman" w:hAnsi="Calibri" w:cs="Calibri"/>
                <w:color w:val="000000"/>
              </w:rPr>
              <w:t>(</w:t>
            </w:r>
            <w:r w:rsidRPr="00001C1A">
              <w:rPr>
                <w:rFonts w:ascii="Calibri" w:eastAsia="Times New Roman" w:hAnsi="Calibri" w:cs="Calibri"/>
                <w:color w:val="000000"/>
              </w:rPr>
              <w:t>1.5</w:t>
            </w:r>
            <w:r>
              <w:rPr>
                <w:rFonts w:ascii="Calibri" w:eastAsia="Times New Roman" w:hAnsi="Calibri" w:cs="Calibri"/>
                <w:color w:val="000000"/>
              </w:rPr>
              <w:t>%)</w:t>
            </w:r>
          </w:p>
        </w:tc>
        <w:tc>
          <w:tcPr>
            <w:tcW w:w="2818" w:type="dxa"/>
            <w:shd w:val="clear" w:color="auto" w:fill="auto"/>
            <w:noWrap/>
            <w:vAlign w:val="center"/>
            <w:hideMark/>
          </w:tcPr>
          <w:p w14:paraId="236A1B2F"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50</w:t>
            </w:r>
            <w:r>
              <w:rPr>
                <w:rFonts w:ascii="Calibri" w:eastAsia="Times New Roman" w:hAnsi="Calibri" w:cs="Calibri"/>
                <w:color w:val="000000"/>
              </w:rPr>
              <w:t>,</w:t>
            </w:r>
            <w:r w:rsidRPr="00001C1A">
              <w:rPr>
                <w:rFonts w:ascii="Calibri" w:eastAsia="Times New Roman" w:hAnsi="Calibri" w:cs="Calibri"/>
                <w:color w:val="000000"/>
              </w:rPr>
              <w:t xml:space="preserve">116 </w:t>
            </w:r>
            <w:r>
              <w:rPr>
                <w:rFonts w:ascii="Calibri" w:eastAsia="Times New Roman" w:hAnsi="Calibri" w:cs="Calibri"/>
                <w:color w:val="000000"/>
              </w:rPr>
              <w:t>(</w:t>
            </w:r>
            <w:r w:rsidRPr="00001C1A">
              <w:rPr>
                <w:rFonts w:ascii="Calibri" w:eastAsia="Times New Roman" w:hAnsi="Calibri" w:cs="Calibri"/>
                <w:color w:val="000000"/>
              </w:rPr>
              <w:t>1.5</w:t>
            </w:r>
            <w:r>
              <w:rPr>
                <w:rFonts w:ascii="Calibri" w:eastAsia="Times New Roman" w:hAnsi="Calibri" w:cs="Calibri"/>
                <w:color w:val="000000"/>
              </w:rPr>
              <w:t>%)</w:t>
            </w:r>
          </w:p>
        </w:tc>
      </w:tr>
      <w:tr w:rsidR="001E263B" w:rsidRPr="00001C1A" w14:paraId="109096D0" w14:textId="77777777" w:rsidTr="001E263B">
        <w:trPr>
          <w:trHeight w:val="300"/>
        </w:trPr>
        <w:tc>
          <w:tcPr>
            <w:tcW w:w="3682" w:type="dxa"/>
            <w:shd w:val="clear" w:color="auto" w:fill="auto"/>
            <w:noWrap/>
            <w:vAlign w:val="center"/>
            <w:hideMark/>
          </w:tcPr>
          <w:p w14:paraId="2BCB28D9" w14:textId="77777777" w:rsidR="001E263B" w:rsidRPr="00001C1A" w:rsidRDefault="001E263B" w:rsidP="00EC4DB0">
            <w:pPr>
              <w:spacing w:after="0" w:line="240" w:lineRule="auto"/>
              <w:rPr>
                <w:rFonts w:ascii="Calibri" w:eastAsia="Times New Roman" w:hAnsi="Calibri" w:cs="Calibri"/>
                <w:color w:val="000000"/>
              </w:rPr>
            </w:pPr>
            <w:r w:rsidRPr="00001C1A">
              <w:rPr>
                <w:rFonts w:ascii="Calibri" w:eastAsia="Times New Roman" w:hAnsi="Calibri" w:cs="Calibri"/>
                <w:color w:val="000000"/>
              </w:rPr>
              <w:t>Disability/Frailty</w:t>
            </w:r>
          </w:p>
        </w:tc>
        <w:tc>
          <w:tcPr>
            <w:tcW w:w="3055" w:type="dxa"/>
            <w:shd w:val="clear" w:color="auto" w:fill="auto"/>
            <w:noWrap/>
            <w:vAlign w:val="center"/>
            <w:hideMark/>
          </w:tcPr>
          <w:p w14:paraId="2BEAE1F4"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440</w:t>
            </w:r>
            <w:r>
              <w:rPr>
                <w:rFonts w:ascii="Calibri" w:eastAsia="Times New Roman" w:hAnsi="Calibri" w:cs="Calibri"/>
                <w:color w:val="000000"/>
              </w:rPr>
              <w:t>,</w:t>
            </w:r>
            <w:r w:rsidRPr="00001C1A">
              <w:rPr>
                <w:rFonts w:ascii="Calibri" w:eastAsia="Times New Roman" w:hAnsi="Calibri" w:cs="Calibri"/>
                <w:color w:val="000000"/>
              </w:rPr>
              <w:t xml:space="preserve">293 </w:t>
            </w:r>
            <w:r>
              <w:rPr>
                <w:rFonts w:ascii="Calibri" w:eastAsia="Times New Roman" w:hAnsi="Calibri" w:cs="Calibri"/>
                <w:color w:val="000000"/>
              </w:rPr>
              <w:t>(</w:t>
            </w:r>
            <w:r w:rsidRPr="00001C1A">
              <w:rPr>
                <w:rFonts w:ascii="Calibri" w:eastAsia="Times New Roman" w:hAnsi="Calibri" w:cs="Calibri"/>
                <w:color w:val="000000"/>
              </w:rPr>
              <w:t>13.5</w:t>
            </w:r>
            <w:r>
              <w:rPr>
                <w:rFonts w:ascii="Calibri" w:eastAsia="Times New Roman" w:hAnsi="Calibri" w:cs="Calibri"/>
                <w:color w:val="000000"/>
              </w:rPr>
              <w:t>%)</w:t>
            </w:r>
          </w:p>
        </w:tc>
        <w:tc>
          <w:tcPr>
            <w:tcW w:w="2818" w:type="dxa"/>
            <w:shd w:val="clear" w:color="auto" w:fill="auto"/>
            <w:noWrap/>
            <w:vAlign w:val="center"/>
            <w:hideMark/>
          </w:tcPr>
          <w:p w14:paraId="6CEB0E4D"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439</w:t>
            </w:r>
            <w:r>
              <w:rPr>
                <w:rFonts w:ascii="Calibri" w:eastAsia="Times New Roman" w:hAnsi="Calibri" w:cs="Calibri"/>
                <w:color w:val="000000"/>
              </w:rPr>
              <w:t>,</w:t>
            </w:r>
            <w:r w:rsidRPr="00001C1A">
              <w:rPr>
                <w:rFonts w:ascii="Calibri" w:eastAsia="Times New Roman" w:hAnsi="Calibri" w:cs="Calibri"/>
                <w:color w:val="000000"/>
              </w:rPr>
              <w:t xml:space="preserve">847 </w:t>
            </w:r>
            <w:r>
              <w:rPr>
                <w:rFonts w:ascii="Calibri" w:eastAsia="Times New Roman" w:hAnsi="Calibri" w:cs="Calibri"/>
                <w:color w:val="000000"/>
              </w:rPr>
              <w:t>(</w:t>
            </w:r>
            <w:r w:rsidRPr="00001C1A">
              <w:rPr>
                <w:rFonts w:ascii="Calibri" w:eastAsia="Times New Roman" w:hAnsi="Calibri" w:cs="Calibri"/>
                <w:color w:val="000000"/>
              </w:rPr>
              <w:t>13.5</w:t>
            </w:r>
            <w:r>
              <w:rPr>
                <w:rFonts w:ascii="Calibri" w:eastAsia="Times New Roman" w:hAnsi="Calibri" w:cs="Calibri"/>
                <w:color w:val="000000"/>
              </w:rPr>
              <w:t>%)</w:t>
            </w:r>
          </w:p>
        </w:tc>
      </w:tr>
      <w:tr w:rsidR="001E263B" w:rsidRPr="00001C1A" w14:paraId="7508A5B7" w14:textId="77777777" w:rsidTr="001E263B">
        <w:trPr>
          <w:trHeight w:val="300"/>
        </w:trPr>
        <w:tc>
          <w:tcPr>
            <w:tcW w:w="3682" w:type="dxa"/>
            <w:shd w:val="clear" w:color="auto" w:fill="auto"/>
            <w:noWrap/>
            <w:vAlign w:val="center"/>
            <w:hideMark/>
          </w:tcPr>
          <w:p w14:paraId="15F66057" w14:textId="77777777" w:rsidR="001E263B" w:rsidRPr="00001C1A" w:rsidRDefault="001E263B" w:rsidP="00EC4DB0">
            <w:pPr>
              <w:spacing w:after="0" w:line="240" w:lineRule="auto"/>
              <w:rPr>
                <w:rFonts w:ascii="Calibri" w:eastAsia="Times New Roman" w:hAnsi="Calibri" w:cs="Calibri"/>
                <w:color w:val="000000"/>
              </w:rPr>
            </w:pPr>
            <w:r w:rsidRPr="004E4712">
              <w:rPr>
                <w:rFonts w:ascii="Calibri" w:eastAsia="Times New Roman" w:hAnsi="Calibri" w:cs="Calibri"/>
                <w:color w:val="000000"/>
              </w:rPr>
              <w:t xml:space="preserve">Gastrointestinal and Genitourinary disorders </w:t>
            </w:r>
            <w:r>
              <w:rPr>
                <w:rFonts w:ascii="Calibri" w:eastAsia="Times New Roman" w:hAnsi="Calibri" w:cs="Calibri"/>
                <w:color w:val="000000"/>
              </w:rPr>
              <w:t>(</w:t>
            </w:r>
            <w:r w:rsidRPr="00001C1A">
              <w:rPr>
                <w:rFonts w:ascii="Calibri" w:eastAsia="Times New Roman" w:hAnsi="Calibri" w:cs="Calibri"/>
                <w:color w:val="000000"/>
              </w:rPr>
              <w:t>GI/GU</w:t>
            </w:r>
            <w:r>
              <w:rPr>
                <w:rFonts w:ascii="Calibri" w:eastAsia="Times New Roman" w:hAnsi="Calibri" w:cs="Calibri"/>
                <w:color w:val="000000"/>
              </w:rPr>
              <w:t>)</w:t>
            </w:r>
          </w:p>
        </w:tc>
        <w:tc>
          <w:tcPr>
            <w:tcW w:w="3055" w:type="dxa"/>
            <w:shd w:val="clear" w:color="auto" w:fill="auto"/>
            <w:noWrap/>
            <w:vAlign w:val="center"/>
            <w:hideMark/>
          </w:tcPr>
          <w:p w14:paraId="27DA949E"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761</w:t>
            </w:r>
            <w:r>
              <w:rPr>
                <w:rFonts w:ascii="Calibri" w:eastAsia="Times New Roman" w:hAnsi="Calibri" w:cs="Calibri"/>
                <w:color w:val="000000"/>
              </w:rPr>
              <w:t>,</w:t>
            </w:r>
            <w:r w:rsidRPr="00001C1A">
              <w:rPr>
                <w:rFonts w:ascii="Calibri" w:eastAsia="Times New Roman" w:hAnsi="Calibri" w:cs="Calibri"/>
                <w:color w:val="000000"/>
              </w:rPr>
              <w:t xml:space="preserve">670 </w:t>
            </w:r>
            <w:r>
              <w:rPr>
                <w:rFonts w:ascii="Calibri" w:eastAsia="Times New Roman" w:hAnsi="Calibri" w:cs="Calibri"/>
                <w:color w:val="000000"/>
              </w:rPr>
              <w:t>(</w:t>
            </w:r>
            <w:r w:rsidRPr="00001C1A">
              <w:rPr>
                <w:rFonts w:ascii="Calibri" w:eastAsia="Times New Roman" w:hAnsi="Calibri" w:cs="Calibri"/>
                <w:color w:val="000000"/>
              </w:rPr>
              <w:t>23.4</w:t>
            </w:r>
            <w:r>
              <w:rPr>
                <w:rFonts w:ascii="Calibri" w:eastAsia="Times New Roman" w:hAnsi="Calibri" w:cs="Calibri"/>
                <w:color w:val="000000"/>
              </w:rPr>
              <w:t>%)</w:t>
            </w:r>
          </w:p>
        </w:tc>
        <w:tc>
          <w:tcPr>
            <w:tcW w:w="2818" w:type="dxa"/>
            <w:shd w:val="clear" w:color="auto" w:fill="auto"/>
            <w:noWrap/>
            <w:vAlign w:val="center"/>
            <w:hideMark/>
          </w:tcPr>
          <w:p w14:paraId="07842EEB"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759</w:t>
            </w:r>
            <w:r>
              <w:rPr>
                <w:rFonts w:ascii="Calibri" w:eastAsia="Times New Roman" w:hAnsi="Calibri" w:cs="Calibri"/>
                <w:color w:val="000000"/>
              </w:rPr>
              <w:t>,</w:t>
            </w:r>
            <w:r w:rsidRPr="00001C1A">
              <w:rPr>
                <w:rFonts w:ascii="Calibri" w:eastAsia="Times New Roman" w:hAnsi="Calibri" w:cs="Calibri"/>
                <w:color w:val="000000"/>
              </w:rPr>
              <w:t xml:space="preserve">637 </w:t>
            </w:r>
            <w:r>
              <w:rPr>
                <w:rFonts w:ascii="Calibri" w:eastAsia="Times New Roman" w:hAnsi="Calibri" w:cs="Calibri"/>
                <w:color w:val="000000"/>
              </w:rPr>
              <w:t>(</w:t>
            </w:r>
            <w:r w:rsidRPr="00001C1A">
              <w:rPr>
                <w:rFonts w:ascii="Calibri" w:eastAsia="Times New Roman" w:hAnsi="Calibri" w:cs="Calibri"/>
                <w:color w:val="000000"/>
              </w:rPr>
              <w:t>23.3</w:t>
            </w:r>
            <w:r>
              <w:rPr>
                <w:rFonts w:ascii="Calibri" w:eastAsia="Times New Roman" w:hAnsi="Calibri" w:cs="Calibri"/>
                <w:color w:val="000000"/>
              </w:rPr>
              <w:t>%)</w:t>
            </w:r>
          </w:p>
        </w:tc>
      </w:tr>
      <w:tr w:rsidR="001E263B" w:rsidRPr="00001C1A" w14:paraId="21D407BC" w14:textId="77777777" w:rsidTr="001E263B">
        <w:trPr>
          <w:trHeight w:val="300"/>
        </w:trPr>
        <w:tc>
          <w:tcPr>
            <w:tcW w:w="3682" w:type="dxa"/>
            <w:shd w:val="clear" w:color="auto" w:fill="auto"/>
            <w:noWrap/>
            <w:vAlign w:val="center"/>
            <w:hideMark/>
          </w:tcPr>
          <w:p w14:paraId="67CA4E18" w14:textId="77777777" w:rsidR="001E263B" w:rsidRPr="00001C1A" w:rsidRDefault="001E263B" w:rsidP="00EC4DB0">
            <w:pPr>
              <w:spacing w:after="0" w:line="240" w:lineRule="auto"/>
              <w:rPr>
                <w:rFonts w:ascii="Calibri" w:eastAsia="Times New Roman" w:hAnsi="Calibri" w:cs="Calibri"/>
                <w:color w:val="000000"/>
              </w:rPr>
            </w:pPr>
            <w:r>
              <w:rPr>
                <w:rFonts w:ascii="Calibri" w:eastAsia="Times New Roman" w:hAnsi="Calibri" w:cs="Calibri"/>
                <w:color w:val="000000"/>
              </w:rPr>
              <w:t>Hematological disorders</w:t>
            </w:r>
          </w:p>
        </w:tc>
        <w:tc>
          <w:tcPr>
            <w:tcW w:w="3055" w:type="dxa"/>
            <w:shd w:val="clear" w:color="auto" w:fill="auto"/>
            <w:noWrap/>
            <w:vAlign w:val="center"/>
            <w:hideMark/>
          </w:tcPr>
          <w:p w14:paraId="5722EF38"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275</w:t>
            </w:r>
            <w:r>
              <w:rPr>
                <w:rFonts w:ascii="Calibri" w:eastAsia="Times New Roman" w:hAnsi="Calibri" w:cs="Calibri"/>
                <w:color w:val="000000"/>
              </w:rPr>
              <w:t>,</w:t>
            </w:r>
            <w:r w:rsidRPr="00001C1A">
              <w:rPr>
                <w:rFonts w:ascii="Calibri" w:eastAsia="Times New Roman" w:hAnsi="Calibri" w:cs="Calibri"/>
                <w:color w:val="000000"/>
              </w:rPr>
              <w:t xml:space="preserve">930 </w:t>
            </w:r>
            <w:r>
              <w:rPr>
                <w:rFonts w:ascii="Calibri" w:eastAsia="Times New Roman" w:hAnsi="Calibri" w:cs="Calibri"/>
                <w:color w:val="000000"/>
              </w:rPr>
              <w:t>(</w:t>
            </w:r>
            <w:r w:rsidRPr="00001C1A">
              <w:rPr>
                <w:rFonts w:ascii="Calibri" w:eastAsia="Times New Roman" w:hAnsi="Calibri" w:cs="Calibri"/>
                <w:color w:val="000000"/>
              </w:rPr>
              <w:t>8.5</w:t>
            </w:r>
            <w:r>
              <w:rPr>
                <w:rFonts w:ascii="Calibri" w:eastAsia="Times New Roman" w:hAnsi="Calibri" w:cs="Calibri"/>
                <w:color w:val="000000"/>
              </w:rPr>
              <w:t>%)</w:t>
            </w:r>
          </w:p>
        </w:tc>
        <w:tc>
          <w:tcPr>
            <w:tcW w:w="2818" w:type="dxa"/>
            <w:shd w:val="clear" w:color="auto" w:fill="auto"/>
            <w:noWrap/>
            <w:vAlign w:val="center"/>
            <w:hideMark/>
          </w:tcPr>
          <w:p w14:paraId="724024E3"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277</w:t>
            </w:r>
            <w:r>
              <w:rPr>
                <w:rFonts w:ascii="Calibri" w:eastAsia="Times New Roman" w:hAnsi="Calibri" w:cs="Calibri"/>
                <w:color w:val="000000"/>
              </w:rPr>
              <w:t>,</w:t>
            </w:r>
            <w:r w:rsidRPr="00001C1A">
              <w:rPr>
                <w:rFonts w:ascii="Calibri" w:eastAsia="Times New Roman" w:hAnsi="Calibri" w:cs="Calibri"/>
                <w:color w:val="000000"/>
              </w:rPr>
              <w:t xml:space="preserve">354 </w:t>
            </w:r>
            <w:r>
              <w:rPr>
                <w:rFonts w:ascii="Calibri" w:eastAsia="Times New Roman" w:hAnsi="Calibri" w:cs="Calibri"/>
                <w:color w:val="000000"/>
              </w:rPr>
              <w:t>(</w:t>
            </w:r>
            <w:r w:rsidRPr="00001C1A">
              <w:rPr>
                <w:rFonts w:ascii="Calibri" w:eastAsia="Times New Roman" w:hAnsi="Calibri" w:cs="Calibri"/>
                <w:color w:val="000000"/>
              </w:rPr>
              <w:t>8.5</w:t>
            </w:r>
            <w:r>
              <w:rPr>
                <w:rFonts w:ascii="Calibri" w:eastAsia="Times New Roman" w:hAnsi="Calibri" w:cs="Calibri"/>
                <w:color w:val="000000"/>
              </w:rPr>
              <w:t>%)</w:t>
            </w:r>
          </w:p>
        </w:tc>
      </w:tr>
      <w:tr w:rsidR="001E263B" w:rsidRPr="00001C1A" w14:paraId="30976E1D" w14:textId="77777777" w:rsidTr="001E263B">
        <w:trPr>
          <w:trHeight w:val="300"/>
        </w:trPr>
        <w:tc>
          <w:tcPr>
            <w:tcW w:w="3682" w:type="dxa"/>
            <w:shd w:val="clear" w:color="auto" w:fill="auto"/>
            <w:noWrap/>
            <w:vAlign w:val="center"/>
            <w:hideMark/>
          </w:tcPr>
          <w:p w14:paraId="5E398718" w14:textId="77777777" w:rsidR="001E263B" w:rsidRPr="00001C1A" w:rsidRDefault="001E263B" w:rsidP="00EC4DB0">
            <w:pPr>
              <w:spacing w:after="0" w:line="240" w:lineRule="auto"/>
              <w:rPr>
                <w:rFonts w:ascii="Calibri" w:eastAsia="Times New Roman" w:hAnsi="Calibri" w:cs="Calibri"/>
                <w:color w:val="000000"/>
              </w:rPr>
            </w:pPr>
            <w:r>
              <w:rPr>
                <w:rFonts w:ascii="Calibri" w:eastAsia="Times New Roman" w:hAnsi="Calibri" w:cs="Calibri"/>
                <w:color w:val="000000"/>
              </w:rPr>
              <w:t>Infectious and immune disorders</w:t>
            </w:r>
          </w:p>
        </w:tc>
        <w:tc>
          <w:tcPr>
            <w:tcW w:w="3055" w:type="dxa"/>
            <w:shd w:val="clear" w:color="auto" w:fill="auto"/>
            <w:noWrap/>
            <w:vAlign w:val="center"/>
            <w:hideMark/>
          </w:tcPr>
          <w:p w14:paraId="60008EB7"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109</w:t>
            </w:r>
            <w:r>
              <w:rPr>
                <w:rFonts w:ascii="Calibri" w:eastAsia="Times New Roman" w:hAnsi="Calibri" w:cs="Calibri"/>
                <w:color w:val="000000"/>
              </w:rPr>
              <w:t>,</w:t>
            </w:r>
            <w:r w:rsidRPr="00001C1A">
              <w:rPr>
                <w:rFonts w:ascii="Calibri" w:eastAsia="Times New Roman" w:hAnsi="Calibri" w:cs="Calibri"/>
                <w:color w:val="000000"/>
              </w:rPr>
              <w:t xml:space="preserve">381 </w:t>
            </w:r>
            <w:r>
              <w:rPr>
                <w:rFonts w:ascii="Calibri" w:eastAsia="Times New Roman" w:hAnsi="Calibri" w:cs="Calibri"/>
                <w:color w:val="000000"/>
              </w:rPr>
              <w:t>(</w:t>
            </w:r>
            <w:r w:rsidRPr="00001C1A">
              <w:rPr>
                <w:rFonts w:ascii="Calibri" w:eastAsia="Times New Roman" w:hAnsi="Calibri" w:cs="Calibri"/>
                <w:color w:val="000000"/>
              </w:rPr>
              <w:t>3.4</w:t>
            </w:r>
            <w:r>
              <w:rPr>
                <w:rFonts w:ascii="Calibri" w:eastAsia="Times New Roman" w:hAnsi="Calibri" w:cs="Calibri"/>
                <w:color w:val="000000"/>
              </w:rPr>
              <w:t>%)</w:t>
            </w:r>
          </w:p>
        </w:tc>
        <w:tc>
          <w:tcPr>
            <w:tcW w:w="2818" w:type="dxa"/>
            <w:shd w:val="clear" w:color="auto" w:fill="auto"/>
            <w:noWrap/>
            <w:vAlign w:val="center"/>
            <w:hideMark/>
          </w:tcPr>
          <w:p w14:paraId="106FEB02"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109</w:t>
            </w:r>
            <w:r>
              <w:rPr>
                <w:rFonts w:ascii="Calibri" w:eastAsia="Times New Roman" w:hAnsi="Calibri" w:cs="Calibri"/>
                <w:color w:val="000000"/>
              </w:rPr>
              <w:t>,</w:t>
            </w:r>
            <w:r w:rsidRPr="00001C1A">
              <w:rPr>
                <w:rFonts w:ascii="Calibri" w:eastAsia="Times New Roman" w:hAnsi="Calibri" w:cs="Calibri"/>
                <w:color w:val="000000"/>
              </w:rPr>
              <w:t xml:space="preserve">963 </w:t>
            </w:r>
            <w:r>
              <w:rPr>
                <w:rFonts w:ascii="Calibri" w:eastAsia="Times New Roman" w:hAnsi="Calibri" w:cs="Calibri"/>
                <w:color w:val="000000"/>
              </w:rPr>
              <w:t>(</w:t>
            </w:r>
            <w:r w:rsidRPr="00001C1A">
              <w:rPr>
                <w:rFonts w:ascii="Calibri" w:eastAsia="Times New Roman" w:hAnsi="Calibri" w:cs="Calibri"/>
                <w:color w:val="000000"/>
              </w:rPr>
              <w:t>3.4</w:t>
            </w:r>
            <w:r>
              <w:rPr>
                <w:rFonts w:ascii="Calibri" w:eastAsia="Times New Roman" w:hAnsi="Calibri" w:cs="Calibri"/>
                <w:color w:val="000000"/>
              </w:rPr>
              <w:t>%)</w:t>
            </w:r>
          </w:p>
        </w:tc>
      </w:tr>
      <w:tr w:rsidR="001E263B" w:rsidRPr="00001C1A" w14:paraId="3ABE5E96" w14:textId="77777777" w:rsidTr="001E263B">
        <w:trPr>
          <w:trHeight w:val="300"/>
        </w:trPr>
        <w:tc>
          <w:tcPr>
            <w:tcW w:w="3682" w:type="dxa"/>
            <w:shd w:val="clear" w:color="auto" w:fill="auto"/>
            <w:noWrap/>
            <w:vAlign w:val="center"/>
            <w:hideMark/>
          </w:tcPr>
          <w:p w14:paraId="3C6825D4" w14:textId="77777777" w:rsidR="001E263B" w:rsidRPr="00001C1A" w:rsidRDefault="001E263B" w:rsidP="00EC4DB0">
            <w:pPr>
              <w:spacing w:after="0" w:line="240" w:lineRule="auto"/>
              <w:rPr>
                <w:rFonts w:ascii="Calibri" w:eastAsia="Times New Roman" w:hAnsi="Calibri" w:cs="Calibri"/>
                <w:color w:val="000000"/>
              </w:rPr>
            </w:pPr>
            <w:r w:rsidRPr="00001C1A">
              <w:rPr>
                <w:rFonts w:ascii="Calibri" w:eastAsia="Times New Roman" w:hAnsi="Calibri" w:cs="Calibri"/>
                <w:color w:val="000000"/>
              </w:rPr>
              <w:t>Kidney</w:t>
            </w:r>
            <w:r>
              <w:rPr>
                <w:rFonts w:ascii="Calibri" w:eastAsia="Times New Roman" w:hAnsi="Calibri" w:cs="Calibri"/>
                <w:color w:val="000000"/>
              </w:rPr>
              <w:t xml:space="preserve"> disease</w:t>
            </w:r>
          </w:p>
        </w:tc>
        <w:tc>
          <w:tcPr>
            <w:tcW w:w="3055" w:type="dxa"/>
            <w:shd w:val="clear" w:color="auto" w:fill="auto"/>
            <w:noWrap/>
            <w:vAlign w:val="center"/>
            <w:hideMark/>
          </w:tcPr>
          <w:p w14:paraId="028000F3"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737</w:t>
            </w:r>
            <w:r>
              <w:rPr>
                <w:rFonts w:ascii="Calibri" w:eastAsia="Times New Roman" w:hAnsi="Calibri" w:cs="Calibri"/>
                <w:color w:val="000000"/>
              </w:rPr>
              <w:t>,</w:t>
            </w:r>
            <w:r w:rsidRPr="00001C1A">
              <w:rPr>
                <w:rFonts w:ascii="Calibri" w:eastAsia="Times New Roman" w:hAnsi="Calibri" w:cs="Calibri"/>
                <w:color w:val="000000"/>
              </w:rPr>
              <w:t xml:space="preserve">899 </w:t>
            </w:r>
            <w:r>
              <w:rPr>
                <w:rFonts w:ascii="Calibri" w:eastAsia="Times New Roman" w:hAnsi="Calibri" w:cs="Calibri"/>
                <w:color w:val="000000"/>
              </w:rPr>
              <w:t>(</w:t>
            </w:r>
            <w:r w:rsidRPr="00001C1A">
              <w:rPr>
                <w:rFonts w:ascii="Calibri" w:eastAsia="Times New Roman" w:hAnsi="Calibri" w:cs="Calibri"/>
                <w:color w:val="000000"/>
              </w:rPr>
              <w:t>22.6</w:t>
            </w:r>
            <w:r>
              <w:rPr>
                <w:rFonts w:ascii="Calibri" w:eastAsia="Times New Roman" w:hAnsi="Calibri" w:cs="Calibri"/>
                <w:color w:val="000000"/>
              </w:rPr>
              <w:t>%)</w:t>
            </w:r>
          </w:p>
        </w:tc>
        <w:tc>
          <w:tcPr>
            <w:tcW w:w="2818" w:type="dxa"/>
            <w:shd w:val="clear" w:color="auto" w:fill="auto"/>
            <w:noWrap/>
            <w:vAlign w:val="center"/>
            <w:hideMark/>
          </w:tcPr>
          <w:p w14:paraId="03B10FF8"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738</w:t>
            </w:r>
            <w:r>
              <w:rPr>
                <w:rFonts w:ascii="Calibri" w:eastAsia="Times New Roman" w:hAnsi="Calibri" w:cs="Calibri"/>
                <w:color w:val="000000"/>
              </w:rPr>
              <w:t>,</w:t>
            </w:r>
            <w:r w:rsidRPr="00001C1A">
              <w:rPr>
                <w:rFonts w:ascii="Calibri" w:eastAsia="Times New Roman" w:hAnsi="Calibri" w:cs="Calibri"/>
                <w:color w:val="000000"/>
              </w:rPr>
              <w:t xml:space="preserve">477 </w:t>
            </w:r>
            <w:r>
              <w:rPr>
                <w:rFonts w:ascii="Calibri" w:eastAsia="Times New Roman" w:hAnsi="Calibri" w:cs="Calibri"/>
                <w:color w:val="000000"/>
              </w:rPr>
              <w:t>(</w:t>
            </w:r>
            <w:r w:rsidRPr="00001C1A">
              <w:rPr>
                <w:rFonts w:ascii="Calibri" w:eastAsia="Times New Roman" w:hAnsi="Calibri" w:cs="Calibri"/>
                <w:color w:val="000000"/>
              </w:rPr>
              <w:t>22.6</w:t>
            </w:r>
            <w:r>
              <w:rPr>
                <w:rFonts w:ascii="Calibri" w:eastAsia="Times New Roman" w:hAnsi="Calibri" w:cs="Calibri"/>
                <w:color w:val="000000"/>
              </w:rPr>
              <w:t>%)</w:t>
            </w:r>
          </w:p>
        </w:tc>
      </w:tr>
      <w:tr w:rsidR="001E263B" w:rsidRPr="00001C1A" w14:paraId="059C6290" w14:textId="77777777" w:rsidTr="001E263B">
        <w:trPr>
          <w:trHeight w:val="300"/>
        </w:trPr>
        <w:tc>
          <w:tcPr>
            <w:tcW w:w="3682" w:type="dxa"/>
            <w:shd w:val="clear" w:color="auto" w:fill="auto"/>
            <w:noWrap/>
            <w:vAlign w:val="center"/>
            <w:hideMark/>
          </w:tcPr>
          <w:p w14:paraId="343F6186" w14:textId="77777777" w:rsidR="001E263B" w:rsidRPr="00001C1A" w:rsidRDefault="001E263B" w:rsidP="00EC4DB0">
            <w:pPr>
              <w:spacing w:after="0" w:line="240" w:lineRule="auto"/>
              <w:rPr>
                <w:rFonts w:ascii="Calibri" w:eastAsia="Times New Roman" w:hAnsi="Calibri" w:cs="Calibri"/>
                <w:color w:val="000000"/>
              </w:rPr>
            </w:pPr>
            <w:r w:rsidRPr="00001C1A">
              <w:rPr>
                <w:rFonts w:ascii="Calibri" w:eastAsia="Times New Roman" w:hAnsi="Calibri" w:cs="Calibri"/>
                <w:color w:val="000000"/>
              </w:rPr>
              <w:t>Liver</w:t>
            </w:r>
            <w:r>
              <w:rPr>
                <w:rFonts w:ascii="Calibri" w:eastAsia="Times New Roman" w:hAnsi="Calibri" w:cs="Calibri"/>
                <w:color w:val="000000"/>
              </w:rPr>
              <w:t xml:space="preserve"> disease</w:t>
            </w:r>
          </w:p>
        </w:tc>
        <w:tc>
          <w:tcPr>
            <w:tcW w:w="3055" w:type="dxa"/>
            <w:shd w:val="clear" w:color="auto" w:fill="auto"/>
            <w:noWrap/>
            <w:vAlign w:val="center"/>
            <w:hideMark/>
          </w:tcPr>
          <w:p w14:paraId="7E8D0F58"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55</w:t>
            </w:r>
            <w:r>
              <w:rPr>
                <w:rFonts w:ascii="Calibri" w:eastAsia="Times New Roman" w:hAnsi="Calibri" w:cs="Calibri"/>
                <w:color w:val="000000"/>
              </w:rPr>
              <w:t>,</w:t>
            </w:r>
            <w:r w:rsidRPr="00001C1A">
              <w:rPr>
                <w:rFonts w:ascii="Calibri" w:eastAsia="Times New Roman" w:hAnsi="Calibri" w:cs="Calibri"/>
                <w:color w:val="000000"/>
              </w:rPr>
              <w:t xml:space="preserve">928 </w:t>
            </w:r>
            <w:r>
              <w:rPr>
                <w:rFonts w:ascii="Calibri" w:eastAsia="Times New Roman" w:hAnsi="Calibri" w:cs="Calibri"/>
                <w:color w:val="000000"/>
              </w:rPr>
              <w:t>(</w:t>
            </w:r>
            <w:r w:rsidRPr="00001C1A">
              <w:rPr>
                <w:rFonts w:ascii="Calibri" w:eastAsia="Times New Roman" w:hAnsi="Calibri" w:cs="Calibri"/>
                <w:color w:val="000000"/>
              </w:rPr>
              <w:t>1.7</w:t>
            </w:r>
            <w:r>
              <w:rPr>
                <w:rFonts w:ascii="Calibri" w:eastAsia="Times New Roman" w:hAnsi="Calibri" w:cs="Calibri"/>
                <w:color w:val="000000"/>
              </w:rPr>
              <w:t>%)</w:t>
            </w:r>
          </w:p>
        </w:tc>
        <w:tc>
          <w:tcPr>
            <w:tcW w:w="2818" w:type="dxa"/>
            <w:shd w:val="clear" w:color="auto" w:fill="auto"/>
            <w:noWrap/>
            <w:vAlign w:val="center"/>
            <w:hideMark/>
          </w:tcPr>
          <w:p w14:paraId="04928F9E"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5</w:t>
            </w:r>
            <w:r>
              <w:rPr>
                <w:rFonts w:ascii="Calibri" w:eastAsia="Times New Roman" w:hAnsi="Calibri" w:cs="Calibri"/>
                <w:color w:val="000000"/>
              </w:rPr>
              <w:t>,</w:t>
            </w:r>
            <w:r w:rsidRPr="00001C1A">
              <w:rPr>
                <w:rFonts w:ascii="Calibri" w:eastAsia="Times New Roman" w:hAnsi="Calibri" w:cs="Calibri"/>
                <w:color w:val="000000"/>
              </w:rPr>
              <w:t xml:space="preserve">5667 </w:t>
            </w:r>
            <w:r>
              <w:rPr>
                <w:rFonts w:ascii="Calibri" w:eastAsia="Times New Roman" w:hAnsi="Calibri" w:cs="Calibri"/>
                <w:color w:val="000000"/>
              </w:rPr>
              <w:t>(</w:t>
            </w:r>
            <w:r w:rsidRPr="00001C1A">
              <w:rPr>
                <w:rFonts w:ascii="Calibri" w:eastAsia="Times New Roman" w:hAnsi="Calibri" w:cs="Calibri"/>
                <w:color w:val="000000"/>
              </w:rPr>
              <w:t>1.7</w:t>
            </w:r>
            <w:r>
              <w:rPr>
                <w:rFonts w:ascii="Calibri" w:eastAsia="Times New Roman" w:hAnsi="Calibri" w:cs="Calibri"/>
                <w:color w:val="000000"/>
              </w:rPr>
              <w:t>%)</w:t>
            </w:r>
          </w:p>
        </w:tc>
      </w:tr>
      <w:tr w:rsidR="001E263B" w:rsidRPr="00001C1A" w14:paraId="19D8CCE6" w14:textId="77777777" w:rsidTr="001E263B">
        <w:trPr>
          <w:trHeight w:val="300"/>
        </w:trPr>
        <w:tc>
          <w:tcPr>
            <w:tcW w:w="3682" w:type="dxa"/>
            <w:shd w:val="clear" w:color="auto" w:fill="auto"/>
            <w:noWrap/>
            <w:vAlign w:val="center"/>
            <w:hideMark/>
          </w:tcPr>
          <w:p w14:paraId="5B7DF0B3" w14:textId="42B7A41E" w:rsidR="001E263B" w:rsidRPr="00001C1A" w:rsidRDefault="001E263B" w:rsidP="00BD4CE0">
            <w:pPr>
              <w:spacing w:after="0" w:line="240" w:lineRule="auto"/>
              <w:rPr>
                <w:rFonts w:ascii="Calibri" w:eastAsia="Times New Roman" w:hAnsi="Calibri" w:cs="Calibri"/>
                <w:color w:val="000000"/>
              </w:rPr>
            </w:pPr>
            <w:r>
              <w:rPr>
                <w:rFonts w:ascii="Calibri" w:eastAsia="Times New Roman" w:hAnsi="Calibri" w:cs="Calibri"/>
                <w:color w:val="000000"/>
              </w:rPr>
              <w:t xml:space="preserve">Neurological </w:t>
            </w:r>
            <w:r w:rsidR="00BD4CE0">
              <w:rPr>
                <w:rFonts w:ascii="Calibri" w:eastAsia="Times New Roman" w:hAnsi="Calibri" w:cs="Calibri"/>
                <w:color w:val="000000"/>
              </w:rPr>
              <w:t>disorders</w:t>
            </w:r>
          </w:p>
        </w:tc>
        <w:tc>
          <w:tcPr>
            <w:tcW w:w="3055" w:type="dxa"/>
            <w:shd w:val="clear" w:color="auto" w:fill="auto"/>
            <w:noWrap/>
            <w:vAlign w:val="center"/>
            <w:hideMark/>
          </w:tcPr>
          <w:p w14:paraId="0987DA53"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850</w:t>
            </w:r>
            <w:r>
              <w:rPr>
                <w:rFonts w:ascii="Calibri" w:eastAsia="Times New Roman" w:hAnsi="Calibri" w:cs="Calibri"/>
                <w:color w:val="000000"/>
              </w:rPr>
              <w:t>,</w:t>
            </w:r>
            <w:r w:rsidRPr="00001C1A">
              <w:rPr>
                <w:rFonts w:ascii="Calibri" w:eastAsia="Times New Roman" w:hAnsi="Calibri" w:cs="Calibri"/>
                <w:color w:val="000000"/>
              </w:rPr>
              <w:t xml:space="preserve">552 </w:t>
            </w:r>
            <w:r>
              <w:rPr>
                <w:rFonts w:ascii="Calibri" w:eastAsia="Times New Roman" w:hAnsi="Calibri" w:cs="Calibri"/>
                <w:color w:val="000000"/>
              </w:rPr>
              <w:t>(</w:t>
            </w:r>
            <w:r w:rsidRPr="00001C1A">
              <w:rPr>
                <w:rFonts w:ascii="Calibri" w:eastAsia="Times New Roman" w:hAnsi="Calibri" w:cs="Calibri"/>
                <w:color w:val="000000"/>
              </w:rPr>
              <w:t>26.1</w:t>
            </w:r>
            <w:r>
              <w:rPr>
                <w:rFonts w:ascii="Calibri" w:eastAsia="Times New Roman" w:hAnsi="Calibri" w:cs="Calibri"/>
                <w:color w:val="000000"/>
              </w:rPr>
              <w:t>%)</w:t>
            </w:r>
          </w:p>
        </w:tc>
        <w:tc>
          <w:tcPr>
            <w:tcW w:w="2818" w:type="dxa"/>
            <w:shd w:val="clear" w:color="auto" w:fill="auto"/>
            <w:noWrap/>
            <w:vAlign w:val="center"/>
            <w:hideMark/>
          </w:tcPr>
          <w:p w14:paraId="3BCF46B8"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849</w:t>
            </w:r>
            <w:r>
              <w:rPr>
                <w:rFonts w:ascii="Calibri" w:eastAsia="Times New Roman" w:hAnsi="Calibri" w:cs="Calibri"/>
                <w:color w:val="000000"/>
              </w:rPr>
              <w:t>,</w:t>
            </w:r>
            <w:r w:rsidRPr="00001C1A">
              <w:rPr>
                <w:rFonts w:ascii="Calibri" w:eastAsia="Times New Roman" w:hAnsi="Calibri" w:cs="Calibri"/>
                <w:color w:val="000000"/>
              </w:rPr>
              <w:t xml:space="preserve">391 </w:t>
            </w:r>
            <w:r>
              <w:rPr>
                <w:rFonts w:ascii="Calibri" w:eastAsia="Times New Roman" w:hAnsi="Calibri" w:cs="Calibri"/>
                <w:color w:val="000000"/>
              </w:rPr>
              <w:t>(</w:t>
            </w:r>
            <w:r w:rsidRPr="00001C1A">
              <w:rPr>
                <w:rFonts w:ascii="Calibri" w:eastAsia="Times New Roman" w:hAnsi="Calibri" w:cs="Calibri"/>
                <w:color w:val="000000"/>
              </w:rPr>
              <w:t>26.0</w:t>
            </w:r>
            <w:r>
              <w:rPr>
                <w:rFonts w:ascii="Calibri" w:eastAsia="Times New Roman" w:hAnsi="Calibri" w:cs="Calibri"/>
                <w:color w:val="000000"/>
              </w:rPr>
              <w:t>%)</w:t>
            </w:r>
          </w:p>
        </w:tc>
      </w:tr>
      <w:tr w:rsidR="001E263B" w:rsidRPr="00001C1A" w14:paraId="4C2074AC" w14:textId="77777777" w:rsidTr="001E263B">
        <w:trPr>
          <w:trHeight w:val="300"/>
        </w:trPr>
        <w:tc>
          <w:tcPr>
            <w:tcW w:w="3682" w:type="dxa"/>
            <w:shd w:val="clear" w:color="auto" w:fill="auto"/>
            <w:noWrap/>
            <w:vAlign w:val="center"/>
            <w:hideMark/>
          </w:tcPr>
          <w:p w14:paraId="2D39550B" w14:textId="77777777" w:rsidR="001E263B" w:rsidRPr="00001C1A" w:rsidRDefault="001E263B" w:rsidP="00EC4DB0">
            <w:pPr>
              <w:spacing w:after="0" w:line="240" w:lineRule="auto"/>
              <w:rPr>
                <w:rFonts w:ascii="Calibri" w:eastAsia="Times New Roman" w:hAnsi="Calibri" w:cs="Calibri"/>
                <w:color w:val="000000"/>
              </w:rPr>
            </w:pPr>
            <w:r w:rsidRPr="00001C1A">
              <w:rPr>
                <w:rFonts w:ascii="Calibri" w:eastAsia="Times New Roman" w:hAnsi="Calibri" w:cs="Calibri"/>
                <w:color w:val="000000"/>
              </w:rPr>
              <w:t>Psychiatric</w:t>
            </w:r>
            <w:r>
              <w:rPr>
                <w:rFonts w:ascii="Calibri" w:eastAsia="Times New Roman" w:hAnsi="Calibri" w:cs="Calibri"/>
                <w:color w:val="000000"/>
              </w:rPr>
              <w:t xml:space="preserve"> illness/Substance abuse</w:t>
            </w:r>
          </w:p>
        </w:tc>
        <w:tc>
          <w:tcPr>
            <w:tcW w:w="3055" w:type="dxa"/>
            <w:shd w:val="clear" w:color="auto" w:fill="auto"/>
            <w:noWrap/>
            <w:vAlign w:val="center"/>
            <w:hideMark/>
          </w:tcPr>
          <w:p w14:paraId="0B805766"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871</w:t>
            </w:r>
            <w:r>
              <w:rPr>
                <w:rFonts w:ascii="Calibri" w:eastAsia="Times New Roman" w:hAnsi="Calibri" w:cs="Calibri"/>
                <w:color w:val="000000"/>
              </w:rPr>
              <w:t>,</w:t>
            </w:r>
            <w:r w:rsidRPr="00001C1A">
              <w:rPr>
                <w:rFonts w:ascii="Calibri" w:eastAsia="Times New Roman" w:hAnsi="Calibri" w:cs="Calibri"/>
                <w:color w:val="000000"/>
              </w:rPr>
              <w:t xml:space="preserve">240 </w:t>
            </w:r>
            <w:r>
              <w:rPr>
                <w:rFonts w:ascii="Calibri" w:eastAsia="Times New Roman" w:hAnsi="Calibri" w:cs="Calibri"/>
                <w:color w:val="000000"/>
              </w:rPr>
              <w:t>(</w:t>
            </w:r>
            <w:r w:rsidRPr="00001C1A">
              <w:rPr>
                <w:rFonts w:ascii="Calibri" w:eastAsia="Times New Roman" w:hAnsi="Calibri" w:cs="Calibri"/>
                <w:color w:val="000000"/>
              </w:rPr>
              <w:t>26.7</w:t>
            </w:r>
            <w:r>
              <w:rPr>
                <w:rFonts w:ascii="Calibri" w:eastAsia="Times New Roman" w:hAnsi="Calibri" w:cs="Calibri"/>
                <w:color w:val="000000"/>
              </w:rPr>
              <w:t>%)</w:t>
            </w:r>
          </w:p>
        </w:tc>
        <w:tc>
          <w:tcPr>
            <w:tcW w:w="2818" w:type="dxa"/>
            <w:shd w:val="clear" w:color="auto" w:fill="auto"/>
            <w:noWrap/>
            <w:vAlign w:val="center"/>
            <w:hideMark/>
          </w:tcPr>
          <w:p w14:paraId="55A593B5"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870</w:t>
            </w:r>
            <w:r>
              <w:rPr>
                <w:rFonts w:ascii="Calibri" w:eastAsia="Times New Roman" w:hAnsi="Calibri" w:cs="Calibri"/>
                <w:color w:val="000000"/>
              </w:rPr>
              <w:t>,</w:t>
            </w:r>
            <w:r w:rsidRPr="00001C1A">
              <w:rPr>
                <w:rFonts w:ascii="Calibri" w:eastAsia="Times New Roman" w:hAnsi="Calibri" w:cs="Calibri"/>
                <w:color w:val="000000"/>
              </w:rPr>
              <w:t xml:space="preserve">820 </w:t>
            </w:r>
            <w:r>
              <w:rPr>
                <w:rFonts w:ascii="Calibri" w:eastAsia="Times New Roman" w:hAnsi="Calibri" w:cs="Calibri"/>
                <w:color w:val="000000"/>
              </w:rPr>
              <w:t>(</w:t>
            </w:r>
            <w:r w:rsidRPr="00001C1A">
              <w:rPr>
                <w:rFonts w:ascii="Calibri" w:eastAsia="Times New Roman" w:hAnsi="Calibri" w:cs="Calibri"/>
                <w:color w:val="000000"/>
              </w:rPr>
              <w:t>26.7</w:t>
            </w:r>
            <w:r>
              <w:rPr>
                <w:rFonts w:ascii="Calibri" w:eastAsia="Times New Roman" w:hAnsi="Calibri" w:cs="Calibri"/>
                <w:color w:val="000000"/>
              </w:rPr>
              <w:t>%)</w:t>
            </w:r>
          </w:p>
        </w:tc>
      </w:tr>
      <w:tr w:rsidR="001E263B" w:rsidRPr="00001C1A" w14:paraId="5D01C9AE" w14:textId="77777777" w:rsidTr="001E263B">
        <w:trPr>
          <w:trHeight w:val="300"/>
        </w:trPr>
        <w:tc>
          <w:tcPr>
            <w:tcW w:w="3682" w:type="dxa"/>
            <w:shd w:val="clear" w:color="auto" w:fill="auto"/>
            <w:noWrap/>
            <w:vAlign w:val="center"/>
            <w:hideMark/>
          </w:tcPr>
          <w:p w14:paraId="1428D63C" w14:textId="77777777" w:rsidR="001E263B" w:rsidRPr="00001C1A" w:rsidRDefault="001E263B" w:rsidP="00EC4DB0">
            <w:pPr>
              <w:spacing w:after="0" w:line="240" w:lineRule="auto"/>
              <w:rPr>
                <w:rFonts w:ascii="Calibri" w:eastAsia="Times New Roman" w:hAnsi="Calibri" w:cs="Calibri"/>
                <w:color w:val="000000"/>
              </w:rPr>
            </w:pPr>
            <w:r w:rsidRPr="00001C1A">
              <w:rPr>
                <w:rFonts w:ascii="Calibri" w:eastAsia="Times New Roman" w:hAnsi="Calibri" w:cs="Calibri"/>
                <w:color w:val="000000"/>
              </w:rPr>
              <w:lastRenderedPageBreak/>
              <w:t>Pulmonary</w:t>
            </w:r>
            <w:r>
              <w:rPr>
                <w:rFonts w:ascii="Calibri" w:eastAsia="Times New Roman" w:hAnsi="Calibri" w:cs="Calibri"/>
                <w:color w:val="000000"/>
              </w:rPr>
              <w:t xml:space="preserve"> disease</w:t>
            </w:r>
          </w:p>
        </w:tc>
        <w:tc>
          <w:tcPr>
            <w:tcW w:w="3055" w:type="dxa"/>
            <w:shd w:val="clear" w:color="auto" w:fill="auto"/>
            <w:noWrap/>
            <w:vAlign w:val="center"/>
            <w:hideMark/>
          </w:tcPr>
          <w:p w14:paraId="7DAF76E9"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1</w:t>
            </w:r>
            <w:r>
              <w:rPr>
                <w:rFonts w:ascii="Calibri" w:eastAsia="Times New Roman" w:hAnsi="Calibri" w:cs="Calibri"/>
                <w:color w:val="000000"/>
              </w:rPr>
              <w:t>,</w:t>
            </w:r>
            <w:r w:rsidRPr="00001C1A">
              <w:rPr>
                <w:rFonts w:ascii="Calibri" w:eastAsia="Times New Roman" w:hAnsi="Calibri" w:cs="Calibri"/>
                <w:color w:val="000000"/>
              </w:rPr>
              <w:t>209</w:t>
            </w:r>
            <w:r>
              <w:rPr>
                <w:rFonts w:ascii="Calibri" w:eastAsia="Times New Roman" w:hAnsi="Calibri" w:cs="Calibri"/>
                <w:color w:val="000000"/>
              </w:rPr>
              <w:t>,</w:t>
            </w:r>
            <w:r w:rsidRPr="00001C1A">
              <w:rPr>
                <w:rFonts w:ascii="Calibri" w:eastAsia="Times New Roman" w:hAnsi="Calibri" w:cs="Calibri"/>
                <w:color w:val="000000"/>
              </w:rPr>
              <w:t xml:space="preserve">109 </w:t>
            </w:r>
            <w:r>
              <w:rPr>
                <w:rFonts w:ascii="Calibri" w:eastAsia="Times New Roman" w:hAnsi="Calibri" w:cs="Calibri"/>
                <w:color w:val="000000"/>
              </w:rPr>
              <w:t>(</w:t>
            </w:r>
            <w:r w:rsidRPr="00001C1A">
              <w:rPr>
                <w:rFonts w:ascii="Calibri" w:eastAsia="Times New Roman" w:hAnsi="Calibri" w:cs="Calibri"/>
                <w:color w:val="000000"/>
              </w:rPr>
              <w:t>37.1</w:t>
            </w:r>
            <w:r>
              <w:rPr>
                <w:rFonts w:ascii="Calibri" w:eastAsia="Times New Roman" w:hAnsi="Calibri" w:cs="Calibri"/>
                <w:color w:val="000000"/>
              </w:rPr>
              <w:t>%)</w:t>
            </w:r>
          </w:p>
        </w:tc>
        <w:tc>
          <w:tcPr>
            <w:tcW w:w="2818" w:type="dxa"/>
            <w:shd w:val="clear" w:color="auto" w:fill="auto"/>
            <w:noWrap/>
            <w:vAlign w:val="center"/>
            <w:hideMark/>
          </w:tcPr>
          <w:p w14:paraId="4F71D4E9"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1</w:t>
            </w:r>
            <w:r>
              <w:rPr>
                <w:rFonts w:ascii="Calibri" w:eastAsia="Times New Roman" w:hAnsi="Calibri" w:cs="Calibri"/>
                <w:color w:val="000000"/>
              </w:rPr>
              <w:t>,</w:t>
            </w:r>
            <w:r w:rsidRPr="00001C1A">
              <w:rPr>
                <w:rFonts w:ascii="Calibri" w:eastAsia="Times New Roman" w:hAnsi="Calibri" w:cs="Calibri"/>
                <w:color w:val="000000"/>
              </w:rPr>
              <w:t>211</w:t>
            </w:r>
            <w:r>
              <w:rPr>
                <w:rFonts w:ascii="Calibri" w:eastAsia="Times New Roman" w:hAnsi="Calibri" w:cs="Calibri"/>
                <w:color w:val="000000"/>
              </w:rPr>
              <w:t>,</w:t>
            </w:r>
            <w:r w:rsidRPr="00001C1A">
              <w:rPr>
                <w:rFonts w:ascii="Calibri" w:eastAsia="Times New Roman" w:hAnsi="Calibri" w:cs="Calibri"/>
                <w:color w:val="000000"/>
              </w:rPr>
              <w:t xml:space="preserve">483 </w:t>
            </w:r>
            <w:r>
              <w:rPr>
                <w:rFonts w:ascii="Calibri" w:eastAsia="Times New Roman" w:hAnsi="Calibri" w:cs="Calibri"/>
                <w:color w:val="000000"/>
              </w:rPr>
              <w:t>(</w:t>
            </w:r>
            <w:r w:rsidRPr="00001C1A">
              <w:rPr>
                <w:rFonts w:ascii="Calibri" w:eastAsia="Times New Roman" w:hAnsi="Calibri" w:cs="Calibri"/>
                <w:color w:val="000000"/>
              </w:rPr>
              <w:t>37.2</w:t>
            </w:r>
            <w:r>
              <w:rPr>
                <w:rFonts w:ascii="Calibri" w:eastAsia="Times New Roman" w:hAnsi="Calibri" w:cs="Calibri"/>
                <w:color w:val="000000"/>
              </w:rPr>
              <w:t>%)</w:t>
            </w:r>
          </w:p>
        </w:tc>
      </w:tr>
      <w:tr w:rsidR="001E263B" w:rsidRPr="00001C1A" w14:paraId="1E0055D7" w14:textId="77777777" w:rsidTr="001E263B">
        <w:trPr>
          <w:trHeight w:val="300"/>
        </w:trPr>
        <w:tc>
          <w:tcPr>
            <w:tcW w:w="3682" w:type="dxa"/>
            <w:shd w:val="clear" w:color="auto" w:fill="auto"/>
            <w:noWrap/>
            <w:vAlign w:val="center"/>
            <w:hideMark/>
          </w:tcPr>
          <w:p w14:paraId="28A30CA7" w14:textId="77777777" w:rsidR="001E263B" w:rsidRPr="00001C1A" w:rsidRDefault="001E263B" w:rsidP="00EC4DB0">
            <w:pPr>
              <w:spacing w:after="0" w:line="240" w:lineRule="auto"/>
              <w:rPr>
                <w:rFonts w:ascii="Calibri" w:eastAsia="Times New Roman" w:hAnsi="Calibri" w:cs="Calibri"/>
                <w:color w:val="000000"/>
              </w:rPr>
            </w:pPr>
            <w:r w:rsidRPr="00001C1A">
              <w:rPr>
                <w:rFonts w:ascii="Calibri" w:eastAsia="Times New Roman" w:hAnsi="Calibri" w:cs="Calibri"/>
                <w:color w:val="000000"/>
              </w:rPr>
              <w:t>Other advanced organ failure</w:t>
            </w:r>
          </w:p>
        </w:tc>
        <w:tc>
          <w:tcPr>
            <w:tcW w:w="3055" w:type="dxa"/>
            <w:shd w:val="clear" w:color="auto" w:fill="auto"/>
            <w:noWrap/>
            <w:vAlign w:val="center"/>
            <w:hideMark/>
          </w:tcPr>
          <w:p w14:paraId="1229207D"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248</w:t>
            </w:r>
            <w:r>
              <w:rPr>
                <w:rFonts w:ascii="Calibri" w:eastAsia="Times New Roman" w:hAnsi="Calibri" w:cs="Calibri"/>
                <w:color w:val="000000"/>
              </w:rPr>
              <w:t>,</w:t>
            </w:r>
            <w:r w:rsidRPr="00001C1A">
              <w:rPr>
                <w:rFonts w:ascii="Calibri" w:eastAsia="Times New Roman" w:hAnsi="Calibri" w:cs="Calibri"/>
                <w:color w:val="000000"/>
              </w:rPr>
              <w:t xml:space="preserve">333 </w:t>
            </w:r>
            <w:r>
              <w:rPr>
                <w:rFonts w:ascii="Calibri" w:eastAsia="Times New Roman" w:hAnsi="Calibri" w:cs="Calibri"/>
                <w:color w:val="000000"/>
              </w:rPr>
              <w:t>(</w:t>
            </w:r>
            <w:r w:rsidRPr="00001C1A">
              <w:rPr>
                <w:rFonts w:ascii="Calibri" w:eastAsia="Times New Roman" w:hAnsi="Calibri" w:cs="Calibri"/>
                <w:color w:val="000000"/>
              </w:rPr>
              <w:t>7.6</w:t>
            </w:r>
            <w:r>
              <w:rPr>
                <w:rFonts w:ascii="Calibri" w:eastAsia="Times New Roman" w:hAnsi="Calibri" w:cs="Calibri"/>
                <w:color w:val="000000"/>
              </w:rPr>
              <w:t>%)</w:t>
            </w:r>
          </w:p>
        </w:tc>
        <w:tc>
          <w:tcPr>
            <w:tcW w:w="2818" w:type="dxa"/>
            <w:shd w:val="clear" w:color="auto" w:fill="auto"/>
            <w:noWrap/>
            <w:vAlign w:val="center"/>
            <w:hideMark/>
          </w:tcPr>
          <w:p w14:paraId="4ED00944"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248</w:t>
            </w:r>
            <w:r>
              <w:rPr>
                <w:rFonts w:ascii="Calibri" w:eastAsia="Times New Roman" w:hAnsi="Calibri" w:cs="Calibri"/>
                <w:color w:val="000000"/>
              </w:rPr>
              <w:t>,</w:t>
            </w:r>
            <w:r w:rsidRPr="00001C1A">
              <w:rPr>
                <w:rFonts w:ascii="Calibri" w:eastAsia="Times New Roman" w:hAnsi="Calibri" w:cs="Calibri"/>
                <w:color w:val="000000"/>
              </w:rPr>
              <w:t xml:space="preserve">488 </w:t>
            </w:r>
            <w:r>
              <w:rPr>
                <w:rFonts w:ascii="Calibri" w:eastAsia="Times New Roman" w:hAnsi="Calibri" w:cs="Calibri"/>
                <w:color w:val="000000"/>
              </w:rPr>
              <w:t>(</w:t>
            </w:r>
            <w:r w:rsidRPr="00001C1A">
              <w:rPr>
                <w:rFonts w:ascii="Calibri" w:eastAsia="Times New Roman" w:hAnsi="Calibri" w:cs="Calibri"/>
                <w:color w:val="000000"/>
              </w:rPr>
              <w:t>7.6</w:t>
            </w:r>
            <w:r>
              <w:rPr>
                <w:rFonts w:ascii="Calibri" w:eastAsia="Times New Roman" w:hAnsi="Calibri" w:cs="Calibri"/>
                <w:color w:val="000000"/>
              </w:rPr>
              <w:t>%)</w:t>
            </w:r>
          </w:p>
        </w:tc>
      </w:tr>
      <w:tr w:rsidR="001E263B" w:rsidRPr="00001C1A" w14:paraId="2A3CD72D" w14:textId="77777777" w:rsidTr="001E263B">
        <w:trPr>
          <w:trHeight w:val="300"/>
        </w:trPr>
        <w:tc>
          <w:tcPr>
            <w:tcW w:w="3682" w:type="dxa"/>
            <w:shd w:val="clear" w:color="auto" w:fill="auto"/>
            <w:noWrap/>
            <w:vAlign w:val="center"/>
            <w:hideMark/>
          </w:tcPr>
          <w:p w14:paraId="0DE9CE4F" w14:textId="4BD2D723" w:rsidR="001E263B" w:rsidRPr="00001C1A" w:rsidRDefault="001E263B" w:rsidP="00EC4DB0">
            <w:pPr>
              <w:spacing w:after="0" w:line="240" w:lineRule="auto"/>
              <w:rPr>
                <w:rFonts w:ascii="Calibri" w:eastAsia="Times New Roman" w:hAnsi="Calibri" w:cs="Calibri"/>
                <w:color w:val="000000"/>
              </w:rPr>
            </w:pPr>
            <w:r>
              <w:rPr>
                <w:rFonts w:ascii="Calibri" w:eastAsia="Times New Roman" w:hAnsi="Calibri" w:cs="Calibri"/>
                <w:color w:val="000000"/>
              </w:rPr>
              <w:t>Diabetes severity index</w:t>
            </w:r>
            <w:r w:rsidR="00BD4CE0">
              <w:rPr>
                <w:rFonts w:ascii="Calibri" w:eastAsia="Times New Roman" w:hAnsi="Calibri" w:cs="Calibri"/>
                <w:color w:val="000000"/>
              </w:rPr>
              <w:t xml:space="preserve"> </w:t>
            </w:r>
            <w:r w:rsidRPr="00001C1A">
              <w:rPr>
                <w:rFonts w:ascii="Calibri" w:eastAsia="Times New Roman" w:hAnsi="Calibri" w:cs="Calibri"/>
                <w:color w:val="000000"/>
              </w:rPr>
              <w:t>mean(std)</w:t>
            </w:r>
          </w:p>
        </w:tc>
        <w:tc>
          <w:tcPr>
            <w:tcW w:w="3055" w:type="dxa"/>
            <w:shd w:val="clear" w:color="auto" w:fill="auto"/>
            <w:noWrap/>
            <w:vAlign w:val="center"/>
            <w:hideMark/>
          </w:tcPr>
          <w:p w14:paraId="5D9C5ED3"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 xml:space="preserve">1.7 </w:t>
            </w:r>
            <w:r>
              <w:rPr>
                <w:rFonts w:ascii="Calibri" w:eastAsia="Times New Roman" w:hAnsi="Calibri" w:cs="Calibri"/>
                <w:color w:val="000000"/>
              </w:rPr>
              <w:t>(</w:t>
            </w:r>
            <w:r w:rsidRPr="00001C1A">
              <w:rPr>
                <w:rFonts w:ascii="Calibri" w:eastAsia="Times New Roman" w:hAnsi="Calibri" w:cs="Calibri"/>
                <w:color w:val="000000"/>
              </w:rPr>
              <w:t>1.4)</w:t>
            </w:r>
          </w:p>
        </w:tc>
        <w:tc>
          <w:tcPr>
            <w:tcW w:w="2818" w:type="dxa"/>
            <w:shd w:val="clear" w:color="auto" w:fill="auto"/>
            <w:noWrap/>
            <w:vAlign w:val="center"/>
            <w:hideMark/>
          </w:tcPr>
          <w:p w14:paraId="52EEB259"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 xml:space="preserve">1.7 </w:t>
            </w:r>
            <w:r>
              <w:rPr>
                <w:rFonts w:ascii="Calibri" w:eastAsia="Times New Roman" w:hAnsi="Calibri" w:cs="Calibri"/>
                <w:color w:val="000000"/>
              </w:rPr>
              <w:t>(1.4</w:t>
            </w:r>
            <w:r w:rsidRPr="00001C1A">
              <w:rPr>
                <w:rFonts w:ascii="Calibri" w:eastAsia="Times New Roman" w:hAnsi="Calibri" w:cs="Calibri"/>
                <w:color w:val="000000"/>
              </w:rPr>
              <w:t>)</w:t>
            </w:r>
          </w:p>
        </w:tc>
      </w:tr>
      <w:tr w:rsidR="001E263B" w:rsidRPr="00001C1A" w14:paraId="0A2B59BC" w14:textId="77777777" w:rsidTr="001E263B">
        <w:trPr>
          <w:trHeight w:val="300"/>
        </w:trPr>
        <w:tc>
          <w:tcPr>
            <w:tcW w:w="3682" w:type="dxa"/>
            <w:shd w:val="clear" w:color="auto" w:fill="auto"/>
            <w:noWrap/>
            <w:vAlign w:val="center"/>
            <w:hideMark/>
          </w:tcPr>
          <w:p w14:paraId="7B17A0D3" w14:textId="77777777" w:rsidR="001E263B" w:rsidRPr="00001C1A" w:rsidRDefault="001E263B" w:rsidP="00EC4DB0">
            <w:pPr>
              <w:spacing w:after="0" w:line="240" w:lineRule="auto"/>
              <w:rPr>
                <w:rFonts w:ascii="Calibri" w:eastAsia="Times New Roman" w:hAnsi="Calibri" w:cs="Calibri"/>
                <w:color w:val="000000"/>
              </w:rPr>
            </w:pPr>
            <w:r w:rsidRPr="00001C1A">
              <w:rPr>
                <w:rFonts w:ascii="Calibri" w:eastAsia="Times New Roman" w:hAnsi="Calibri" w:cs="Calibri"/>
                <w:color w:val="000000"/>
              </w:rPr>
              <w:t>Iron deficiency anemia</w:t>
            </w:r>
          </w:p>
        </w:tc>
        <w:tc>
          <w:tcPr>
            <w:tcW w:w="3055" w:type="dxa"/>
            <w:shd w:val="clear" w:color="auto" w:fill="auto"/>
            <w:noWrap/>
            <w:vAlign w:val="center"/>
            <w:hideMark/>
          </w:tcPr>
          <w:p w14:paraId="5481C9CB"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1</w:t>
            </w:r>
            <w:r>
              <w:rPr>
                <w:rFonts w:ascii="Calibri" w:eastAsia="Times New Roman" w:hAnsi="Calibri" w:cs="Calibri"/>
                <w:color w:val="000000"/>
              </w:rPr>
              <w:t>,</w:t>
            </w:r>
            <w:r w:rsidRPr="00001C1A">
              <w:rPr>
                <w:rFonts w:ascii="Calibri" w:eastAsia="Times New Roman" w:hAnsi="Calibri" w:cs="Calibri"/>
                <w:color w:val="000000"/>
              </w:rPr>
              <w:t>199</w:t>
            </w:r>
            <w:r>
              <w:rPr>
                <w:rFonts w:ascii="Calibri" w:eastAsia="Times New Roman" w:hAnsi="Calibri" w:cs="Calibri"/>
                <w:color w:val="000000"/>
              </w:rPr>
              <w:t>,</w:t>
            </w:r>
            <w:r w:rsidRPr="00001C1A">
              <w:rPr>
                <w:rFonts w:ascii="Calibri" w:eastAsia="Times New Roman" w:hAnsi="Calibri" w:cs="Calibri"/>
                <w:color w:val="000000"/>
              </w:rPr>
              <w:t xml:space="preserve">402 </w:t>
            </w:r>
            <w:r>
              <w:rPr>
                <w:rFonts w:ascii="Calibri" w:eastAsia="Times New Roman" w:hAnsi="Calibri" w:cs="Calibri"/>
                <w:color w:val="000000"/>
              </w:rPr>
              <w:t>(</w:t>
            </w:r>
            <w:r w:rsidRPr="00001C1A">
              <w:rPr>
                <w:rFonts w:ascii="Calibri" w:eastAsia="Times New Roman" w:hAnsi="Calibri" w:cs="Calibri"/>
                <w:color w:val="000000"/>
              </w:rPr>
              <w:t>36.8</w:t>
            </w:r>
            <w:r>
              <w:rPr>
                <w:rFonts w:ascii="Calibri" w:eastAsia="Times New Roman" w:hAnsi="Calibri" w:cs="Calibri"/>
                <w:color w:val="000000"/>
              </w:rPr>
              <w:t>%)</w:t>
            </w:r>
          </w:p>
        </w:tc>
        <w:tc>
          <w:tcPr>
            <w:tcW w:w="2818" w:type="dxa"/>
            <w:shd w:val="clear" w:color="auto" w:fill="auto"/>
            <w:noWrap/>
            <w:vAlign w:val="center"/>
            <w:hideMark/>
          </w:tcPr>
          <w:p w14:paraId="1227566D"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1</w:t>
            </w:r>
            <w:r>
              <w:rPr>
                <w:rFonts w:ascii="Calibri" w:eastAsia="Times New Roman" w:hAnsi="Calibri" w:cs="Calibri"/>
                <w:color w:val="000000"/>
              </w:rPr>
              <w:t>,</w:t>
            </w:r>
            <w:r w:rsidRPr="00001C1A">
              <w:rPr>
                <w:rFonts w:ascii="Calibri" w:eastAsia="Times New Roman" w:hAnsi="Calibri" w:cs="Calibri"/>
                <w:color w:val="000000"/>
              </w:rPr>
              <w:t>198</w:t>
            </w:r>
            <w:r>
              <w:rPr>
                <w:rFonts w:ascii="Calibri" w:eastAsia="Times New Roman" w:hAnsi="Calibri" w:cs="Calibri"/>
                <w:color w:val="000000"/>
              </w:rPr>
              <w:t>,</w:t>
            </w:r>
            <w:r w:rsidRPr="00001C1A">
              <w:rPr>
                <w:rFonts w:ascii="Calibri" w:eastAsia="Times New Roman" w:hAnsi="Calibri" w:cs="Calibri"/>
                <w:color w:val="000000"/>
              </w:rPr>
              <w:t xml:space="preserve">405 </w:t>
            </w:r>
            <w:r>
              <w:rPr>
                <w:rFonts w:ascii="Calibri" w:eastAsia="Times New Roman" w:hAnsi="Calibri" w:cs="Calibri"/>
                <w:color w:val="000000"/>
              </w:rPr>
              <w:t>(</w:t>
            </w:r>
            <w:r w:rsidRPr="00001C1A">
              <w:rPr>
                <w:rFonts w:ascii="Calibri" w:eastAsia="Times New Roman" w:hAnsi="Calibri" w:cs="Calibri"/>
                <w:color w:val="000000"/>
              </w:rPr>
              <w:t>36.8</w:t>
            </w:r>
            <w:r>
              <w:rPr>
                <w:rFonts w:ascii="Calibri" w:eastAsia="Times New Roman" w:hAnsi="Calibri" w:cs="Calibri"/>
                <w:color w:val="000000"/>
              </w:rPr>
              <w:t>%)</w:t>
            </w:r>
          </w:p>
        </w:tc>
      </w:tr>
      <w:tr w:rsidR="001E263B" w:rsidRPr="00001C1A" w14:paraId="7D937529" w14:textId="77777777" w:rsidTr="001E263B">
        <w:trPr>
          <w:trHeight w:val="300"/>
        </w:trPr>
        <w:tc>
          <w:tcPr>
            <w:tcW w:w="3682" w:type="dxa"/>
            <w:shd w:val="clear" w:color="auto" w:fill="auto"/>
            <w:noWrap/>
            <w:vAlign w:val="center"/>
            <w:hideMark/>
          </w:tcPr>
          <w:p w14:paraId="3C1E355F" w14:textId="77777777" w:rsidR="001E263B" w:rsidRPr="00001C1A" w:rsidRDefault="001E263B" w:rsidP="00EC4DB0">
            <w:pPr>
              <w:spacing w:after="0" w:line="240" w:lineRule="auto"/>
              <w:rPr>
                <w:rFonts w:ascii="Calibri" w:eastAsia="Times New Roman" w:hAnsi="Calibri" w:cs="Calibri"/>
                <w:color w:val="000000"/>
              </w:rPr>
            </w:pPr>
            <w:r>
              <w:rPr>
                <w:rFonts w:ascii="Calibri" w:eastAsia="Times New Roman" w:hAnsi="Calibri" w:cs="Calibri"/>
                <w:color w:val="000000"/>
              </w:rPr>
              <w:t>Major organ t</w:t>
            </w:r>
            <w:r w:rsidRPr="00001C1A">
              <w:rPr>
                <w:rFonts w:ascii="Calibri" w:eastAsia="Times New Roman" w:hAnsi="Calibri" w:cs="Calibri"/>
                <w:color w:val="000000"/>
              </w:rPr>
              <w:t>ransplant</w:t>
            </w:r>
          </w:p>
        </w:tc>
        <w:tc>
          <w:tcPr>
            <w:tcW w:w="3055" w:type="dxa"/>
            <w:shd w:val="clear" w:color="auto" w:fill="auto"/>
            <w:noWrap/>
            <w:vAlign w:val="center"/>
            <w:hideMark/>
          </w:tcPr>
          <w:p w14:paraId="6DF26090"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7</w:t>
            </w:r>
            <w:r>
              <w:rPr>
                <w:rFonts w:ascii="Calibri" w:eastAsia="Times New Roman" w:hAnsi="Calibri" w:cs="Calibri"/>
                <w:color w:val="000000"/>
              </w:rPr>
              <w:t>,</w:t>
            </w:r>
            <w:r w:rsidRPr="00001C1A">
              <w:rPr>
                <w:rFonts w:ascii="Calibri" w:eastAsia="Times New Roman" w:hAnsi="Calibri" w:cs="Calibri"/>
                <w:color w:val="000000"/>
              </w:rPr>
              <w:t xml:space="preserve">451 </w:t>
            </w:r>
            <w:r>
              <w:rPr>
                <w:rFonts w:ascii="Calibri" w:eastAsia="Times New Roman" w:hAnsi="Calibri" w:cs="Calibri"/>
                <w:color w:val="000000"/>
              </w:rPr>
              <w:t>(</w:t>
            </w:r>
            <w:r w:rsidRPr="00001C1A">
              <w:rPr>
                <w:rFonts w:ascii="Calibri" w:eastAsia="Times New Roman" w:hAnsi="Calibri" w:cs="Calibri"/>
                <w:color w:val="000000"/>
              </w:rPr>
              <w:t>0.2</w:t>
            </w:r>
            <w:r>
              <w:rPr>
                <w:rFonts w:ascii="Calibri" w:eastAsia="Times New Roman" w:hAnsi="Calibri" w:cs="Calibri"/>
                <w:color w:val="000000"/>
              </w:rPr>
              <w:t>%)</w:t>
            </w:r>
          </w:p>
        </w:tc>
        <w:tc>
          <w:tcPr>
            <w:tcW w:w="2818" w:type="dxa"/>
            <w:shd w:val="clear" w:color="auto" w:fill="auto"/>
            <w:noWrap/>
            <w:vAlign w:val="center"/>
            <w:hideMark/>
          </w:tcPr>
          <w:p w14:paraId="066F7977"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7</w:t>
            </w:r>
            <w:r>
              <w:rPr>
                <w:rFonts w:ascii="Calibri" w:eastAsia="Times New Roman" w:hAnsi="Calibri" w:cs="Calibri"/>
                <w:color w:val="000000"/>
              </w:rPr>
              <w:t>,</w:t>
            </w:r>
            <w:r w:rsidRPr="00001C1A">
              <w:rPr>
                <w:rFonts w:ascii="Calibri" w:eastAsia="Times New Roman" w:hAnsi="Calibri" w:cs="Calibri"/>
                <w:color w:val="000000"/>
              </w:rPr>
              <w:t xml:space="preserve">646 </w:t>
            </w:r>
            <w:r>
              <w:rPr>
                <w:rFonts w:ascii="Calibri" w:eastAsia="Times New Roman" w:hAnsi="Calibri" w:cs="Calibri"/>
                <w:color w:val="000000"/>
              </w:rPr>
              <w:t>(</w:t>
            </w:r>
            <w:r w:rsidRPr="00001C1A">
              <w:rPr>
                <w:rFonts w:ascii="Calibri" w:eastAsia="Times New Roman" w:hAnsi="Calibri" w:cs="Calibri"/>
                <w:color w:val="000000"/>
              </w:rPr>
              <w:t>0.2</w:t>
            </w:r>
            <w:r>
              <w:rPr>
                <w:rFonts w:ascii="Calibri" w:eastAsia="Times New Roman" w:hAnsi="Calibri" w:cs="Calibri"/>
                <w:color w:val="000000"/>
              </w:rPr>
              <w:t>%)</w:t>
            </w:r>
          </w:p>
        </w:tc>
      </w:tr>
      <w:tr w:rsidR="001E263B" w:rsidRPr="00001C1A" w14:paraId="12D1DA68" w14:textId="77777777" w:rsidTr="001E263B">
        <w:trPr>
          <w:trHeight w:val="300"/>
        </w:trPr>
        <w:tc>
          <w:tcPr>
            <w:tcW w:w="3682" w:type="dxa"/>
            <w:shd w:val="clear" w:color="auto" w:fill="auto"/>
            <w:noWrap/>
            <w:vAlign w:val="center"/>
            <w:hideMark/>
          </w:tcPr>
          <w:p w14:paraId="1D02A92C" w14:textId="77777777" w:rsidR="001E263B" w:rsidRPr="00001C1A" w:rsidRDefault="001E263B" w:rsidP="00EC4DB0">
            <w:pPr>
              <w:spacing w:after="0" w:line="240" w:lineRule="auto"/>
              <w:rPr>
                <w:rFonts w:ascii="Calibri" w:eastAsia="Times New Roman" w:hAnsi="Calibri" w:cs="Calibri"/>
                <w:color w:val="000000"/>
              </w:rPr>
            </w:pPr>
            <w:r>
              <w:rPr>
                <w:rFonts w:ascii="Calibri" w:eastAsia="Times New Roman" w:hAnsi="Calibri" w:cs="Calibri"/>
                <w:color w:val="000000"/>
              </w:rPr>
              <w:t>Other organ t</w:t>
            </w:r>
            <w:r w:rsidRPr="00001C1A">
              <w:rPr>
                <w:rFonts w:ascii="Calibri" w:eastAsia="Times New Roman" w:hAnsi="Calibri" w:cs="Calibri"/>
                <w:color w:val="000000"/>
              </w:rPr>
              <w:t>ransplant</w:t>
            </w:r>
          </w:p>
        </w:tc>
        <w:tc>
          <w:tcPr>
            <w:tcW w:w="3055" w:type="dxa"/>
            <w:shd w:val="clear" w:color="auto" w:fill="auto"/>
            <w:noWrap/>
            <w:vAlign w:val="center"/>
            <w:hideMark/>
          </w:tcPr>
          <w:p w14:paraId="0A20B975"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19</w:t>
            </w:r>
            <w:r>
              <w:rPr>
                <w:rFonts w:ascii="Calibri" w:eastAsia="Times New Roman" w:hAnsi="Calibri" w:cs="Calibri"/>
                <w:color w:val="000000"/>
              </w:rPr>
              <w:t>,</w:t>
            </w:r>
            <w:r w:rsidRPr="00001C1A">
              <w:rPr>
                <w:rFonts w:ascii="Calibri" w:eastAsia="Times New Roman" w:hAnsi="Calibri" w:cs="Calibri"/>
                <w:color w:val="000000"/>
              </w:rPr>
              <w:t xml:space="preserve">942 </w:t>
            </w:r>
            <w:r>
              <w:rPr>
                <w:rFonts w:ascii="Calibri" w:eastAsia="Times New Roman" w:hAnsi="Calibri" w:cs="Calibri"/>
                <w:color w:val="000000"/>
              </w:rPr>
              <w:t>(</w:t>
            </w:r>
            <w:r w:rsidRPr="00001C1A">
              <w:rPr>
                <w:rFonts w:ascii="Calibri" w:eastAsia="Times New Roman" w:hAnsi="Calibri" w:cs="Calibri"/>
                <w:color w:val="000000"/>
              </w:rPr>
              <w:t>0.6</w:t>
            </w:r>
            <w:r>
              <w:rPr>
                <w:rFonts w:ascii="Calibri" w:eastAsia="Times New Roman" w:hAnsi="Calibri" w:cs="Calibri"/>
                <w:color w:val="000000"/>
              </w:rPr>
              <w:t>%)</w:t>
            </w:r>
          </w:p>
        </w:tc>
        <w:tc>
          <w:tcPr>
            <w:tcW w:w="2818" w:type="dxa"/>
            <w:shd w:val="clear" w:color="auto" w:fill="auto"/>
            <w:noWrap/>
            <w:vAlign w:val="center"/>
            <w:hideMark/>
          </w:tcPr>
          <w:p w14:paraId="24776106"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19</w:t>
            </w:r>
            <w:r>
              <w:rPr>
                <w:rFonts w:ascii="Calibri" w:eastAsia="Times New Roman" w:hAnsi="Calibri" w:cs="Calibri"/>
                <w:color w:val="000000"/>
              </w:rPr>
              <w:t>,</w:t>
            </w:r>
            <w:r w:rsidRPr="00001C1A">
              <w:rPr>
                <w:rFonts w:ascii="Calibri" w:eastAsia="Times New Roman" w:hAnsi="Calibri" w:cs="Calibri"/>
                <w:color w:val="000000"/>
              </w:rPr>
              <w:t xml:space="preserve">989 </w:t>
            </w:r>
            <w:r>
              <w:rPr>
                <w:rFonts w:ascii="Calibri" w:eastAsia="Times New Roman" w:hAnsi="Calibri" w:cs="Calibri"/>
                <w:color w:val="000000"/>
              </w:rPr>
              <w:t>(</w:t>
            </w:r>
            <w:r w:rsidRPr="00001C1A">
              <w:rPr>
                <w:rFonts w:ascii="Calibri" w:eastAsia="Times New Roman" w:hAnsi="Calibri" w:cs="Calibri"/>
                <w:color w:val="000000"/>
              </w:rPr>
              <w:t>0.6</w:t>
            </w:r>
            <w:r>
              <w:rPr>
                <w:rFonts w:ascii="Calibri" w:eastAsia="Times New Roman" w:hAnsi="Calibri" w:cs="Calibri"/>
                <w:color w:val="000000"/>
              </w:rPr>
              <w:t>%)</w:t>
            </w:r>
          </w:p>
        </w:tc>
      </w:tr>
      <w:tr w:rsidR="001E263B" w:rsidRPr="00001C1A" w14:paraId="1F6C364F" w14:textId="77777777" w:rsidTr="001E263B">
        <w:trPr>
          <w:trHeight w:val="315"/>
        </w:trPr>
        <w:tc>
          <w:tcPr>
            <w:tcW w:w="3682" w:type="dxa"/>
            <w:shd w:val="clear" w:color="auto" w:fill="auto"/>
            <w:noWrap/>
            <w:vAlign w:val="center"/>
            <w:hideMark/>
          </w:tcPr>
          <w:p w14:paraId="17B4763D" w14:textId="77777777" w:rsidR="001E263B" w:rsidRPr="00001C1A" w:rsidRDefault="001E263B" w:rsidP="00EC4DB0">
            <w:pPr>
              <w:spacing w:after="0" w:line="240" w:lineRule="auto"/>
              <w:rPr>
                <w:rFonts w:ascii="Calibri" w:eastAsia="Times New Roman" w:hAnsi="Calibri" w:cs="Calibri"/>
                <w:color w:val="000000"/>
              </w:rPr>
            </w:pPr>
            <w:r>
              <w:rPr>
                <w:rFonts w:ascii="Calibri" w:eastAsia="Times New Roman" w:hAnsi="Calibri" w:cs="Calibri"/>
                <w:color w:val="000000"/>
              </w:rPr>
              <w:t>Hip fracture/Major f</w:t>
            </w:r>
            <w:r w:rsidRPr="00001C1A">
              <w:rPr>
                <w:rFonts w:ascii="Calibri" w:eastAsia="Times New Roman" w:hAnsi="Calibri" w:cs="Calibri"/>
                <w:color w:val="000000"/>
              </w:rPr>
              <w:t>racture</w:t>
            </w:r>
          </w:p>
        </w:tc>
        <w:tc>
          <w:tcPr>
            <w:tcW w:w="3055" w:type="dxa"/>
            <w:shd w:val="clear" w:color="auto" w:fill="auto"/>
            <w:noWrap/>
            <w:vAlign w:val="center"/>
            <w:hideMark/>
          </w:tcPr>
          <w:p w14:paraId="0128CD51"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111</w:t>
            </w:r>
            <w:r>
              <w:rPr>
                <w:rFonts w:ascii="Calibri" w:eastAsia="Times New Roman" w:hAnsi="Calibri" w:cs="Calibri"/>
                <w:color w:val="000000"/>
              </w:rPr>
              <w:t>,</w:t>
            </w:r>
            <w:r w:rsidRPr="00001C1A">
              <w:rPr>
                <w:rFonts w:ascii="Calibri" w:eastAsia="Times New Roman" w:hAnsi="Calibri" w:cs="Calibri"/>
                <w:color w:val="000000"/>
              </w:rPr>
              <w:t xml:space="preserve">737 </w:t>
            </w:r>
            <w:r>
              <w:rPr>
                <w:rFonts w:ascii="Calibri" w:eastAsia="Times New Roman" w:hAnsi="Calibri" w:cs="Calibri"/>
                <w:color w:val="000000"/>
              </w:rPr>
              <w:t>(</w:t>
            </w:r>
            <w:r w:rsidRPr="00001C1A">
              <w:rPr>
                <w:rFonts w:ascii="Calibri" w:eastAsia="Times New Roman" w:hAnsi="Calibri" w:cs="Calibri"/>
                <w:color w:val="000000"/>
              </w:rPr>
              <w:t>3.4</w:t>
            </w:r>
            <w:r>
              <w:rPr>
                <w:rFonts w:ascii="Calibri" w:eastAsia="Times New Roman" w:hAnsi="Calibri" w:cs="Calibri"/>
                <w:color w:val="000000"/>
              </w:rPr>
              <w:t>%)</w:t>
            </w:r>
          </w:p>
        </w:tc>
        <w:tc>
          <w:tcPr>
            <w:tcW w:w="2818" w:type="dxa"/>
            <w:shd w:val="clear" w:color="auto" w:fill="auto"/>
            <w:noWrap/>
            <w:vAlign w:val="center"/>
            <w:hideMark/>
          </w:tcPr>
          <w:p w14:paraId="15595706" w14:textId="77777777" w:rsidR="001E263B" w:rsidRPr="00001C1A" w:rsidRDefault="001E263B" w:rsidP="00EC4DB0">
            <w:pPr>
              <w:spacing w:after="0" w:line="240" w:lineRule="auto"/>
              <w:jc w:val="center"/>
              <w:rPr>
                <w:rFonts w:ascii="Calibri" w:eastAsia="Times New Roman" w:hAnsi="Calibri" w:cs="Calibri"/>
                <w:color w:val="000000"/>
              </w:rPr>
            </w:pPr>
            <w:r w:rsidRPr="00001C1A">
              <w:rPr>
                <w:rFonts w:ascii="Calibri" w:eastAsia="Times New Roman" w:hAnsi="Calibri" w:cs="Calibri"/>
                <w:color w:val="000000"/>
              </w:rPr>
              <w:t>111</w:t>
            </w:r>
            <w:r>
              <w:rPr>
                <w:rFonts w:ascii="Calibri" w:eastAsia="Times New Roman" w:hAnsi="Calibri" w:cs="Calibri"/>
                <w:color w:val="000000"/>
              </w:rPr>
              <w:t>,</w:t>
            </w:r>
            <w:r w:rsidRPr="00001C1A">
              <w:rPr>
                <w:rFonts w:ascii="Calibri" w:eastAsia="Times New Roman" w:hAnsi="Calibri" w:cs="Calibri"/>
                <w:color w:val="000000"/>
              </w:rPr>
              <w:t xml:space="preserve">706 </w:t>
            </w:r>
            <w:r>
              <w:rPr>
                <w:rFonts w:ascii="Calibri" w:eastAsia="Times New Roman" w:hAnsi="Calibri" w:cs="Calibri"/>
                <w:color w:val="000000"/>
              </w:rPr>
              <w:t>(</w:t>
            </w:r>
            <w:r w:rsidRPr="00001C1A">
              <w:rPr>
                <w:rFonts w:ascii="Calibri" w:eastAsia="Times New Roman" w:hAnsi="Calibri" w:cs="Calibri"/>
                <w:color w:val="000000"/>
              </w:rPr>
              <w:t>3.4</w:t>
            </w:r>
            <w:r>
              <w:rPr>
                <w:rFonts w:ascii="Calibri" w:eastAsia="Times New Roman" w:hAnsi="Calibri" w:cs="Calibri"/>
                <w:color w:val="000000"/>
              </w:rPr>
              <w:t>%)</w:t>
            </w:r>
          </w:p>
        </w:tc>
      </w:tr>
    </w:tbl>
    <w:p w14:paraId="156C2B5D" w14:textId="77777777" w:rsidR="001E263B" w:rsidRDefault="001E263B" w:rsidP="00EC4DB0">
      <w:pPr>
        <w:autoSpaceDE w:val="0"/>
        <w:autoSpaceDN w:val="0"/>
        <w:adjustRightInd w:val="0"/>
        <w:spacing w:after="0" w:line="240" w:lineRule="auto"/>
        <w:rPr>
          <w:rFonts w:cstheme="minorHAnsi"/>
          <w:bCs/>
        </w:rPr>
      </w:pPr>
    </w:p>
    <w:p w14:paraId="71C84285" w14:textId="77777777" w:rsidR="001E263B" w:rsidRDefault="001E263B" w:rsidP="004767F9">
      <w:pPr>
        <w:pBdr>
          <w:top w:val="single" w:sz="4" w:space="0" w:color="auto"/>
          <w:left w:val="single" w:sz="4" w:space="4" w:color="auto"/>
          <w:bottom w:val="single" w:sz="4" w:space="1" w:color="auto"/>
          <w:right w:val="single" w:sz="4" w:space="4" w:color="auto"/>
        </w:pBdr>
        <w:tabs>
          <w:tab w:val="left" w:pos="3555"/>
        </w:tabs>
        <w:spacing w:after="0" w:line="240" w:lineRule="auto"/>
        <w:rPr>
          <w:u w:val="single"/>
        </w:rPr>
      </w:pPr>
      <w:r>
        <w:rPr>
          <w:u w:val="single"/>
        </w:rPr>
        <w:t>Measure Score Reliability:</w:t>
      </w:r>
    </w:p>
    <w:p w14:paraId="2AACE590" w14:textId="77777777" w:rsidR="001E263B" w:rsidRDefault="001E263B" w:rsidP="004767F9">
      <w:pPr>
        <w:pBdr>
          <w:top w:val="single" w:sz="4" w:space="0" w:color="auto"/>
          <w:left w:val="single" w:sz="4" w:space="4" w:color="auto"/>
          <w:bottom w:val="single" w:sz="4" w:space="1" w:color="auto"/>
          <w:right w:val="single" w:sz="4" w:space="4" w:color="auto"/>
        </w:pBdr>
        <w:tabs>
          <w:tab w:val="left" w:pos="3555"/>
        </w:tabs>
        <w:spacing w:line="240" w:lineRule="auto"/>
      </w:pPr>
      <w:r>
        <w:t>The ICC between the two risk-standardized acute admission rates (RSAARs) was 0.889, which according to the conventional interpretation is “excellent” [1].</w:t>
      </w:r>
    </w:p>
    <w:p w14:paraId="45EF7D22" w14:textId="77777777" w:rsidR="001E263B" w:rsidRPr="0048747D" w:rsidRDefault="001E263B" w:rsidP="004767F9">
      <w:pPr>
        <w:pBdr>
          <w:top w:val="single" w:sz="4" w:space="0" w:color="auto"/>
          <w:left w:val="single" w:sz="4" w:space="4" w:color="auto"/>
          <w:bottom w:val="single" w:sz="4" w:space="1" w:color="auto"/>
          <w:right w:val="single" w:sz="4" w:space="4" w:color="auto"/>
        </w:pBdr>
        <w:tabs>
          <w:tab w:val="left" w:pos="3555"/>
        </w:tabs>
        <w:spacing w:after="0" w:line="240" w:lineRule="auto"/>
        <w:rPr>
          <w:u w:val="single"/>
        </w:rPr>
      </w:pPr>
      <w:r w:rsidRPr="0048747D">
        <w:rPr>
          <w:u w:val="single"/>
        </w:rPr>
        <w:t>Citations</w:t>
      </w:r>
    </w:p>
    <w:p w14:paraId="5B2A8EDC" w14:textId="1000934F" w:rsidR="007422FD" w:rsidRPr="001E263B" w:rsidRDefault="001E263B" w:rsidP="004767F9">
      <w:pPr>
        <w:pBdr>
          <w:top w:val="single" w:sz="4" w:space="0" w:color="auto"/>
          <w:left w:val="single" w:sz="4" w:space="4" w:color="auto"/>
          <w:bottom w:val="single" w:sz="4" w:space="1" w:color="auto"/>
          <w:right w:val="single" w:sz="4" w:space="4" w:color="auto"/>
        </w:pBdr>
        <w:tabs>
          <w:tab w:val="left" w:pos="3555"/>
        </w:tabs>
        <w:spacing w:line="240" w:lineRule="auto"/>
      </w:pPr>
      <w:r>
        <w:t>1. Landis J, Koch G. The measurement of observer agreement for categorical data, Biometrics 1977;33:159-174.</w:t>
      </w:r>
    </w:p>
    <w:p w14:paraId="29F42A9A" w14:textId="2A088A6A" w:rsidR="001E263B" w:rsidRDefault="00092566" w:rsidP="00EC4DB0">
      <w:pPr>
        <w:keepNext/>
        <w:spacing w:after="0" w:line="240" w:lineRule="auto"/>
        <w:rPr>
          <w:rFonts w:cstheme="minorHAnsi"/>
          <w:bCs/>
          <w:i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3AB4809C" w14:textId="77777777" w:rsidR="000B52B2" w:rsidRDefault="000B52B2" w:rsidP="004767F9">
      <w:pPr>
        <w:keepNext/>
        <w:pBdr>
          <w:top w:val="single" w:sz="4" w:space="1" w:color="auto"/>
          <w:left w:val="single" w:sz="4" w:space="4" w:color="auto"/>
          <w:bottom w:val="single" w:sz="4" w:space="1" w:color="auto"/>
          <w:right w:val="single" w:sz="4" w:space="4" w:color="auto"/>
        </w:pBdr>
        <w:spacing w:after="0" w:line="240" w:lineRule="auto"/>
        <w:rPr>
          <w:rFonts w:cstheme="minorHAnsi"/>
          <w:bCs/>
          <w:iCs/>
          <w:u w:val="single"/>
        </w:rPr>
      </w:pPr>
      <w:r>
        <w:rPr>
          <w:rFonts w:cstheme="minorHAnsi"/>
          <w:bCs/>
          <w:iCs/>
          <w:u w:val="single"/>
        </w:rPr>
        <w:t>Data Element Reliability Results</w:t>
      </w:r>
    </w:p>
    <w:p w14:paraId="39B6AC33" w14:textId="77777777" w:rsidR="000B52B2" w:rsidRDefault="000B52B2" w:rsidP="004767F9">
      <w:pPr>
        <w:pBdr>
          <w:top w:val="single" w:sz="4" w:space="1" w:color="auto"/>
          <w:left w:val="single" w:sz="4" w:space="4" w:color="auto"/>
          <w:bottom w:val="single" w:sz="4" w:space="1" w:color="auto"/>
          <w:right w:val="single" w:sz="4" w:space="4" w:color="auto"/>
        </w:pBdr>
        <w:spacing w:after="0" w:line="240" w:lineRule="auto"/>
        <w:rPr>
          <w:rFonts w:cstheme="minorHAnsi"/>
          <w:bCs/>
          <w:iCs/>
        </w:rPr>
      </w:pPr>
      <w:r>
        <w:t xml:space="preserve">Compared with the </w:t>
      </w:r>
      <w:r w:rsidRPr="00F24E7B">
        <w:t>2012 Development Sample</w:t>
      </w:r>
      <w:r w:rsidRPr="006D09DC">
        <w:t>, the mean age of patients and the frequency of risk-adjustment variables were similar in the</w:t>
      </w:r>
      <w:r w:rsidRPr="006E0E53">
        <w:rPr>
          <w:i/>
        </w:rPr>
        <w:t xml:space="preserve"> </w:t>
      </w:r>
      <w:r w:rsidRPr="00F24E7B">
        <w:t>2012 Validation Sample</w:t>
      </w:r>
      <w:r w:rsidRPr="00BD4CE0">
        <w:t>.</w:t>
      </w:r>
      <w:r w:rsidRPr="006D09DC">
        <w:t xml:space="preserve"> </w:t>
      </w:r>
      <w:r w:rsidRPr="006D09DC">
        <w:rPr>
          <w:rFonts w:cstheme="minorHAnsi"/>
          <w:bCs/>
          <w:iCs/>
        </w:rPr>
        <w:t>This suggests that the data elements are reliable across these samples.</w:t>
      </w:r>
    </w:p>
    <w:p w14:paraId="2FF8FDF7" w14:textId="77777777" w:rsidR="000B52B2" w:rsidRDefault="000B52B2" w:rsidP="004767F9">
      <w:pPr>
        <w:pBdr>
          <w:top w:val="single" w:sz="4" w:space="1" w:color="auto"/>
          <w:left w:val="single" w:sz="4" w:space="4" w:color="auto"/>
          <w:bottom w:val="single" w:sz="4" w:space="1" w:color="auto"/>
          <w:right w:val="single" w:sz="4" w:space="4" w:color="auto"/>
        </w:pBdr>
        <w:spacing w:after="0" w:line="240" w:lineRule="auto"/>
        <w:rPr>
          <w:rFonts w:cstheme="minorHAnsi"/>
          <w:bCs/>
          <w:iCs/>
          <w:u w:val="single"/>
        </w:rPr>
      </w:pPr>
    </w:p>
    <w:p w14:paraId="7E33B39C" w14:textId="77777777" w:rsidR="000B52B2" w:rsidRDefault="000B52B2" w:rsidP="004767F9">
      <w:pPr>
        <w:pBdr>
          <w:top w:val="single" w:sz="4" w:space="1" w:color="auto"/>
          <w:left w:val="single" w:sz="4" w:space="4" w:color="auto"/>
          <w:bottom w:val="single" w:sz="4" w:space="1" w:color="auto"/>
          <w:right w:val="single" w:sz="4" w:space="4" w:color="auto"/>
        </w:pBdr>
        <w:spacing w:after="0" w:line="240" w:lineRule="auto"/>
        <w:rPr>
          <w:rFonts w:cstheme="minorHAnsi"/>
          <w:bCs/>
          <w:iCs/>
          <w:u w:val="single"/>
        </w:rPr>
      </w:pPr>
      <w:r w:rsidRPr="00D0367A">
        <w:rPr>
          <w:rFonts w:cstheme="minorHAnsi"/>
          <w:bCs/>
          <w:iCs/>
          <w:u w:val="single"/>
        </w:rPr>
        <w:t xml:space="preserve">Measure </w:t>
      </w:r>
      <w:r>
        <w:rPr>
          <w:rFonts w:cstheme="minorHAnsi"/>
          <w:bCs/>
          <w:iCs/>
          <w:u w:val="single"/>
        </w:rPr>
        <w:t>Score R</w:t>
      </w:r>
      <w:r w:rsidRPr="00D0367A">
        <w:rPr>
          <w:rFonts w:cstheme="minorHAnsi"/>
          <w:bCs/>
          <w:iCs/>
          <w:u w:val="single"/>
        </w:rPr>
        <w:t xml:space="preserve">eliability </w:t>
      </w:r>
      <w:r>
        <w:rPr>
          <w:rFonts w:cstheme="minorHAnsi"/>
          <w:bCs/>
          <w:iCs/>
          <w:u w:val="single"/>
        </w:rPr>
        <w:t>R</w:t>
      </w:r>
      <w:r w:rsidRPr="00D0367A">
        <w:rPr>
          <w:rFonts w:cstheme="minorHAnsi"/>
          <w:bCs/>
          <w:iCs/>
          <w:u w:val="single"/>
        </w:rPr>
        <w:t>esults</w:t>
      </w:r>
    </w:p>
    <w:p w14:paraId="4EE7920B" w14:textId="2B6C993F" w:rsidR="000B52B2" w:rsidRPr="003C5688" w:rsidRDefault="000B52B2" w:rsidP="004767F9">
      <w:pPr>
        <w:pBdr>
          <w:top w:val="single" w:sz="4" w:space="1" w:color="auto"/>
          <w:left w:val="single" w:sz="4" w:space="4" w:color="auto"/>
          <w:bottom w:val="single" w:sz="4" w:space="1" w:color="auto"/>
          <w:right w:val="single" w:sz="4" w:space="4" w:color="auto"/>
        </w:pBdr>
        <w:spacing w:after="0" w:line="240" w:lineRule="auto"/>
        <w:rPr>
          <w:rFonts w:cstheme="minorHAnsi"/>
          <w:bCs/>
          <w:iCs/>
        </w:rPr>
      </w:pPr>
      <w:r>
        <w:rPr>
          <w:rFonts w:cstheme="minorHAnsi"/>
          <w:bCs/>
        </w:rPr>
        <w:t xml:space="preserve">The ICC </w:t>
      </w:r>
      <w:r w:rsidRPr="00FF7136">
        <w:rPr>
          <w:rFonts w:cstheme="minorHAnsi"/>
          <w:bCs/>
        </w:rPr>
        <w:t>demonstra</w:t>
      </w:r>
      <w:r w:rsidRPr="00E44955">
        <w:rPr>
          <w:rFonts w:cstheme="minorHAnsi"/>
          <w:bCs/>
        </w:rPr>
        <w:t xml:space="preserve">tes </w:t>
      </w:r>
      <w:r>
        <w:rPr>
          <w:rFonts w:cstheme="minorHAnsi"/>
          <w:bCs/>
        </w:rPr>
        <w:t xml:space="preserve">excellent </w:t>
      </w:r>
      <w:r w:rsidRPr="00E44955">
        <w:rPr>
          <w:rFonts w:cstheme="minorHAnsi"/>
          <w:bCs/>
        </w:rPr>
        <w:t>agre</w:t>
      </w:r>
      <w:r w:rsidRPr="00FF7136">
        <w:rPr>
          <w:rFonts w:cstheme="minorHAnsi"/>
          <w:bCs/>
        </w:rPr>
        <w:t>ement across samples, indicating that the measure score is reliable.</w:t>
      </w:r>
      <w:r w:rsidRPr="00C1374F">
        <w:rPr>
          <w:rFonts w:cstheme="minorHAnsi"/>
          <w:bCs/>
          <w:iCs/>
        </w:rPr>
        <w:t xml:space="preserve"> </w:t>
      </w:r>
    </w:p>
    <w:p w14:paraId="0AB7776D" w14:textId="77777777" w:rsidR="007422FD" w:rsidRPr="00A25024" w:rsidRDefault="007422FD" w:rsidP="00EC4DB0">
      <w:pPr>
        <w:autoSpaceDE w:val="0"/>
        <w:autoSpaceDN w:val="0"/>
        <w:adjustRightInd w:val="0"/>
        <w:spacing w:after="0" w:line="240" w:lineRule="auto"/>
        <w:rPr>
          <w:rFonts w:cstheme="minorHAnsi"/>
          <w:bCs/>
        </w:rPr>
      </w:pPr>
    </w:p>
    <w:p w14:paraId="3B6D3A7C" w14:textId="77777777" w:rsidR="00021170" w:rsidRPr="00A25024" w:rsidRDefault="00483E94" w:rsidP="00EC4DB0">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EC4DB0">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50E17FF5" w:rsidR="00696262" w:rsidRPr="000414E8" w:rsidRDefault="00092566" w:rsidP="00EC4DB0">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Content>
          <w:r w:rsidR="001E263B">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77777777" w:rsidR="00696262" w:rsidRPr="00A25024" w:rsidRDefault="00351877" w:rsidP="00EC4DB0">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E60D7FB" w14:textId="14A3340A" w:rsidR="000574AB" w:rsidRPr="00A25024" w:rsidRDefault="00351877" w:rsidP="00EC4DB0">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1E263B">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044A7A93" w14:textId="77777777" w:rsidR="00CA06D8" w:rsidRPr="00A25024" w:rsidRDefault="00CA06D8" w:rsidP="00EC4DB0">
      <w:pPr>
        <w:autoSpaceDE w:val="0"/>
        <w:autoSpaceDN w:val="0"/>
        <w:adjustRightInd w:val="0"/>
        <w:spacing w:after="0" w:line="240" w:lineRule="auto"/>
        <w:rPr>
          <w:rFonts w:cstheme="minorHAnsi"/>
        </w:rPr>
      </w:pPr>
    </w:p>
    <w:p w14:paraId="384D0A55" w14:textId="77777777" w:rsidR="00D50704" w:rsidRPr="00A25024" w:rsidRDefault="00D50704" w:rsidP="00EC4DB0">
      <w:pPr>
        <w:autoSpaceDE w:val="0"/>
        <w:autoSpaceDN w:val="0"/>
        <w:adjustRightInd w:val="0"/>
        <w:spacing w:after="0" w:line="240" w:lineRule="auto"/>
        <w:rPr>
          <w:rFonts w:cstheme="minorHAnsi"/>
          <w:bCs/>
        </w:rPr>
      </w:pPr>
    </w:p>
    <w:p w14:paraId="156FE7F2" w14:textId="77777777" w:rsidR="001E263B" w:rsidRDefault="00092566" w:rsidP="00EC4DB0">
      <w:pPr>
        <w:autoSpaceDE w:val="0"/>
        <w:autoSpaceDN w:val="0"/>
        <w:adjustRightInd w:val="0"/>
        <w:spacing w:after="0" w:line="240" w:lineRule="auto"/>
        <w:rPr>
          <w:rFonts w:cstheme="minorHAnsi"/>
          <w:bCs/>
          <w:i/>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0FE21ADE" w14:textId="3AE12793" w:rsidR="001E263B" w:rsidRPr="00907CCD" w:rsidRDefault="001E263B" w:rsidP="004767F9">
      <w:pPr>
        <w:pBdr>
          <w:top w:val="single" w:sz="4" w:space="1" w:color="auto"/>
          <w:left w:val="single" w:sz="4" w:space="4" w:color="auto"/>
          <w:bottom w:val="single" w:sz="4" w:space="0" w:color="auto"/>
          <w:right w:val="single" w:sz="4" w:space="4" w:color="auto"/>
        </w:pBdr>
        <w:spacing w:line="240" w:lineRule="auto"/>
      </w:pPr>
      <w:r w:rsidRPr="00907CCD">
        <w:lastRenderedPageBreak/>
        <w:t xml:space="preserve">We demonstrated measure validity </w:t>
      </w:r>
      <w:r>
        <w:t>through: (1) reliance on</w:t>
      </w:r>
      <w:r w:rsidRPr="00907CCD">
        <w:t xml:space="preserve"> relevant prior validity testing conducted f</w:t>
      </w:r>
      <w:r>
        <w:t xml:space="preserve">or other claims-based measures; (2) </w:t>
      </w:r>
      <w:r w:rsidRPr="00907CCD">
        <w:t xml:space="preserve">use of established </w:t>
      </w:r>
      <w:r>
        <w:t xml:space="preserve">measure development guidelines; and (3) </w:t>
      </w:r>
      <w:r w:rsidRPr="00907CCD">
        <w:t>assessment by external groups</w:t>
      </w:r>
      <w:r>
        <w:t xml:space="preserve"> and a technical expert panel (TEP).</w:t>
      </w:r>
    </w:p>
    <w:p w14:paraId="702D7D3B" w14:textId="77777777" w:rsidR="001E263B" w:rsidRPr="00907CCD" w:rsidRDefault="001E263B" w:rsidP="004767F9">
      <w:pPr>
        <w:pBdr>
          <w:top w:val="single" w:sz="4" w:space="1" w:color="auto"/>
          <w:left w:val="single" w:sz="4" w:space="4" w:color="auto"/>
          <w:bottom w:val="single" w:sz="4" w:space="0" w:color="auto"/>
          <w:right w:val="single" w:sz="4" w:space="4" w:color="auto"/>
        </w:pBdr>
        <w:spacing w:after="0" w:line="240" w:lineRule="auto"/>
        <w:rPr>
          <w:u w:val="single"/>
        </w:rPr>
      </w:pPr>
      <w:r w:rsidRPr="00907CCD">
        <w:rPr>
          <w:u w:val="single"/>
        </w:rPr>
        <w:t>Validity of Claims-Based Measures</w:t>
      </w:r>
    </w:p>
    <w:p w14:paraId="1C2A29D3" w14:textId="77777777" w:rsidR="001E263B" w:rsidRPr="00907CCD" w:rsidRDefault="001E263B" w:rsidP="004767F9">
      <w:pPr>
        <w:pBdr>
          <w:top w:val="single" w:sz="4" w:space="1" w:color="auto"/>
          <w:left w:val="single" w:sz="4" w:space="4" w:color="auto"/>
          <w:bottom w:val="single" w:sz="4" w:space="0" w:color="auto"/>
          <w:right w:val="single" w:sz="4" w:space="4" w:color="auto"/>
        </w:pBdr>
        <w:spacing w:line="240" w:lineRule="auto"/>
        <w:rPr>
          <w:vertAlign w:val="superscript"/>
        </w:rPr>
      </w:pPr>
      <w:r w:rsidRPr="00907CCD">
        <w:t xml:space="preserve">Our team has demonstrated the validity of using claims data for risk adjustment in lieu of medical record data in estimating facility-level measure scores for a number of </w:t>
      </w:r>
      <w:r>
        <w:t>hospital outcome measures endorsed by the National Quality Forum (NQF).</w:t>
      </w:r>
      <w:r w:rsidRPr="00907CCD">
        <w:t xml:space="preserve"> CMS has validated six NQF-endorsed measures currently in public reporting (acute myocardial infarction [AMI], heart failure, and pneumonia mortality and readmission) with models that used medical record-abstracted data for risk adjustment. Specifically, we conducted claims model validation by building comparable models using abstracted medical record data for risk adjustment for heart failure patients (National Heart Failure data), AMI patients (Cooperative Cardiovascular Project data) and pneumonia patients (National Pneumonia Project dataset). When both models were applied to the same patient population, the hospital risk-standardized rates estimated using the claims-based risk-adjustment models had a high level of agreement with the results based on the medical record model, thus supporting the use of the claims-based models for public reporting. Our group has reported these findings in the peer-reviewed </w:t>
      </w:r>
      <w:r w:rsidRPr="00230B25">
        <w:t>literature [1-6].</w:t>
      </w:r>
      <w:r>
        <w:t xml:space="preserve"> These findings support this measure’s validity; </w:t>
      </w:r>
      <w:r w:rsidRPr="00E74832">
        <w:t>however, we acknowledge that the use of claims data for risk adjustment has been validated for hospital outcomes measure and not for outcome measures among ambulatory patients.</w:t>
      </w:r>
    </w:p>
    <w:p w14:paraId="18933662" w14:textId="77777777" w:rsidR="001E263B" w:rsidRPr="00907CCD" w:rsidRDefault="001E263B" w:rsidP="004767F9">
      <w:pPr>
        <w:pBdr>
          <w:top w:val="single" w:sz="4" w:space="1" w:color="auto"/>
          <w:left w:val="single" w:sz="4" w:space="4" w:color="auto"/>
          <w:bottom w:val="single" w:sz="4" w:space="0" w:color="auto"/>
          <w:right w:val="single" w:sz="4" w:space="4" w:color="auto"/>
        </w:pBdr>
        <w:spacing w:after="0" w:line="240" w:lineRule="auto"/>
        <w:rPr>
          <w:u w:val="single"/>
        </w:rPr>
      </w:pPr>
      <w:r w:rsidRPr="00907CCD">
        <w:rPr>
          <w:u w:val="single"/>
        </w:rPr>
        <w:t>Validity Indicated by Established Measure Development Guidelines</w:t>
      </w:r>
    </w:p>
    <w:p w14:paraId="6299FFF4" w14:textId="77777777" w:rsidR="001E263B" w:rsidRPr="00907CCD" w:rsidRDefault="001E263B" w:rsidP="004767F9">
      <w:pPr>
        <w:pBdr>
          <w:top w:val="single" w:sz="4" w:space="1" w:color="auto"/>
          <w:left w:val="single" w:sz="4" w:space="4" w:color="auto"/>
          <w:bottom w:val="single" w:sz="4" w:space="0" w:color="auto"/>
          <w:right w:val="single" w:sz="4" w:space="4" w:color="auto"/>
        </w:pBdr>
        <w:spacing w:line="240" w:lineRule="auto"/>
        <w:rPr>
          <w:vertAlign w:val="superscript"/>
        </w:rPr>
      </w:pPr>
      <w:r w:rsidRPr="00907CCD">
        <w:t>We developed this measure in consultation with national guidelines for publicly reported outcomes measures, with outside experts, and with the public</w:t>
      </w:r>
      <w:r>
        <w:t xml:space="preserve">. </w:t>
      </w:r>
      <w:r w:rsidRPr="00907CCD">
        <w:t>The measure is consistent with the technical approach to outcomes measurement set forth in NQF guidance for outcomes measures [7], CMS Measure Management System (MMS) guidance, and the guidance articulated in the American Heart Association scientific statement, “Standards for Statistical Models Used for Public Reporting of Health Outcomes” [8].</w:t>
      </w:r>
    </w:p>
    <w:p w14:paraId="48FD0FE1" w14:textId="77777777" w:rsidR="001E263B" w:rsidRPr="00907CCD" w:rsidRDefault="001E263B" w:rsidP="004767F9">
      <w:pPr>
        <w:pBdr>
          <w:top w:val="single" w:sz="4" w:space="1" w:color="auto"/>
          <w:left w:val="single" w:sz="4" w:space="4" w:color="auto"/>
          <w:bottom w:val="single" w:sz="4" w:space="0" w:color="auto"/>
          <w:right w:val="single" w:sz="4" w:space="4" w:color="auto"/>
        </w:pBdr>
        <w:spacing w:after="0" w:line="240" w:lineRule="auto"/>
        <w:rPr>
          <w:u w:val="single"/>
        </w:rPr>
      </w:pPr>
      <w:r w:rsidRPr="00907CCD">
        <w:rPr>
          <w:u w:val="single"/>
        </w:rPr>
        <w:t>Validity as Assessed by External Groups</w:t>
      </w:r>
    </w:p>
    <w:p w14:paraId="2F56F538" w14:textId="77777777" w:rsidR="001E263B" w:rsidRPr="00907CCD" w:rsidRDefault="001E263B" w:rsidP="004767F9">
      <w:pPr>
        <w:pBdr>
          <w:top w:val="single" w:sz="4" w:space="1" w:color="auto"/>
          <w:left w:val="single" w:sz="4" w:space="4" w:color="auto"/>
          <w:bottom w:val="single" w:sz="4" w:space="0" w:color="auto"/>
          <w:right w:val="single" w:sz="4" w:space="4" w:color="auto"/>
        </w:pBdr>
        <w:spacing w:line="240" w:lineRule="auto"/>
      </w:pPr>
      <w:r w:rsidRPr="00907CCD">
        <w:t>Throughout measure development, we obtained expert and stakeholder</w:t>
      </w:r>
      <w:r>
        <w:t xml:space="preserve"> input</w:t>
      </w:r>
      <w:r w:rsidRPr="00907CCD">
        <w:t xml:space="preserve"> through: holding regular discussions with the external experts in our working group</w:t>
      </w:r>
      <w:r>
        <w:t>;</w:t>
      </w:r>
      <w:r w:rsidRPr="00907CCD">
        <w:t xml:space="preserve"> consulting our national</w:t>
      </w:r>
      <w:r>
        <w:t xml:space="preserve"> Technical Expert Panel (TEP);</w:t>
      </w:r>
      <w:r w:rsidRPr="00907CCD">
        <w:t xml:space="preserve"> and holding a 30-day public comment period. </w:t>
      </w:r>
      <w:r>
        <w:t>We obtained expert and stakeholder feedback for development of two related measures for patients with heart failure or multiple chronic conditions.</w:t>
      </w:r>
    </w:p>
    <w:p w14:paraId="360A2DF3" w14:textId="77777777" w:rsidR="001E263B" w:rsidRPr="00907CCD" w:rsidRDefault="001E263B" w:rsidP="004767F9">
      <w:pPr>
        <w:pBdr>
          <w:top w:val="single" w:sz="4" w:space="1" w:color="auto"/>
          <w:left w:val="single" w:sz="4" w:space="4" w:color="auto"/>
          <w:bottom w:val="single" w:sz="4" w:space="0" w:color="auto"/>
          <w:right w:val="single" w:sz="4" w:space="4" w:color="auto"/>
        </w:pBdr>
        <w:spacing w:line="240" w:lineRule="auto"/>
        <w:rPr>
          <w:bCs/>
        </w:rPr>
      </w:pPr>
      <w:r w:rsidRPr="00907CCD">
        <w:rPr>
          <w:bCs/>
        </w:rPr>
        <w:t>Yale</w:t>
      </w:r>
      <w:r w:rsidRPr="00907CCD">
        <w:t xml:space="preserve"> New Haven Health Services Corporation—Center for Outcomes Research and Evaluation (CORE) clinicians and statistical experts comprised the working group</w:t>
      </w:r>
      <w:r w:rsidRPr="00907CCD">
        <w:rPr>
          <w:bCs/>
        </w:rPr>
        <w:t xml:space="preserve">. </w:t>
      </w:r>
      <w:r>
        <w:rPr>
          <w:bCs/>
        </w:rPr>
        <w:t xml:space="preserve">The working group members have expertise in quality measurement, clinical management of patients with diabetes, statistical modeling, healthcare disparities, and healthcare policy. </w:t>
      </w:r>
      <w:r w:rsidRPr="00907CCD">
        <w:rPr>
          <w:bCs/>
        </w:rPr>
        <w:t xml:space="preserve">Through regular in-person meetings and teleconferences, the working group discussed all aspects of measure development, including the cohort and outcome definitions and risk adjustment. </w:t>
      </w:r>
    </w:p>
    <w:p w14:paraId="3F919D7E" w14:textId="6AB81335" w:rsidR="001E263B" w:rsidRDefault="001E263B" w:rsidP="004767F9">
      <w:pPr>
        <w:pBdr>
          <w:top w:val="single" w:sz="4" w:space="1" w:color="auto"/>
          <w:left w:val="single" w:sz="4" w:space="4" w:color="auto"/>
          <w:bottom w:val="single" w:sz="4" w:space="0" w:color="auto"/>
          <w:right w:val="single" w:sz="4" w:space="4" w:color="auto"/>
        </w:pBdr>
        <w:spacing w:line="240" w:lineRule="auto"/>
      </w:pPr>
      <w:r w:rsidRPr="00907CCD">
        <w:t xml:space="preserve">In addition to the working group and in alignment with the CMS Measures Management System, we convened a TEP to provide input and feedback during measure development from a group of recognized experts in relevant fields. To convene the TEP, we released a public call for nominations and selected individuals to represent a range of perspectives including clinicians, patients, and individuals with experience in quality improvement, performance measurement, and healthcare disparities. We held </w:t>
      </w:r>
      <w:r>
        <w:t>four</w:t>
      </w:r>
      <w:r w:rsidRPr="00907CCD">
        <w:t xml:space="preserve"> structured TEP conference calls consisting of presentation of key issues, our proposed approach, and relevant data, followed by open</w:t>
      </w:r>
      <w:r>
        <w:t xml:space="preserve"> discussion among TEP members.</w:t>
      </w:r>
    </w:p>
    <w:p w14:paraId="5053B8EC" w14:textId="77777777" w:rsidR="001E263B" w:rsidRPr="00BD4CE0" w:rsidRDefault="001E263B" w:rsidP="004767F9">
      <w:pPr>
        <w:pBdr>
          <w:top w:val="single" w:sz="4" w:space="1" w:color="auto"/>
          <w:left w:val="single" w:sz="4" w:space="4" w:color="auto"/>
          <w:bottom w:val="single" w:sz="4" w:space="1" w:color="auto"/>
          <w:right w:val="single" w:sz="4" w:space="4" w:color="auto"/>
        </w:pBdr>
        <w:spacing w:after="0" w:line="240" w:lineRule="auto"/>
      </w:pPr>
      <w:r w:rsidRPr="00F24E7B">
        <w:lastRenderedPageBreak/>
        <w:t>List of TEP Members</w:t>
      </w:r>
    </w:p>
    <w:p w14:paraId="36EA20E2"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1. Lawrence M. Becker, BS, Xerox Corporation (Director, Strategic Partnerships, Alliances and Analytics); Rochester, NY</w:t>
      </w:r>
    </w:p>
    <w:p w14:paraId="4EFC4E33"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2. Alex Blum, MD, MPH, Evergreen Health Cooperative (Chief Medical Officer); Baltimore, MD</w:t>
      </w:r>
    </w:p>
    <w:p w14:paraId="4050DB09"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3. Sanjay Doddamani, MD, Geisinger Health System (System-wide Chief of Advanced Cardiac Disease – Heart Failure); Danville, PA</w:t>
      </w:r>
    </w:p>
    <w:p w14:paraId="78EFC04F"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4. Kevin Fiscella, MD, MPH, University of Rochester Medical Center (Professor of Family Medicine);  Rochester, NY</w:t>
      </w:r>
    </w:p>
    <w:p w14:paraId="20B180F3"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5. Elbert Huang, MD, MPH, University of Chicago (Associate Professor of Medicine, Director of the Center for Translational and Policy Research of Chronic Diseases, and Associate Director of the Chicago Center for Diabetes Translation Research); Chicago, IL</w:t>
      </w:r>
    </w:p>
    <w:p w14:paraId="54ACB3A2"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6. Bruce Leff, MD, Johns Hopkins University School of Medicine (Professor of Medicine, Division of Geriatric Medicine); The Johns Hopkins University Bloomberg School of Public Health (Faculty, Health Services Research Development Center and Lipitz Center for Integrated Health Care); Baltimore, MD</w:t>
      </w:r>
    </w:p>
    <w:p w14:paraId="00742107"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7. Andy Miller, MD, MPH, Healthcare Quality Strategies, Inc. (Medical Director); East Brunswick, NJ; Colorado Foundation for Medical Care (CMO, Integrating Care for Populations &amp; Communities National Coordinating Center); Englewood, CO</w:t>
      </w:r>
    </w:p>
    <w:p w14:paraId="0223AE7D"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8. Ami Parekh, MD, JD, University of California, San Francisco (Medical Director for Health System Innovation); San Francisco, CA</w:t>
      </w:r>
    </w:p>
    <w:p w14:paraId="2DE99394"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9. Christine Ritchie, MD, University of California, San Francisco (Professor of Medicine, Division of Geriatrics); San Francisco, CA</w:t>
      </w:r>
    </w:p>
    <w:p w14:paraId="74CF7382" w14:textId="0D0F8DA5" w:rsidR="001E263B" w:rsidRDefault="001E263B" w:rsidP="004767F9">
      <w:pPr>
        <w:pBdr>
          <w:top w:val="single" w:sz="4" w:space="1" w:color="auto"/>
          <w:left w:val="single" w:sz="4" w:space="4" w:color="auto"/>
          <w:bottom w:val="single" w:sz="4" w:space="1" w:color="auto"/>
          <w:right w:val="single" w:sz="4" w:space="4" w:color="auto"/>
        </w:pBdr>
        <w:spacing w:line="240" w:lineRule="auto"/>
      </w:pPr>
      <w:r>
        <w:t>10. Two patient representatives.</w:t>
      </w:r>
      <w:r w:rsidRPr="00735416">
        <w:t xml:space="preserve"> </w:t>
      </w:r>
    </w:p>
    <w:p w14:paraId="558F3281"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 xml:space="preserve">We systematically assessed the face validity of the measure score as an indicator of quality by soliciting the TEP members’ agreement with the following statement: </w:t>
      </w:r>
      <w:r w:rsidRPr="00A90821">
        <w:t xml:space="preserve">“The RSAARs obtained from the diabetes </w:t>
      </w:r>
      <w:r>
        <w:t>measure</w:t>
      </w:r>
      <w:r w:rsidRPr="00A90821">
        <w:t xml:space="preserve"> as specified can be used to distinguish between better and worse quality ACOs.”</w:t>
      </w:r>
    </w:p>
    <w:p w14:paraId="71917339"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p>
    <w:p w14:paraId="73FE5547"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 xml:space="preserve">TEP members indicated their agreement with the face validity of the measure on a six-point scale: </w:t>
      </w:r>
    </w:p>
    <w:p w14:paraId="7F1A837E"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1=Strongly disagree</w:t>
      </w:r>
    </w:p>
    <w:p w14:paraId="37337EF9"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2=Moderately disagree</w:t>
      </w:r>
    </w:p>
    <w:p w14:paraId="4D9AD638"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3=Somewhat disagree</w:t>
      </w:r>
    </w:p>
    <w:p w14:paraId="48191249"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4=Somewhat agree</w:t>
      </w:r>
    </w:p>
    <w:p w14:paraId="04DF6299"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5=Moderately agree</w:t>
      </w:r>
    </w:p>
    <w:p w14:paraId="08D64687"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6=Strongly agree</w:t>
      </w:r>
    </w:p>
    <w:p w14:paraId="1F5C4C56"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p>
    <w:p w14:paraId="32E947EC" w14:textId="77777777" w:rsidR="001E263B" w:rsidRPr="00907CCD" w:rsidRDefault="001E263B" w:rsidP="004767F9">
      <w:pPr>
        <w:pBdr>
          <w:top w:val="single" w:sz="4" w:space="1" w:color="auto"/>
          <w:left w:val="single" w:sz="4" w:space="4" w:color="auto"/>
          <w:bottom w:val="single" w:sz="4" w:space="1" w:color="auto"/>
          <w:right w:val="single" w:sz="4" w:space="4" w:color="auto"/>
        </w:pBdr>
        <w:spacing w:after="0" w:line="240" w:lineRule="auto"/>
        <w:rPr>
          <w:u w:val="single"/>
        </w:rPr>
      </w:pPr>
      <w:r w:rsidRPr="00907CCD">
        <w:rPr>
          <w:u w:val="single"/>
        </w:rPr>
        <w:t>Process Used to Identify International Classification of Diseases, Tenth Revision (ICD-10) Codes</w:t>
      </w:r>
    </w:p>
    <w:p w14:paraId="3A7909EB" w14:textId="77777777" w:rsidR="001E263B" w:rsidRDefault="001E263B" w:rsidP="004767F9">
      <w:pPr>
        <w:pBdr>
          <w:top w:val="single" w:sz="4" w:space="1" w:color="auto"/>
          <w:left w:val="single" w:sz="4" w:space="4" w:color="auto"/>
          <w:bottom w:val="single" w:sz="4" w:space="1" w:color="auto"/>
          <w:right w:val="single" w:sz="4" w:space="4" w:color="auto"/>
        </w:pBdr>
        <w:spacing w:line="240" w:lineRule="auto"/>
      </w:pPr>
      <w:r w:rsidRPr="00907CCD">
        <w:t xml:space="preserve">This application includes ICD-10 codes that correspond to all International Classification of Diseases, Ninth Revision (ICD-9) codes included in the specifications. The goal was to convert this measure into a new code set, fully consistent with the intent of the original measure. </w:t>
      </w:r>
    </w:p>
    <w:p w14:paraId="175FA294" w14:textId="77777777" w:rsidR="001E263B" w:rsidRDefault="001E263B" w:rsidP="004767F9">
      <w:pPr>
        <w:pBdr>
          <w:top w:val="single" w:sz="4" w:space="1" w:color="auto"/>
          <w:left w:val="single" w:sz="4" w:space="4" w:color="auto"/>
          <w:bottom w:val="single" w:sz="4" w:space="1" w:color="auto"/>
          <w:right w:val="single" w:sz="4" w:space="4" w:color="auto"/>
        </w:pBdr>
        <w:spacing w:line="240" w:lineRule="auto"/>
      </w:pPr>
      <w:r>
        <w:t xml:space="preserve">• ICD-10 diagnosis codes used to the cohort were identified using </w:t>
      </w:r>
      <w:r w:rsidRPr="00A90821">
        <w:t>the 2013 ICD-9-CM to ICD-10-CM General Equivalence Mapping (G</w:t>
      </w:r>
      <w:r>
        <w:t>EM) files made available by CMS. We then internally performed clinician review of this crosswalk.</w:t>
      </w:r>
    </w:p>
    <w:p w14:paraId="4AECD458" w14:textId="0BED70DF" w:rsidR="001E263B" w:rsidRDefault="001E263B" w:rsidP="004767F9">
      <w:pPr>
        <w:pBdr>
          <w:top w:val="single" w:sz="4" w:space="1" w:color="auto"/>
          <w:left w:val="single" w:sz="4" w:space="4" w:color="auto"/>
          <w:bottom w:val="single" w:sz="4" w:space="1" w:color="auto"/>
          <w:right w:val="single" w:sz="4" w:space="4" w:color="auto"/>
        </w:pBdr>
        <w:spacing w:line="240" w:lineRule="auto"/>
      </w:pPr>
      <w:r>
        <w:t xml:space="preserve">• ICD-10 diagnosis codes used to define diabetes severity index variable (the only ICD-9-CM risk-adjustment variable) were identified using </w:t>
      </w:r>
      <w:r w:rsidRPr="00A90821">
        <w:t>the 2013 ICD-9-CM to ICD-10-CM G</w:t>
      </w:r>
      <w:r>
        <w:t>EM files made available by CMS. We then internally performed clinician review of this crosswalk.</w:t>
      </w:r>
    </w:p>
    <w:p w14:paraId="7A9AFFDE" w14:textId="7E354938" w:rsidR="001E263B" w:rsidRDefault="001E263B" w:rsidP="004767F9">
      <w:pPr>
        <w:pBdr>
          <w:top w:val="single" w:sz="4" w:space="1" w:color="auto"/>
          <w:left w:val="single" w:sz="4" w:space="4" w:color="auto"/>
          <w:bottom w:val="single" w:sz="4" w:space="1" w:color="auto"/>
          <w:right w:val="single" w:sz="4" w:space="4" w:color="auto"/>
        </w:pBdr>
        <w:spacing w:line="240" w:lineRule="auto"/>
      </w:pPr>
      <w:r>
        <w:lastRenderedPageBreak/>
        <w:t>• ICD-10 diagnosis and procedure codes used to define the Planned Admission Algorithm were identified from the 2014 version of the AHRQ Clinical Classification Software (CCS) categories specified for ICD-10, followed by clinician review. The algorithm also includes some individual ICD-9-CM codes. To create the crosswalk for the ICD-9-level codes, we used the 2013 ICD-9-CM to ICD-10-CM GEM files made available by CMS, followed by clinician review.</w:t>
      </w:r>
    </w:p>
    <w:p w14:paraId="2756E7ED" w14:textId="77777777" w:rsidR="001E263B" w:rsidRPr="00907CCD" w:rsidRDefault="001E263B" w:rsidP="004767F9">
      <w:pPr>
        <w:pBdr>
          <w:top w:val="single" w:sz="4" w:space="1" w:color="auto"/>
          <w:left w:val="single" w:sz="4" w:space="4" w:color="auto"/>
          <w:bottom w:val="single" w:sz="4" w:space="1" w:color="auto"/>
          <w:right w:val="single" w:sz="4" w:space="4" w:color="auto"/>
        </w:pBdr>
        <w:spacing w:after="0" w:line="240" w:lineRule="auto"/>
        <w:rPr>
          <w:u w:val="single"/>
        </w:rPr>
      </w:pPr>
      <w:r w:rsidRPr="00907CCD">
        <w:rPr>
          <w:u w:val="single"/>
        </w:rPr>
        <w:t>Citations</w:t>
      </w:r>
    </w:p>
    <w:p w14:paraId="4C0C47BD" w14:textId="77777777" w:rsidR="001E263B" w:rsidRPr="00907CCD" w:rsidRDefault="001E263B" w:rsidP="004767F9">
      <w:pPr>
        <w:pBdr>
          <w:top w:val="single" w:sz="4" w:space="1" w:color="auto"/>
          <w:left w:val="single" w:sz="4" w:space="4" w:color="auto"/>
          <w:bottom w:val="single" w:sz="4" w:space="1" w:color="auto"/>
          <w:right w:val="single" w:sz="4" w:space="4" w:color="auto"/>
        </w:pBdr>
        <w:spacing w:line="240" w:lineRule="auto"/>
      </w:pPr>
      <w:r w:rsidRPr="00907CCD">
        <w:rPr>
          <w:lang w:val="sv-SE"/>
        </w:rPr>
        <w:t xml:space="preserve">1. Krumholz HM, Wang Y, Mattera JA, Wang Y-F, Han LF, Ingber MJ, Roman S, Normand SL. </w:t>
      </w:r>
      <w:r w:rsidRPr="00907CCD">
        <w:t>An administrative claims model suitable for profiling hospital performance based on 30-day mortality rates among patients with an acute myocardial infarction. Circulation. 2006 Apr 4;113(13):1683-92.</w:t>
      </w:r>
    </w:p>
    <w:p w14:paraId="0E28F2EF" w14:textId="77777777" w:rsidR="001E263B" w:rsidRPr="00907CCD" w:rsidRDefault="001E263B" w:rsidP="004767F9">
      <w:pPr>
        <w:pBdr>
          <w:top w:val="single" w:sz="4" w:space="1" w:color="auto"/>
          <w:left w:val="single" w:sz="4" w:space="4" w:color="auto"/>
          <w:bottom w:val="single" w:sz="4" w:space="1" w:color="auto"/>
          <w:right w:val="single" w:sz="4" w:space="4" w:color="auto"/>
        </w:pBdr>
        <w:spacing w:line="240" w:lineRule="auto"/>
      </w:pPr>
      <w:r w:rsidRPr="00907CCD">
        <w:t xml:space="preserve">2. </w:t>
      </w:r>
      <w:r w:rsidRPr="00907CCD">
        <w:rPr>
          <w:lang w:val="sv-SE"/>
        </w:rPr>
        <w:t xml:space="preserve">Krumholz HM, Lin Z, Drye EE, Desai MM, Han LF, Rapp MT, Mattera JA, Normand SL. </w:t>
      </w:r>
      <w:r w:rsidRPr="00907CCD">
        <w:t>An administrative claims measure suitable for profiling hospital performance based on 30-day all-cause readmission rates among patients with acute myocardial infarction. Circulation: Cardiovascular Quality and Outcomes. 2011 Mar 1;4(2):243-52.</w:t>
      </w:r>
    </w:p>
    <w:p w14:paraId="53FC630F" w14:textId="77777777" w:rsidR="001E263B" w:rsidRPr="00907CCD" w:rsidRDefault="001E263B" w:rsidP="004767F9">
      <w:pPr>
        <w:pBdr>
          <w:top w:val="single" w:sz="4" w:space="1" w:color="auto"/>
          <w:left w:val="single" w:sz="4" w:space="4" w:color="auto"/>
          <w:bottom w:val="single" w:sz="4" w:space="1" w:color="auto"/>
          <w:right w:val="single" w:sz="4" w:space="4" w:color="auto"/>
        </w:pBdr>
        <w:spacing w:line="240" w:lineRule="auto"/>
      </w:pPr>
      <w:r w:rsidRPr="00907CCD">
        <w:t xml:space="preserve">3. </w:t>
      </w:r>
      <w:r w:rsidRPr="00907CCD">
        <w:rPr>
          <w:lang w:val="sv-SE"/>
        </w:rPr>
        <w:t xml:space="preserve">Krumholz HM, Wang Y, Mattera JA, Wang Y-F, Han LF, Ingber MJ, Roman S, Normand SL. </w:t>
      </w:r>
      <w:r w:rsidRPr="00907CCD">
        <w:t>An administrative claims model suitable for profiling hospital performance based on 30-day mortality rates among patients with heart failure. Circulation. 2006 Apr 4;113(13):1693-701.</w:t>
      </w:r>
    </w:p>
    <w:p w14:paraId="1471250C" w14:textId="77777777" w:rsidR="001E263B" w:rsidRPr="00907CCD" w:rsidRDefault="001E263B" w:rsidP="004767F9">
      <w:pPr>
        <w:pBdr>
          <w:top w:val="single" w:sz="4" w:space="1" w:color="auto"/>
          <w:left w:val="single" w:sz="4" w:space="4" w:color="auto"/>
          <w:bottom w:val="single" w:sz="4" w:space="1" w:color="auto"/>
          <w:right w:val="single" w:sz="4" w:space="4" w:color="auto"/>
        </w:pBdr>
        <w:spacing w:line="240" w:lineRule="auto"/>
      </w:pPr>
      <w:r w:rsidRPr="00907CCD">
        <w:t>4. Keenan PS, Normand SL, Lin Z, Drye EE, Bhat KR, Ross JS, Schuur JD, Stauffer BD, Bernheim SM, Epstein AJ, Wang Y-F, Herrin J, Chen J, Federer JJ, Mattera JA, Wang Y, Krumholz HM. An administrative claims measure suitable for profiling hospital performance on the basis of 30-day all-cause readmission rates among patients with heart failure. Circulation: Cardiovascular Quality and Outcomes. 2008 Sep;1(1):29-37.</w:t>
      </w:r>
    </w:p>
    <w:p w14:paraId="53A6F4BB" w14:textId="77777777" w:rsidR="001E263B" w:rsidRPr="00907CCD" w:rsidRDefault="001E263B" w:rsidP="004767F9">
      <w:pPr>
        <w:pBdr>
          <w:top w:val="single" w:sz="4" w:space="1" w:color="auto"/>
          <w:left w:val="single" w:sz="4" w:space="4" w:color="auto"/>
          <w:bottom w:val="single" w:sz="4" w:space="1" w:color="auto"/>
          <w:right w:val="single" w:sz="4" w:space="4" w:color="auto"/>
        </w:pBdr>
        <w:spacing w:line="240" w:lineRule="auto"/>
      </w:pPr>
      <w:r w:rsidRPr="00907CCD">
        <w:t>5. Bratzler DW, Normand SL, Wang Y, O'Donnell WJ, Metersky M, Han LF, Rapp MT, Krumholz HM. An administrative claims model for profiling hospital 30-day mortality rates for pneumonia patients. Public Library of Science One. 2011 Apr 12;6(4):e17401.</w:t>
      </w:r>
    </w:p>
    <w:p w14:paraId="47078CB0" w14:textId="77777777" w:rsidR="001E263B" w:rsidRPr="00907CCD" w:rsidRDefault="001E263B" w:rsidP="004767F9">
      <w:pPr>
        <w:pBdr>
          <w:top w:val="single" w:sz="4" w:space="1" w:color="auto"/>
          <w:left w:val="single" w:sz="4" w:space="4" w:color="auto"/>
          <w:bottom w:val="single" w:sz="4" w:space="1" w:color="auto"/>
          <w:right w:val="single" w:sz="4" w:space="4" w:color="auto"/>
        </w:pBdr>
        <w:spacing w:line="240" w:lineRule="auto"/>
      </w:pPr>
      <w:r w:rsidRPr="00907CCD">
        <w:t>6. Lindenauer PK, Normand SL, Drye EE, Lin Z, Goodrich K, Desai MM, Bratzler DW, O'Donnell WJ, Metersky ML, Krumholz HM. Development, validation, and results of a measure of 30-day readmission following hospitalization for pneumonia. Journal of Hospital Medicine. 2011 Mar;6(3):142-50.</w:t>
      </w:r>
    </w:p>
    <w:p w14:paraId="07AD2537" w14:textId="77777777" w:rsidR="001E263B" w:rsidRPr="00907CCD" w:rsidRDefault="001E263B" w:rsidP="004767F9">
      <w:pPr>
        <w:pBdr>
          <w:top w:val="single" w:sz="4" w:space="1" w:color="auto"/>
          <w:left w:val="single" w:sz="4" w:space="4" w:color="auto"/>
          <w:bottom w:val="single" w:sz="4" w:space="1" w:color="auto"/>
          <w:right w:val="single" w:sz="4" w:space="4" w:color="auto"/>
        </w:pBdr>
        <w:spacing w:line="240" w:lineRule="auto"/>
      </w:pPr>
      <w:r w:rsidRPr="00907CCD">
        <w:t xml:space="preserve">7. National Quality Forum. National voluntary consensus standards for patient outcomes, first report for phases 1 and 2: A consensus report </w:t>
      </w:r>
      <w:hyperlink r:id="rId13" w:tooltip="http://www.nysna.org/images/pdfs/practice/nqf_ana_outcomes_draft10.pdf" w:history="1">
        <w:r w:rsidRPr="00907CCD">
          <w:rPr>
            <w:rStyle w:val="Hyperlink"/>
          </w:rPr>
          <w:t>http://www.qualityforum.org/projects/Patient_Outcome_Measures_Phases1-2.aspx</w:t>
        </w:r>
      </w:hyperlink>
      <w:r w:rsidRPr="00907CCD">
        <w:t>. Accessed August 19, 2010.</w:t>
      </w:r>
    </w:p>
    <w:p w14:paraId="7E9229CE" w14:textId="23FFAA42" w:rsidR="00833325" w:rsidRPr="001E263B" w:rsidRDefault="001E263B" w:rsidP="004767F9">
      <w:pPr>
        <w:pBdr>
          <w:top w:val="single" w:sz="4" w:space="1" w:color="auto"/>
          <w:left w:val="single" w:sz="4" w:space="4" w:color="auto"/>
          <w:bottom w:val="single" w:sz="4" w:space="1" w:color="auto"/>
          <w:right w:val="single" w:sz="4" w:space="4" w:color="auto"/>
        </w:pBdr>
        <w:spacing w:line="240" w:lineRule="auto"/>
      </w:pPr>
      <w:r w:rsidRPr="00907CCD">
        <w:t xml:space="preserve">8. Krumholz HM, Brindis RG, Brush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w:t>
      </w:r>
      <w:r w:rsidRPr="00907CCD">
        <w:rPr>
          <w:i/>
        </w:rPr>
        <w:t xml:space="preserve">Circulation. </w:t>
      </w:r>
      <w:r>
        <w:t>2006;113(3):456-462.</w:t>
      </w:r>
    </w:p>
    <w:p w14:paraId="485AB640" w14:textId="77777777" w:rsidR="00833325" w:rsidRPr="00A25024" w:rsidRDefault="00833325" w:rsidP="00EC4DB0">
      <w:pPr>
        <w:autoSpaceDE w:val="0"/>
        <w:autoSpaceDN w:val="0"/>
        <w:adjustRightInd w:val="0"/>
        <w:spacing w:after="0" w:line="240" w:lineRule="auto"/>
        <w:rPr>
          <w:rFonts w:cstheme="minorHAnsi"/>
          <w:bCs/>
        </w:rPr>
      </w:pPr>
    </w:p>
    <w:p w14:paraId="02AFD8C5" w14:textId="77777777" w:rsidR="001E263B" w:rsidRDefault="00092566" w:rsidP="00EC4DB0">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52A358D8" w14:textId="77777777" w:rsidR="001E263B" w:rsidRPr="00B54C44" w:rsidRDefault="001E263B" w:rsidP="004767F9">
      <w:pPr>
        <w:pBdr>
          <w:top w:val="single" w:sz="4" w:space="1" w:color="auto"/>
          <w:left w:val="single" w:sz="4" w:space="4" w:color="auto"/>
          <w:bottom w:val="single" w:sz="4" w:space="1" w:color="auto"/>
          <w:right w:val="single" w:sz="4" w:space="4" w:color="auto"/>
        </w:pBdr>
        <w:spacing w:after="0" w:line="240" w:lineRule="auto"/>
        <w:rPr>
          <w:u w:val="single"/>
        </w:rPr>
      </w:pPr>
      <w:r w:rsidRPr="00B54C44">
        <w:rPr>
          <w:u w:val="single"/>
        </w:rPr>
        <w:t>Validity as Assessed by External Groups</w:t>
      </w:r>
    </w:p>
    <w:p w14:paraId="5F943D92"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 xml:space="preserve">The results of the TEP rating of agreement with the validity statement were as follows: </w:t>
      </w:r>
    </w:p>
    <w:p w14:paraId="550AE17B"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N=8</w:t>
      </w:r>
    </w:p>
    <w:p w14:paraId="1D79048D"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lastRenderedPageBreak/>
        <w:t>Mean rating=4.9</w:t>
      </w:r>
    </w:p>
    <w:p w14:paraId="46B05908"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p>
    <w:p w14:paraId="76547081" w14:textId="202330A2"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All TEP members who responded to the survey indicated they agreed with the statement; 6 of the 8 indicated</w:t>
      </w:r>
      <w:r w:rsidR="004770A1">
        <w:t xml:space="preserve"> that</w:t>
      </w:r>
      <w:r>
        <w:t xml:space="preserve"> they moderately or strongly agreed. Five TEP members did not respond to the TEP survey.</w:t>
      </w:r>
    </w:p>
    <w:p w14:paraId="206CF495" w14:textId="77777777"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p>
    <w:p w14:paraId="0EEFCB61" w14:textId="647193F1"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Frequency of Ratings of Agreement</w:t>
      </w:r>
      <w:r w:rsidR="00327380">
        <w:t>:</w:t>
      </w:r>
    </w:p>
    <w:p w14:paraId="2059F426" w14:textId="69733DFD" w:rsidR="001E263B" w:rsidRPr="00327380" w:rsidRDefault="001E263B" w:rsidP="004767F9">
      <w:pPr>
        <w:pBdr>
          <w:top w:val="single" w:sz="4" w:space="1" w:color="auto"/>
          <w:left w:val="single" w:sz="4" w:space="4" w:color="auto"/>
          <w:bottom w:val="single" w:sz="4" w:space="1" w:color="auto"/>
          <w:right w:val="single" w:sz="4" w:space="4" w:color="auto"/>
        </w:pBdr>
        <w:spacing w:after="0" w:line="240" w:lineRule="auto"/>
        <w:rPr>
          <w:u w:val="single"/>
        </w:rPr>
      </w:pPr>
      <w:r w:rsidRPr="00327380">
        <w:rPr>
          <w:u w:val="single"/>
        </w:rPr>
        <w:t>Rating</w:t>
      </w:r>
      <w:r w:rsidRPr="00327380">
        <w:tab/>
      </w:r>
      <w:r>
        <w:tab/>
      </w:r>
      <w:r>
        <w:tab/>
      </w:r>
      <w:r w:rsidR="00327380">
        <w:tab/>
      </w:r>
      <w:r w:rsidRPr="00327380">
        <w:rPr>
          <w:u w:val="single"/>
        </w:rPr>
        <w:t># (%) of Responses</w:t>
      </w:r>
    </w:p>
    <w:p w14:paraId="35F81A37" w14:textId="051E028F"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1 (Strongly disagree)</w:t>
      </w:r>
      <w:r>
        <w:tab/>
      </w:r>
      <w:r w:rsidR="00327380">
        <w:tab/>
      </w:r>
      <w:r>
        <w:t>0 (0.0)</w:t>
      </w:r>
    </w:p>
    <w:p w14:paraId="0A12839B" w14:textId="6B54CDC9"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2 (Moderately disagree)</w:t>
      </w:r>
      <w:r>
        <w:tab/>
        <w:t xml:space="preserve"> </w:t>
      </w:r>
      <w:r w:rsidR="00327380">
        <w:tab/>
      </w:r>
      <w:r>
        <w:t>0 (0.0)</w:t>
      </w:r>
    </w:p>
    <w:p w14:paraId="034F79B3" w14:textId="2F678DCF"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3 (Somewhat disagree)</w:t>
      </w:r>
      <w:r>
        <w:tab/>
      </w:r>
      <w:r w:rsidR="00327380">
        <w:tab/>
      </w:r>
      <w:r>
        <w:t>0 (0.0)</w:t>
      </w:r>
    </w:p>
    <w:p w14:paraId="1AFC77D6" w14:textId="32B8065B"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4 (Somewhat agree)</w:t>
      </w:r>
      <w:r>
        <w:tab/>
      </w:r>
      <w:r w:rsidR="00327380">
        <w:tab/>
      </w:r>
      <w:r>
        <w:t>2 (25.0)</w:t>
      </w:r>
    </w:p>
    <w:p w14:paraId="628DFBDF" w14:textId="58D8A7D3" w:rsid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5 (Moderately agree)</w:t>
      </w:r>
      <w:r>
        <w:tab/>
      </w:r>
      <w:r w:rsidR="00327380">
        <w:tab/>
      </w:r>
      <w:r>
        <w:t>5 (62.5)</w:t>
      </w:r>
    </w:p>
    <w:p w14:paraId="5B0E9D2D" w14:textId="0AAB3088" w:rsidR="007422FD" w:rsidRP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6 (Strongly agree)</w:t>
      </w:r>
      <w:r>
        <w:tab/>
      </w:r>
      <w:r w:rsidR="00327380">
        <w:tab/>
      </w:r>
      <w:r>
        <w:t>1 (12.5)</w:t>
      </w:r>
    </w:p>
    <w:p w14:paraId="0F722702" w14:textId="77777777" w:rsidR="001E263B" w:rsidRDefault="001E263B" w:rsidP="00EC4DB0">
      <w:pPr>
        <w:autoSpaceDE w:val="0"/>
        <w:autoSpaceDN w:val="0"/>
        <w:adjustRightInd w:val="0"/>
        <w:spacing w:after="0" w:line="240" w:lineRule="auto"/>
        <w:rPr>
          <w:rFonts w:cstheme="minorHAnsi"/>
          <w:b/>
          <w:bCs/>
        </w:rPr>
      </w:pPr>
    </w:p>
    <w:p w14:paraId="5AB09EB6" w14:textId="77777777" w:rsidR="007422FD" w:rsidRDefault="00092566" w:rsidP="00EC4DB0">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1DA8B3FC" w14:textId="5EB9660E" w:rsidR="001E263B" w:rsidRPr="001E263B" w:rsidRDefault="001E263B" w:rsidP="004767F9">
      <w:pPr>
        <w:pBdr>
          <w:top w:val="single" w:sz="4" w:space="1" w:color="auto"/>
          <w:left w:val="single" w:sz="4" w:space="4" w:color="auto"/>
          <w:bottom w:val="single" w:sz="4" w:space="1" w:color="auto"/>
          <w:right w:val="single" w:sz="4" w:space="4" w:color="auto"/>
        </w:pBdr>
        <w:spacing w:line="240" w:lineRule="auto"/>
      </w:pPr>
      <w:r>
        <w:t xml:space="preserve">There was strong support expressed by the members of the TEP and in public comment for the validity of the measure. There were no strong concerns about the measure. One of 13 commenters felt the outcome was not an indicator of quality. See public comment document for further details: </w:t>
      </w:r>
      <w:hyperlink r:id="rId14" w:history="1">
        <w:r w:rsidRPr="00F12864">
          <w:rPr>
            <w:rStyle w:val="Hyperlink"/>
          </w:rPr>
          <w:t>http://www.cms.gov/Medicare/Quality-Initiatives-Patient-Assessment-Instruments/MMS/CallforPublicComment.html</w:t>
        </w:r>
      </w:hyperlink>
      <w:r>
        <w:t>.</w:t>
      </w:r>
    </w:p>
    <w:p w14:paraId="44C5A461" w14:textId="77777777" w:rsidR="008A403A" w:rsidRPr="00A25024" w:rsidRDefault="00483E94" w:rsidP="00EC4DB0">
      <w:pPr>
        <w:autoSpaceDE w:val="0"/>
        <w:autoSpaceDN w:val="0"/>
        <w:adjustRightInd w:val="0"/>
        <w:spacing w:after="0" w:line="240" w:lineRule="auto"/>
        <w:rPr>
          <w:rFonts w:cstheme="minorHAnsi"/>
          <w:bCs/>
        </w:rPr>
      </w:pPr>
      <w:r>
        <w:rPr>
          <w:rFonts w:cstheme="minorHAnsi"/>
          <w:bCs/>
        </w:rPr>
        <w:t>_________________________</w:t>
      </w:r>
    </w:p>
    <w:p w14:paraId="6D3FE52B" w14:textId="77777777" w:rsidR="00097012" w:rsidRPr="00A25024" w:rsidRDefault="00021170" w:rsidP="00EC4DB0">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77777777" w:rsidR="00B037BA" w:rsidRPr="00A25024" w:rsidRDefault="001E4DD4" w:rsidP="00EC4DB0">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EA673C9" w14:textId="77777777" w:rsidR="00001D73" w:rsidRDefault="00001D73" w:rsidP="00EC4DB0">
      <w:pPr>
        <w:autoSpaceDE w:val="0"/>
        <w:autoSpaceDN w:val="0"/>
        <w:adjustRightInd w:val="0"/>
        <w:spacing w:after="0" w:line="240" w:lineRule="auto"/>
        <w:rPr>
          <w:rFonts w:cstheme="minorHAnsi"/>
          <w:b/>
          <w:bCs/>
        </w:rPr>
      </w:pPr>
    </w:p>
    <w:p w14:paraId="02B6C6C6" w14:textId="77777777" w:rsidR="001E263B" w:rsidRDefault="00092566" w:rsidP="00EC4DB0">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72B4AE66" w14:textId="6172A5DB" w:rsidR="00833325" w:rsidRPr="001E263B" w:rsidRDefault="001E263B" w:rsidP="004767F9">
      <w:pPr>
        <w:pBdr>
          <w:top w:val="single" w:sz="4" w:space="1" w:color="auto"/>
          <w:left w:val="single" w:sz="4" w:space="4" w:color="auto"/>
          <w:bottom w:val="single" w:sz="4" w:space="1" w:color="auto"/>
          <w:right w:val="single" w:sz="4" w:space="4" w:color="auto"/>
        </w:pBdr>
        <w:spacing w:after="0" w:line="240" w:lineRule="auto"/>
      </w:pPr>
      <w:r>
        <w:t>We determined the e</w:t>
      </w:r>
      <w:r w:rsidRPr="00565D6F">
        <w:t xml:space="preserve">xclusions to be </w:t>
      </w:r>
      <w:r>
        <w:t>appropriate based on clinical and methodological considerations, such as whether we had sufficient data for patient subsets or could adequately adjust for the risk of admission in certain patient subpopulations</w:t>
      </w:r>
      <w:r w:rsidRPr="00565D6F">
        <w:t>. We examined overall frequencies and proportions of the total cohort excluded for each exclusion criterion.</w:t>
      </w:r>
      <w:r>
        <w:t xml:space="preserve"> </w:t>
      </w:r>
      <w:r w:rsidR="00833325" w:rsidRPr="00A25024">
        <w:rPr>
          <w:rFonts w:cstheme="minorHAnsi"/>
          <w:bCs/>
        </w:rPr>
        <w:t xml:space="preserve"> </w:t>
      </w:r>
    </w:p>
    <w:p w14:paraId="18936ABB" w14:textId="77777777" w:rsidR="00833325" w:rsidRPr="00A25024" w:rsidRDefault="00833325" w:rsidP="00EC4DB0">
      <w:pPr>
        <w:autoSpaceDE w:val="0"/>
        <w:autoSpaceDN w:val="0"/>
        <w:adjustRightInd w:val="0"/>
        <w:spacing w:after="0" w:line="240" w:lineRule="auto"/>
        <w:rPr>
          <w:rFonts w:cstheme="minorHAnsi"/>
          <w:bCs/>
        </w:rPr>
      </w:pPr>
    </w:p>
    <w:p w14:paraId="26FAB407" w14:textId="77777777" w:rsidR="001E263B" w:rsidRDefault="00092566" w:rsidP="00EC4DB0">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7B4137B4" w14:textId="2E0186B0" w:rsidR="001E263B" w:rsidRDefault="001E263B" w:rsidP="004767F9">
      <w:pPr>
        <w:pBdr>
          <w:top w:val="single" w:sz="4" w:space="1" w:color="auto"/>
          <w:left w:val="single" w:sz="4" w:space="4" w:color="auto"/>
          <w:bottom w:val="single" w:sz="4" w:space="1" w:color="auto"/>
          <w:right w:val="single" w:sz="4" w:space="4" w:color="auto"/>
        </w:pBdr>
        <w:spacing w:line="240" w:lineRule="auto"/>
      </w:pPr>
      <w:r>
        <w:fldChar w:fldCharType="begin"/>
      </w:r>
      <w:r>
        <w:instrText xml:space="preserve"> REF _Ref393917187 \h </w:instrText>
      </w:r>
      <w:r w:rsidR="006F0B61">
        <w:instrText xml:space="preserve"> \* MERGEFORMAT </w:instrText>
      </w:r>
      <w:r>
        <w:fldChar w:fldCharType="separate"/>
      </w:r>
      <w:r w:rsidRPr="00821454">
        <w:rPr>
          <w:color w:val="000000" w:themeColor="text1"/>
        </w:rPr>
        <w:t xml:space="preserve">Table </w:t>
      </w:r>
      <w:r w:rsidRPr="00821454">
        <w:rPr>
          <w:noProof/>
          <w:color w:val="000000" w:themeColor="text1"/>
        </w:rPr>
        <w:t>2</w:t>
      </w:r>
      <w:r>
        <w:fldChar w:fldCharType="end"/>
      </w:r>
      <w:r>
        <w:t xml:space="preserve"> </w:t>
      </w:r>
      <w:r w:rsidRPr="0017168A">
        <w:t xml:space="preserve">provides the number of patients excluded from the </w:t>
      </w:r>
      <w:r>
        <w:t>diabetes</w:t>
      </w:r>
      <w:r w:rsidRPr="0017168A">
        <w:t xml:space="preserve"> cohort. Out of the total number of Medicare FFS patients with </w:t>
      </w:r>
      <w:r>
        <w:t>diabetes (N = 6,746,776</w:t>
      </w:r>
      <w:r w:rsidRPr="0017168A">
        <w:t xml:space="preserve">), we excluded </w:t>
      </w:r>
      <w:r w:rsidRPr="00B31BE9">
        <w:t xml:space="preserve">225,314 </w:t>
      </w:r>
      <w:r>
        <w:t xml:space="preserve">(3.3%) </w:t>
      </w:r>
      <w:r w:rsidRPr="0017168A">
        <w:t xml:space="preserve">due to non-continuous enrollment in Medicare Part A in 2012 because we were not able to adequately capture the outcome for these patients. </w:t>
      </w:r>
      <w:r w:rsidRPr="00B31BE9">
        <w:t>Among these excluded patients, 225,310 (99.99%) were non-ACO patients and 4</w:t>
      </w:r>
      <w:r>
        <w:t xml:space="preserve"> were ACO patients.</w:t>
      </w:r>
      <w:r w:rsidRPr="0017168A" w:rsidDel="00B31BE9">
        <w:t xml:space="preserve"> </w:t>
      </w:r>
    </w:p>
    <w:p w14:paraId="1002F319" w14:textId="51FD4247" w:rsidR="001E263B" w:rsidRDefault="001E263B" w:rsidP="004767F9">
      <w:pPr>
        <w:pBdr>
          <w:top w:val="single" w:sz="4" w:space="1" w:color="auto"/>
          <w:left w:val="single" w:sz="4" w:space="4" w:color="auto"/>
          <w:bottom w:val="single" w:sz="4" w:space="1" w:color="auto"/>
          <w:right w:val="single" w:sz="4" w:space="4" w:color="auto"/>
        </w:pBdr>
        <w:spacing w:line="240" w:lineRule="auto"/>
      </w:pPr>
      <w:r>
        <w:t>Since the number of excluded patients assigned to ACOs was very low, we did not perform a frequency distribution analysis across ACOs.</w:t>
      </w:r>
    </w:p>
    <w:p w14:paraId="6A723C28" w14:textId="5AEAE867" w:rsidR="007422FD" w:rsidRPr="001E263B" w:rsidRDefault="001E263B" w:rsidP="004767F9">
      <w:pPr>
        <w:pBdr>
          <w:top w:val="single" w:sz="4" w:space="1" w:color="auto"/>
          <w:left w:val="single" w:sz="4" w:space="4" w:color="auto"/>
          <w:bottom w:val="single" w:sz="4" w:space="1" w:color="auto"/>
          <w:right w:val="single" w:sz="4" w:space="4" w:color="auto"/>
        </w:pBdr>
        <w:spacing w:line="240" w:lineRule="auto"/>
      </w:pPr>
      <w:r>
        <w:t xml:space="preserve">The final cohort included </w:t>
      </w:r>
      <w:r w:rsidRPr="00B31BE9">
        <w:t>6,521,462</w:t>
      </w:r>
      <w:r>
        <w:t xml:space="preserve"> patients.</w:t>
      </w:r>
    </w:p>
    <w:p w14:paraId="20396A94" w14:textId="77777777" w:rsidR="000B52B2" w:rsidRPr="00821454" w:rsidRDefault="000B52B2" w:rsidP="00EC4DB0">
      <w:pPr>
        <w:pStyle w:val="Caption"/>
        <w:keepNext/>
        <w:rPr>
          <w:color w:val="000000" w:themeColor="text1"/>
          <w:sz w:val="22"/>
          <w:szCs w:val="22"/>
        </w:rPr>
      </w:pPr>
      <w:bookmarkStart w:id="11" w:name="_Ref393917187"/>
      <w:r w:rsidRPr="00821454">
        <w:rPr>
          <w:color w:val="000000" w:themeColor="text1"/>
          <w:sz w:val="22"/>
          <w:szCs w:val="22"/>
        </w:rPr>
        <w:lastRenderedPageBreak/>
        <w:t xml:space="preserve">Table </w:t>
      </w:r>
      <w:r w:rsidRPr="00821454">
        <w:rPr>
          <w:color w:val="000000" w:themeColor="text1"/>
          <w:sz w:val="22"/>
          <w:szCs w:val="22"/>
        </w:rPr>
        <w:fldChar w:fldCharType="begin"/>
      </w:r>
      <w:r w:rsidRPr="00821454">
        <w:rPr>
          <w:color w:val="000000" w:themeColor="text1"/>
          <w:sz w:val="22"/>
          <w:szCs w:val="22"/>
        </w:rPr>
        <w:instrText xml:space="preserve"> SEQ Table \* ARABIC </w:instrText>
      </w:r>
      <w:r w:rsidRPr="00821454">
        <w:rPr>
          <w:color w:val="000000" w:themeColor="text1"/>
          <w:sz w:val="22"/>
          <w:szCs w:val="22"/>
        </w:rPr>
        <w:fldChar w:fldCharType="separate"/>
      </w:r>
      <w:r w:rsidRPr="00821454">
        <w:rPr>
          <w:noProof/>
          <w:color w:val="000000" w:themeColor="text1"/>
          <w:sz w:val="22"/>
          <w:szCs w:val="22"/>
        </w:rPr>
        <w:t>2</w:t>
      </w:r>
      <w:r w:rsidRPr="00821454">
        <w:rPr>
          <w:color w:val="000000" w:themeColor="text1"/>
          <w:sz w:val="22"/>
          <w:szCs w:val="22"/>
        </w:rPr>
        <w:fldChar w:fldCharType="end"/>
      </w:r>
      <w:bookmarkEnd w:id="11"/>
      <w:r w:rsidRPr="00821454">
        <w:rPr>
          <w:color w:val="000000" w:themeColor="text1"/>
          <w:sz w:val="22"/>
          <w:szCs w:val="22"/>
        </w:rPr>
        <w:t>. Patients excluded from sample for each exclusion criterion</w:t>
      </w:r>
    </w:p>
    <w:tbl>
      <w:tblPr>
        <w:tblStyle w:val="TableGrid"/>
        <w:tblW w:w="0" w:type="auto"/>
        <w:tblLook w:val="04A0" w:firstRow="1" w:lastRow="0" w:firstColumn="1" w:lastColumn="0" w:noHBand="0" w:noVBand="1"/>
      </w:tblPr>
      <w:tblGrid>
        <w:gridCol w:w="3120"/>
        <w:gridCol w:w="3116"/>
        <w:gridCol w:w="3114"/>
      </w:tblGrid>
      <w:tr w:rsidR="000B52B2" w:rsidRPr="00821454" w14:paraId="54BD6264" w14:textId="77777777" w:rsidTr="006F0B61">
        <w:tc>
          <w:tcPr>
            <w:tcW w:w="3192" w:type="dxa"/>
            <w:shd w:val="clear" w:color="auto" w:fill="C6D9F1" w:themeFill="text2" w:themeFillTint="33"/>
            <w:vAlign w:val="center"/>
            <w:hideMark/>
          </w:tcPr>
          <w:p w14:paraId="55BA833C" w14:textId="77777777" w:rsidR="000B52B2" w:rsidRPr="00E52F74" w:rsidRDefault="000B52B2" w:rsidP="00EC4DB0">
            <w:pPr>
              <w:autoSpaceDE w:val="0"/>
              <w:autoSpaceDN w:val="0"/>
              <w:adjustRightInd w:val="0"/>
              <w:jc w:val="center"/>
              <w:rPr>
                <w:rFonts w:cstheme="minorHAnsi"/>
                <w:b/>
                <w:bCs/>
              </w:rPr>
            </w:pPr>
            <w:r w:rsidRPr="00E52F74">
              <w:rPr>
                <w:rFonts w:cstheme="minorHAnsi"/>
                <w:b/>
                <w:bCs/>
              </w:rPr>
              <w:t>Exclusion</w:t>
            </w:r>
          </w:p>
        </w:tc>
        <w:tc>
          <w:tcPr>
            <w:tcW w:w="3192" w:type="dxa"/>
            <w:shd w:val="clear" w:color="auto" w:fill="C6D9F1" w:themeFill="text2" w:themeFillTint="33"/>
            <w:vAlign w:val="center"/>
            <w:hideMark/>
          </w:tcPr>
          <w:p w14:paraId="6F497BF8" w14:textId="77777777" w:rsidR="000B52B2" w:rsidRPr="00E52F74" w:rsidRDefault="000B52B2" w:rsidP="00EC4DB0">
            <w:pPr>
              <w:autoSpaceDE w:val="0"/>
              <w:autoSpaceDN w:val="0"/>
              <w:adjustRightInd w:val="0"/>
              <w:jc w:val="center"/>
              <w:rPr>
                <w:rFonts w:cstheme="minorHAnsi"/>
                <w:b/>
                <w:bCs/>
              </w:rPr>
            </w:pPr>
            <w:r w:rsidRPr="00E52F74">
              <w:rPr>
                <w:rFonts w:cstheme="minorHAnsi"/>
                <w:b/>
                <w:bCs/>
              </w:rPr>
              <w:t>Number excluded from Medicare FFS diabetes cohort</w:t>
            </w:r>
          </w:p>
        </w:tc>
        <w:tc>
          <w:tcPr>
            <w:tcW w:w="3192" w:type="dxa"/>
            <w:shd w:val="clear" w:color="auto" w:fill="C6D9F1" w:themeFill="text2" w:themeFillTint="33"/>
            <w:vAlign w:val="center"/>
            <w:hideMark/>
          </w:tcPr>
          <w:p w14:paraId="7125DDDD" w14:textId="77777777" w:rsidR="000B52B2" w:rsidRPr="00E52F74" w:rsidRDefault="000B52B2" w:rsidP="00EC4DB0">
            <w:pPr>
              <w:autoSpaceDE w:val="0"/>
              <w:autoSpaceDN w:val="0"/>
              <w:adjustRightInd w:val="0"/>
              <w:jc w:val="center"/>
              <w:rPr>
                <w:rFonts w:cstheme="minorHAnsi"/>
                <w:b/>
                <w:bCs/>
              </w:rPr>
            </w:pPr>
            <w:r w:rsidRPr="00E52F74">
              <w:rPr>
                <w:rFonts w:cstheme="minorHAnsi"/>
                <w:b/>
                <w:bCs/>
              </w:rPr>
              <w:t>Number of patients excluded from ACOs</w:t>
            </w:r>
          </w:p>
        </w:tc>
      </w:tr>
      <w:tr w:rsidR="000B52B2" w:rsidRPr="00821454" w14:paraId="2A4C3D5D" w14:textId="77777777" w:rsidTr="006F0B61">
        <w:tc>
          <w:tcPr>
            <w:tcW w:w="3192" w:type="dxa"/>
            <w:hideMark/>
          </w:tcPr>
          <w:p w14:paraId="007480F5" w14:textId="753AD9C1" w:rsidR="000B52B2" w:rsidRPr="00FF0A14" w:rsidRDefault="000B52B2" w:rsidP="00EC4DB0">
            <w:pPr>
              <w:autoSpaceDE w:val="0"/>
              <w:autoSpaceDN w:val="0"/>
              <w:adjustRightInd w:val="0"/>
              <w:rPr>
                <w:rFonts w:cstheme="minorHAnsi"/>
                <w:bCs/>
              </w:rPr>
            </w:pPr>
            <w:r w:rsidRPr="00FF0A14">
              <w:rPr>
                <w:rFonts w:cstheme="minorHAnsi"/>
                <w:bCs/>
              </w:rPr>
              <w:t>Non-</w:t>
            </w:r>
            <w:r w:rsidR="00FF0A14" w:rsidRPr="00FF0A14">
              <w:rPr>
                <w:rFonts w:cstheme="minorHAnsi"/>
                <w:bCs/>
              </w:rPr>
              <w:t>continuous</w:t>
            </w:r>
            <w:r w:rsidRPr="00FF0A14">
              <w:rPr>
                <w:rFonts w:cstheme="minorHAnsi"/>
                <w:bCs/>
              </w:rPr>
              <w:t xml:space="preserve"> enrollment in Part A in 2012</w:t>
            </w:r>
          </w:p>
        </w:tc>
        <w:tc>
          <w:tcPr>
            <w:tcW w:w="3192" w:type="dxa"/>
            <w:vAlign w:val="center"/>
            <w:hideMark/>
          </w:tcPr>
          <w:p w14:paraId="1083D654" w14:textId="77777777" w:rsidR="000B52B2" w:rsidRPr="00821454" w:rsidRDefault="000B52B2" w:rsidP="00EC4DB0">
            <w:pPr>
              <w:autoSpaceDE w:val="0"/>
              <w:autoSpaceDN w:val="0"/>
              <w:adjustRightInd w:val="0"/>
              <w:jc w:val="center"/>
              <w:rPr>
                <w:rFonts w:cstheme="minorHAnsi"/>
                <w:bCs/>
              </w:rPr>
            </w:pPr>
            <w:r w:rsidRPr="00B31BE9">
              <w:rPr>
                <w:rFonts w:cstheme="minorHAnsi"/>
                <w:bCs/>
              </w:rPr>
              <w:t>225,314</w:t>
            </w:r>
          </w:p>
        </w:tc>
        <w:tc>
          <w:tcPr>
            <w:tcW w:w="3192" w:type="dxa"/>
            <w:vAlign w:val="center"/>
            <w:hideMark/>
          </w:tcPr>
          <w:p w14:paraId="2CC20526" w14:textId="77777777" w:rsidR="000B52B2" w:rsidRPr="00821454" w:rsidRDefault="000B52B2" w:rsidP="00EC4DB0">
            <w:pPr>
              <w:autoSpaceDE w:val="0"/>
              <w:autoSpaceDN w:val="0"/>
              <w:adjustRightInd w:val="0"/>
              <w:jc w:val="center"/>
              <w:rPr>
                <w:rFonts w:cstheme="minorHAnsi"/>
                <w:bCs/>
              </w:rPr>
            </w:pPr>
            <w:r>
              <w:rPr>
                <w:rFonts w:cstheme="minorHAnsi"/>
                <w:bCs/>
              </w:rPr>
              <w:t>4</w:t>
            </w:r>
          </w:p>
        </w:tc>
      </w:tr>
    </w:tbl>
    <w:p w14:paraId="3B7ABB86" w14:textId="77777777" w:rsidR="00092566" w:rsidRPr="000B52B2" w:rsidRDefault="00092566" w:rsidP="00EC4DB0">
      <w:pPr>
        <w:autoSpaceDE w:val="0"/>
        <w:autoSpaceDN w:val="0"/>
        <w:adjustRightInd w:val="0"/>
        <w:spacing w:after="0" w:line="240" w:lineRule="auto"/>
        <w:rPr>
          <w:rFonts w:cstheme="minorHAnsi"/>
          <w:b/>
          <w:bCs/>
        </w:rPr>
      </w:pPr>
    </w:p>
    <w:p w14:paraId="6E78DA38" w14:textId="77777777" w:rsidR="007422FD" w:rsidRDefault="00092566" w:rsidP="00EC4DB0">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53DDF051" w14:textId="6ADCEA60" w:rsidR="00DD58D0" w:rsidRPr="00DD58D0" w:rsidRDefault="00DD58D0" w:rsidP="004767F9">
      <w:pPr>
        <w:pBdr>
          <w:top w:val="single" w:sz="4" w:space="1" w:color="auto"/>
          <w:left w:val="single" w:sz="4" w:space="4" w:color="auto"/>
          <w:bottom w:val="single" w:sz="4" w:space="1" w:color="auto"/>
          <w:right w:val="single" w:sz="4" w:space="4" w:color="auto"/>
        </w:pBdr>
        <w:spacing w:line="240" w:lineRule="auto"/>
      </w:pPr>
      <w:r>
        <w:t>We needed to exclude patients without continuous enrollment because we could not capture the outcome for these patients. We excluded very few patients based on this criterion. As a result, the measure captures the majority of Medicare FFS patients 65 years and older who meet its criteria for a diagnosis of diabetes (96.7%).</w:t>
      </w:r>
    </w:p>
    <w:p w14:paraId="2D588EAE" w14:textId="77777777" w:rsidR="001202E9" w:rsidRPr="00A25024" w:rsidRDefault="0086464B" w:rsidP="00EC4DB0">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EC4DB0">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B206E05" w14:textId="77777777" w:rsidR="008871A9" w:rsidRDefault="008871A9" w:rsidP="00EC4DB0">
      <w:pPr>
        <w:autoSpaceDE w:val="0"/>
        <w:autoSpaceDN w:val="0"/>
        <w:adjustRightInd w:val="0"/>
        <w:spacing w:after="0" w:line="240" w:lineRule="auto"/>
        <w:rPr>
          <w:rFonts w:cstheme="minorHAnsi"/>
          <w:b/>
          <w:bCs/>
        </w:rPr>
      </w:pPr>
    </w:p>
    <w:p w14:paraId="16297AD4" w14:textId="77777777" w:rsidR="00743E46" w:rsidRDefault="00092566" w:rsidP="00EC4DB0">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5059D5A8" w14:textId="77777777" w:rsidR="00033038" w:rsidRPr="005232D6" w:rsidRDefault="00351877" w:rsidP="00EC4DB0">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49162621" w:rsidR="00743E46" w:rsidRPr="005232D6" w:rsidRDefault="00351877" w:rsidP="00EC4DB0">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Content>
          <w:r w:rsidR="00DD58D0">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0B52B2">
            <w:rPr>
              <w:rStyle w:val="Style4"/>
              <w:u w:val="none"/>
            </w:rPr>
            <w:t>23</w:t>
          </w:r>
        </w:sdtContent>
      </w:sdt>
      <w:r w:rsidR="00E562C0" w:rsidRPr="006F22A5">
        <w:rPr>
          <w:rStyle w:val="Style4"/>
          <w:u w:val="none"/>
        </w:rPr>
        <w:t xml:space="preserve"> </w:t>
      </w:r>
      <w:r w:rsidR="00743E46" w:rsidRPr="005232D6">
        <w:rPr>
          <w:rFonts w:cstheme="minorHAnsi"/>
          <w:b/>
          <w:bCs/>
        </w:rPr>
        <w:t>risk factors</w:t>
      </w:r>
    </w:p>
    <w:p w14:paraId="6FD13182" w14:textId="77777777" w:rsidR="00743E46" w:rsidRPr="005232D6" w:rsidRDefault="00351877" w:rsidP="00EC4DB0">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351877" w:rsidP="00EC4DB0">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EC4DB0">
      <w:pPr>
        <w:autoSpaceDE w:val="0"/>
        <w:autoSpaceDN w:val="0"/>
        <w:adjustRightInd w:val="0"/>
        <w:spacing w:after="0" w:line="240" w:lineRule="auto"/>
        <w:rPr>
          <w:rFonts w:cstheme="minorHAnsi"/>
          <w:b/>
          <w:bCs/>
        </w:rPr>
      </w:pPr>
    </w:p>
    <w:p w14:paraId="745CC495" w14:textId="77777777" w:rsidR="00092566" w:rsidRDefault="00743E46" w:rsidP="00EC4DB0">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55759BD5" w14:textId="15E0A9A8" w:rsidR="00DD58D0" w:rsidRPr="00A25024" w:rsidRDefault="00DD58D0" w:rsidP="004767F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33947">
        <w:rPr>
          <w:rFonts w:cstheme="minorHAnsi"/>
          <w:bCs/>
        </w:rPr>
        <w:t>Not applicable. This measure is risk-adjusted.</w:t>
      </w:r>
    </w:p>
    <w:p w14:paraId="25EE6F75" w14:textId="77777777" w:rsidR="00092566" w:rsidRPr="00A25024" w:rsidRDefault="00092566" w:rsidP="00EC4DB0">
      <w:pPr>
        <w:pStyle w:val="ListParagraph"/>
        <w:autoSpaceDE w:val="0"/>
        <w:autoSpaceDN w:val="0"/>
        <w:adjustRightInd w:val="0"/>
        <w:spacing w:after="0" w:line="240" w:lineRule="auto"/>
        <w:ind w:left="360"/>
        <w:rPr>
          <w:rFonts w:cstheme="minorHAnsi"/>
          <w:bCs/>
        </w:rPr>
      </w:pPr>
    </w:p>
    <w:p w14:paraId="4736A190" w14:textId="689A2954" w:rsidR="00092566" w:rsidRDefault="00092566" w:rsidP="00EC4DB0">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14:paraId="082D5860" w14:textId="77777777" w:rsidR="00B20800" w:rsidRDefault="00B20800" w:rsidP="00BA3AD5">
      <w:pPr>
        <w:pBdr>
          <w:top w:val="single" w:sz="4" w:space="1" w:color="auto"/>
          <w:left w:val="single" w:sz="4" w:space="4" w:color="auto"/>
          <w:bottom w:val="single" w:sz="4" w:space="8" w:color="auto"/>
          <w:right w:val="single" w:sz="4" w:space="4" w:color="auto"/>
        </w:pBdr>
        <w:spacing w:after="0" w:line="240" w:lineRule="auto"/>
      </w:pPr>
      <w:r w:rsidRPr="00B20800">
        <w:t xml:space="preserve">We selected the risk-adjustment model variables based on the existing literature, clinical judgment, empirical analyses, and input from our TEP and other experts. We considered factors that may impact the rate of admission, including patient-level factors (e.g., demographics, SES, clinical risk factors on admission); we also considered the impact of other non-clinical factors such as health behaviors and community resources. </w:t>
      </w:r>
    </w:p>
    <w:p w14:paraId="053D9617" w14:textId="77777777" w:rsidR="00B20800" w:rsidRDefault="00B20800" w:rsidP="00BA3AD5">
      <w:pPr>
        <w:pBdr>
          <w:top w:val="single" w:sz="4" w:space="1" w:color="auto"/>
          <w:left w:val="single" w:sz="4" w:space="4" w:color="auto"/>
          <w:bottom w:val="single" w:sz="4" w:space="8" w:color="auto"/>
          <w:right w:val="single" w:sz="4" w:space="4" w:color="auto"/>
        </w:pBdr>
        <w:spacing w:after="0" w:line="240" w:lineRule="auto"/>
      </w:pPr>
    </w:p>
    <w:p w14:paraId="0492000D" w14:textId="77777777" w:rsidR="00B20800" w:rsidRDefault="00B20800" w:rsidP="00BA3AD5">
      <w:pPr>
        <w:pBdr>
          <w:top w:val="single" w:sz="4" w:space="1" w:color="auto"/>
          <w:left w:val="single" w:sz="4" w:space="4" w:color="auto"/>
          <w:bottom w:val="single" w:sz="4" w:space="8" w:color="auto"/>
          <w:right w:val="single" w:sz="4" w:space="4" w:color="auto"/>
        </w:pBdr>
        <w:spacing w:after="0" w:line="240" w:lineRule="auto"/>
      </w:pPr>
      <w:r>
        <w:t xml:space="preserve">In this work, we were guided by a conceptual framework that was informed by a literature review and environmental scan, outlining the relationships between potential clinical and contextual factors and </w:t>
      </w:r>
      <w:r>
        <w:lastRenderedPageBreak/>
        <w:t xml:space="preserve">rates of admissions among chronic disease populations cared for by ACOs. Importantly, many factors other than traditional medical care delivered in the office or hospital settings will impact health outcomes for patients with chronic disease. For example, ACOs practicing in communities where patients have limited access to transportation, healthy foods and recreational facilities, may have less success in promoting healthy behaviors among patients with diabetes; this may in-turn impact quality outcomes. Recognition of and attention to the health environment may be important for achieving the goals of better care, better health and lower costs and thus, shared savings. </w:t>
      </w:r>
    </w:p>
    <w:p w14:paraId="50276B17" w14:textId="77777777" w:rsidR="00B20800" w:rsidRDefault="00B20800" w:rsidP="00BA3AD5">
      <w:pPr>
        <w:pBdr>
          <w:top w:val="single" w:sz="4" w:space="1" w:color="auto"/>
          <w:left w:val="single" w:sz="4" w:space="4" w:color="auto"/>
          <w:bottom w:val="single" w:sz="4" w:space="8" w:color="auto"/>
          <w:right w:val="single" w:sz="4" w:space="4" w:color="auto"/>
        </w:pBdr>
        <w:spacing w:after="0" w:line="240" w:lineRule="auto"/>
      </w:pPr>
    </w:p>
    <w:p w14:paraId="70189869" w14:textId="040B445C" w:rsidR="00B20800" w:rsidRDefault="00B20800" w:rsidP="00BA3AD5">
      <w:pPr>
        <w:pBdr>
          <w:top w:val="single" w:sz="4" w:space="1" w:color="auto"/>
          <w:left w:val="single" w:sz="4" w:space="4" w:color="auto"/>
          <w:bottom w:val="single" w:sz="4" w:space="8" w:color="auto"/>
          <w:right w:val="single" w:sz="4" w:space="4" w:color="auto"/>
        </w:pBdr>
        <w:spacing w:after="0" w:line="240" w:lineRule="auto"/>
      </w:pPr>
      <w:r>
        <w:t>The conceptual model</w:t>
      </w:r>
      <w:r w:rsidRPr="00394BEA">
        <w:t xml:space="preserve"> (</w:t>
      </w:r>
      <w:r w:rsidR="00394BEA" w:rsidRPr="00394BEA">
        <w:fldChar w:fldCharType="begin"/>
      </w:r>
      <w:r w:rsidR="00394BEA" w:rsidRPr="00394BEA">
        <w:instrText xml:space="preserve"> REF _Ref441592813 \h  \* MERGEFORMAT </w:instrText>
      </w:r>
      <w:r w:rsidR="00394BEA" w:rsidRPr="00394BEA">
        <w:fldChar w:fldCharType="separate"/>
      </w:r>
      <w:r w:rsidR="00394BEA" w:rsidRPr="00394BEA">
        <w:t xml:space="preserve">Figure </w:t>
      </w:r>
      <w:r w:rsidR="00394BEA" w:rsidRPr="00394BEA">
        <w:rPr>
          <w:noProof/>
        </w:rPr>
        <w:t>1</w:t>
      </w:r>
      <w:r w:rsidR="00394BEA" w:rsidRPr="00394BEA">
        <w:fldChar w:fldCharType="end"/>
      </w:r>
      <w:r w:rsidRPr="00394BEA">
        <w:t>) was presen</w:t>
      </w:r>
      <w:r>
        <w:t>ted and endorsed by the TEP engaged during the development of t</w:t>
      </w:r>
      <w:r w:rsidR="00121F9C">
        <w:t>his measure</w:t>
      </w:r>
      <w:r>
        <w:t xml:space="preserve">. The model recognizes patient-level demographic and clinical factors, along with 4 contextual domains that may influence ACO performance: (1) Physical environment (e.g., green spaces; safe streets); (2) Community resources (e.g., home health; senior services); (3) Patient resources (e.g., social support; transportation; income); and (4) Patient behavior/personal preferences (e.g., exercise; diet; advanced care directives; preference for intervention). </w:t>
      </w:r>
    </w:p>
    <w:p w14:paraId="134439BC" w14:textId="77777777" w:rsidR="00B20800" w:rsidRDefault="00B20800" w:rsidP="00BA3AD5">
      <w:pPr>
        <w:pBdr>
          <w:top w:val="single" w:sz="4" w:space="1" w:color="auto"/>
          <w:left w:val="single" w:sz="4" w:space="4" w:color="auto"/>
          <w:bottom w:val="single" w:sz="4" w:space="8" w:color="auto"/>
          <w:right w:val="single" w:sz="4" w:space="4" w:color="auto"/>
        </w:pBdr>
        <w:spacing w:after="0" w:line="240" w:lineRule="auto"/>
      </w:pPr>
    </w:p>
    <w:p w14:paraId="5E61D16C" w14:textId="4BB191D8" w:rsidR="00B20800" w:rsidRDefault="00B20800" w:rsidP="00BA3AD5">
      <w:pPr>
        <w:pBdr>
          <w:top w:val="single" w:sz="4" w:space="1" w:color="auto"/>
          <w:left w:val="single" w:sz="4" w:space="4" w:color="auto"/>
          <w:bottom w:val="single" w:sz="4" w:space="8" w:color="auto"/>
          <w:right w:val="single" w:sz="4" w:space="4" w:color="auto"/>
        </w:pBdr>
        <w:spacing w:after="0" w:line="240" w:lineRule="auto"/>
        <w:sectPr w:rsidR="00B20800" w:rsidSect="008505D1">
          <w:headerReference w:type="default" r:id="rId15"/>
          <w:footerReference w:type="default" r:id="rId16"/>
          <w:pgSz w:w="12240" w:h="15840"/>
          <w:pgMar w:top="1440" w:right="1440" w:bottom="1440" w:left="1440" w:header="720" w:footer="720" w:gutter="0"/>
          <w:cols w:space="720"/>
          <w:docGrid w:linePitch="360"/>
        </w:sectPr>
      </w:pPr>
      <w:r>
        <w:t>The model also recognizes the capacity of ACOs to mitigate the effects of many contextual factors on rates of admissions, encompassing both SES and non-SES variables, and supporting our decision not to adjust for contextual factors. Adjusting for contextual factors would obscure important differences in ACO quality and could serve as a disincentive for ACOs to engage with such factors. We did, however, conduct analyses of SES factors to further inform the committee’s deliberation.</w:t>
      </w:r>
    </w:p>
    <w:p w14:paraId="688E4D64" w14:textId="22F40A28" w:rsidR="00B20800" w:rsidRPr="00293E08" w:rsidRDefault="00B20800" w:rsidP="00EC4DB0">
      <w:pPr>
        <w:spacing w:line="240" w:lineRule="auto"/>
        <w:rPr>
          <w:b/>
        </w:rPr>
      </w:pPr>
      <w:bookmarkStart w:id="13" w:name="_Ref441592813"/>
      <w:r w:rsidRPr="00293E08">
        <w:rPr>
          <w:b/>
        </w:rPr>
        <w:lastRenderedPageBreak/>
        <w:t xml:space="preserve">Figure </w:t>
      </w:r>
      <w:r w:rsidRPr="00293E08">
        <w:rPr>
          <w:b/>
        </w:rPr>
        <w:fldChar w:fldCharType="begin"/>
      </w:r>
      <w:r w:rsidRPr="00293E08">
        <w:rPr>
          <w:b/>
        </w:rPr>
        <w:instrText xml:space="preserve"> SEQ Figure \* ARABIC </w:instrText>
      </w:r>
      <w:r w:rsidRPr="00293E08">
        <w:rPr>
          <w:b/>
        </w:rPr>
        <w:fldChar w:fldCharType="separate"/>
      </w:r>
      <w:r w:rsidRPr="00293E08">
        <w:rPr>
          <w:b/>
          <w:noProof/>
        </w:rPr>
        <w:t>1</w:t>
      </w:r>
      <w:r w:rsidRPr="00293E08">
        <w:rPr>
          <w:b/>
          <w:noProof/>
        </w:rPr>
        <w:fldChar w:fldCharType="end"/>
      </w:r>
      <w:bookmarkEnd w:id="13"/>
      <w:r w:rsidRPr="00293E08">
        <w:rPr>
          <w:b/>
        </w:rPr>
        <w:t>. Conceptual model of factors affecting risk of hospital admission</w:t>
      </w:r>
    </w:p>
    <w:p w14:paraId="363BED5D" w14:textId="77777777" w:rsidR="00B20800" w:rsidRDefault="00B20800" w:rsidP="00EC4DB0">
      <w:pPr>
        <w:spacing w:line="240" w:lineRule="auto"/>
      </w:pPr>
      <w:r>
        <w:rPr>
          <w:noProof/>
        </w:rPr>
        <w:drawing>
          <wp:inline distT="0" distB="0" distL="0" distR="0" wp14:anchorId="14C52128" wp14:editId="6995C782">
            <wp:extent cx="8182708" cy="4746929"/>
            <wp:effectExtent l="0" t="0" r="889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196256" cy="4754789"/>
                    </a:xfrm>
                    <a:prstGeom prst="rect">
                      <a:avLst/>
                    </a:prstGeom>
                    <a:noFill/>
                  </pic:spPr>
                </pic:pic>
              </a:graphicData>
            </a:graphic>
          </wp:inline>
        </w:drawing>
      </w:r>
    </w:p>
    <w:p w14:paraId="340DE22D" w14:textId="77777777" w:rsidR="00B20800" w:rsidRDefault="00B20800" w:rsidP="00EC4DB0">
      <w:pPr>
        <w:spacing w:line="240" w:lineRule="auto"/>
      </w:pPr>
    </w:p>
    <w:p w14:paraId="13AAA693" w14:textId="77777777" w:rsidR="00B20800" w:rsidRDefault="00B20800" w:rsidP="00EC4DB0">
      <w:pPr>
        <w:pBdr>
          <w:top w:val="single" w:sz="4" w:space="1" w:color="auto"/>
          <w:left w:val="single" w:sz="4" w:space="4" w:color="auto"/>
          <w:bottom w:val="single" w:sz="4" w:space="31" w:color="auto"/>
          <w:right w:val="single" w:sz="4" w:space="4" w:color="auto"/>
        </w:pBdr>
        <w:spacing w:line="240" w:lineRule="auto"/>
        <w:sectPr w:rsidR="00B20800" w:rsidSect="006F0B61">
          <w:pgSz w:w="15840" w:h="12240" w:orient="landscape" w:code="1"/>
          <w:pgMar w:top="1440" w:right="1440" w:bottom="1440" w:left="1440" w:header="720" w:footer="720" w:gutter="0"/>
          <w:paperSrc w:first="7"/>
          <w:cols w:space="720"/>
          <w:docGrid w:linePitch="360"/>
        </w:sectPr>
      </w:pPr>
    </w:p>
    <w:p w14:paraId="683F086C" w14:textId="77777777" w:rsidR="00B20800" w:rsidRDefault="00B20800" w:rsidP="004767F9">
      <w:pPr>
        <w:pBdr>
          <w:top w:val="single" w:sz="4" w:space="1" w:color="auto"/>
          <w:left w:val="single" w:sz="4" w:space="4" w:color="auto"/>
          <w:bottom w:val="single" w:sz="4" w:space="31" w:color="auto"/>
          <w:right w:val="single" w:sz="4" w:space="4" w:color="auto"/>
        </w:pBdr>
        <w:spacing w:line="240" w:lineRule="auto"/>
      </w:pPr>
      <w:r>
        <w:lastRenderedPageBreak/>
        <w:t xml:space="preserve">We describe our approach to risk-adjustment for the demographic factors, clinical risk factors, and contextual domains, in turn, below: </w:t>
      </w:r>
    </w:p>
    <w:p w14:paraId="55330C92" w14:textId="77777777" w:rsidR="00B20800" w:rsidRDefault="00B20800" w:rsidP="004767F9">
      <w:pPr>
        <w:pBdr>
          <w:top w:val="single" w:sz="4" w:space="1" w:color="auto"/>
          <w:left w:val="single" w:sz="4" w:space="4" w:color="auto"/>
          <w:bottom w:val="single" w:sz="4" w:space="31" w:color="auto"/>
          <w:right w:val="single" w:sz="4" w:space="4" w:color="auto"/>
        </w:pBdr>
        <w:spacing w:after="0" w:line="240" w:lineRule="auto"/>
      </w:pPr>
      <w:r>
        <w:t xml:space="preserve">1. </w:t>
      </w:r>
      <w:r w:rsidRPr="000460EF">
        <w:t>Demographic factors</w:t>
      </w:r>
    </w:p>
    <w:p w14:paraId="2276281D" w14:textId="77777777" w:rsidR="00B20800" w:rsidRDefault="00B20800" w:rsidP="004767F9">
      <w:pPr>
        <w:pBdr>
          <w:top w:val="single" w:sz="4" w:space="1" w:color="auto"/>
          <w:left w:val="single" w:sz="4" w:space="4" w:color="auto"/>
          <w:bottom w:val="single" w:sz="4" w:space="31" w:color="auto"/>
          <w:right w:val="single" w:sz="4" w:space="4" w:color="auto"/>
        </w:pBdr>
        <w:spacing w:after="0" w:line="240" w:lineRule="auto"/>
        <w:rPr>
          <w:rFonts w:eastAsia="MS Mincho"/>
          <w:szCs w:val="24"/>
        </w:rPr>
      </w:pPr>
      <w:r>
        <w:rPr>
          <w:rFonts w:eastAsia="MS Mincho"/>
          <w:szCs w:val="24"/>
        </w:rPr>
        <w:t>We used clinical and conceptual criteria to</w:t>
      </w:r>
      <w:r w:rsidRPr="00106C07">
        <w:rPr>
          <w:rFonts w:eastAsia="MS Mincho"/>
          <w:szCs w:val="24"/>
        </w:rPr>
        <w:t xml:space="preserve"> adjust </w:t>
      </w:r>
      <w:r>
        <w:rPr>
          <w:rFonts w:eastAsia="MS Mincho"/>
          <w:szCs w:val="24"/>
        </w:rPr>
        <w:t xml:space="preserve">this measure </w:t>
      </w:r>
      <w:r w:rsidRPr="00106C07">
        <w:rPr>
          <w:rFonts w:eastAsia="MS Mincho"/>
          <w:szCs w:val="24"/>
        </w:rPr>
        <w:t xml:space="preserve">for age but not sex or race. </w:t>
      </w:r>
      <w:r>
        <w:rPr>
          <w:rFonts w:eastAsia="MS Mincho"/>
          <w:szCs w:val="24"/>
        </w:rPr>
        <w:t>Age is a clinically recognized risk factor for acute admissions. In contrast,</w:t>
      </w:r>
      <w:r w:rsidRPr="00106C07">
        <w:rPr>
          <w:rFonts w:eastAsia="MS Mincho"/>
          <w:szCs w:val="24"/>
        </w:rPr>
        <w:t xml:space="preserve"> sex or race differences in risk of admission should be captured in our risk-adjustment model (which includes age and comorbidities). Any remaining differences in the risk for hospitalization among patients of different sex or race may represent</w:t>
      </w:r>
      <w:r>
        <w:rPr>
          <w:rFonts w:eastAsia="MS Mincho"/>
          <w:szCs w:val="24"/>
        </w:rPr>
        <w:t xml:space="preserve"> </w:t>
      </w:r>
      <w:r w:rsidRPr="00106C07">
        <w:rPr>
          <w:rFonts w:eastAsia="MS Mincho"/>
          <w:szCs w:val="24"/>
        </w:rPr>
        <w:t>disparities in care delivery and quality of care</w:t>
      </w:r>
      <w:r>
        <w:rPr>
          <w:rFonts w:eastAsia="MS Mincho"/>
          <w:szCs w:val="24"/>
        </w:rPr>
        <w:t>. [1,2]</w:t>
      </w:r>
      <w:r w:rsidRPr="00106C07">
        <w:rPr>
          <w:rFonts w:eastAsia="MS Mincho"/>
          <w:szCs w:val="24"/>
        </w:rPr>
        <w:t xml:space="preserve"> We did examine the effects of including sex in the models, since the relationship between sex and acute, unplanned admissions has not been tested in this setting</w:t>
      </w:r>
      <w:r>
        <w:rPr>
          <w:rFonts w:eastAsia="MS Mincho"/>
          <w:szCs w:val="24"/>
        </w:rPr>
        <w:t>, finding that sex was not significant after adjusting for age and clinical comorbidities.</w:t>
      </w:r>
      <w:r w:rsidRPr="00106C07">
        <w:rPr>
          <w:rFonts w:eastAsia="MS Mincho"/>
          <w:szCs w:val="24"/>
        </w:rPr>
        <w:t xml:space="preserve"> </w:t>
      </w:r>
    </w:p>
    <w:p w14:paraId="29EDA9AB" w14:textId="77777777" w:rsidR="00B20800" w:rsidRPr="00106C07" w:rsidRDefault="00B20800" w:rsidP="004767F9">
      <w:pPr>
        <w:pBdr>
          <w:top w:val="single" w:sz="4" w:space="1" w:color="auto"/>
          <w:left w:val="single" w:sz="4" w:space="4" w:color="auto"/>
          <w:bottom w:val="single" w:sz="4" w:space="31" w:color="auto"/>
          <w:right w:val="single" w:sz="4" w:space="4" w:color="auto"/>
        </w:pBdr>
        <w:spacing w:after="0" w:line="240" w:lineRule="auto"/>
        <w:rPr>
          <w:rFonts w:eastAsia="MS Mincho"/>
          <w:szCs w:val="24"/>
        </w:rPr>
      </w:pPr>
    </w:p>
    <w:p w14:paraId="1D92C364" w14:textId="77777777" w:rsidR="00B20800" w:rsidRPr="000460EF" w:rsidRDefault="00B20800" w:rsidP="004767F9">
      <w:pPr>
        <w:pBdr>
          <w:top w:val="single" w:sz="4" w:space="1" w:color="auto"/>
          <w:left w:val="single" w:sz="4" w:space="4" w:color="auto"/>
          <w:bottom w:val="single" w:sz="4" w:space="31" w:color="auto"/>
          <w:right w:val="single" w:sz="4" w:space="4" w:color="auto"/>
        </w:pBdr>
        <w:spacing w:after="0" w:line="240" w:lineRule="auto"/>
      </w:pPr>
      <w:r>
        <w:t xml:space="preserve">2. </w:t>
      </w:r>
      <w:r w:rsidRPr="000460EF">
        <w:t>Clinical risk factors</w:t>
      </w:r>
    </w:p>
    <w:p w14:paraId="225E84A2" w14:textId="77777777" w:rsidR="00B20800" w:rsidRPr="00B20800" w:rsidRDefault="00B20800" w:rsidP="004767F9">
      <w:pPr>
        <w:pBdr>
          <w:top w:val="single" w:sz="4" w:space="1" w:color="auto"/>
          <w:left w:val="single" w:sz="4" w:space="4" w:color="auto"/>
          <w:bottom w:val="single" w:sz="4" w:space="31" w:color="auto"/>
          <w:right w:val="single" w:sz="4" w:space="4" w:color="auto"/>
        </w:pBdr>
        <w:spacing w:line="240" w:lineRule="auto"/>
      </w:pPr>
      <w:r>
        <w:t xml:space="preserve">We used clinical, conceptual, and statistical criteria to select clinical risk factors for adjustment. </w:t>
      </w:r>
      <w:r w:rsidRPr="000C2B6D">
        <w:t xml:space="preserve">This measure adjusts for clinical risk factors that are present at the start of the measurement period, but not for conditions that arise during the measurement period. </w:t>
      </w:r>
    </w:p>
    <w:p w14:paraId="6E162644" w14:textId="316B59E8" w:rsidR="00DD58D0" w:rsidRPr="00B20800" w:rsidRDefault="00DD58D0" w:rsidP="004767F9">
      <w:pPr>
        <w:pBdr>
          <w:top w:val="single" w:sz="4" w:space="1" w:color="auto"/>
          <w:left w:val="single" w:sz="4" w:space="4" w:color="auto"/>
          <w:bottom w:val="single" w:sz="4" w:space="31" w:color="auto"/>
          <w:right w:val="single" w:sz="4" w:space="4" w:color="auto"/>
        </w:pBdr>
        <w:spacing w:after="0" w:line="240" w:lineRule="auto"/>
      </w:pPr>
      <w:r w:rsidRPr="00B20800">
        <w:rPr>
          <w:u w:val="single"/>
        </w:rPr>
        <w:t>Development of Candidate Clinical Variables</w:t>
      </w:r>
    </w:p>
    <w:p w14:paraId="62C6F1F1" w14:textId="77777777" w:rsidR="00DD58D0" w:rsidRPr="00AB0E65" w:rsidRDefault="00DD58D0" w:rsidP="004767F9">
      <w:pPr>
        <w:pBdr>
          <w:top w:val="single" w:sz="4" w:space="1" w:color="auto"/>
          <w:left w:val="single" w:sz="4" w:space="4" w:color="auto"/>
          <w:bottom w:val="single" w:sz="4" w:space="31" w:color="auto"/>
          <w:right w:val="single" w:sz="4" w:space="4" w:color="auto"/>
        </w:pBdr>
        <w:spacing w:after="0" w:line="240" w:lineRule="auto"/>
      </w:pPr>
      <w:r w:rsidRPr="00B20800">
        <w:t xml:space="preserve">To select candidate variables for risk adjustment, we used Part A and Part B data from one year prior to the measurement year for 100% of the Medicare FFS patients included in the cohort (2012 Medicare Full Sample). We reviewed 189 diagnostic groups included in the Hierarchical Condition Category (HCC) clinical classification system. We defined comorbidities using Condition Categories (CCs), which are clinically meaningful groupings of more than 15,000 ICD-9-CM diagnosis codes. A map showing the assignment of ICD-9 codes to CCs can be found in the attached Data Dictionary, sheet “S.14 CC-ICD-9 Map.” To select candidate variables, two clinicians reviewed all 189 CCs and excluded those that were not relevant to the Medicare population or that were not clinically relevant to the </w:t>
      </w:r>
      <w:r w:rsidRPr="00AB0E65">
        <w:t xml:space="preserve">all-cause acute admission outcome (e.g., attention deficit disorder, female infertility). The remaining 181 clinically relevant CCs were selected as candidate variables. </w:t>
      </w:r>
    </w:p>
    <w:p w14:paraId="053C927B" w14:textId="77777777" w:rsidR="00DD58D0" w:rsidRPr="00AB0E65" w:rsidRDefault="00DD58D0" w:rsidP="004767F9">
      <w:pPr>
        <w:pBdr>
          <w:top w:val="single" w:sz="4" w:space="1" w:color="auto"/>
          <w:left w:val="single" w:sz="4" w:space="4" w:color="auto"/>
          <w:bottom w:val="single" w:sz="4" w:space="31" w:color="auto"/>
          <w:right w:val="single" w:sz="4" w:space="4" w:color="auto"/>
        </w:pBdr>
        <w:spacing w:after="0" w:line="240" w:lineRule="auto"/>
      </w:pPr>
    </w:p>
    <w:p w14:paraId="7FCC29AF" w14:textId="749ED0B0" w:rsidR="00DD58D0" w:rsidRPr="000C2B6D" w:rsidRDefault="00DD58D0" w:rsidP="004767F9">
      <w:pPr>
        <w:pBdr>
          <w:top w:val="single" w:sz="4" w:space="1" w:color="auto"/>
          <w:left w:val="single" w:sz="4" w:space="4" w:color="auto"/>
          <w:bottom w:val="single" w:sz="4" w:space="31" w:color="auto"/>
          <w:right w:val="single" w:sz="4" w:space="4" w:color="auto"/>
        </w:pBdr>
        <w:spacing w:line="240" w:lineRule="auto"/>
      </w:pPr>
      <w:r w:rsidRPr="00AB0E65">
        <w:t xml:space="preserve">Among the 181 clinically relevant CCs, we calculated the prevalence of the CC in the year preceding the measurement period (i.e., 2011), the number of hospital admissions per </w:t>
      </w:r>
      <w:r w:rsidRPr="00FF0A14">
        <w:t>patient-year</w:t>
      </w:r>
      <w:r w:rsidRPr="00AB0E65">
        <w:t xml:space="preserve"> during the measurement period (i.e., 2012) among patients with and without the CC, and the rate ratio for the number of hospital admissions associated with each CC. Based on these statistical findings, we reduced the list of CCs to 92 from the initial list of 181 clinically relevant CCs. We reviewed</w:t>
      </w:r>
      <w:r w:rsidRPr="000C2B6D">
        <w:t xml:space="preserve"> the results of the bivariate analyses of the </w:t>
      </w:r>
      <w:r>
        <w:t>92</w:t>
      </w:r>
      <w:r w:rsidRPr="000C2B6D">
        <w:t xml:space="preserve"> CCs</w:t>
      </w:r>
      <w:r>
        <w:t xml:space="preserve"> and collapsed the 92 CCs into 22 candidate variables, plus age. Additionally, we included the diabetes complications severity index in the model. This variable captures the number of complications associated with diabetes that each patient has: retinopathy, nephropathy, neuropathy, cerebrovascular, cardiovascular, </w:t>
      </w:r>
      <w:r w:rsidR="00EA0753">
        <w:t>peripheral</w:t>
      </w:r>
      <w:r>
        <w:t xml:space="preserve"> vascular disease, and metabolic complications. The index takes on values from zero to seven, according to the number of complications present, and has been validated in claims data [4-5].</w:t>
      </w:r>
    </w:p>
    <w:p w14:paraId="566816D5" w14:textId="77777777" w:rsidR="00DD58D0" w:rsidRPr="00644DAC" w:rsidRDefault="00DD58D0" w:rsidP="004767F9">
      <w:pPr>
        <w:pBdr>
          <w:top w:val="single" w:sz="4" w:space="1" w:color="auto"/>
          <w:left w:val="single" w:sz="4" w:space="4" w:color="auto"/>
          <w:bottom w:val="single" w:sz="4" w:space="31" w:color="auto"/>
          <w:right w:val="single" w:sz="4" w:space="4" w:color="auto"/>
        </w:pBdr>
        <w:spacing w:after="0" w:line="240" w:lineRule="auto"/>
      </w:pPr>
      <w:r w:rsidRPr="00644DAC">
        <w:t>Candidate Clinical Variables</w:t>
      </w:r>
    </w:p>
    <w:p w14:paraId="7240D7BF" w14:textId="77777777" w:rsidR="00DD58D0" w:rsidRPr="00E52B2B" w:rsidRDefault="00DD58D0" w:rsidP="004767F9">
      <w:pPr>
        <w:pBdr>
          <w:top w:val="single" w:sz="4" w:space="1" w:color="auto"/>
          <w:left w:val="single" w:sz="4" w:space="4" w:color="auto"/>
          <w:bottom w:val="single" w:sz="4" w:space="31" w:color="auto"/>
          <w:right w:val="single" w:sz="4" w:space="4" w:color="auto"/>
        </w:pBdr>
        <w:spacing w:after="0" w:line="240" w:lineRule="auto"/>
      </w:pPr>
      <w:r>
        <w:t>The selected candidate variables were:</w:t>
      </w:r>
    </w:p>
    <w:p w14:paraId="7DBF2CBF" w14:textId="77777777" w:rsidR="00EF0BB9" w:rsidRDefault="00DD58D0" w:rsidP="004767F9">
      <w:pPr>
        <w:pBdr>
          <w:top w:val="single" w:sz="4" w:space="1" w:color="auto"/>
          <w:left w:val="single" w:sz="4" w:space="4" w:color="auto"/>
          <w:bottom w:val="single" w:sz="4" w:space="31" w:color="auto"/>
          <w:right w:val="single" w:sz="4" w:space="4" w:color="auto"/>
        </w:pBdr>
        <w:spacing w:after="0" w:line="240" w:lineRule="auto"/>
      </w:pPr>
      <w:r>
        <w:t xml:space="preserve">1. </w:t>
      </w:r>
      <w:r w:rsidRPr="00C55151">
        <w:t xml:space="preserve">Age </w:t>
      </w:r>
    </w:p>
    <w:p w14:paraId="20F381E3" w14:textId="373CCC94"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2. High risk car</w:t>
      </w:r>
      <w:r w:rsidR="00EA0753">
        <w:t>diovascular factors (CC 81-</w:t>
      </w:r>
      <w:r>
        <w:t>82, 89, 104)</w:t>
      </w:r>
    </w:p>
    <w:p w14:paraId="38CAA341" w14:textId="0E5D957E" w:rsidR="00DD58D0" w:rsidRDefault="00EA0753" w:rsidP="004767F9">
      <w:pPr>
        <w:pBdr>
          <w:top w:val="single" w:sz="4" w:space="1" w:color="auto"/>
          <w:left w:val="single" w:sz="4" w:space="4" w:color="auto"/>
          <w:bottom w:val="single" w:sz="4" w:space="31" w:color="auto"/>
          <w:right w:val="single" w:sz="4" w:space="4" w:color="auto"/>
        </w:pBdr>
        <w:spacing w:after="0" w:line="240" w:lineRule="auto"/>
      </w:pPr>
      <w:r>
        <w:lastRenderedPageBreak/>
        <w:t xml:space="preserve">3. Low risk </w:t>
      </w:r>
      <w:r w:rsidR="006C416E">
        <w:t xml:space="preserve">cardiovascular </w:t>
      </w:r>
      <w:r>
        <w:t>factors (CC 83-</w:t>
      </w:r>
      <w:r w:rsidR="00DD58D0">
        <w:t>84, 94, 105-106)</w:t>
      </w:r>
    </w:p>
    <w:p w14:paraId="50E5BA85" w14:textId="5FFF8C08" w:rsidR="00DD58D0" w:rsidRDefault="00EA0753" w:rsidP="004767F9">
      <w:pPr>
        <w:pBdr>
          <w:top w:val="single" w:sz="4" w:space="1" w:color="auto"/>
          <w:left w:val="single" w:sz="4" w:space="4" w:color="auto"/>
          <w:bottom w:val="single" w:sz="4" w:space="31" w:color="auto"/>
          <w:right w:val="single" w:sz="4" w:space="4" w:color="auto"/>
        </w:pBdr>
        <w:spacing w:after="0" w:line="240" w:lineRule="auto"/>
      </w:pPr>
      <w:r>
        <w:t>4. Arrhythmia (CC 92-</w:t>
      </w:r>
      <w:r w:rsidR="00DD58D0">
        <w:t>93)</w:t>
      </w:r>
    </w:p>
    <w:p w14:paraId="18316C37" w14:textId="09F307FD"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5. Advanced cancer (CC 7-9, 11)</w:t>
      </w:r>
    </w:p>
    <w:p w14:paraId="3B114309" w14:textId="04AD6652" w:rsidR="00DD58D0" w:rsidRDefault="00EA0753" w:rsidP="004767F9">
      <w:pPr>
        <w:pBdr>
          <w:top w:val="single" w:sz="4" w:space="1" w:color="auto"/>
          <w:left w:val="single" w:sz="4" w:space="4" w:color="auto"/>
          <w:bottom w:val="single" w:sz="4" w:space="31" w:color="auto"/>
          <w:right w:val="single" w:sz="4" w:space="4" w:color="auto"/>
        </w:pBdr>
        <w:spacing w:after="0" w:line="240" w:lineRule="auto"/>
      </w:pPr>
      <w:r>
        <w:t>6. Dementia (CC 49-</w:t>
      </w:r>
      <w:r w:rsidR="00DD58D0">
        <w:t>50)</w:t>
      </w:r>
    </w:p>
    <w:p w14:paraId="20458DEF" w14:textId="77777777"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7. Heart failure (CC 80)</w:t>
      </w:r>
    </w:p>
    <w:p w14:paraId="374A7BCA" w14:textId="77777777" w:rsidR="00B20800" w:rsidRDefault="00DD58D0" w:rsidP="004767F9">
      <w:pPr>
        <w:pBdr>
          <w:top w:val="single" w:sz="4" w:space="1" w:color="auto"/>
          <w:left w:val="single" w:sz="4" w:space="4" w:color="auto"/>
          <w:bottom w:val="single" w:sz="4" w:space="31" w:color="auto"/>
          <w:right w:val="single" w:sz="4" w:space="4" w:color="auto"/>
        </w:pBdr>
        <w:spacing w:after="0" w:line="240" w:lineRule="auto"/>
      </w:pPr>
      <w:r>
        <w:t>8. Dialysis (CC 130)</w:t>
      </w:r>
    </w:p>
    <w:p w14:paraId="124FC149" w14:textId="3C941E38"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 xml:space="preserve">9. Disability/Frailty (CC 21, 67-68, 100, 116, 148-149, 157, 177-178, 69) </w:t>
      </w:r>
    </w:p>
    <w:p w14:paraId="18B6C87E" w14:textId="7C3F3495" w:rsidR="00DD58D0" w:rsidRDefault="006C416E" w:rsidP="004767F9">
      <w:pPr>
        <w:pBdr>
          <w:top w:val="single" w:sz="4" w:space="1" w:color="auto"/>
          <w:left w:val="single" w:sz="4" w:space="4" w:color="auto"/>
          <w:bottom w:val="single" w:sz="4" w:space="31" w:color="auto"/>
          <w:right w:val="single" w:sz="4" w:space="4" w:color="auto"/>
        </w:pBdr>
        <w:spacing w:after="0" w:line="240" w:lineRule="auto"/>
      </w:pPr>
      <w:r>
        <w:t>10. Gastrointestinal and g</w:t>
      </w:r>
      <w:r w:rsidR="00DD58D0">
        <w:t>enitourinar</w:t>
      </w:r>
      <w:r w:rsidR="00B20800">
        <w:t>y disorders</w:t>
      </w:r>
      <w:r w:rsidR="00B20800">
        <w:tab/>
        <w:t xml:space="preserve"> (GI/GU) (CC: 29-30</w:t>
      </w:r>
      <w:r w:rsidR="00DD58D0">
        <w:t>,</w:t>
      </w:r>
      <w:r w:rsidR="00B20800">
        <w:t xml:space="preserve"> </w:t>
      </w:r>
      <w:r w:rsidR="00DD58D0">
        <w:t>31, 33-34, 133, 176)</w:t>
      </w:r>
    </w:p>
    <w:p w14:paraId="37363B60" w14:textId="77777777"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11. Hematological disorders (CC 44, 46)</w:t>
      </w:r>
    </w:p>
    <w:p w14:paraId="3690B528" w14:textId="5C059AC8"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13. Infectious and immune disorders (CC: 1,</w:t>
      </w:r>
      <w:r w:rsidR="00B20800">
        <w:t xml:space="preserve"> </w:t>
      </w:r>
      <w:r>
        <w:t>3-5, 45, 85)</w:t>
      </w:r>
    </w:p>
    <w:p w14:paraId="68828CDB" w14:textId="0BB8F52A"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13. Kidney disease (CC 128,</w:t>
      </w:r>
      <w:r w:rsidR="00EA0753">
        <w:t xml:space="preserve"> </w:t>
      </w:r>
      <w:r>
        <w:t>131-132)</w:t>
      </w:r>
    </w:p>
    <w:p w14:paraId="736298C7" w14:textId="1DA4714E"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14. Liver disease (CC 25-28)</w:t>
      </w:r>
    </w:p>
    <w:p w14:paraId="288C07BA" w14:textId="47AC1C6B"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15. Neurological disorders (CC 48,</w:t>
      </w:r>
      <w:r w:rsidR="00B20800">
        <w:t xml:space="preserve"> </w:t>
      </w:r>
      <w:r>
        <w:t>61, 65, 70, 72-75, 95-99, 101-103, 155)</w:t>
      </w:r>
    </w:p>
    <w:p w14:paraId="1F1120BF" w14:textId="4EA3238E"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16. Psyc</w:t>
      </w:r>
      <w:r w:rsidR="00EA0753">
        <w:t xml:space="preserve">hiatric illness/Substance abuse </w:t>
      </w:r>
      <w:r>
        <w:t>(CC 51-60)</w:t>
      </w:r>
    </w:p>
    <w:p w14:paraId="6F21FF5F" w14:textId="1EC4288B"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17. Pulmonary disease</w:t>
      </w:r>
      <w:r w:rsidR="006C416E">
        <w:t xml:space="preserve"> </w:t>
      </w:r>
      <w:r>
        <w:t>(CC 107-110, 114-115)</w:t>
      </w:r>
    </w:p>
    <w:p w14:paraId="064EE45D" w14:textId="77777777"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18. Other advanced organ failure (CC 77, 79)</w:t>
      </w:r>
    </w:p>
    <w:p w14:paraId="1B9B7936" w14:textId="77777777"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 xml:space="preserve">19. Diabetes severity index </w:t>
      </w:r>
      <w:r w:rsidRPr="00D06992">
        <w:t>(</w:t>
      </w:r>
      <w:r>
        <w:t xml:space="preserve">number of complications associated with diabetes </w:t>
      </w:r>
      <w:r w:rsidRPr="00D06992">
        <w:t>based on ICD-9 codes; see Excel attachment, sheet “S.15 Diabetes Severity Index”)</w:t>
      </w:r>
      <w:r w:rsidRPr="00D06992">
        <w:tab/>
      </w:r>
    </w:p>
    <w:p w14:paraId="3685D3A6" w14:textId="77777777"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20. Iron deficiency anemia (CC 47)</w:t>
      </w:r>
    </w:p>
    <w:p w14:paraId="471568A3" w14:textId="77777777"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21. Major organ transplant (CC 174)</w:t>
      </w:r>
    </w:p>
    <w:p w14:paraId="1B5C0D2F" w14:textId="77777777"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22. Other organ transplant (CC 175)</w:t>
      </w:r>
    </w:p>
    <w:p w14:paraId="357280FE" w14:textId="541FD637"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2</w:t>
      </w:r>
      <w:r w:rsidR="00EA0753">
        <w:t xml:space="preserve">3. Hip fracture/Major fracture </w:t>
      </w:r>
      <w:r>
        <w:t>(CC 158-159)</w:t>
      </w:r>
    </w:p>
    <w:p w14:paraId="04CB5D9A" w14:textId="4805FDB9"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r>
        <w:t>24. Structural heart disease (CC 86-88)</w:t>
      </w:r>
    </w:p>
    <w:p w14:paraId="08D2A1CF" w14:textId="77777777" w:rsidR="00DD58D0" w:rsidRDefault="00DD58D0" w:rsidP="004767F9">
      <w:pPr>
        <w:pBdr>
          <w:top w:val="single" w:sz="4" w:space="1" w:color="auto"/>
          <w:left w:val="single" w:sz="4" w:space="4" w:color="auto"/>
          <w:bottom w:val="single" w:sz="4" w:space="31" w:color="auto"/>
          <w:right w:val="single" w:sz="4" w:space="4" w:color="auto"/>
        </w:pBdr>
        <w:spacing w:after="0" w:line="240" w:lineRule="auto"/>
      </w:pPr>
    </w:p>
    <w:p w14:paraId="139632E8" w14:textId="77777777" w:rsidR="00DD58D0" w:rsidRPr="00B20800" w:rsidRDefault="00DD58D0" w:rsidP="004767F9">
      <w:pPr>
        <w:pBdr>
          <w:top w:val="single" w:sz="4" w:space="1" w:color="auto"/>
          <w:left w:val="single" w:sz="4" w:space="4" w:color="auto"/>
          <w:bottom w:val="single" w:sz="4" w:space="31" w:color="auto"/>
          <w:right w:val="single" w:sz="4" w:space="4" w:color="auto"/>
        </w:pBdr>
        <w:spacing w:after="0" w:line="240" w:lineRule="auto"/>
      </w:pPr>
      <w:r w:rsidRPr="0029379A">
        <w:t>Final variable selection:</w:t>
      </w:r>
    </w:p>
    <w:p w14:paraId="0ACADAC5" w14:textId="77777777" w:rsidR="00F24E7B" w:rsidRDefault="00DD58D0" w:rsidP="004767F9">
      <w:pPr>
        <w:pBdr>
          <w:top w:val="single" w:sz="4" w:space="1" w:color="auto"/>
          <w:left w:val="single" w:sz="4" w:space="4" w:color="auto"/>
          <w:bottom w:val="single" w:sz="4" w:space="31" w:color="auto"/>
          <w:right w:val="single" w:sz="4" w:space="4" w:color="auto"/>
        </w:pBdr>
        <w:spacing w:after="0" w:line="240" w:lineRule="auto"/>
      </w:pPr>
      <w:r w:rsidRPr="00B20800">
        <w:t xml:space="preserve">In order to select the final set of variables, we ranked the variables in terms of their importance for the model by comparing the Akaike Information Criterion (AIC) values using the 2012 Development Sample. We selected variables starting with the 24 candidate variables. We removed one variable and determined the best combination of 23 variables that resulted in the smallest AIC compared with other combinations of 23 variables. Based on the best 23 variables, we removed one more variable and determined the best 22 variables. We repeated these steps until we reached one variable. Each of the final 23 variables represents the best model (combination of variables) given different numbers of variables. </w:t>
      </w:r>
    </w:p>
    <w:p w14:paraId="719AD879" w14:textId="233766C6" w:rsidR="00DD58D0" w:rsidRDefault="00DD58D0" w:rsidP="004767F9">
      <w:pPr>
        <w:pBdr>
          <w:top w:val="single" w:sz="4" w:space="1" w:color="auto"/>
          <w:left w:val="single" w:sz="4" w:space="4" w:color="auto"/>
          <w:bottom w:val="single" w:sz="4" w:space="31" w:color="auto"/>
          <w:right w:val="single" w:sz="4" w:space="4" w:color="auto"/>
        </w:pBdr>
        <w:spacing w:before="120" w:after="0" w:line="240" w:lineRule="auto"/>
      </w:pPr>
      <w:r w:rsidRPr="00B20800">
        <w:t>The attached Data Dictionary, sheet “S.15 Risk Model Specifications” indicates the final risk variables selected, the codes used to define the risk variables for our statistical model, and their frequencies in the 2012 Development Sample and 2012 Validation Sample.</w:t>
      </w:r>
    </w:p>
    <w:p w14:paraId="34E8EC2E" w14:textId="77777777" w:rsidR="00B20800" w:rsidRPr="00B20800" w:rsidRDefault="00B20800" w:rsidP="004767F9">
      <w:pPr>
        <w:pBdr>
          <w:top w:val="single" w:sz="4" w:space="1" w:color="auto"/>
          <w:left w:val="single" w:sz="4" w:space="4" w:color="auto"/>
          <w:bottom w:val="single" w:sz="4" w:space="31" w:color="auto"/>
          <w:right w:val="single" w:sz="4" w:space="4" w:color="auto"/>
        </w:pBdr>
        <w:spacing w:after="0" w:line="240" w:lineRule="auto"/>
      </w:pPr>
    </w:p>
    <w:p w14:paraId="2F690F4B" w14:textId="77777777" w:rsidR="00B20800" w:rsidRDefault="00B20800" w:rsidP="004767F9">
      <w:pPr>
        <w:pBdr>
          <w:top w:val="single" w:sz="4" w:space="1" w:color="auto"/>
          <w:left w:val="single" w:sz="4" w:space="4" w:color="auto"/>
          <w:bottom w:val="single" w:sz="4" w:space="31" w:color="auto"/>
          <w:right w:val="single" w:sz="4" w:space="4" w:color="auto"/>
        </w:pBdr>
        <w:spacing w:after="0" w:line="240" w:lineRule="auto"/>
      </w:pPr>
      <w:r>
        <w:t>3. Socioeconomic status</w:t>
      </w:r>
    </w:p>
    <w:p w14:paraId="6EF50AE4" w14:textId="77777777" w:rsidR="001009DF" w:rsidRDefault="00B20800" w:rsidP="001009DF">
      <w:pPr>
        <w:pBdr>
          <w:top w:val="single" w:sz="4" w:space="1" w:color="auto"/>
          <w:left w:val="single" w:sz="4" w:space="4" w:color="auto"/>
          <w:bottom w:val="single" w:sz="4" w:space="31" w:color="auto"/>
          <w:right w:val="single" w:sz="4" w:space="4" w:color="auto"/>
        </w:pBdr>
        <w:spacing w:after="0" w:line="240" w:lineRule="auto"/>
      </w:pPr>
      <w:r>
        <w:t>Based on a conceptual model that was informed by a literature review and environmental scan, we did not adjust for contextual factors which may impact acute admissions, including variables related to SES.  ACOs should and do influence a broad</w:t>
      </w:r>
      <w:r w:rsidR="00EF0BB9">
        <w:t xml:space="preserve"> range of patient-level and community-</w:t>
      </w:r>
      <w:r>
        <w:t xml:space="preserve">level factors that can mitigate the risk of admission associated with the contextual environment. </w:t>
      </w:r>
    </w:p>
    <w:p w14:paraId="760F1808" w14:textId="77777777" w:rsidR="001009DF" w:rsidRDefault="001009DF" w:rsidP="001009DF">
      <w:pPr>
        <w:pBdr>
          <w:top w:val="single" w:sz="4" w:space="1" w:color="auto"/>
          <w:left w:val="single" w:sz="4" w:space="4" w:color="auto"/>
          <w:bottom w:val="single" w:sz="4" w:space="31" w:color="auto"/>
          <w:right w:val="single" w:sz="4" w:space="4" w:color="auto"/>
        </w:pBdr>
        <w:spacing w:after="0" w:line="240" w:lineRule="auto"/>
      </w:pPr>
    </w:p>
    <w:p w14:paraId="4DEE8BEC" w14:textId="77777777" w:rsidR="00EA0753" w:rsidRDefault="00B20800" w:rsidP="00EA0753">
      <w:pPr>
        <w:pBdr>
          <w:top w:val="single" w:sz="4" w:space="1" w:color="auto"/>
          <w:left w:val="single" w:sz="4" w:space="4" w:color="auto"/>
          <w:bottom w:val="single" w:sz="4" w:space="31" w:color="auto"/>
          <w:right w:val="single" w:sz="4" w:space="4" w:color="auto"/>
        </w:pBdr>
        <w:spacing w:after="0" w:line="240" w:lineRule="auto"/>
      </w:pPr>
      <w:r>
        <w:lastRenderedPageBreak/>
        <w:t>However, to inform the committee’s consideration of the decision not to adjust for SES, we performed focused analyses using SES variables. These analyses are informative for future measure use, but the decision not to adjust for SES in this measure was not based on the results of these statistical analyses.</w:t>
      </w:r>
    </w:p>
    <w:p w14:paraId="26EBA95E" w14:textId="77777777" w:rsidR="00EA0753" w:rsidRDefault="00EA0753" w:rsidP="00EA0753">
      <w:pPr>
        <w:pBdr>
          <w:top w:val="single" w:sz="4" w:space="1" w:color="auto"/>
          <w:left w:val="single" w:sz="4" w:space="4" w:color="auto"/>
          <w:bottom w:val="single" w:sz="4" w:space="31" w:color="auto"/>
          <w:right w:val="single" w:sz="4" w:space="4" w:color="auto"/>
        </w:pBdr>
        <w:spacing w:after="0" w:line="240" w:lineRule="auto"/>
      </w:pPr>
    </w:p>
    <w:p w14:paraId="4971AED3" w14:textId="77777777" w:rsidR="00EA0753" w:rsidRDefault="00B20800" w:rsidP="00EA0753">
      <w:pPr>
        <w:pBdr>
          <w:top w:val="single" w:sz="4" w:space="1" w:color="auto"/>
          <w:left w:val="single" w:sz="4" w:space="4" w:color="auto"/>
          <w:bottom w:val="single" w:sz="4" w:space="31" w:color="auto"/>
          <w:right w:val="single" w:sz="4" w:space="4" w:color="auto"/>
        </w:pBdr>
        <w:spacing w:after="0" w:line="240" w:lineRule="auto"/>
      </w:pPr>
      <w:r>
        <w:t xml:space="preserve">To assess the potential effect of SES on ACO performance, we first included SES as a patient-level covariate in the models. As there are no standardized methods for assessing a Medicare beneficiary’s SES, we used two different indicators of SES: (1) the SES score of the patient’s 5-digit zip code, adapted from the AHRQ SES Index [3], which was developed for the purpose of characterizing the SES of Medicare beneficiaries and (2) the Medicaid dual-eligibility status of beneficiaries. We created a dichotomous variable from the AHRQ SES score, defining patients as low SES if they had an AHRQ Score of 0 to 45 and non-low SES if they had an AHRQ score of &gt;45. This cut-point represented the lowest quintile of AHRQ SES scores among the 5% Medicare FFS Sample. In this lowest quintile, </w:t>
      </w:r>
      <w:r w:rsidR="00D136BF">
        <w:t>21.9</w:t>
      </w:r>
      <w:r>
        <w:t>% of patients were Medicaid dual eligible. For further details on how we calculated the AHRQ SES score and developed a dichotomous variable we refer to the attached technical report, Appendix E. Additionally, we performed ACO-level analyses based on the proportion of low SES patients being cared for by an ACO. These methods and results are reported in the NQF Submission form.</w:t>
      </w:r>
    </w:p>
    <w:p w14:paraId="7C1CDCF8" w14:textId="77777777" w:rsidR="00EA0753" w:rsidRDefault="00EA0753" w:rsidP="00EA0753">
      <w:pPr>
        <w:pBdr>
          <w:top w:val="single" w:sz="4" w:space="1" w:color="auto"/>
          <w:left w:val="single" w:sz="4" w:space="4" w:color="auto"/>
          <w:bottom w:val="single" w:sz="4" w:space="31" w:color="auto"/>
          <w:right w:val="single" w:sz="4" w:space="4" w:color="auto"/>
        </w:pBdr>
        <w:spacing w:after="0" w:line="240" w:lineRule="auto"/>
      </w:pPr>
    </w:p>
    <w:p w14:paraId="54D5C598" w14:textId="77777777" w:rsidR="00EA0753" w:rsidRDefault="00B20800" w:rsidP="00EA0753">
      <w:pPr>
        <w:pBdr>
          <w:top w:val="single" w:sz="4" w:space="1" w:color="auto"/>
          <w:left w:val="single" w:sz="4" w:space="4" w:color="auto"/>
          <w:bottom w:val="single" w:sz="4" w:space="31" w:color="auto"/>
          <w:right w:val="single" w:sz="4" w:space="4" w:color="auto"/>
        </w:pBdr>
        <w:spacing w:after="0" w:line="240" w:lineRule="auto"/>
      </w:pPr>
      <w:r>
        <w:t>4. Contextual Domains</w:t>
      </w:r>
    </w:p>
    <w:p w14:paraId="1E625F4C" w14:textId="77777777" w:rsidR="00EA0753" w:rsidRDefault="00B20800" w:rsidP="00EA0753">
      <w:pPr>
        <w:pBdr>
          <w:top w:val="single" w:sz="4" w:space="1" w:color="auto"/>
          <w:left w:val="single" w:sz="4" w:space="4" w:color="auto"/>
          <w:bottom w:val="single" w:sz="4" w:space="31" w:color="auto"/>
          <w:right w:val="single" w:sz="4" w:space="4" w:color="auto"/>
        </w:pBdr>
        <w:spacing w:after="0" w:line="240" w:lineRule="auto"/>
      </w:pPr>
      <w:r>
        <w:t>The four contextual domains, which include SES factors, may influence the clinical health status of patients as well as the outcome of acute admissions, impacting ACOs’ ability to prevent acute admissions. However, when evaluating provider quality, we do not want to adjust for them, since these affects may be mediated by ACOs, and the measure score should ideally reflect successful efforts to mitigate their impact on admission rates. This approach is consistent with the ACO program design – as part of their mission, ACOs are encouraged to develop strategic partnerships with community-based organizations and businesses in order to improve population health and reduce the risk of admission. It is also supported by growing evidence that integrated health systems can identify and mitigate the degree to which non-health factors impact health outcomes (e.g., by connecting patients with available health-related ser</w:t>
      </w:r>
      <w:r w:rsidR="001009DF">
        <w:t xml:space="preserve">vices) </w:t>
      </w:r>
      <w:r>
        <w:t>[4]</w:t>
      </w:r>
      <w:r w:rsidR="001009DF">
        <w:t>.</w:t>
      </w:r>
    </w:p>
    <w:p w14:paraId="63FE7FA0" w14:textId="77777777" w:rsidR="00EA0753" w:rsidRDefault="00EA0753" w:rsidP="00EA0753">
      <w:pPr>
        <w:pBdr>
          <w:top w:val="single" w:sz="4" w:space="1" w:color="auto"/>
          <w:left w:val="single" w:sz="4" w:space="4" w:color="auto"/>
          <w:bottom w:val="single" w:sz="4" w:space="31" w:color="auto"/>
          <w:right w:val="single" w:sz="4" w:space="4" w:color="auto"/>
        </w:pBdr>
        <w:spacing w:after="0" w:line="240" w:lineRule="auto"/>
      </w:pPr>
    </w:p>
    <w:p w14:paraId="1A50472D" w14:textId="77777777" w:rsidR="00EA0753" w:rsidRDefault="00B20800" w:rsidP="00EA0753">
      <w:pPr>
        <w:pBdr>
          <w:top w:val="single" w:sz="4" w:space="1" w:color="auto"/>
          <w:left w:val="single" w:sz="4" w:space="4" w:color="auto"/>
          <w:bottom w:val="single" w:sz="4" w:space="31" w:color="auto"/>
          <w:right w:val="single" w:sz="4" w:space="4" w:color="auto"/>
        </w:pBdr>
        <w:spacing w:after="0" w:line="240" w:lineRule="auto"/>
        <w:rPr>
          <w:u w:val="single"/>
        </w:rPr>
      </w:pPr>
      <w:r w:rsidRPr="00794C9D">
        <w:rPr>
          <w:u w:val="single"/>
        </w:rPr>
        <w:t>Citations</w:t>
      </w:r>
    </w:p>
    <w:p w14:paraId="4663BDDF" w14:textId="77777777" w:rsidR="00EA0753" w:rsidRDefault="00B20800" w:rsidP="00EA0753">
      <w:pPr>
        <w:pBdr>
          <w:top w:val="single" w:sz="4" w:space="1" w:color="auto"/>
          <w:left w:val="single" w:sz="4" w:space="4" w:color="auto"/>
          <w:bottom w:val="single" w:sz="4" w:space="31" w:color="auto"/>
          <w:right w:val="single" w:sz="4" w:space="4" w:color="auto"/>
        </w:pBdr>
        <w:spacing w:after="0" w:line="240" w:lineRule="auto"/>
      </w:pPr>
      <w:r>
        <w:t>1. Rathore SS, Foody JM, Wang Y, et al. Race, quality of care, and outcomes of elderly patients hospitalized with heart failure. JAMA : the journal of the American Medical Association. May 21 2003;289(19):2517-2524.</w:t>
      </w:r>
    </w:p>
    <w:p w14:paraId="43BB8C8E" w14:textId="77777777" w:rsidR="00EA0753" w:rsidRDefault="00EA0753" w:rsidP="00EA0753">
      <w:pPr>
        <w:pBdr>
          <w:top w:val="single" w:sz="4" w:space="1" w:color="auto"/>
          <w:left w:val="single" w:sz="4" w:space="4" w:color="auto"/>
          <w:bottom w:val="single" w:sz="4" w:space="31" w:color="auto"/>
          <w:right w:val="single" w:sz="4" w:space="4" w:color="auto"/>
        </w:pBdr>
        <w:spacing w:after="0" w:line="240" w:lineRule="auto"/>
      </w:pPr>
    </w:p>
    <w:p w14:paraId="7FF99A05" w14:textId="77777777" w:rsidR="00EA0753" w:rsidRDefault="00B20800" w:rsidP="00EA0753">
      <w:pPr>
        <w:pBdr>
          <w:top w:val="single" w:sz="4" w:space="1" w:color="auto"/>
          <w:left w:val="single" w:sz="4" w:space="4" w:color="auto"/>
          <w:bottom w:val="single" w:sz="4" w:space="31" w:color="auto"/>
          <w:right w:val="single" w:sz="4" w:space="4" w:color="auto"/>
        </w:pBdr>
        <w:spacing w:after="0" w:line="240" w:lineRule="auto"/>
      </w:pPr>
      <w:r>
        <w:t>2. Deswal A, Petersen NJ, Urbauer DL, Wright SM, Beyth R. Racial variations in quality of care and outcomes in an ambulatory heart failure cohort. American heart journal. Aug 2006;152(2):348-354.</w:t>
      </w:r>
    </w:p>
    <w:p w14:paraId="21241C65" w14:textId="77777777" w:rsidR="00EA0753" w:rsidRDefault="00EA0753" w:rsidP="00EA0753">
      <w:pPr>
        <w:pBdr>
          <w:top w:val="single" w:sz="4" w:space="1" w:color="auto"/>
          <w:left w:val="single" w:sz="4" w:space="4" w:color="auto"/>
          <w:bottom w:val="single" w:sz="4" w:space="31" w:color="auto"/>
          <w:right w:val="single" w:sz="4" w:space="4" w:color="auto"/>
        </w:pBdr>
        <w:spacing w:after="0" w:line="240" w:lineRule="auto"/>
      </w:pPr>
    </w:p>
    <w:p w14:paraId="7EB5C432" w14:textId="77777777" w:rsidR="00EA0753" w:rsidRDefault="00B20800" w:rsidP="00EA0753">
      <w:pPr>
        <w:pBdr>
          <w:top w:val="single" w:sz="4" w:space="1" w:color="auto"/>
          <w:left w:val="single" w:sz="4" w:space="4" w:color="auto"/>
          <w:bottom w:val="single" w:sz="4" w:space="31" w:color="auto"/>
          <w:right w:val="single" w:sz="4" w:space="4" w:color="auto"/>
        </w:pBdr>
        <w:spacing w:after="0" w:line="240" w:lineRule="auto"/>
      </w:pPr>
      <w:r>
        <w:t>3. Bonito A, Bann C, Eicheldinger C, Carpenter L. Creation of new race-ethnicity codes and socioeconomic status (SES) indicators for Medicare beneficiaries. Final Report, Sub-Task. 2008;2.</w:t>
      </w:r>
    </w:p>
    <w:p w14:paraId="64EF75E9" w14:textId="77777777" w:rsidR="00EA0753" w:rsidRDefault="00EA0753" w:rsidP="00EA0753">
      <w:pPr>
        <w:pBdr>
          <w:top w:val="single" w:sz="4" w:space="1" w:color="auto"/>
          <w:left w:val="single" w:sz="4" w:space="4" w:color="auto"/>
          <w:bottom w:val="single" w:sz="4" w:space="31" w:color="auto"/>
          <w:right w:val="single" w:sz="4" w:space="4" w:color="auto"/>
        </w:pBdr>
        <w:spacing w:after="0" w:line="240" w:lineRule="auto"/>
      </w:pPr>
    </w:p>
    <w:p w14:paraId="15E0E4C9" w14:textId="518B6660" w:rsidR="00001D73" w:rsidRPr="00001D73" w:rsidRDefault="00B20800" w:rsidP="00EA0753">
      <w:pPr>
        <w:pBdr>
          <w:top w:val="single" w:sz="4" w:space="1" w:color="auto"/>
          <w:left w:val="single" w:sz="4" w:space="4" w:color="auto"/>
          <w:bottom w:val="single" w:sz="4" w:space="31" w:color="auto"/>
          <w:right w:val="single" w:sz="4" w:space="4" w:color="auto"/>
        </w:pBdr>
        <w:spacing w:after="0" w:line="240" w:lineRule="auto"/>
        <w:rPr>
          <w:rFonts w:cstheme="minorHAnsi"/>
          <w:bCs/>
        </w:rPr>
      </w:pPr>
      <w:r>
        <w:t>4. Alley DE, Asomugha CN, Conway PH, Sanghavi DM. Addressing Social Needs through Medicare and Medicaid, N Engl J Med 2016; 374:8-11.</w:t>
      </w:r>
    </w:p>
    <w:p w14:paraId="4D6F0972" w14:textId="77777777" w:rsidR="00EA0753" w:rsidRDefault="00EA0753" w:rsidP="00EC4DB0">
      <w:pPr>
        <w:autoSpaceDE w:val="0"/>
        <w:autoSpaceDN w:val="0"/>
        <w:adjustRightInd w:val="0"/>
        <w:spacing w:after="0" w:line="240" w:lineRule="auto"/>
        <w:rPr>
          <w:rFonts w:cstheme="minorHAnsi"/>
          <w:b/>
          <w:bCs/>
        </w:rPr>
      </w:pPr>
    </w:p>
    <w:p w14:paraId="37CA469D" w14:textId="77777777" w:rsidR="00EA0753" w:rsidRDefault="00EA0753" w:rsidP="00EC4DB0">
      <w:pPr>
        <w:autoSpaceDE w:val="0"/>
        <w:autoSpaceDN w:val="0"/>
        <w:adjustRightInd w:val="0"/>
        <w:spacing w:after="0" w:line="240" w:lineRule="auto"/>
        <w:rPr>
          <w:rFonts w:cstheme="minorHAnsi"/>
          <w:b/>
          <w:bCs/>
        </w:rPr>
      </w:pPr>
    </w:p>
    <w:p w14:paraId="6FB5B3D4" w14:textId="01BDE9DF" w:rsidR="00092566" w:rsidRDefault="00092566" w:rsidP="00EC4DB0">
      <w:pPr>
        <w:autoSpaceDE w:val="0"/>
        <w:autoSpaceDN w:val="0"/>
        <w:adjustRightInd w:val="0"/>
        <w:spacing w:after="0" w:line="240" w:lineRule="auto"/>
        <w:rPr>
          <w:rFonts w:cstheme="minorHAnsi"/>
          <w:b/>
          <w:bCs/>
        </w:rPr>
      </w:pPr>
      <w:r>
        <w:rPr>
          <w:rFonts w:cstheme="minorHAnsi"/>
          <w:b/>
          <w:bCs/>
        </w:rPr>
        <w:lastRenderedPageBreak/>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r w:rsidR="00001D73">
        <w:rPr>
          <w:rFonts w:cstheme="minorHAnsi"/>
          <w:b/>
          <w:bCs/>
        </w:rPr>
        <w:br/>
      </w:r>
    </w:p>
    <w:p w14:paraId="7D38FD81" w14:textId="77777777" w:rsidR="00DD58D0" w:rsidRDefault="00DD58D0" w:rsidP="004767F9">
      <w:pPr>
        <w:pBdr>
          <w:top w:val="single" w:sz="4" w:space="1" w:color="auto"/>
          <w:left w:val="single" w:sz="4" w:space="4" w:color="auto"/>
          <w:bottom w:val="single" w:sz="4" w:space="1" w:color="auto"/>
          <w:right w:val="single" w:sz="4" w:space="4" w:color="auto"/>
        </w:pBdr>
        <w:spacing w:line="240" w:lineRule="auto"/>
      </w:pPr>
      <w:r>
        <w:t>Based on the smallest AIC</w:t>
      </w:r>
      <w:r>
        <w:rPr>
          <w:rFonts w:eastAsia="SimSun" w:hint="eastAsia"/>
          <w:lang w:eastAsia="zh-CN"/>
        </w:rPr>
        <w:t xml:space="preserve"> among the 24 combinations</w:t>
      </w:r>
      <w:r>
        <w:rPr>
          <w:rFonts w:eastAsia="SimSun"/>
          <w:lang w:eastAsia="zh-CN"/>
        </w:rPr>
        <w:t>,</w:t>
      </w:r>
      <w:r>
        <w:t xml:space="preserve"> we retained 23 variables in the </w:t>
      </w:r>
      <w:r>
        <w:rPr>
          <w:rFonts w:eastAsia="SimSun" w:hint="eastAsia"/>
          <w:lang w:eastAsia="zh-CN"/>
        </w:rPr>
        <w:t xml:space="preserve">final </w:t>
      </w:r>
      <w:r>
        <w:t xml:space="preserve">model. Of the 24 candidate variables, the only variable that was not included was structural heart disease, which was not statistically </w:t>
      </w:r>
      <w:r w:rsidRPr="00890574">
        <w:t>significant in the model.</w:t>
      </w:r>
    </w:p>
    <w:p w14:paraId="0E623274" w14:textId="77777777" w:rsidR="00DD58D0" w:rsidRDefault="00DD58D0" w:rsidP="004767F9">
      <w:pPr>
        <w:pBdr>
          <w:top w:val="single" w:sz="4" w:space="1" w:color="auto"/>
          <w:left w:val="single" w:sz="4" w:space="4" w:color="auto"/>
          <w:bottom w:val="single" w:sz="4" w:space="1" w:color="auto"/>
          <w:right w:val="single" w:sz="4" w:space="4" w:color="auto"/>
        </w:pBdr>
        <w:spacing w:after="0" w:line="240" w:lineRule="auto"/>
      </w:pPr>
      <w:r>
        <w:t>The following variables were selected as the final risk-adjustment variables:</w:t>
      </w:r>
    </w:p>
    <w:p w14:paraId="683657E4" w14:textId="77777777" w:rsidR="00DD58D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1. Age</w:t>
      </w:r>
      <w:r>
        <w:tab/>
      </w:r>
    </w:p>
    <w:p w14:paraId="07D6B82C" w14:textId="54A341F7" w:rsidR="00DD58D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 xml:space="preserve">2. High </w:t>
      </w:r>
      <w:r w:rsidR="006C416E">
        <w:t>r</w:t>
      </w:r>
      <w:r>
        <w:t xml:space="preserve">isk </w:t>
      </w:r>
      <w:r w:rsidR="006C416E">
        <w:t>cardiovascular f</w:t>
      </w:r>
      <w:r>
        <w:t>actors (CC 81, 82, 89, 104)</w:t>
      </w:r>
    </w:p>
    <w:p w14:paraId="53642A81" w14:textId="5DBA6D47" w:rsidR="00DD58D0" w:rsidRDefault="006C416E" w:rsidP="004767F9">
      <w:pPr>
        <w:pBdr>
          <w:top w:val="single" w:sz="4" w:space="1" w:color="auto"/>
          <w:left w:val="single" w:sz="4" w:space="4" w:color="auto"/>
          <w:bottom w:val="single" w:sz="4" w:space="1" w:color="auto"/>
          <w:right w:val="single" w:sz="4" w:space="4" w:color="auto"/>
        </w:pBdr>
        <w:spacing w:after="0" w:line="240" w:lineRule="auto"/>
        <w:ind w:left="720" w:hanging="720"/>
      </w:pPr>
      <w:r>
        <w:t>3. Low r</w:t>
      </w:r>
      <w:r w:rsidR="00DD58D0">
        <w:t>isk</w:t>
      </w:r>
      <w:r>
        <w:t xml:space="preserve"> cardiovascular</w:t>
      </w:r>
      <w:r w:rsidR="00DD58D0">
        <w:t xml:space="preserve"> </w:t>
      </w:r>
      <w:r>
        <w:t>f</w:t>
      </w:r>
      <w:r w:rsidR="00DD58D0">
        <w:t>actors (CC 83, 84, 94, 105, 106)</w:t>
      </w:r>
    </w:p>
    <w:p w14:paraId="44BF6B62" w14:textId="77777777" w:rsidR="00DD58D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4. Arrhythmia (CC 92, 93)</w:t>
      </w:r>
    </w:p>
    <w:p w14:paraId="7E87643E" w14:textId="0F13FE9B" w:rsidR="00DD58D0" w:rsidRDefault="006C416E" w:rsidP="004767F9">
      <w:pPr>
        <w:pBdr>
          <w:top w:val="single" w:sz="4" w:space="1" w:color="auto"/>
          <w:left w:val="single" w:sz="4" w:space="4" w:color="auto"/>
          <w:bottom w:val="single" w:sz="4" w:space="1" w:color="auto"/>
          <w:right w:val="single" w:sz="4" w:space="4" w:color="auto"/>
        </w:pBdr>
        <w:spacing w:after="0" w:line="240" w:lineRule="auto"/>
        <w:ind w:left="720" w:hanging="720"/>
      </w:pPr>
      <w:r>
        <w:t>5. Advanced c</w:t>
      </w:r>
      <w:r w:rsidR="00DD58D0">
        <w:t>ancer (CC 7, 8, 9, 11)</w:t>
      </w:r>
    </w:p>
    <w:p w14:paraId="2B1D8FF7" w14:textId="77777777" w:rsidR="00DD58D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6. Dementia (CC 49, 50)</w:t>
      </w:r>
    </w:p>
    <w:p w14:paraId="2828D0DF" w14:textId="35EBC980" w:rsidR="00DD58D0" w:rsidRDefault="000145C0" w:rsidP="004767F9">
      <w:pPr>
        <w:pBdr>
          <w:top w:val="single" w:sz="4" w:space="1" w:color="auto"/>
          <w:left w:val="single" w:sz="4" w:space="4" w:color="auto"/>
          <w:bottom w:val="single" w:sz="4" w:space="1" w:color="auto"/>
          <w:right w:val="single" w:sz="4" w:space="4" w:color="auto"/>
        </w:pBdr>
        <w:spacing w:after="0" w:line="240" w:lineRule="auto"/>
        <w:ind w:left="720" w:hanging="720"/>
      </w:pPr>
      <w:r>
        <w:t xml:space="preserve">7. Heart failure </w:t>
      </w:r>
      <w:r w:rsidR="00DD58D0">
        <w:t>(CC 80)</w:t>
      </w:r>
    </w:p>
    <w:p w14:paraId="40E1C232" w14:textId="77777777" w:rsidR="00DD58D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8. Dialysis (CC 130)</w:t>
      </w:r>
    </w:p>
    <w:p w14:paraId="2FE3C112" w14:textId="77777777" w:rsidR="00DD58D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9. Disability/Frailty (CC 21, 67, 68, 100, 116, 148, 149, 157, 177, 178, 69)</w:t>
      </w:r>
    </w:p>
    <w:p w14:paraId="4F729F43" w14:textId="4E567720" w:rsidR="00DD58D0" w:rsidRDefault="006C416E" w:rsidP="004767F9">
      <w:pPr>
        <w:pBdr>
          <w:top w:val="single" w:sz="4" w:space="1" w:color="auto"/>
          <w:left w:val="single" w:sz="4" w:space="4" w:color="auto"/>
          <w:bottom w:val="single" w:sz="4" w:space="1" w:color="auto"/>
          <w:right w:val="single" w:sz="4" w:space="4" w:color="auto"/>
        </w:pBdr>
        <w:spacing w:after="0" w:line="240" w:lineRule="auto"/>
        <w:ind w:left="720" w:hanging="720"/>
      </w:pPr>
      <w:r>
        <w:t>10. Gastrointestinal and g</w:t>
      </w:r>
      <w:r w:rsidR="00DD58D0">
        <w:t>enitourinary disorders (CC 29, 30, 31, 33, 34, 133, 176)</w:t>
      </w:r>
    </w:p>
    <w:p w14:paraId="7B54B15E" w14:textId="77777777" w:rsidR="00DD58D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11. Hematological disorders (CC 44, 46)</w:t>
      </w:r>
    </w:p>
    <w:p w14:paraId="7B254FCB" w14:textId="742BA08D" w:rsidR="00DD58D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 xml:space="preserve">12. Infectious and </w:t>
      </w:r>
      <w:r w:rsidR="006C416E">
        <w:t>immune</w:t>
      </w:r>
      <w:r>
        <w:t xml:space="preserve"> disorders (CC 1, 3, 4, 5, 45, 85)</w:t>
      </w:r>
    </w:p>
    <w:p w14:paraId="61730745" w14:textId="77777777" w:rsidR="00DD58D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13. Kidney disease (CC 128, 131, 132)</w:t>
      </w:r>
    </w:p>
    <w:p w14:paraId="14EACAE5" w14:textId="77777777" w:rsidR="00DD58D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14. Liver disease (CC 25, 26, 27, 28)</w:t>
      </w:r>
    </w:p>
    <w:p w14:paraId="0E766B17" w14:textId="77777777" w:rsidR="00DD58D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15. Neurological disorders (CC 48, 61, 65, 70, 72, 73, 74,75, 95, 96, 97, 98, 99, 101, 102, 103, 155)</w:t>
      </w:r>
    </w:p>
    <w:p w14:paraId="6FF71829" w14:textId="51C1503E" w:rsidR="00DD58D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 xml:space="preserve">16. Psychiatric Illness/Substance </w:t>
      </w:r>
      <w:r w:rsidR="006C416E">
        <w:t>a</w:t>
      </w:r>
      <w:r>
        <w:t>buse (CC 51, 52, 53, 54, 55, 56, 57, 58, 59, 60)</w:t>
      </w:r>
    </w:p>
    <w:p w14:paraId="7566CFAF" w14:textId="1752F5B4" w:rsidR="00DD58D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17. Pulmonary disease</w:t>
      </w:r>
      <w:r>
        <w:tab/>
        <w:t xml:space="preserve">(CC 107, 108, 109, 110, </w:t>
      </w:r>
      <w:r w:rsidR="000145C0">
        <w:t xml:space="preserve">114, </w:t>
      </w:r>
      <w:r>
        <w:t>115)</w:t>
      </w:r>
    </w:p>
    <w:p w14:paraId="043A50E8" w14:textId="6A375293" w:rsidR="00DD58D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18. Ot</w:t>
      </w:r>
      <w:r w:rsidR="000145C0">
        <w:t xml:space="preserve">her advanced organ failure (CC </w:t>
      </w:r>
      <w:r>
        <w:t>77</w:t>
      </w:r>
      <w:r w:rsidR="000145C0">
        <w:t>, 79</w:t>
      </w:r>
      <w:r>
        <w:t>)</w:t>
      </w:r>
    </w:p>
    <w:p w14:paraId="4C3E9026" w14:textId="77777777" w:rsidR="00DD58D0" w:rsidRDefault="00DD58D0" w:rsidP="004767F9">
      <w:pPr>
        <w:pBdr>
          <w:top w:val="single" w:sz="4" w:space="1" w:color="auto"/>
          <w:left w:val="single" w:sz="4" w:space="4" w:color="auto"/>
          <w:bottom w:val="single" w:sz="4" w:space="1" w:color="auto"/>
          <w:right w:val="single" w:sz="4" w:space="4" w:color="auto"/>
        </w:pBdr>
        <w:spacing w:after="0" w:line="240" w:lineRule="auto"/>
      </w:pPr>
      <w:r>
        <w:t>19. Diabetes severity index (</w:t>
      </w:r>
      <w:r w:rsidRPr="00777686">
        <w:t>number of complications associated with diabetes based on ICD-9 codes; see Excel attachment, sheet “S.15 Diabetes Severity Index”</w:t>
      </w:r>
      <w:r>
        <w:t>)</w:t>
      </w:r>
      <w:r>
        <w:tab/>
      </w:r>
    </w:p>
    <w:p w14:paraId="172CE0AB" w14:textId="77777777" w:rsidR="00DD58D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20. Iron deficiency anemia (CC 47)</w:t>
      </w:r>
    </w:p>
    <w:p w14:paraId="2FB3B1F3" w14:textId="77777777" w:rsidR="00DD58D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21. Major organ transplant (CC 174)</w:t>
      </w:r>
    </w:p>
    <w:p w14:paraId="1BBE891A" w14:textId="77777777" w:rsidR="00DD58D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22. Other organ transplant (CC 175)</w:t>
      </w:r>
    </w:p>
    <w:p w14:paraId="779E6B68" w14:textId="740DB089" w:rsidR="00DD58D0" w:rsidRPr="001350C0" w:rsidRDefault="00DD58D0" w:rsidP="004767F9">
      <w:pPr>
        <w:pBdr>
          <w:top w:val="single" w:sz="4" w:space="1" w:color="auto"/>
          <w:left w:val="single" w:sz="4" w:space="4" w:color="auto"/>
          <w:bottom w:val="single" w:sz="4" w:space="1" w:color="auto"/>
          <w:right w:val="single" w:sz="4" w:space="4" w:color="auto"/>
        </w:pBdr>
        <w:spacing w:after="0" w:line="240" w:lineRule="auto"/>
        <w:ind w:left="720" w:hanging="720"/>
      </w:pPr>
      <w:r>
        <w:t>23. Hip fra</w:t>
      </w:r>
      <w:r w:rsidR="001219B5">
        <w:t>c</w:t>
      </w:r>
      <w:r>
        <w:t>ture/major fracture (CC 158, 159)</w:t>
      </w:r>
    </w:p>
    <w:p w14:paraId="07CA76B7" w14:textId="77777777" w:rsidR="00DD58D0" w:rsidRDefault="00DD58D0" w:rsidP="00EC4DB0">
      <w:pPr>
        <w:autoSpaceDE w:val="0"/>
        <w:autoSpaceDN w:val="0"/>
        <w:adjustRightInd w:val="0"/>
        <w:spacing w:after="0" w:line="240" w:lineRule="auto"/>
        <w:rPr>
          <w:rFonts w:cstheme="minorHAnsi"/>
          <w:b/>
          <w:bCs/>
        </w:rPr>
      </w:pPr>
    </w:p>
    <w:p w14:paraId="28C0D0CA" w14:textId="3A1ED9F1" w:rsidR="00001D73" w:rsidRDefault="00C1695E" w:rsidP="00EC4DB0">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6889782C" w14:textId="1A2C25C9" w:rsidR="00092566" w:rsidRPr="00A25024" w:rsidRDefault="00092566" w:rsidP="00EC4DB0">
      <w:pPr>
        <w:autoSpaceDE w:val="0"/>
        <w:autoSpaceDN w:val="0"/>
        <w:adjustRightInd w:val="0"/>
        <w:spacing w:after="0" w:line="240" w:lineRule="auto"/>
        <w:rPr>
          <w:rFonts w:cstheme="minorHAnsi"/>
          <w:bCs/>
        </w:rPr>
      </w:pPr>
    </w:p>
    <w:p w14:paraId="66B736BA" w14:textId="77777777" w:rsidR="006F0B61" w:rsidRDefault="006F0B61" w:rsidP="004767F9">
      <w:pPr>
        <w:pBdr>
          <w:top w:val="single" w:sz="4" w:space="1" w:color="auto"/>
          <w:left w:val="single" w:sz="4" w:space="4" w:color="auto"/>
          <w:bottom w:val="single" w:sz="4" w:space="1" w:color="auto"/>
          <w:right w:val="single" w:sz="4" w:space="4" w:color="auto"/>
        </w:pBdr>
        <w:spacing w:after="0" w:line="240" w:lineRule="auto"/>
      </w:pPr>
      <w:r>
        <w:t xml:space="preserve">We performed multiple analyses to assess the effect of sex and SES on model performance. These analyses are informative for future measure use, but the decision not to adjust for sex or SES in this measure was based on conceptual/clinical factors and not on the results of these statistical analyses (see 2b4.3.). </w:t>
      </w:r>
    </w:p>
    <w:p w14:paraId="1DBB6E1D" w14:textId="77777777" w:rsidR="006F0B61" w:rsidRDefault="006F0B61" w:rsidP="004767F9">
      <w:pPr>
        <w:pBdr>
          <w:top w:val="single" w:sz="4" w:space="1" w:color="auto"/>
          <w:left w:val="single" w:sz="4" w:space="4" w:color="auto"/>
          <w:bottom w:val="single" w:sz="4" w:space="1" w:color="auto"/>
          <w:right w:val="single" w:sz="4" w:space="4" w:color="auto"/>
        </w:pBdr>
        <w:spacing w:before="120" w:after="0" w:line="240" w:lineRule="auto"/>
      </w:pPr>
      <w:r>
        <w:t xml:space="preserve">To assess the effect of sex and SES on model performance, we compared deviance R-squared values with and without the variables for sex and SES included as patient-level variables in the model. We compared the correlation between measure scores with and without sex and SES included in the models, using the Spearman correlation. </w:t>
      </w:r>
    </w:p>
    <w:p w14:paraId="3A7C21A2" w14:textId="77777777" w:rsidR="006F0B61" w:rsidRDefault="006F0B61" w:rsidP="004767F9">
      <w:pPr>
        <w:pBdr>
          <w:top w:val="single" w:sz="4" w:space="1" w:color="auto"/>
          <w:left w:val="single" w:sz="4" w:space="4" w:color="auto"/>
          <w:bottom w:val="single" w:sz="4" w:space="1" w:color="auto"/>
          <w:right w:val="single" w:sz="4" w:space="4" w:color="auto"/>
        </w:pBdr>
        <w:spacing w:before="120" w:after="0" w:line="240" w:lineRule="auto"/>
      </w:pPr>
      <w:r>
        <w:t xml:space="preserve">For the SES analyses, we also assessed ACO performance among groups of ACOs caring for similar proportions of low SES patients. To do this, we categorized ACOs into quartiles (Q1 indicating ACOs with </w:t>
      </w:r>
      <w:r>
        <w:lastRenderedPageBreak/>
        <w:t xml:space="preserve">few low SES patients, Q4 indicating ACOs with many low SES patients). We used boxplots to compare the distribution of RSAARs across ACOs by low SES quartiles. </w:t>
      </w:r>
    </w:p>
    <w:p w14:paraId="25FDE617" w14:textId="77777777" w:rsidR="006F0B61" w:rsidRDefault="006F0B61" w:rsidP="004767F9">
      <w:pPr>
        <w:pBdr>
          <w:top w:val="single" w:sz="4" w:space="1" w:color="auto"/>
          <w:left w:val="single" w:sz="4" w:space="4" w:color="auto"/>
          <w:bottom w:val="single" w:sz="4" w:space="1" w:color="auto"/>
          <w:right w:val="single" w:sz="4" w:space="4" w:color="auto"/>
        </w:pBdr>
        <w:spacing w:before="100" w:beforeAutospacing="1" w:after="0" w:line="240" w:lineRule="auto"/>
      </w:pPr>
      <w:r>
        <w:t>The SES analyses were performed using both the AHRQ SES index (i.e., low SES, binary variable described above) and Medicaid dual-eligibility status as a proxy for patients’ SES status. Statistical analyses were performed using SAS version 9.3 (SAS Institute Inc., Cary, NC).</w:t>
      </w:r>
    </w:p>
    <w:p w14:paraId="2E4CCF4F"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6D810E2D" w14:textId="2112421D" w:rsidR="006F0B61" w:rsidRDefault="00121F9C" w:rsidP="004767F9">
      <w:pPr>
        <w:pBdr>
          <w:top w:val="single" w:sz="4" w:space="1" w:color="auto"/>
          <w:left w:val="single" w:sz="4" w:space="4" w:color="auto"/>
          <w:bottom w:val="single" w:sz="4" w:space="1" w:color="auto"/>
          <w:right w:val="single" w:sz="4" w:space="4" w:color="auto"/>
        </w:pBdr>
        <w:spacing w:after="0" w:line="240" w:lineRule="auto"/>
      </w:pPr>
      <w:r>
        <w:t>The results of the patient-</w:t>
      </w:r>
      <w:r w:rsidR="006F0B61">
        <w:t>level analyses indicate that adjustment for sex and for low-SES status as a patient variable in the models did not affect measure performance.</w:t>
      </w:r>
    </w:p>
    <w:p w14:paraId="0B09D767" w14:textId="77777777" w:rsidR="006F0B61" w:rsidRDefault="006F0B61" w:rsidP="004767F9">
      <w:pPr>
        <w:pBdr>
          <w:top w:val="single" w:sz="4" w:space="1" w:color="auto"/>
          <w:left w:val="single" w:sz="4" w:space="4" w:color="auto"/>
          <w:bottom w:val="single" w:sz="4" w:space="1" w:color="auto"/>
          <w:right w:val="single" w:sz="4" w:space="4" w:color="auto"/>
        </w:pBdr>
        <w:spacing w:after="0" w:line="240" w:lineRule="auto"/>
      </w:pPr>
    </w:p>
    <w:p w14:paraId="53B9D095" w14:textId="37F913AE" w:rsidR="006F0B61" w:rsidRDefault="006F0B61" w:rsidP="004767F9">
      <w:pPr>
        <w:pBdr>
          <w:top w:val="single" w:sz="4" w:space="1" w:color="auto"/>
          <w:left w:val="single" w:sz="4" w:space="4" w:color="auto"/>
          <w:bottom w:val="single" w:sz="4" w:space="1" w:color="auto"/>
          <w:right w:val="single" w:sz="4" w:space="4" w:color="auto"/>
        </w:pBdr>
        <w:spacing w:after="0" w:line="240" w:lineRule="auto"/>
      </w:pPr>
      <w:r w:rsidRPr="006F0B61">
        <w:t>Specifically, related to SES, performance scores did not change appreciably after adjusting the models for patients’ SES.  As demonstrated in the Testing Form, Section 2b4.11, the Spearman correlation comparing the ACO measure scores estimated with and without risk adjustment for the AHRQ SES Index was 0.9</w:t>
      </w:r>
      <w:r>
        <w:t>81</w:t>
      </w:r>
      <w:r w:rsidRPr="006F0B61">
        <w:t>. Similarly, the Spearman correlation for the scores estimated with and without patients’ Medicaid dual eligibility was 0.</w:t>
      </w:r>
      <w:r>
        <w:t>976.</w:t>
      </w:r>
      <w:r w:rsidRPr="006F0B61">
        <w:t xml:space="preserve"> These results demonstrate that adjusting for SES at the patient level has little effect on the measure score.</w:t>
      </w:r>
    </w:p>
    <w:p w14:paraId="3F9EB3D4" w14:textId="18477452" w:rsidR="006F0B61" w:rsidRDefault="00794C9D" w:rsidP="00EC4DB0">
      <w:pPr>
        <w:pBdr>
          <w:top w:val="single" w:sz="4" w:space="1" w:color="auto"/>
          <w:left w:val="single" w:sz="4" w:space="4" w:color="auto"/>
          <w:bottom w:val="single" w:sz="4" w:space="1" w:color="auto"/>
          <w:right w:val="single" w:sz="4" w:space="4" w:color="auto"/>
        </w:pBdr>
        <w:spacing w:after="0" w:line="240" w:lineRule="auto"/>
      </w:pPr>
      <w:r>
        <w:rPr>
          <w:noProof/>
        </w:rPr>
        <mc:AlternateContent>
          <mc:Choice Requires="wps">
            <w:drawing>
              <wp:anchor distT="0" distB="0" distL="114300" distR="114300" simplePos="0" relativeHeight="251695104" behindDoc="0" locked="0" layoutInCell="1" allowOverlap="1" wp14:anchorId="5BC92AAE" wp14:editId="22B261A0">
                <wp:simplePos x="0" y="0"/>
                <wp:positionH relativeFrom="column">
                  <wp:posOffset>2918460</wp:posOffset>
                </wp:positionH>
                <wp:positionV relativeFrom="paragraph">
                  <wp:posOffset>67183</wp:posOffset>
                </wp:positionV>
                <wp:extent cx="2981325" cy="371475"/>
                <wp:effectExtent l="0" t="0" r="9525" b="9525"/>
                <wp:wrapNone/>
                <wp:docPr id="3" name="Text Box 3"/>
                <wp:cNvGraphicFramePr/>
                <a:graphic xmlns:a="http://schemas.openxmlformats.org/drawingml/2006/main">
                  <a:graphicData uri="http://schemas.microsoft.com/office/word/2010/wordprocessingShape">
                    <wps:wsp>
                      <wps:cNvSpPr txBox="1"/>
                      <wps:spPr>
                        <a:xfrm>
                          <a:off x="0" y="0"/>
                          <a:ext cx="2981325" cy="371475"/>
                        </a:xfrm>
                        <a:prstGeom prst="rect">
                          <a:avLst/>
                        </a:prstGeom>
                        <a:solidFill>
                          <a:prstClr val="white"/>
                        </a:solidFill>
                        <a:ln>
                          <a:noFill/>
                        </a:ln>
                        <a:effectLst/>
                      </wps:spPr>
                      <wps:txbx>
                        <w:txbxContent>
                          <w:p w14:paraId="05E9820B" w14:textId="7D09EC93" w:rsidR="00351877" w:rsidRPr="009E6F64" w:rsidRDefault="00351877" w:rsidP="006F0B61">
                            <w:pPr>
                              <w:pStyle w:val="Caption"/>
                              <w:rPr>
                                <w:rFonts w:ascii="Calibri" w:eastAsia="Calibri" w:hAnsi="Calibri" w:cs="Times New Roman"/>
                                <w:noProof/>
                                <w:color w:val="auto"/>
                                <w:sz w:val="22"/>
                                <w:szCs w:val="22"/>
                              </w:rPr>
                            </w:pPr>
                            <w:bookmarkStart w:id="14" w:name="_Ref441591416"/>
                            <w:r w:rsidRPr="009E6F64">
                              <w:rPr>
                                <w:color w:val="auto"/>
                                <w:sz w:val="22"/>
                                <w:szCs w:val="22"/>
                              </w:rPr>
                              <w:t xml:space="preserve">Figure </w:t>
                            </w:r>
                            <w:r w:rsidRPr="009E6F64">
                              <w:rPr>
                                <w:color w:val="auto"/>
                                <w:sz w:val="22"/>
                                <w:szCs w:val="22"/>
                              </w:rPr>
                              <w:fldChar w:fldCharType="begin"/>
                            </w:r>
                            <w:r w:rsidRPr="009E6F64">
                              <w:rPr>
                                <w:color w:val="auto"/>
                                <w:sz w:val="22"/>
                                <w:szCs w:val="22"/>
                              </w:rPr>
                              <w:instrText xml:space="preserve"> SEQ Figure \* ARABIC </w:instrText>
                            </w:r>
                            <w:r w:rsidRPr="009E6F64">
                              <w:rPr>
                                <w:color w:val="auto"/>
                                <w:sz w:val="22"/>
                                <w:szCs w:val="22"/>
                              </w:rPr>
                              <w:fldChar w:fldCharType="separate"/>
                            </w:r>
                            <w:r>
                              <w:rPr>
                                <w:noProof/>
                                <w:color w:val="auto"/>
                                <w:sz w:val="22"/>
                                <w:szCs w:val="22"/>
                              </w:rPr>
                              <w:t>2</w:t>
                            </w:r>
                            <w:r w:rsidRPr="009E6F64">
                              <w:rPr>
                                <w:color w:val="auto"/>
                                <w:sz w:val="22"/>
                                <w:szCs w:val="22"/>
                              </w:rPr>
                              <w:fldChar w:fldCharType="end"/>
                            </w:r>
                            <w:bookmarkEnd w:id="14"/>
                            <w:r w:rsidRPr="009E6F64">
                              <w:rPr>
                                <w:color w:val="auto"/>
                                <w:sz w:val="22"/>
                                <w:szCs w:val="22"/>
                              </w:rPr>
                              <w:t>. Plot of acute</w:t>
                            </w:r>
                            <w:r>
                              <w:rPr>
                                <w:color w:val="auto"/>
                                <w:sz w:val="22"/>
                                <w:szCs w:val="22"/>
                              </w:rPr>
                              <w:t>,</w:t>
                            </w:r>
                            <w:r w:rsidRPr="009E6F64">
                              <w:rPr>
                                <w:color w:val="auto"/>
                                <w:sz w:val="22"/>
                                <w:szCs w:val="22"/>
                              </w:rPr>
                              <w:t xml:space="preserve"> unplanned admission rates with</w:t>
                            </w:r>
                            <w:r>
                              <w:rPr>
                                <w:color w:val="auto"/>
                                <w:sz w:val="22"/>
                                <w:szCs w:val="22"/>
                              </w:rPr>
                              <w:t xml:space="preserve"> and without adjustment for sex</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BC92AAE" id="_x0000_t202" coordsize="21600,21600" o:spt="202" path="m,l,21600r21600,l21600,xe">
                <v:stroke joinstyle="miter"/>
                <v:path gradientshapeok="t" o:connecttype="rect"/>
              </v:shapetype>
              <v:shape id="Text Box 3" o:spid="_x0000_s1026" type="#_x0000_t202" style="position:absolute;margin-left:229.8pt;margin-top:5.3pt;width:234.75pt;height:29.25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" stroked="f">
                <v:textbox inset="0,0,0,0">
                  <w:txbxContent>
                    <w:p w14:paraId="05E9820B" w14:textId="7D09EC93" w:rsidR="00351877" w:rsidRPr="009E6F64" w:rsidRDefault="00351877" w:rsidP="006F0B61">
                      <w:pPr>
                        <w:pStyle w:val="Caption"/>
                        <w:rPr>
                          <w:rFonts w:ascii="Calibri" w:eastAsia="Calibri" w:hAnsi="Calibri" w:cs="Times New Roman"/>
                          <w:noProof/>
                          <w:color w:val="auto"/>
                          <w:sz w:val="22"/>
                          <w:szCs w:val="22"/>
                        </w:rPr>
                      </w:pPr>
                      <w:bookmarkStart w:id="15" w:name="_Ref441591416"/>
                      <w:r w:rsidRPr="009E6F64">
                        <w:rPr>
                          <w:color w:val="auto"/>
                          <w:sz w:val="22"/>
                          <w:szCs w:val="22"/>
                        </w:rPr>
                        <w:t xml:space="preserve">Figure </w:t>
                      </w:r>
                      <w:r w:rsidRPr="009E6F64">
                        <w:rPr>
                          <w:color w:val="auto"/>
                          <w:sz w:val="22"/>
                          <w:szCs w:val="22"/>
                        </w:rPr>
                        <w:fldChar w:fldCharType="begin"/>
                      </w:r>
                      <w:r w:rsidRPr="009E6F64">
                        <w:rPr>
                          <w:color w:val="auto"/>
                          <w:sz w:val="22"/>
                          <w:szCs w:val="22"/>
                        </w:rPr>
                        <w:instrText xml:space="preserve"> SEQ Figure \* ARABIC </w:instrText>
                      </w:r>
                      <w:r w:rsidRPr="009E6F64">
                        <w:rPr>
                          <w:color w:val="auto"/>
                          <w:sz w:val="22"/>
                          <w:szCs w:val="22"/>
                        </w:rPr>
                        <w:fldChar w:fldCharType="separate"/>
                      </w:r>
                      <w:r>
                        <w:rPr>
                          <w:noProof/>
                          <w:color w:val="auto"/>
                          <w:sz w:val="22"/>
                          <w:szCs w:val="22"/>
                        </w:rPr>
                        <w:t>2</w:t>
                      </w:r>
                      <w:r w:rsidRPr="009E6F64">
                        <w:rPr>
                          <w:color w:val="auto"/>
                          <w:sz w:val="22"/>
                          <w:szCs w:val="22"/>
                        </w:rPr>
                        <w:fldChar w:fldCharType="end"/>
                      </w:r>
                      <w:bookmarkEnd w:id="15"/>
                      <w:r w:rsidRPr="009E6F64">
                        <w:rPr>
                          <w:color w:val="auto"/>
                          <w:sz w:val="22"/>
                          <w:szCs w:val="22"/>
                        </w:rPr>
                        <w:t>. Plot of acute</w:t>
                      </w:r>
                      <w:r>
                        <w:rPr>
                          <w:color w:val="auto"/>
                          <w:sz w:val="22"/>
                          <w:szCs w:val="22"/>
                        </w:rPr>
                        <w:t>,</w:t>
                      </w:r>
                      <w:r w:rsidRPr="009E6F64">
                        <w:rPr>
                          <w:color w:val="auto"/>
                          <w:sz w:val="22"/>
                          <w:szCs w:val="22"/>
                        </w:rPr>
                        <w:t xml:space="preserve"> unplanned admission rates with</w:t>
                      </w:r>
                      <w:r>
                        <w:rPr>
                          <w:color w:val="auto"/>
                          <w:sz w:val="22"/>
                          <w:szCs w:val="22"/>
                        </w:rPr>
                        <w:t xml:space="preserve"> and without adjustment for sex</w:t>
                      </w:r>
                    </w:p>
                  </w:txbxContent>
                </v:textbox>
              </v:shape>
            </w:pict>
          </mc:Fallback>
        </mc:AlternateContent>
      </w:r>
      <w:r w:rsidRPr="003B4B1C">
        <w:rPr>
          <w:rFonts w:eastAsia="Calibri"/>
          <w:noProof/>
          <w:u w:val="single"/>
        </w:rPr>
        <mc:AlternateContent>
          <mc:Choice Requires="wps">
            <w:drawing>
              <wp:anchor distT="0" distB="0" distL="114300" distR="114300" simplePos="0" relativeHeight="251693056" behindDoc="0" locked="0" layoutInCell="1" allowOverlap="1" wp14:anchorId="766BF22E" wp14:editId="084633C7">
                <wp:simplePos x="0" y="0"/>
                <wp:positionH relativeFrom="margin">
                  <wp:align>left</wp:align>
                </wp:positionH>
                <wp:positionV relativeFrom="paragraph">
                  <wp:posOffset>59817</wp:posOffset>
                </wp:positionV>
                <wp:extent cx="2901950" cy="287782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1950" cy="2877820"/>
                        </a:xfrm>
                        <a:prstGeom prst="rect">
                          <a:avLst/>
                        </a:prstGeom>
                        <a:solidFill>
                          <a:srgbClr val="FFFFFF"/>
                        </a:solidFill>
                        <a:ln w="9525">
                          <a:noFill/>
                          <a:miter lim="800000"/>
                          <a:headEnd/>
                          <a:tailEnd/>
                        </a:ln>
                      </wps:spPr>
                      <wps:txbx>
                        <w:txbxContent>
                          <w:p w14:paraId="429BCB1F" w14:textId="77777777" w:rsidR="00351877" w:rsidRPr="003B4B1C" w:rsidRDefault="00351877" w:rsidP="00794C9D">
                            <w:pPr>
                              <w:spacing w:after="0" w:line="240" w:lineRule="auto"/>
                              <w:rPr>
                                <w:u w:val="single"/>
                              </w:rPr>
                            </w:pPr>
                            <w:r w:rsidRPr="003B4B1C">
                              <w:rPr>
                                <w:u w:val="single"/>
                              </w:rPr>
                              <w:t>Sex</w:t>
                            </w:r>
                          </w:p>
                          <w:p w14:paraId="6DCC3E2C" w14:textId="7BFB0B3B" w:rsidR="00351877" w:rsidRPr="003B4B1C" w:rsidRDefault="00351877" w:rsidP="004767F9">
                            <w:pPr>
                              <w:spacing w:line="240" w:lineRule="auto"/>
                            </w:pPr>
                            <w:r>
                              <w:t>The deviance R-</w:t>
                            </w:r>
                            <w:r w:rsidRPr="003B4B1C">
                              <w:t>squared</w:t>
                            </w:r>
                            <w:r>
                              <w:t xml:space="preserve"> values</w:t>
                            </w:r>
                            <w:r w:rsidRPr="003B4B1C">
                              <w:t xml:space="preserve"> for the two models, one adjusted for the 23 clinical variables </w:t>
                            </w:r>
                            <w:r w:rsidRPr="00F24E7B">
                              <w:rPr>
                                <w:i/>
                              </w:rPr>
                              <w:t>and</w:t>
                            </w:r>
                            <w:r w:rsidRPr="000C1440">
                              <w:t xml:space="preserve"> </w:t>
                            </w:r>
                            <w:r w:rsidRPr="003B4B1C">
                              <w:t xml:space="preserve">sex, and one adjusted for the 23 clinical variables </w:t>
                            </w:r>
                            <w:r w:rsidRPr="00F24E7B">
                              <w:rPr>
                                <w:i/>
                              </w:rPr>
                              <w:t>with</w:t>
                            </w:r>
                            <w:r w:rsidRPr="00F24E7B">
                              <w:t>out</w:t>
                            </w:r>
                            <w:r w:rsidRPr="000C1440">
                              <w:t xml:space="preserve"> </w:t>
                            </w:r>
                            <w:r>
                              <w:t>sex, were</w:t>
                            </w:r>
                            <w:r w:rsidRPr="003B4B1C">
                              <w:t xml:space="preserve"> 0.21</w:t>
                            </w:r>
                            <w:r>
                              <w:t>8</w:t>
                            </w:r>
                            <w:r w:rsidRPr="003B4B1C">
                              <w:t xml:space="preserve"> and 0.217, respectively, meaning adjustment for sex explained the same amount of variation and did not result in incremental benefit. Comparing the RSAAR with and without sex included in the model resulted in a high degree of correlation (Spearman correlation = 0.999), meaning ACOs performed the same with and without risk adjustment for sex.</w:t>
                            </w:r>
                            <w:r>
                              <w:t xml:space="preserve"> (</w:t>
                            </w:r>
                            <w:r>
                              <w:fldChar w:fldCharType="begin"/>
                            </w:r>
                            <w:r>
                              <w:instrText xml:space="preserve"> REF _Ref441591416 \h  \* MERGEFORMAT </w:instrText>
                            </w:r>
                            <w:r>
                              <w:fldChar w:fldCharType="separate"/>
                            </w:r>
                            <w:r w:rsidRPr="009E6F64">
                              <w:t xml:space="preserve">Figure </w:t>
                            </w:r>
                            <w:r>
                              <w:rPr>
                                <w:noProof/>
                              </w:rPr>
                              <w:t>2</w:t>
                            </w:r>
                            <w:r>
                              <w:fldChar w:fldCharType="end"/>
                            </w:r>
                            <w:r>
                              <w:t>)</w:t>
                            </w:r>
                          </w:p>
                          <w:p w14:paraId="4F7A1CFD" w14:textId="77777777" w:rsidR="00351877" w:rsidRDefault="00351877" w:rsidP="00794C9D">
                            <w:pPr>
                              <w:spacing w:line="240" w:lineRule="auto"/>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6BF22E" id="Text Box 2" o:spid="_x0000_s1027" type="#_x0000_t202" style="position:absolute;margin-left:0;margin-top:4.7pt;width:228.5pt;height:226.6pt;z-index:2516930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" stroked="f">
                <v:textbox>
                  <w:txbxContent>
                    <w:p w14:paraId="429BCB1F" w14:textId="77777777" w:rsidR="00351877" w:rsidRPr="003B4B1C" w:rsidRDefault="00351877" w:rsidP="00794C9D">
                      <w:pPr>
                        <w:spacing w:after="0" w:line="240" w:lineRule="auto"/>
                        <w:rPr>
                          <w:u w:val="single"/>
                        </w:rPr>
                      </w:pPr>
                      <w:r w:rsidRPr="003B4B1C">
                        <w:rPr>
                          <w:u w:val="single"/>
                        </w:rPr>
                        <w:t>Sex</w:t>
                      </w:r>
                    </w:p>
                    <w:p w14:paraId="6DCC3E2C" w14:textId="7BFB0B3B" w:rsidR="00351877" w:rsidRPr="003B4B1C" w:rsidRDefault="00351877" w:rsidP="004767F9">
                      <w:pPr>
                        <w:spacing w:line="240" w:lineRule="auto"/>
                      </w:pPr>
                      <w:r>
                        <w:t>The deviance R-</w:t>
                      </w:r>
                      <w:r w:rsidRPr="003B4B1C">
                        <w:t>squared</w:t>
                      </w:r>
                      <w:r>
                        <w:t xml:space="preserve"> values</w:t>
                      </w:r>
                      <w:r w:rsidRPr="003B4B1C">
                        <w:t xml:space="preserve"> for the two models, one adjusted for the 23 clinical variables </w:t>
                      </w:r>
                      <w:r w:rsidRPr="00F24E7B">
                        <w:rPr>
                          <w:i/>
                        </w:rPr>
                        <w:t>and</w:t>
                      </w:r>
                      <w:r w:rsidRPr="000C1440">
                        <w:t xml:space="preserve"> </w:t>
                      </w:r>
                      <w:r w:rsidRPr="003B4B1C">
                        <w:t xml:space="preserve">sex, and one adjusted for the 23 clinical variables </w:t>
                      </w:r>
                      <w:r w:rsidRPr="00F24E7B">
                        <w:rPr>
                          <w:i/>
                        </w:rPr>
                        <w:t>with</w:t>
                      </w:r>
                      <w:r w:rsidRPr="00F24E7B">
                        <w:t>out</w:t>
                      </w:r>
                      <w:r w:rsidRPr="000C1440">
                        <w:t xml:space="preserve"> </w:t>
                      </w:r>
                      <w:r>
                        <w:t>sex, were</w:t>
                      </w:r>
                      <w:r w:rsidRPr="003B4B1C">
                        <w:t xml:space="preserve"> 0.21</w:t>
                      </w:r>
                      <w:r>
                        <w:t>8</w:t>
                      </w:r>
                      <w:r w:rsidRPr="003B4B1C">
                        <w:t xml:space="preserve"> and 0.217, respectively, meaning adjustment for sex explained the same amount of variation and did not result in incremental benefit. Comparing the RSAAR with and without sex included in the model resulted in a high degree of correlation (Spearman correlation = 0.999), meaning ACOs performed the same with and without risk adjustment for sex.</w:t>
                      </w:r>
                      <w:r>
                        <w:t xml:space="preserve"> (</w:t>
                      </w:r>
                      <w:r>
                        <w:fldChar w:fldCharType="begin"/>
                      </w:r>
                      <w:r>
                        <w:instrText xml:space="preserve"> REF _Ref441591416 \h  \* MERGEFORMAT </w:instrText>
                      </w:r>
                      <w:r>
                        <w:fldChar w:fldCharType="separate"/>
                      </w:r>
                      <w:r w:rsidRPr="009E6F64">
                        <w:t xml:space="preserve">Figure </w:t>
                      </w:r>
                      <w:r>
                        <w:rPr>
                          <w:noProof/>
                        </w:rPr>
                        <w:t>2</w:t>
                      </w:r>
                      <w:r>
                        <w:fldChar w:fldCharType="end"/>
                      </w:r>
                      <w:r>
                        <w:t>)</w:t>
                      </w:r>
                    </w:p>
                    <w:p w14:paraId="4F7A1CFD" w14:textId="77777777" w:rsidR="00351877" w:rsidRDefault="00351877" w:rsidP="00794C9D">
                      <w:pPr>
                        <w:spacing w:line="240" w:lineRule="auto"/>
                      </w:pPr>
                    </w:p>
                  </w:txbxContent>
                </v:textbox>
                <w10:wrap anchorx="margin"/>
              </v:shape>
            </w:pict>
          </mc:Fallback>
        </mc:AlternateContent>
      </w:r>
    </w:p>
    <w:p w14:paraId="46659898" w14:textId="6220DAEB"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3B334B48" w14:textId="13624EF8" w:rsidR="006F0B61" w:rsidRDefault="00794C9D" w:rsidP="00EC4DB0">
      <w:pPr>
        <w:pBdr>
          <w:top w:val="single" w:sz="4" w:space="1" w:color="auto"/>
          <w:left w:val="single" w:sz="4" w:space="4" w:color="auto"/>
          <w:bottom w:val="single" w:sz="4" w:space="1" w:color="auto"/>
          <w:right w:val="single" w:sz="4" w:space="4" w:color="auto"/>
        </w:pBdr>
        <w:spacing w:after="0" w:line="240" w:lineRule="auto"/>
      </w:pPr>
      <w:r w:rsidRPr="007E26F0">
        <w:rPr>
          <w:rFonts w:ascii="Calibri" w:eastAsia="Calibri" w:hAnsi="Calibri" w:cs="Times New Roman"/>
          <w:b/>
          <w:noProof/>
        </w:rPr>
        <w:drawing>
          <wp:anchor distT="0" distB="0" distL="114300" distR="114300" simplePos="0" relativeHeight="251697152" behindDoc="0" locked="0" layoutInCell="1" allowOverlap="1" wp14:anchorId="4E942C1B" wp14:editId="4C5F4CF9">
            <wp:simplePos x="0" y="0"/>
            <wp:positionH relativeFrom="margin">
              <wp:posOffset>2886354</wp:posOffset>
            </wp:positionH>
            <wp:positionV relativeFrom="paragraph">
              <wp:posOffset>56515</wp:posOffset>
            </wp:positionV>
            <wp:extent cx="2980690" cy="298069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x_sensitivity1.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80690" cy="2980690"/>
                    </a:xfrm>
                    <a:prstGeom prst="rect">
                      <a:avLst/>
                    </a:prstGeom>
                  </pic:spPr>
                </pic:pic>
              </a:graphicData>
            </a:graphic>
            <wp14:sizeRelH relativeFrom="page">
              <wp14:pctWidth>0</wp14:pctWidth>
            </wp14:sizeRelH>
            <wp14:sizeRelV relativeFrom="page">
              <wp14:pctHeight>0</wp14:pctHeight>
            </wp14:sizeRelV>
          </wp:anchor>
        </w:drawing>
      </w:r>
    </w:p>
    <w:p w14:paraId="1C6B1E43" w14:textId="686F5D7C"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5474B02E" w14:textId="447B4A13"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1B97A543" w14:textId="290EDC8A"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23ABB8EF"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0DE26824" w14:textId="18999E13"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41C1F336" w14:textId="5CF0B1B4"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489C390E"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2C45B125"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08A990DE"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6C273F81"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38BC342C"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272A3CA6"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1A657CC8" w14:textId="674D50C9"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4270BB47"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79CD7C97"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5B3198FA"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18C68CDC" w14:textId="7E6DD863"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141685D4" w14:textId="58A8AD5C"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6781ED80" w14:textId="055AF422"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7E81350B" w14:textId="473CB50B"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7DDB104B" w14:textId="77777777" w:rsidR="009D6991" w:rsidRDefault="009D6991" w:rsidP="00EC4DB0">
      <w:pPr>
        <w:pBdr>
          <w:top w:val="single" w:sz="4" w:space="1" w:color="auto"/>
          <w:left w:val="single" w:sz="4" w:space="4" w:color="auto"/>
          <w:bottom w:val="single" w:sz="4" w:space="1" w:color="auto"/>
          <w:right w:val="single" w:sz="4" w:space="4" w:color="auto"/>
        </w:pBdr>
        <w:spacing w:after="0" w:line="240" w:lineRule="auto"/>
      </w:pPr>
    </w:p>
    <w:p w14:paraId="580D0D4C" w14:textId="77777777" w:rsidR="009D6991" w:rsidRDefault="009D6991" w:rsidP="00EC4DB0">
      <w:pPr>
        <w:pBdr>
          <w:top w:val="single" w:sz="4" w:space="1" w:color="auto"/>
          <w:left w:val="single" w:sz="4" w:space="4" w:color="auto"/>
          <w:bottom w:val="single" w:sz="4" w:space="1" w:color="auto"/>
          <w:right w:val="single" w:sz="4" w:space="4" w:color="auto"/>
        </w:pBdr>
        <w:spacing w:after="0" w:line="240" w:lineRule="auto"/>
      </w:pPr>
    </w:p>
    <w:p w14:paraId="07C406C9" w14:textId="77777777" w:rsidR="009D6991" w:rsidRDefault="009D6991" w:rsidP="00EC4DB0">
      <w:pPr>
        <w:pBdr>
          <w:top w:val="single" w:sz="4" w:space="1" w:color="auto"/>
          <w:left w:val="single" w:sz="4" w:space="4" w:color="auto"/>
          <w:bottom w:val="single" w:sz="4" w:space="1" w:color="auto"/>
          <w:right w:val="single" w:sz="4" w:space="4" w:color="auto"/>
        </w:pBdr>
        <w:spacing w:after="0" w:line="240" w:lineRule="auto"/>
      </w:pPr>
    </w:p>
    <w:p w14:paraId="06450F43" w14:textId="77777777" w:rsidR="009D6991" w:rsidRDefault="009D6991" w:rsidP="00EC4DB0">
      <w:pPr>
        <w:pBdr>
          <w:top w:val="single" w:sz="4" w:space="1" w:color="auto"/>
          <w:left w:val="single" w:sz="4" w:space="4" w:color="auto"/>
          <w:bottom w:val="single" w:sz="4" w:space="1" w:color="auto"/>
          <w:right w:val="single" w:sz="4" w:space="4" w:color="auto"/>
        </w:pBdr>
        <w:spacing w:after="0" w:line="240" w:lineRule="auto"/>
      </w:pPr>
    </w:p>
    <w:p w14:paraId="22672055" w14:textId="77777777" w:rsidR="009D6991" w:rsidRDefault="009D6991" w:rsidP="00EC4DB0">
      <w:pPr>
        <w:pBdr>
          <w:top w:val="single" w:sz="4" w:space="1" w:color="auto"/>
          <w:left w:val="single" w:sz="4" w:space="4" w:color="auto"/>
          <w:bottom w:val="single" w:sz="4" w:space="1" w:color="auto"/>
          <w:right w:val="single" w:sz="4" w:space="4" w:color="auto"/>
        </w:pBdr>
        <w:spacing w:after="0" w:line="240" w:lineRule="auto"/>
      </w:pPr>
    </w:p>
    <w:p w14:paraId="6950300C" w14:textId="77777777" w:rsidR="009D6991" w:rsidRDefault="009D6991" w:rsidP="00EC4DB0">
      <w:pPr>
        <w:pBdr>
          <w:top w:val="single" w:sz="4" w:space="1" w:color="auto"/>
          <w:left w:val="single" w:sz="4" w:space="4" w:color="auto"/>
          <w:bottom w:val="single" w:sz="4" w:space="1" w:color="auto"/>
          <w:right w:val="single" w:sz="4" w:space="4" w:color="auto"/>
        </w:pBdr>
        <w:spacing w:after="0" w:line="240" w:lineRule="auto"/>
      </w:pPr>
    </w:p>
    <w:p w14:paraId="44502E07" w14:textId="77777777" w:rsidR="009D6991" w:rsidRDefault="009D6991" w:rsidP="00EC4DB0">
      <w:pPr>
        <w:pBdr>
          <w:top w:val="single" w:sz="4" w:space="1" w:color="auto"/>
          <w:left w:val="single" w:sz="4" w:space="4" w:color="auto"/>
          <w:bottom w:val="single" w:sz="4" w:space="1" w:color="auto"/>
          <w:right w:val="single" w:sz="4" w:space="4" w:color="auto"/>
        </w:pBdr>
        <w:spacing w:after="0" w:line="240" w:lineRule="auto"/>
      </w:pPr>
    </w:p>
    <w:p w14:paraId="3DDCD644" w14:textId="68CFBF44"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5C14BE80" w14:textId="6BFA056F"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22DD1F80" w14:textId="1033C9C3"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229EEAC5" w14:textId="5FDE8883" w:rsidR="006F0B61" w:rsidRDefault="004767F9" w:rsidP="00EC4DB0">
      <w:pPr>
        <w:pBdr>
          <w:top w:val="single" w:sz="4" w:space="1" w:color="auto"/>
          <w:left w:val="single" w:sz="4" w:space="4" w:color="auto"/>
          <w:bottom w:val="single" w:sz="4" w:space="1" w:color="auto"/>
          <w:right w:val="single" w:sz="4" w:space="4" w:color="auto"/>
        </w:pBdr>
        <w:spacing w:after="0" w:line="240" w:lineRule="auto"/>
      </w:pPr>
      <w:r w:rsidRPr="003B4B1C">
        <w:rPr>
          <w:rFonts w:eastAsia="Calibri"/>
          <w:noProof/>
          <w:u w:val="single"/>
        </w:rPr>
        <mc:AlternateContent>
          <mc:Choice Requires="wps">
            <w:drawing>
              <wp:anchor distT="0" distB="0" distL="114300" distR="114300" simplePos="0" relativeHeight="251699200" behindDoc="0" locked="0" layoutInCell="1" allowOverlap="1" wp14:anchorId="5AECA5BA" wp14:editId="7A337D27">
                <wp:simplePos x="0" y="0"/>
                <wp:positionH relativeFrom="margin">
                  <wp:posOffset>-35560</wp:posOffset>
                </wp:positionH>
                <wp:positionV relativeFrom="paragraph">
                  <wp:posOffset>24130</wp:posOffset>
                </wp:positionV>
                <wp:extent cx="2917825" cy="3617595"/>
                <wp:effectExtent l="0" t="0" r="0" b="190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7825" cy="3617595"/>
                        </a:xfrm>
                        <a:prstGeom prst="rect">
                          <a:avLst/>
                        </a:prstGeom>
                        <a:solidFill>
                          <a:srgbClr val="FFFFFF"/>
                        </a:solidFill>
                        <a:ln w="9525">
                          <a:noFill/>
                          <a:miter lim="800000"/>
                          <a:headEnd/>
                          <a:tailEnd/>
                        </a:ln>
                      </wps:spPr>
                      <wps:txbx>
                        <w:txbxContent>
                          <w:p w14:paraId="365F77A3" w14:textId="77777777" w:rsidR="00351877" w:rsidRPr="003B4B1C" w:rsidRDefault="00351877" w:rsidP="00794C9D">
                            <w:pPr>
                              <w:spacing w:after="0" w:line="240" w:lineRule="auto"/>
                              <w:rPr>
                                <w:u w:val="single"/>
                              </w:rPr>
                            </w:pPr>
                            <w:r w:rsidRPr="003B4B1C">
                              <w:rPr>
                                <w:u w:val="single"/>
                              </w:rPr>
                              <w:t xml:space="preserve">AHRQ SES Index </w:t>
                            </w:r>
                          </w:p>
                          <w:p w14:paraId="077D7C10" w14:textId="6333B4FC" w:rsidR="00351877" w:rsidRPr="003B4B1C" w:rsidRDefault="00351877" w:rsidP="00794C9D">
                            <w:pPr>
                              <w:spacing w:line="240" w:lineRule="auto"/>
                            </w:pPr>
                            <w:r w:rsidRPr="003B4B1C">
                              <w:t>The deviance R</w:t>
                            </w:r>
                            <w:r>
                              <w:t>-</w:t>
                            </w:r>
                            <w:r w:rsidRPr="003B4B1C">
                              <w:t>squared</w:t>
                            </w:r>
                            <w:r>
                              <w:t xml:space="preserve"> values</w:t>
                            </w:r>
                            <w:r w:rsidRPr="003B4B1C">
                              <w:t xml:space="preserve"> for the two models – one adjusted for the 23 clinical variables </w:t>
                            </w:r>
                            <w:r w:rsidRPr="00F24E7B">
                              <w:rPr>
                                <w:i/>
                              </w:rPr>
                              <w:t>and</w:t>
                            </w:r>
                            <w:r w:rsidRPr="000C1440">
                              <w:t xml:space="preserve"> </w:t>
                            </w:r>
                            <w:r>
                              <w:t>l</w:t>
                            </w:r>
                            <w:r w:rsidRPr="003B4B1C">
                              <w:t xml:space="preserve">ow SES, and one adjusted for the 23 clinical variables </w:t>
                            </w:r>
                            <w:r w:rsidRPr="00F24E7B">
                              <w:rPr>
                                <w:i/>
                              </w:rPr>
                              <w:t>without</w:t>
                            </w:r>
                            <w:r w:rsidRPr="000C1440">
                              <w:t xml:space="preserve"> </w:t>
                            </w:r>
                            <w:r w:rsidRPr="003B4B1C">
                              <w:t xml:space="preserve">adjusting for </w:t>
                            </w:r>
                            <w:r>
                              <w:t>l</w:t>
                            </w:r>
                            <w:r w:rsidRPr="003B4B1C">
                              <w:t xml:space="preserve">ow SES – were 0.218 and 0.217, respectively, meaning adjustment for </w:t>
                            </w:r>
                            <w:r>
                              <w:t>l</w:t>
                            </w:r>
                            <w:r w:rsidRPr="003B4B1C">
                              <w:t xml:space="preserve">ow SES explained the same variation and did not provide incremental benefit. Comparing the RSAAR with and without </w:t>
                            </w:r>
                            <w:r>
                              <w:t>l</w:t>
                            </w:r>
                            <w:r w:rsidRPr="003B4B1C">
                              <w:t xml:space="preserve">ow SES included in the model resulted in a high degree of correlation (Spearman correlation = 0.981). The graph demonstrates that, compared with </w:t>
                            </w:r>
                            <w:r w:rsidRPr="00F24E7B">
                              <w:rPr>
                                <w:i/>
                              </w:rPr>
                              <w:t>not</w:t>
                            </w:r>
                            <w:r w:rsidRPr="000C1440">
                              <w:t xml:space="preserve"> adjusting</w:t>
                            </w:r>
                            <w:r w:rsidRPr="003B4B1C">
                              <w:t xml:space="preserve"> for </w:t>
                            </w:r>
                            <w:r>
                              <w:t>l</w:t>
                            </w:r>
                            <w:r w:rsidRPr="003B4B1C">
                              <w:t xml:space="preserve">ow SES, adjusting for </w:t>
                            </w:r>
                            <w:r>
                              <w:t>l</w:t>
                            </w:r>
                            <w:r w:rsidRPr="003B4B1C">
                              <w:t xml:space="preserve">ow SES results in some ACOs having slightly lower RSAAR scores (below the line) and other ACOs having higher </w:t>
                            </w:r>
                            <w:r w:rsidR="00F87294">
                              <w:t xml:space="preserve">RSAAR scores (above the line). </w:t>
                            </w:r>
                            <w:r>
                              <w:t>(</w:t>
                            </w:r>
                            <w:r>
                              <w:fldChar w:fldCharType="begin"/>
                            </w:r>
                            <w:r>
                              <w:instrText xml:space="preserve"> REF _Ref399762774 \h  \* MERGEFORMAT </w:instrText>
                            </w:r>
                            <w:r>
                              <w:fldChar w:fldCharType="separate"/>
                            </w:r>
                            <w:r w:rsidRPr="009E6F64">
                              <w:t xml:space="preserve">Figure </w:t>
                            </w:r>
                            <w:r>
                              <w:rPr>
                                <w:noProof/>
                              </w:rPr>
                              <w:t>3</w:t>
                            </w:r>
                            <w:r>
                              <w:fldChar w:fldCharType="end"/>
                            </w:r>
                            <w:r>
                              <w:t>)</w:t>
                            </w:r>
                          </w:p>
                          <w:p w14:paraId="740D2F1A" w14:textId="77777777" w:rsidR="00351877" w:rsidRDefault="00351877" w:rsidP="00794C9D">
                            <w:pPr>
                              <w:spacing w:line="240" w:lineRule="auto"/>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ECA5BA" id="_x0000_s1028" type="#_x0000_t202" style="position:absolute;margin-left:-2.8pt;margin-top:1.9pt;width:229.75pt;height:284.85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" stroked="f">
                <v:textbox>
                  <w:txbxContent>
                    <w:p w14:paraId="365F77A3" w14:textId="77777777" w:rsidR="00351877" w:rsidRPr="003B4B1C" w:rsidRDefault="00351877" w:rsidP="00794C9D">
                      <w:pPr>
                        <w:spacing w:after="0" w:line="240" w:lineRule="auto"/>
                        <w:rPr>
                          <w:u w:val="single"/>
                        </w:rPr>
                      </w:pPr>
                      <w:r w:rsidRPr="003B4B1C">
                        <w:rPr>
                          <w:u w:val="single"/>
                        </w:rPr>
                        <w:t xml:space="preserve">AHRQ SES Index </w:t>
                      </w:r>
                    </w:p>
                    <w:p w14:paraId="077D7C10" w14:textId="6333B4FC" w:rsidR="00351877" w:rsidRPr="003B4B1C" w:rsidRDefault="00351877" w:rsidP="00794C9D">
                      <w:pPr>
                        <w:spacing w:line="240" w:lineRule="auto"/>
                      </w:pPr>
                      <w:r w:rsidRPr="003B4B1C">
                        <w:t>The deviance R</w:t>
                      </w:r>
                      <w:r>
                        <w:t>-</w:t>
                      </w:r>
                      <w:r w:rsidRPr="003B4B1C">
                        <w:t>squared</w:t>
                      </w:r>
                      <w:r>
                        <w:t xml:space="preserve"> values</w:t>
                      </w:r>
                      <w:r w:rsidRPr="003B4B1C">
                        <w:t xml:space="preserve"> for the two models – one adjusted for the 23 clinical variables </w:t>
                      </w:r>
                      <w:r w:rsidRPr="00F24E7B">
                        <w:rPr>
                          <w:i/>
                        </w:rPr>
                        <w:t>and</w:t>
                      </w:r>
                      <w:r w:rsidRPr="000C1440">
                        <w:t xml:space="preserve"> </w:t>
                      </w:r>
                      <w:r>
                        <w:t>l</w:t>
                      </w:r>
                      <w:r w:rsidRPr="003B4B1C">
                        <w:t xml:space="preserve">ow SES, and one adjusted for the 23 clinical variables </w:t>
                      </w:r>
                      <w:r w:rsidRPr="00F24E7B">
                        <w:rPr>
                          <w:i/>
                        </w:rPr>
                        <w:t>without</w:t>
                      </w:r>
                      <w:r w:rsidRPr="000C1440">
                        <w:t xml:space="preserve"> </w:t>
                      </w:r>
                      <w:r w:rsidRPr="003B4B1C">
                        <w:t xml:space="preserve">adjusting for </w:t>
                      </w:r>
                      <w:r>
                        <w:t>l</w:t>
                      </w:r>
                      <w:r w:rsidRPr="003B4B1C">
                        <w:t xml:space="preserve">ow SES – were 0.218 and 0.217, respectively, meaning adjustment for </w:t>
                      </w:r>
                      <w:r>
                        <w:t>l</w:t>
                      </w:r>
                      <w:r w:rsidRPr="003B4B1C">
                        <w:t xml:space="preserve">ow SES explained the same variation and did not provide incremental benefit. Comparing the RSAAR with and without </w:t>
                      </w:r>
                      <w:r>
                        <w:t>l</w:t>
                      </w:r>
                      <w:r w:rsidRPr="003B4B1C">
                        <w:t xml:space="preserve">ow SES included in the model resulted in a high degree of correlation (Spearman correlation = 0.981). The graph demonstrates that, compared with </w:t>
                      </w:r>
                      <w:r w:rsidRPr="00F24E7B">
                        <w:rPr>
                          <w:i/>
                        </w:rPr>
                        <w:t>not</w:t>
                      </w:r>
                      <w:r w:rsidRPr="000C1440">
                        <w:t xml:space="preserve"> adjusting</w:t>
                      </w:r>
                      <w:r w:rsidRPr="003B4B1C">
                        <w:t xml:space="preserve"> for </w:t>
                      </w:r>
                      <w:r>
                        <w:t>l</w:t>
                      </w:r>
                      <w:r w:rsidRPr="003B4B1C">
                        <w:t xml:space="preserve">ow SES, adjusting for </w:t>
                      </w:r>
                      <w:r>
                        <w:t>l</w:t>
                      </w:r>
                      <w:r w:rsidRPr="003B4B1C">
                        <w:t xml:space="preserve">ow SES results in some ACOs having slightly lower RSAAR scores (below the line) and other ACOs having higher </w:t>
                      </w:r>
                      <w:r w:rsidR="00F87294">
                        <w:t xml:space="preserve">RSAAR scores (above the line). </w:t>
                      </w:r>
                      <w:r>
                        <w:t>(</w:t>
                      </w:r>
                      <w:r>
                        <w:fldChar w:fldCharType="begin"/>
                      </w:r>
                      <w:r>
                        <w:instrText xml:space="preserve"> REF _Ref399762774 \h  \* MERGEFORMAT </w:instrText>
                      </w:r>
                      <w:r>
                        <w:fldChar w:fldCharType="separate"/>
                      </w:r>
                      <w:r w:rsidRPr="009E6F64">
                        <w:t xml:space="preserve">Figure </w:t>
                      </w:r>
                      <w:r>
                        <w:rPr>
                          <w:noProof/>
                        </w:rPr>
                        <w:t>3</w:t>
                      </w:r>
                      <w:r>
                        <w:fldChar w:fldCharType="end"/>
                      </w:r>
                      <w:r>
                        <w:t>)</w:t>
                      </w:r>
                    </w:p>
                    <w:p w14:paraId="740D2F1A" w14:textId="77777777" w:rsidR="00351877" w:rsidRDefault="00351877" w:rsidP="00794C9D">
                      <w:pPr>
                        <w:spacing w:line="240" w:lineRule="auto"/>
                      </w:pPr>
                    </w:p>
                  </w:txbxContent>
                </v:textbox>
                <w10:wrap anchorx="margin"/>
              </v:shape>
            </w:pict>
          </mc:Fallback>
        </mc:AlternateContent>
      </w:r>
      <w:r>
        <w:rPr>
          <w:noProof/>
        </w:rPr>
        <mc:AlternateContent>
          <mc:Choice Requires="wps">
            <w:drawing>
              <wp:anchor distT="0" distB="0" distL="114300" distR="114300" simplePos="0" relativeHeight="251702272" behindDoc="0" locked="0" layoutInCell="1" allowOverlap="1" wp14:anchorId="2C008153" wp14:editId="052D5E26">
                <wp:simplePos x="0" y="0"/>
                <wp:positionH relativeFrom="column">
                  <wp:posOffset>2915920</wp:posOffset>
                </wp:positionH>
                <wp:positionV relativeFrom="paragraph">
                  <wp:posOffset>6985</wp:posOffset>
                </wp:positionV>
                <wp:extent cx="2876550" cy="523875"/>
                <wp:effectExtent l="0" t="0" r="0" b="9525"/>
                <wp:wrapNone/>
                <wp:docPr id="2" name="Text Box 2"/>
                <wp:cNvGraphicFramePr/>
                <a:graphic xmlns:a="http://schemas.openxmlformats.org/drawingml/2006/main">
                  <a:graphicData uri="http://schemas.microsoft.com/office/word/2010/wordprocessingShape">
                    <wps:wsp>
                      <wps:cNvSpPr txBox="1"/>
                      <wps:spPr>
                        <a:xfrm>
                          <a:off x="0" y="0"/>
                          <a:ext cx="2876550" cy="523875"/>
                        </a:xfrm>
                        <a:prstGeom prst="rect">
                          <a:avLst/>
                        </a:prstGeom>
                        <a:solidFill>
                          <a:prstClr val="white"/>
                        </a:solidFill>
                        <a:ln>
                          <a:noFill/>
                        </a:ln>
                        <a:effectLst/>
                      </wps:spPr>
                      <wps:txbx>
                        <w:txbxContent>
                          <w:p w14:paraId="5AFD15AD" w14:textId="5A598FE7" w:rsidR="00351877" w:rsidRPr="009E6F64" w:rsidRDefault="00351877" w:rsidP="006F0B61">
                            <w:pPr>
                              <w:pStyle w:val="Caption"/>
                              <w:rPr>
                                <w:rFonts w:ascii="Calibri" w:eastAsia="Calibri" w:hAnsi="Calibri" w:cs="Times New Roman"/>
                                <w:noProof/>
                                <w:color w:val="auto"/>
                                <w:sz w:val="22"/>
                                <w:szCs w:val="22"/>
                              </w:rPr>
                            </w:pPr>
                            <w:bookmarkStart w:id="16" w:name="_Ref399762774"/>
                            <w:r w:rsidRPr="009E6F64">
                              <w:rPr>
                                <w:color w:val="auto"/>
                                <w:sz w:val="22"/>
                                <w:szCs w:val="22"/>
                              </w:rPr>
                              <w:t xml:space="preserve">Figure </w:t>
                            </w:r>
                            <w:r w:rsidRPr="009E6F64">
                              <w:rPr>
                                <w:color w:val="auto"/>
                                <w:sz w:val="22"/>
                                <w:szCs w:val="22"/>
                              </w:rPr>
                              <w:fldChar w:fldCharType="begin"/>
                            </w:r>
                            <w:r w:rsidRPr="009E6F64">
                              <w:rPr>
                                <w:color w:val="auto"/>
                                <w:sz w:val="22"/>
                                <w:szCs w:val="22"/>
                              </w:rPr>
                              <w:instrText xml:space="preserve"> SEQ Figure \* ARABIC </w:instrText>
                            </w:r>
                            <w:r w:rsidRPr="009E6F64">
                              <w:rPr>
                                <w:color w:val="auto"/>
                                <w:sz w:val="22"/>
                                <w:szCs w:val="22"/>
                              </w:rPr>
                              <w:fldChar w:fldCharType="separate"/>
                            </w:r>
                            <w:r>
                              <w:rPr>
                                <w:noProof/>
                                <w:color w:val="auto"/>
                                <w:sz w:val="22"/>
                                <w:szCs w:val="22"/>
                              </w:rPr>
                              <w:t>3</w:t>
                            </w:r>
                            <w:r w:rsidRPr="009E6F64">
                              <w:rPr>
                                <w:color w:val="auto"/>
                                <w:sz w:val="22"/>
                                <w:szCs w:val="22"/>
                              </w:rPr>
                              <w:fldChar w:fldCharType="end"/>
                            </w:r>
                            <w:bookmarkEnd w:id="16"/>
                            <w:r w:rsidRPr="009E6F64">
                              <w:rPr>
                                <w:color w:val="auto"/>
                                <w:sz w:val="22"/>
                                <w:szCs w:val="22"/>
                              </w:rPr>
                              <w:t>. Plot of acute</w:t>
                            </w:r>
                            <w:r>
                              <w:rPr>
                                <w:color w:val="auto"/>
                                <w:sz w:val="22"/>
                                <w:szCs w:val="22"/>
                              </w:rPr>
                              <w:t>,</w:t>
                            </w:r>
                            <w:r w:rsidRPr="009E6F64">
                              <w:rPr>
                                <w:color w:val="auto"/>
                                <w:sz w:val="22"/>
                                <w:szCs w:val="22"/>
                              </w:rPr>
                              <w:t xml:space="preserve"> unplanned admission rates with and without adjustment for</w:t>
                            </w:r>
                            <w:r>
                              <w:rPr>
                                <w:color w:val="auto"/>
                                <w:sz w:val="22"/>
                                <w:szCs w:val="22"/>
                              </w:rPr>
                              <w:t xml:space="preserve"> AHRQ SES index</w:t>
                            </w:r>
                          </w:p>
                          <w:p w14:paraId="3A357B2B" w14:textId="77777777" w:rsidR="00351877" w:rsidRPr="002C599D" w:rsidRDefault="00351877" w:rsidP="006F0B61">
                            <w:pPr>
                              <w:pStyle w:val="Caption"/>
                              <w:rPr>
                                <w:noProof/>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C008153" id="_x0000_s1029" type="#_x0000_t202" style="position:absolute;margin-left:229.6pt;margin-top:.55pt;width:226.5pt;height:41.2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" stroked="f">
                <v:textbox inset="0,0,0,0">
                  <w:txbxContent>
                    <w:p w14:paraId="5AFD15AD" w14:textId="5A598FE7" w:rsidR="00351877" w:rsidRPr="009E6F64" w:rsidRDefault="00351877" w:rsidP="006F0B61">
                      <w:pPr>
                        <w:pStyle w:val="Caption"/>
                        <w:rPr>
                          <w:rFonts w:ascii="Calibri" w:eastAsia="Calibri" w:hAnsi="Calibri" w:cs="Times New Roman"/>
                          <w:noProof/>
                          <w:color w:val="auto"/>
                          <w:sz w:val="22"/>
                          <w:szCs w:val="22"/>
                        </w:rPr>
                      </w:pPr>
                      <w:bookmarkStart w:id="17" w:name="_Ref399762774"/>
                      <w:r w:rsidRPr="009E6F64">
                        <w:rPr>
                          <w:color w:val="auto"/>
                          <w:sz w:val="22"/>
                          <w:szCs w:val="22"/>
                        </w:rPr>
                        <w:t xml:space="preserve">Figure </w:t>
                      </w:r>
                      <w:r w:rsidRPr="009E6F64">
                        <w:rPr>
                          <w:color w:val="auto"/>
                          <w:sz w:val="22"/>
                          <w:szCs w:val="22"/>
                        </w:rPr>
                        <w:fldChar w:fldCharType="begin"/>
                      </w:r>
                      <w:r w:rsidRPr="009E6F64">
                        <w:rPr>
                          <w:color w:val="auto"/>
                          <w:sz w:val="22"/>
                          <w:szCs w:val="22"/>
                        </w:rPr>
                        <w:instrText xml:space="preserve"> SEQ Figure \* ARABIC </w:instrText>
                      </w:r>
                      <w:r w:rsidRPr="009E6F64">
                        <w:rPr>
                          <w:color w:val="auto"/>
                          <w:sz w:val="22"/>
                          <w:szCs w:val="22"/>
                        </w:rPr>
                        <w:fldChar w:fldCharType="separate"/>
                      </w:r>
                      <w:r>
                        <w:rPr>
                          <w:noProof/>
                          <w:color w:val="auto"/>
                          <w:sz w:val="22"/>
                          <w:szCs w:val="22"/>
                        </w:rPr>
                        <w:t>3</w:t>
                      </w:r>
                      <w:r w:rsidRPr="009E6F64">
                        <w:rPr>
                          <w:color w:val="auto"/>
                          <w:sz w:val="22"/>
                          <w:szCs w:val="22"/>
                        </w:rPr>
                        <w:fldChar w:fldCharType="end"/>
                      </w:r>
                      <w:bookmarkEnd w:id="17"/>
                      <w:r w:rsidRPr="009E6F64">
                        <w:rPr>
                          <w:color w:val="auto"/>
                          <w:sz w:val="22"/>
                          <w:szCs w:val="22"/>
                        </w:rPr>
                        <w:t>. Plot of acute</w:t>
                      </w:r>
                      <w:r>
                        <w:rPr>
                          <w:color w:val="auto"/>
                          <w:sz w:val="22"/>
                          <w:szCs w:val="22"/>
                        </w:rPr>
                        <w:t>,</w:t>
                      </w:r>
                      <w:r w:rsidRPr="009E6F64">
                        <w:rPr>
                          <w:color w:val="auto"/>
                          <w:sz w:val="22"/>
                          <w:szCs w:val="22"/>
                        </w:rPr>
                        <w:t xml:space="preserve"> unplanned admission rates with and without adjustment for</w:t>
                      </w:r>
                      <w:r>
                        <w:rPr>
                          <w:color w:val="auto"/>
                          <w:sz w:val="22"/>
                          <w:szCs w:val="22"/>
                        </w:rPr>
                        <w:t xml:space="preserve"> AHRQ SES index</w:t>
                      </w:r>
                    </w:p>
                    <w:p w14:paraId="3A357B2B" w14:textId="77777777" w:rsidR="00351877" w:rsidRPr="002C599D" w:rsidRDefault="00351877" w:rsidP="006F0B61">
                      <w:pPr>
                        <w:pStyle w:val="Caption"/>
                        <w:rPr>
                          <w:noProof/>
                        </w:rPr>
                      </w:pPr>
                    </w:p>
                  </w:txbxContent>
                </v:textbox>
              </v:shape>
            </w:pict>
          </mc:Fallback>
        </mc:AlternateContent>
      </w:r>
    </w:p>
    <w:p w14:paraId="45A13B58" w14:textId="4464AD2C"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556E6626" w14:textId="5937FA31"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0751AF14" w14:textId="7706D20D"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63B63BA0" w14:textId="00854DDE" w:rsidR="006F0B61" w:rsidRDefault="004767F9" w:rsidP="00EC4DB0">
      <w:pPr>
        <w:pBdr>
          <w:top w:val="single" w:sz="4" w:space="1" w:color="auto"/>
          <w:left w:val="single" w:sz="4" w:space="4" w:color="auto"/>
          <w:bottom w:val="single" w:sz="4" w:space="1" w:color="auto"/>
          <w:right w:val="single" w:sz="4" w:space="4" w:color="auto"/>
        </w:pBdr>
        <w:spacing w:after="0" w:line="240" w:lineRule="auto"/>
      </w:pPr>
      <w:r w:rsidRPr="007E26F0">
        <w:rPr>
          <w:b/>
          <w:noProof/>
        </w:rPr>
        <w:drawing>
          <wp:anchor distT="0" distB="0" distL="114300" distR="114300" simplePos="0" relativeHeight="251701248" behindDoc="0" locked="0" layoutInCell="1" allowOverlap="1" wp14:anchorId="432371A2" wp14:editId="08AE596F">
            <wp:simplePos x="0" y="0"/>
            <wp:positionH relativeFrom="margin">
              <wp:posOffset>2924810</wp:posOffset>
            </wp:positionH>
            <wp:positionV relativeFrom="paragraph">
              <wp:posOffset>14605</wp:posOffset>
            </wp:positionV>
            <wp:extent cx="2876550" cy="2867025"/>
            <wp:effectExtent l="0" t="0" r="0" b="952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s_sensitivity1.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76550" cy="2867025"/>
                    </a:xfrm>
                    <a:prstGeom prst="rect">
                      <a:avLst/>
                    </a:prstGeom>
                  </pic:spPr>
                </pic:pic>
              </a:graphicData>
            </a:graphic>
            <wp14:sizeRelH relativeFrom="page">
              <wp14:pctWidth>0</wp14:pctWidth>
            </wp14:sizeRelH>
            <wp14:sizeRelV relativeFrom="page">
              <wp14:pctHeight>0</wp14:pctHeight>
            </wp14:sizeRelV>
          </wp:anchor>
        </w:drawing>
      </w:r>
    </w:p>
    <w:p w14:paraId="611A4D27" w14:textId="21CFBDD5"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490EBDD0" w14:textId="00D25135"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5594BCF0"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46211E00"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7F88C588"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3D0EE2F3" w14:textId="4CB833A2"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7F255785" w14:textId="7530119E"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569B81F3" w14:textId="047A483D"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30513323" w14:textId="2C0E6B5C"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3EF79D6B" w14:textId="6DDB2C83"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38C4C2DB" w14:textId="2C6072FE"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6F741FED" w14:textId="3B3E79D9"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54F9B52B" w14:textId="7FD2CECF"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0AA80605" w14:textId="55B3C388"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6AFBA7A9" w14:textId="45590658"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535BE0ED" w14:textId="6C766126"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06D0B88C" w14:textId="76E755CC" w:rsidR="006F0B61" w:rsidRDefault="004767F9" w:rsidP="00EC4DB0">
      <w:pPr>
        <w:pBdr>
          <w:top w:val="single" w:sz="4" w:space="1" w:color="auto"/>
          <w:left w:val="single" w:sz="4" w:space="4" w:color="auto"/>
          <w:bottom w:val="single" w:sz="4" w:space="1" w:color="auto"/>
          <w:right w:val="single" w:sz="4" w:space="4" w:color="auto"/>
        </w:pBdr>
        <w:spacing w:after="0" w:line="240" w:lineRule="auto"/>
      </w:pPr>
      <w:r>
        <w:rPr>
          <w:noProof/>
        </w:rPr>
        <mc:AlternateContent>
          <mc:Choice Requires="wps">
            <w:drawing>
              <wp:anchor distT="45720" distB="45720" distL="114300" distR="114300" simplePos="0" relativeHeight="251707392" behindDoc="0" locked="0" layoutInCell="1" allowOverlap="1" wp14:anchorId="74504C43" wp14:editId="2D6D6827">
                <wp:simplePos x="0" y="0"/>
                <wp:positionH relativeFrom="margin">
                  <wp:posOffset>-44450</wp:posOffset>
                </wp:positionH>
                <wp:positionV relativeFrom="paragraph">
                  <wp:posOffset>39371</wp:posOffset>
                </wp:positionV>
                <wp:extent cx="3048000" cy="352425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3524250"/>
                        </a:xfrm>
                        <a:prstGeom prst="rect">
                          <a:avLst/>
                        </a:prstGeom>
                        <a:solidFill>
                          <a:srgbClr val="FFFFFF"/>
                        </a:solidFill>
                        <a:ln w="9525">
                          <a:noFill/>
                          <a:miter lim="800000"/>
                          <a:headEnd/>
                          <a:tailEnd/>
                        </a:ln>
                      </wps:spPr>
                      <wps:txbx>
                        <w:txbxContent>
                          <w:p w14:paraId="20939A51" w14:textId="77777777" w:rsidR="00351877" w:rsidRPr="00E46C12" w:rsidRDefault="00351877" w:rsidP="00794C9D">
                            <w:pPr>
                              <w:spacing w:after="0" w:line="240" w:lineRule="auto"/>
                              <w:rPr>
                                <w:u w:val="single"/>
                              </w:rPr>
                            </w:pPr>
                            <w:r w:rsidRPr="003B4B1C">
                              <w:rPr>
                                <w:u w:val="single"/>
                              </w:rPr>
                              <w:t>Medicaid Dual</w:t>
                            </w:r>
                            <w:r>
                              <w:rPr>
                                <w:u w:val="single"/>
                              </w:rPr>
                              <w:t>-</w:t>
                            </w:r>
                            <w:r w:rsidRPr="003B4B1C">
                              <w:rPr>
                                <w:u w:val="single"/>
                              </w:rPr>
                              <w:t>Eligibility</w:t>
                            </w:r>
                            <w:r>
                              <w:rPr>
                                <w:u w:val="single"/>
                              </w:rPr>
                              <w:t xml:space="preserve"> Status</w:t>
                            </w:r>
                          </w:p>
                          <w:p w14:paraId="5993C60E" w14:textId="22B65967" w:rsidR="00351877" w:rsidRPr="003B4B1C" w:rsidRDefault="00351877" w:rsidP="00794C9D">
                            <w:pPr>
                              <w:spacing w:line="240" w:lineRule="auto"/>
                            </w:pPr>
                            <w:r>
                              <w:t xml:space="preserve">The </w:t>
                            </w:r>
                            <w:r w:rsidRPr="003B4B1C">
                              <w:t>deviance R</w:t>
                            </w:r>
                            <w:r>
                              <w:t>-</w:t>
                            </w:r>
                            <w:r w:rsidRPr="003B4B1C">
                              <w:t>squared</w:t>
                            </w:r>
                            <w:r>
                              <w:t xml:space="preserve"> value</w:t>
                            </w:r>
                            <w:r w:rsidRPr="003B4B1C">
                              <w:t xml:space="preserve">s for the two models, one adjusted for the 23 clinical variables </w:t>
                            </w:r>
                            <w:r w:rsidRPr="00F24E7B">
                              <w:t>and</w:t>
                            </w:r>
                            <w:r w:rsidRPr="000C1440">
                              <w:t xml:space="preserve"> </w:t>
                            </w:r>
                            <w:r w:rsidRPr="003B4B1C">
                              <w:t>Medicaid dual</w:t>
                            </w:r>
                            <w:r>
                              <w:t>-</w:t>
                            </w:r>
                            <w:r w:rsidRPr="003B4B1C">
                              <w:t xml:space="preserve">eligibility status, and one adjusted for the 23 clinical variables </w:t>
                            </w:r>
                            <w:r w:rsidRPr="00F24E7B">
                              <w:rPr>
                                <w:i/>
                              </w:rPr>
                              <w:t>without</w:t>
                            </w:r>
                            <w:r w:rsidRPr="000C1440">
                              <w:t xml:space="preserve"> </w:t>
                            </w:r>
                            <w:r w:rsidRPr="003B4B1C">
                              <w:t>Medicaid dual</w:t>
                            </w:r>
                            <w:r>
                              <w:t>-</w:t>
                            </w:r>
                            <w:r w:rsidRPr="003B4B1C">
                              <w:t>eligibility status, were 0.2</w:t>
                            </w:r>
                            <w:r>
                              <w:t>20</w:t>
                            </w:r>
                            <w:r w:rsidRPr="003B4B1C">
                              <w:t xml:space="preserve"> and 0.217, respectively, meaning adjustment for dual</w:t>
                            </w:r>
                            <w:r>
                              <w:t>-</w:t>
                            </w:r>
                            <w:r w:rsidRPr="003B4B1C">
                              <w:t>eligibility status explained similar amount of variation and did not appreciably improve model fit. Comparing the RSAAR with and without Medicaid dual</w:t>
                            </w:r>
                            <w:r>
                              <w:t>-</w:t>
                            </w:r>
                            <w:r w:rsidRPr="003B4B1C">
                              <w:t xml:space="preserve">eligibility status included in the model resulted in a high degree of correlation (Spearman correlation = 0.976). The graph demonstrates that, compared with </w:t>
                            </w:r>
                            <w:r w:rsidRPr="00F24E7B">
                              <w:rPr>
                                <w:i/>
                              </w:rPr>
                              <w:t>not</w:t>
                            </w:r>
                            <w:r w:rsidRPr="000C1440">
                              <w:t xml:space="preserve"> </w:t>
                            </w:r>
                            <w:r w:rsidRPr="003B4B1C">
                              <w:t xml:space="preserve">adjusting for Medicaid </w:t>
                            </w:r>
                            <w:r>
                              <w:t>dual-</w:t>
                            </w:r>
                            <w:r w:rsidRPr="003B4B1C">
                              <w:t>eligibility status, adjusting for Medicaid</w:t>
                            </w:r>
                            <w:r>
                              <w:t xml:space="preserve"> dual-</w:t>
                            </w:r>
                            <w:r w:rsidRPr="003B4B1C">
                              <w:t xml:space="preserve">eligibility status results in some ACOs having slightly lower RSAAR scores (below the line) and other ACOs having higher RSAAR scores (above the line). </w:t>
                            </w:r>
                            <w:r>
                              <w:t>(</w:t>
                            </w:r>
                            <w:r>
                              <w:fldChar w:fldCharType="begin"/>
                            </w:r>
                            <w:r>
                              <w:instrText xml:space="preserve"> REF _Ref441593143 \h </w:instrText>
                            </w:r>
                            <w:r>
                              <w:fldChar w:fldCharType="separate"/>
                            </w:r>
                            <w:r w:rsidRPr="009E6F64">
                              <w:t xml:space="preserve">Figure </w:t>
                            </w:r>
                            <w:r>
                              <w:rPr>
                                <w:noProof/>
                              </w:rPr>
                              <w:t>4</w:t>
                            </w:r>
                            <w:r>
                              <w:fldChar w:fldCharType="end"/>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504C43" id="_x0000_s1030" type="#_x0000_t202" style="position:absolute;margin-left:-3.5pt;margin-top:3.1pt;width:240pt;height:277.5pt;z-index:2517073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" stroked="f">
                <v:textbox>
                  <w:txbxContent>
                    <w:p w14:paraId="20939A51" w14:textId="77777777" w:rsidR="00351877" w:rsidRPr="00E46C12" w:rsidRDefault="00351877" w:rsidP="00794C9D">
                      <w:pPr>
                        <w:spacing w:after="0" w:line="240" w:lineRule="auto"/>
                        <w:rPr>
                          <w:u w:val="single"/>
                        </w:rPr>
                      </w:pPr>
                      <w:r w:rsidRPr="003B4B1C">
                        <w:rPr>
                          <w:u w:val="single"/>
                        </w:rPr>
                        <w:t>Medicaid Dual</w:t>
                      </w:r>
                      <w:r>
                        <w:rPr>
                          <w:u w:val="single"/>
                        </w:rPr>
                        <w:t>-</w:t>
                      </w:r>
                      <w:r w:rsidRPr="003B4B1C">
                        <w:rPr>
                          <w:u w:val="single"/>
                        </w:rPr>
                        <w:t>Eligibility</w:t>
                      </w:r>
                      <w:r>
                        <w:rPr>
                          <w:u w:val="single"/>
                        </w:rPr>
                        <w:t xml:space="preserve"> Status</w:t>
                      </w:r>
                    </w:p>
                    <w:p w14:paraId="5993C60E" w14:textId="22B65967" w:rsidR="00351877" w:rsidRPr="003B4B1C" w:rsidRDefault="00351877" w:rsidP="00794C9D">
                      <w:pPr>
                        <w:spacing w:line="240" w:lineRule="auto"/>
                      </w:pPr>
                      <w:r>
                        <w:t xml:space="preserve">The </w:t>
                      </w:r>
                      <w:r w:rsidRPr="003B4B1C">
                        <w:t>deviance R</w:t>
                      </w:r>
                      <w:r>
                        <w:t>-</w:t>
                      </w:r>
                      <w:r w:rsidRPr="003B4B1C">
                        <w:t>squared</w:t>
                      </w:r>
                      <w:r>
                        <w:t xml:space="preserve"> value</w:t>
                      </w:r>
                      <w:r w:rsidRPr="003B4B1C">
                        <w:t xml:space="preserve">s for the two models, one adjusted for the 23 clinical variables </w:t>
                      </w:r>
                      <w:r w:rsidRPr="00F24E7B">
                        <w:t>and</w:t>
                      </w:r>
                      <w:r w:rsidRPr="000C1440">
                        <w:t xml:space="preserve"> </w:t>
                      </w:r>
                      <w:r w:rsidRPr="003B4B1C">
                        <w:t>Medicaid dual</w:t>
                      </w:r>
                      <w:r>
                        <w:t>-</w:t>
                      </w:r>
                      <w:r w:rsidRPr="003B4B1C">
                        <w:t xml:space="preserve">eligibility status, and one adjusted for the 23 clinical variables </w:t>
                      </w:r>
                      <w:r w:rsidRPr="00F24E7B">
                        <w:rPr>
                          <w:i/>
                        </w:rPr>
                        <w:t>without</w:t>
                      </w:r>
                      <w:r w:rsidRPr="000C1440">
                        <w:t xml:space="preserve"> </w:t>
                      </w:r>
                      <w:r w:rsidRPr="003B4B1C">
                        <w:t>Medicaid dual</w:t>
                      </w:r>
                      <w:r>
                        <w:t>-</w:t>
                      </w:r>
                      <w:r w:rsidRPr="003B4B1C">
                        <w:t>eligibility status, were 0.2</w:t>
                      </w:r>
                      <w:r>
                        <w:t>20</w:t>
                      </w:r>
                      <w:r w:rsidRPr="003B4B1C">
                        <w:t xml:space="preserve"> and 0.217, respectively, meaning adjustment for dual</w:t>
                      </w:r>
                      <w:r>
                        <w:t>-</w:t>
                      </w:r>
                      <w:r w:rsidRPr="003B4B1C">
                        <w:t>eligibility status explained similar amount of variation and did not appreciably improve model fit. Comparing the RSAAR with and without Medicaid dual</w:t>
                      </w:r>
                      <w:r>
                        <w:t>-</w:t>
                      </w:r>
                      <w:r w:rsidRPr="003B4B1C">
                        <w:t xml:space="preserve">eligibility status included in the model resulted in a high degree of correlation (Spearman correlation = 0.976). The graph demonstrates that, compared with </w:t>
                      </w:r>
                      <w:r w:rsidRPr="00F24E7B">
                        <w:rPr>
                          <w:i/>
                        </w:rPr>
                        <w:t>not</w:t>
                      </w:r>
                      <w:r w:rsidRPr="000C1440">
                        <w:t xml:space="preserve"> </w:t>
                      </w:r>
                      <w:r w:rsidRPr="003B4B1C">
                        <w:t xml:space="preserve">adjusting for Medicaid </w:t>
                      </w:r>
                      <w:r>
                        <w:t>dual-</w:t>
                      </w:r>
                      <w:r w:rsidRPr="003B4B1C">
                        <w:t>eligibility status, adjusting for Medicaid</w:t>
                      </w:r>
                      <w:r>
                        <w:t xml:space="preserve"> dual-</w:t>
                      </w:r>
                      <w:r w:rsidRPr="003B4B1C">
                        <w:t xml:space="preserve">eligibility status results in some ACOs having slightly lower RSAAR scores (below the line) and other ACOs having higher RSAAR scores (above the line). </w:t>
                      </w:r>
                      <w:r>
                        <w:t>(</w:t>
                      </w:r>
                      <w:r>
                        <w:fldChar w:fldCharType="begin"/>
                      </w:r>
                      <w:r>
                        <w:instrText xml:space="preserve"> REF _Ref441593143 \h </w:instrText>
                      </w:r>
                      <w:r>
                        <w:fldChar w:fldCharType="separate"/>
                      </w:r>
                      <w:r w:rsidRPr="009E6F64">
                        <w:t xml:space="preserve">Figure </w:t>
                      </w:r>
                      <w:r>
                        <w:rPr>
                          <w:noProof/>
                        </w:rPr>
                        <w:t>4</w:t>
                      </w:r>
                      <w:r>
                        <w:fldChar w:fldCharType="end"/>
                      </w:r>
                      <w:r>
                        <w:t>)</w:t>
                      </w:r>
                    </w:p>
                  </w:txbxContent>
                </v:textbox>
                <w10:wrap anchorx="margin"/>
              </v:shape>
            </w:pict>
          </mc:Fallback>
        </mc:AlternateContent>
      </w:r>
      <w:r w:rsidRPr="006F0B61">
        <w:rPr>
          <w:noProof/>
        </w:rPr>
        <mc:AlternateContent>
          <mc:Choice Requires="wps">
            <w:drawing>
              <wp:anchor distT="45720" distB="45720" distL="114300" distR="114300" simplePos="0" relativeHeight="251709440" behindDoc="0" locked="0" layoutInCell="1" allowOverlap="1" wp14:anchorId="76AA17EE" wp14:editId="7747B6E8">
                <wp:simplePos x="0" y="0"/>
                <wp:positionH relativeFrom="column">
                  <wp:posOffset>2871470</wp:posOffset>
                </wp:positionH>
                <wp:positionV relativeFrom="paragraph">
                  <wp:posOffset>13335</wp:posOffset>
                </wp:positionV>
                <wp:extent cx="2857500" cy="59055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590550"/>
                        </a:xfrm>
                        <a:prstGeom prst="rect">
                          <a:avLst/>
                        </a:prstGeom>
                        <a:solidFill>
                          <a:srgbClr val="FFFFFF"/>
                        </a:solidFill>
                        <a:ln w="9525">
                          <a:noFill/>
                          <a:miter lim="800000"/>
                          <a:headEnd/>
                          <a:tailEnd/>
                        </a:ln>
                      </wps:spPr>
                      <wps:txbx>
                        <w:txbxContent>
                          <w:p w14:paraId="45BC7DD5" w14:textId="77777777" w:rsidR="00351877" w:rsidRPr="009E6F64" w:rsidRDefault="00351877" w:rsidP="006F0B61">
                            <w:pPr>
                              <w:pStyle w:val="Caption"/>
                              <w:rPr>
                                <w:rFonts w:ascii="Calibri" w:eastAsia="Calibri" w:hAnsi="Calibri" w:cs="Times New Roman"/>
                                <w:noProof/>
                                <w:color w:val="auto"/>
                                <w:sz w:val="22"/>
                                <w:szCs w:val="22"/>
                              </w:rPr>
                            </w:pPr>
                            <w:bookmarkStart w:id="18" w:name="_Ref441593143"/>
                            <w:r w:rsidRPr="009E6F64">
                              <w:rPr>
                                <w:color w:val="auto"/>
                                <w:sz w:val="22"/>
                                <w:szCs w:val="22"/>
                              </w:rPr>
                              <w:t xml:space="preserve">Figure </w:t>
                            </w:r>
                            <w:r w:rsidRPr="009E6F64">
                              <w:rPr>
                                <w:color w:val="auto"/>
                                <w:sz w:val="22"/>
                                <w:szCs w:val="22"/>
                              </w:rPr>
                              <w:fldChar w:fldCharType="begin"/>
                            </w:r>
                            <w:r w:rsidRPr="009E6F64">
                              <w:rPr>
                                <w:color w:val="auto"/>
                                <w:sz w:val="22"/>
                                <w:szCs w:val="22"/>
                              </w:rPr>
                              <w:instrText xml:space="preserve"> SEQ Figure \* ARABIC </w:instrText>
                            </w:r>
                            <w:r w:rsidRPr="009E6F64">
                              <w:rPr>
                                <w:color w:val="auto"/>
                                <w:sz w:val="22"/>
                                <w:szCs w:val="22"/>
                              </w:rPr>
                              <w:fldChar w:fldCharType="separate"/>
                            </w:r>
                            <w:r>
                              <w:rPr>
                                <w:noProof/>
                                <w:color w:val="auto"/>
                                <w:sz w:val="22"/>
                                <w:szCs w:val="22"/>
                              </w:rPr>
                              <w:t>4</w:t>
                            </w:r>
                            <w:r w:rsidRPr="009E6F64">
                              <w:rPr>
                                <w:color w:val="auto"/>
                                <w:sz w:val="22"/>
                                <w:szCs w:val="22"/>
                              </w:rPr>
                              <w:fldChar w:fldCharType="end"/>
                            </w:r>
                            <w:bookmarkEnd w:id="18"/>
                            <w:r w:rsidRPr="009E6F64">
                              <w:rPr>
                                <w:color w:val="auto"/>
                                <w:sz w:val="22"/>
                                <w:szCs w:val="22"/>
                              </w:rPr>
                              <w:t>. Plot of acute</w:t>
                            </w:r>
                            <w:r>
                              <w:rPr>
                                <w:color w:val="auto"/>
                                <w:sz w:val="22"/>
                                <w:szCs w:val="22"/>
                              </w:rPr>
                              <w:t>,</w:t>
                            </w:r>
                            <w:r w:rsidRPr="009E6F64">
                              <w:rPr>
                                <w:color w:val="auto"/>
                                <w:sz w:val="22"/>
                                <w:szCs w:val="22"/>
                              </w:rPr>
                              <w:t xml:space="preserve"> unplanned admission rates with and without adjustment for dual</w:t>
                            </w:r>
                            <w:r>
                              <w:rPr>
                                <w:color w:val="auto"/>
                                <w:sz w:val="22"/>
                                <w:szCs w:val="22"/>
                              </w:rPr>
                              <w:t>-</w:t>
                            </w:r>
                            <w:r w:rsidRPr="009E6F64">
                              <w:rPr>
                                <w:color w:val="auto"/>
                                <w:sz w:val="22"/>
                                <w:szCs w:val="22"/>
                              </w:rPr>
                              <w:t>eligibility status</w:t>
                            </w:r>
                          </w:p>
                          <w:p w14:paraId="6B342047" w14:textId="77777777" w:rsidR="00351877" w:rsidRDefault="00351877" w:rsidP="006F0B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AA17EE" id="_x0000_s1031" type="#_x0000_t202" style="position:absolute;margin-left:226.1pt;margin-top:1.05pt;width:225pt;height:46.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" stroked="f">
                <v:textbox>
                  <w:txbxContent>
                    <w:p w14:paraId="45BC7DD5" w14:textId="77777777" w:rsidR="00351877" w:rsidRPr="009E6F64" w:rsidRDefault="00351877" w:rsidP="006F0B61">
                      <w:pPr>
                        <w:pStyle w:val="Caption"/>
                        <w:rPr>
                          <w:rFonts w:ascii="Calibri" w:eastAsia="Calibri" w:hAnsi="Calibri" w:cs="Times New Roman"/>
                          <w:noProof/>
                          <w:color w:val="auto"/>
                          <w:sz w:val="22"/>
                          <w:szCs w:val="22"/>
                        </w:rPr>
                      </w:pPr>
                      <w:bookmarkStart w:id="19" w:name="_Ref441593143"/>
                      <w:r w:rsidRPr="009E6F64">
                        <w:rPr>
                          <w:color w:val="auto"/>
                          <w:sz w:val="22"/>
                          <w:szCs w:val="22"/>
                        </w:rPr>
                        <w:t xml:space="preserve">Figure </w:t>
                      </w:r>
                      <w:r w:rsidRPr="009E6F64">
                        <w:rPr>
                          <w:color w:val="auto"/>
                          <w:sz w:val="22"/>
                          <w:szCs w:val="22"/>
                        </w:rPr>
                        <w:fldChar w:fldCharType="begin"/>
                      </w:r>
                      <w:r w:rsidRPr="009E6F64">
                        <w:rPr>
                          <w:color w:val="auto"/>
                          <w:sz w:val="22"/>
                          <w:szCs w:val="22"/>
                        </w:rPr>
                        <w:instrText xml:space="preserve"> SEQ Figure \* ARABIC </w:instrText>
                      </w:r>
                      <w:r w:rsidRPr="009E6F64">
                        <w:rPr>
                          <w:color w:val="auto"/>
                          <w:sz w:val="22"/>
                          <w:szCs w:val="22"/>
                        </w:rPr>
                        <w:fldChar w:fldCharType="separate"/>
                      </w:r>
                      <w:r>
                        <w:rPr>
                          <w:noProof/>
                          <w:color w:val="auto"/>
                          <w:sz w:val="22"/>
                          <w:szCs w:val="22"/>
                        </w:rPr>
                        <w:t>4</w:t>
                      </w:r>
                      <w:r w:rsidRPr="009E6F64">
                        <w:rPr>
                          <w:color w:val="auto"/>
                          <w:sz w:val="22"/>
                          <w:szCs w:val="22"/>
                        </w:rPr>
                        <w:fldChar w:fldCharType="end"/>
                      </w:r>
                      <w:bookmarkEnd w:id="19"/>
                      <w:r w:rsidRPr="009E6F64">
                        <w:rPr>
                          <w:color w:val="auto"/>
                          <w:sz w:val="22"/>
                          <w:szCs w:val="22"/>
                        </w:rPr>
                        <w:t>. Plot of acute</w:t>
                      </w:r>
                      <w:r>
                        <w:rPr>
                          <w:color w:val="auto"/>
                          <w:sz w:val="22"/>
                          <w:szCs w:val="22"/>
                        </w:rPr>
                        <w:t>,</w:t>
                      </w:r>
                      <w:r w:rsidRPr="009E6F64">
                        <w:rPr>
                          <w:color w:val="auto"/>
                          <w:sz w:val="22"/>
                          <w:szCs w:val="22"/>
                        </w:rPr>
                        <w:t xml:space="preserve"> unplanned admission rates with and without adjustment for dual</w:t>
                      </w:r>
                      <w:r>
                        <w:rPr>
                          <w:color w:val="auto"/>
                          <w:sz w:val="22"/>
                          <w:szCs w:val="22"/>
                        </w:rPr>
                        <w:t>-</w:t>
                      </w:r>
                      <w:r w:rsidRPr="009E6F64">
                        <w:rPr>
                          <w:color w:val="auto"/>
                          <w:sz w:val="22"/>
                          <w:szCs w:val="22"/>
                        </w:rPr>
                        <w:t>eligibility status</w:t>
                      </w:r>
                    </w:p>
                    <w:p w14:paraId="6B342047" w14:textId="77777777" w:rsidR="00351877" w:rsidRDefault="00351877" w:rsidP="006F0B61"/>
                  </w:txbxContent>
                </v:textbox>
              </v:shape>
            </w:pict>
          </mc:Fallback>
        </mc:AlternateContent>
      </w:r>
    </w:p>
    <w:p w14:paraId="10447B2D" w14:textId="21312F11"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2E36162F" w14:textId="4245AC7D"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6BFDE2B0" w14:textId="3828CBE5"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05EE5D12" w14:textId="1022D32E" w:rsidR="006F0B61" w:rsidRDefault="004767F9" w:rsidP="00EC4DB0">
      <w:pPr>
        <w:pBdr>
          <w:top w:val="single" w:sz="4" w:space="1" w:color="auto"/>
          <w:left w:val="single" w:sz="4" w:space="4" w:color="auto"/>
          <w:bottom w:val="single" w:sz="4" w:space="1" w:color="auto"/>
          <w:right w:val="single" w:sz="4" w:space="4" w:color="auto"/>
        </w:pBdr>
        <w:spacing w:after="0" w:line="240" w:lineRule="auto"/>
      </w:pPr>
      <w:r w:rsidRPr="006F0B61">
        <w:rPr>
          <w:noProof/>
        </w:rPr>
        <w:drawing>
          <wp:anchor distT="0" distB="0" distL="114300" distR="114300" simplePos="0" relativeHeight="251708416" behindDoc="0" locked="0" layoutInCell="1" allowOverlap="1" wp14:anchorId="7C8B3F2D" wp14:editId="3E131FFE">
            <wp:simplePos x="0" y="0"/>
            <wp:positionH relativeFrom="column">
              <wp:posOffset>2976245</wp:posOffset>
            </wp:positionH>
            <wp:positionV relativeFrom="paragraph">
              <wp:posOffset>6350</wp:posOffset>
            </wp:positionV>
            <wp:extent cx="2790825" cy="2790825"/>
            <wp:effectExtent l="0" t="0" r="9525" b="952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al_sensitivity1.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90825" cy="2790825"/>
                    </a:xfrm>
                    <a:prstGeom prst="rect">
                      <a:avLst/>
                    </a:prstGeom>
                  </pic:spPr>
                </pic:pic>
              </a:graphicData>
            </a:graphic>
            <wp14:sizeRelH relativeFrom="page">
              <wp14:pctWidth>0</wp14:pctWidth>
            </wp14:sizeRelH>
            <wp14:sizeRelV relativeFrom="page">
              <wp14:pctHeight>0</wp14:pctHeight>
            </wp14:sizeRelV>
          </wp:anchor>
        </w:drawing>
      </w:r>
    </w:p>
    <w:p w14:paraId="0EFA2E18" w14:textId="7C556676"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24D4425C" w14:textId="28B3FEE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7E027911" w14:textId="1D8449FC"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3FEB837A"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491FB45D"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605733D7"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0C6CBA11"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422AD46D"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0024208F"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0501C1F4"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24753B01" w14:textId="445E2D33"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4065696F"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0D8A9986"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19306720" w14:textId="77777777"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3623985D" w14:textId="7EED9E4E" w:rsidR="006F0B61" w:rsidRDefault="006F0B61" w:rsidP="00EC4DB0">
      <w:pPr>
        <w:pBdr>
          <w:top w:val="single" w:sz="4" w:space="1" w:color="auto"/>
          <w:left w:val="single" w:sz="4" w:space="4" w:color="auto"/>
          <w:bottom w:val="single" w:sz="4" w:space="1" w:color="auto"/>
          <w:right w:val="single" w:sz="4" w:space="4" w:color="auto"/>
        </w:pBdr>
        <w:spacing w:after="0" w:line="240" w:lineRule="auto"/>
      </w:pPr>
    </w:p>
    <w:p w14:paraId="17F1B08A" w14:textId="77777777" w:rsidR="00794C9D" w:rsidRDefault="00794C9D" w:rsidP="00EC4DB0">
      <w:pPr>
        <w:pBdr>
          <w:top w:val="single" w:sz="4" w:space="1" w:color="auto"/>
          <w:left w:val="single" w:sz="4" w:space="4" w:color="auto"/>
          <w:bottom w:val="single" w:sz="4" w:space="1" w:color="auto"/>
          <w:right w:val="single" w:sz="4" w:space="4" w:color="auto"/>
        </w:pBdr>
        <w:spacing w:after="0" w:line="240" w:lineRule="auto"/>
      </w:pPr>
    </w:p>
    <w:p w14:paraId="489083BB" w14:textId="77777777" w:rsidR="00F87294" w:rsidRDefault="00F87294" w:rsidP="00EC4DB0">
      <w:pPr>
        <w:pBdr>
          <w:top w:val="single" w:sz="4" w:space="1" w:color="auto"/>
          <w:left w:val="single" w:sz="4" w:space="4" w:color="auto"/>
          <w:bottom w:val="single" w:sz="4" w:space="1" w:color="auto"/>
          <w:right w:val="single" w:sz="4" w:space="4" w:color="auto"/>
        </w:pBdr>
        <w:spacing w:after="0" w:line="240" w:lineRule="auto"/>
      </w:pPr>
    </w:p>
    <w:p w14:paraId="6B1A896D" w14:textId="77777777" w:rsidR="00F87294" w:rsidRDefault="00F87294" w:rsidP="00EC4DB0">
      <w:pPr>
        <w:pBdr>
          <w:top w:val="single" w:sz="4" w:space="1" w:color="auto"/>
          <w:left w:val="single" w:sz="4" w:space="4" w:color="auto"/>
          <w:bottom w:val="single" w:sz="4" w:space="1" w:color="auto"/>
          <w:right w:val="single" w:sz="4" w:space="4" w:color="auto"/>
        </w:pBdr>
        <w:spacing w:after="0" w:line="240" w:lineRule="auto"/>
      </w:pPr>
    </w:p>
    <w:p w14:paraId="74171B66" w14:textId="77777777" w:rsidR="00F87294" w:rsidRDefault="00F87294" w:rsidP="00EC4DB0">
      <w:pPr>
        <w:pBdr>
          <w:top w:val="single" w:sz="4" w:space="1" w:color="auto"/>
          <w:left w:val="single" w:sz="4" w:space="4" w:color="auto"/>
          <w:bottom w:val="single" w:sz="4" w:space="1" w:color="auto"/>
          <w:right w:val="single" w:sz="4" w:space="4" w:color="auto"/>
        </w:pBdr>
        <w:spacing w:after="0" w:line="240" w:lineRule="auto"/>
      </w:pPr>
    </w:p>
    <w:p w14:paraId="3582FB30" w14:textId="77777777" w:rsidR="00F87294" w:rsidRDefault="00F87294" w:rsidP="00EC4DB0">
      <w:pPr>
        <w:pBdr>
          <w:top w:val="single" w:sz="4" w:space="1" w:color="auto"/>
          <w:left w:val="single" w:sz="4" w:space="4" w:color="auto"/>
          <w:bottom w:val="single" w:sz="4" w:space="1" w:color="auto"/>
          <w:right w:val="single" w:sz="4" w:space="4" w:color="auto"/>
        </w:pBdr>
        <w:spacing w:after="0" w:line="240" w:lineRule="auto"/>
      </w:pPr>
    </w:p>
    <w:p w14:paraId="3D39CE9E" w14:textId="4048C118" w:rsidR="006F0B61" w:rsidRDefault="006F0B61" w:rsidP="004767F9">
      <w:pPr>
        <w:pBdr>
          <w:top w:val="single" w:sz="4" w:space="1" w:color="auto"/>
          <w:left w:val="single" w:sz="4" w:space="4" w:color="auto"/>
          <w:bottom w:val="single" w:sz="4" w:space="31" w:color="auto"/>
          <w:right w:val="single" w:sz="4" w:space="4" w:color="auto"/>
        </w:pBdr>
        <w:spacing w:line="240" w:lineRule="auto"/>
        <w:rPr>
          <w:b/>
        </w:rPr>
      </w:pPr>
      <w:r w:rsidRPr="00054998">
        <w:lastRenderedPageBreak/>
        <w:t xml:space="preserve">In assessing the relationship between the proportions of low SES patients enrolled in an ACO and ACO measure performance, we found that ACOs serving many low SES patients more often perform worse than the national rate compared with ACOs serving few low SES patients. This was true using either the AHRQ SES index </w:t>
      </w:r>
      <w:r w:rsidR="00B5501C">
        <w:rPr>
          <w:rFonts w:eastAsia="Trebuchet MS" w:cs="Trebuchet MS"/>
        </w:rPr>
        <w:t>(32.1% vs. 3.4%, respectively)</w:t>
      </w:r>
      <w:r w:rsidR="00B5501C">
        <w:t xml:space="preserve"> or Medicaid dual-</w:t>
      </w:r>
      <w:r w:rsidRPr="00054998">
        <w:t xml:space="preserve">eligibility status </w:t>
      </w:r>
      <w:r w:rsidR="00B5501C">
        <w:rPr>
          <w:rFonts w:eastAsia="Trebuchet MS" w:cs="Trebuchet MS"/>
        </w:rPr>
        <w:t>(</w:t>
      </w:r>
      <w:r w:rsidR="00521184">
        <w:rPr>
          <w:rFonts w:eastAsia="Trebuchet MS" w:cs="Trebuchet MS"/>
        </w:rPr>
        <w:t>28.6</w:t>
      </w:r>
      <w:r w:rsidR="00B5501C">
        <w:rPr>
          <w:rFonts w:eastAsia="Trebuchet MS" w:cs="Trebuchet MS"/>
        </w:rPr>
        <w:t>% vs. 3.</w:t>
      </w:r>
      <w:r w:rsidR="00521184">
        <w:rPr>
          <w:rFonts w:eastAsia="Trebuchet MS" w:cs="Trebuchet MS"/>
        </w:rPr>
        <w:t>4</w:t>
      </w:r>
      <w:r w:rsidR="00521184" w:rsidDel="00521184">
        <w:rPr>
          <w:rFonts w:eastAsia="Trebuchet MS" w:cs="Trebuchet MS"/>
        </w:rPr>
        <w:t xml:space="preserve"> </w:t>
      </w:r>
      <w:r w:rsidR="00B5501C">
        <w:rPr>
          <w:rFonts w:eastAsia="Trebuchet MS" w:cs="Trebuchet MS"/>
        </w:rPr>
        <w:t xml:space="preserve">%, respectively) </w:t>
      </w:r>
      <w:r w:rsidRPr="00054998">
        <w:t xml:space="preserve">as an indicator of patients’ SES. However, </w:t>
      </w:r>
      <w:r w:rsidR="00B5501C">
        <w:rPr>
          <w:rFonts w:eastAsia="Trebuchet MS" w:cs="Trebuchet MS"/>
        </w:rPr>
        <w:t xml:space="preserve">among ACOs serving many low SES patients, using the AHRQ SES index, </w:t>
      </w:r>
      <w:r w:rsidR="00521184">
        <w:rPr>
          <w:rFonts w:eastAsia="Trebuchet MS" w:cs="Trebuchet MS"/>
        </w:rPr>
        <w:t xml:space="preserve">8 </w:t>
      </w:r>
      <w:r w:rsidR="00B5501C">
        <w:rPr>
          <w:rFonts w:eastAsia="Trebuchet MS" w:cs="Trebuchet MS"/>
        </w:rPr>
        <w:t>ACOs (</w:t>
      </w:r>
      <w:r w:rsidR="00521184">
        <w:rPr>
          <w:rFonts w:eastAsia="Trebuchet MS" w:cs="Trebuchet MS"/>
        </w:rPr>
        <w:t>28.6</w:t>
      </w:r>
      <w:r w:rsidR="00B5501C">
        <w:rPr>
          <w:rFonts w:eastAsia="Trebuchet MS" w:cs="Trebuchet MS"/>
        </w:rPr>
        <w:t xml:space="preserve">%) performed </w:t>
      </w:r>
      <w:r w:rsidR="008C7A0C">
        <w:rPr>
          <w:rFonts w:eastAsia="Trebuchet MS" w:cs="Trebuchet MS"/>
        </w:rPr>
        <w:t>‘</w:t>
      </w:r>
      <w:r w:rsidR="00B5501C">
        <w:rPr>
          <w:rFonts w:eastAsia="Trebuchet MS" w:cs="Trebuchet MS"/>
        </w:rPr>
        <w:t>better than the national rate;</w:t>
      </w:r>
      <w:r w:rsidR="008C7A0C">
        <w:rPr>
          <w:rFonts w:eastAsia="Trebuchet MS" w:cs="Trebuchet MS"/>
        </w:rPr>
        <w:t>’</w:t>
      </w:r>
      <w:r w:rsidR="00B5501C">
        <w:rPr>
          <w:rFonts w:eastAsia="Trebuchet MS" w:cs="Trebuchet MS"/>
        </w:rPr>
        <w:t xml:space="preserve"> using Medicaid dual-eligibility status as an indicator, </w:t>
      </w:r>
      <w:r w:rsidR="00521184">
        <w:rPr>
          <w:rFonts w:eastAsia="Trebuchet MS" w:cs="Trebuchet MS"/>
        </w:rPr>
        <w:t xml:space="preserve">7 </w:t>
      </w:r>
      <w:r w:rsidR="00B5501C">
        <w:rPr>
          <w:rFonts w:eastAsia="Trebuchet MS" w:cs="Trebuchet MS"/>
        </w:rPr>
        <w:t>ACOs (</w:t>
      </w:r>
      <w:r w:rsidR="00521184">
        <w:rPr>
          <w:rFonts w:eastAsia="Trebuchet MS" w:cs="Trebuchet MS"/>
        </w:rPr>
        <w:t>25.0</w:t>
      </w:r>
      <w:r w:rsidR="00B5501C">
        <w:rPr>
          <w:rFonts w:eastAsia="Trebuchet MS" w:cs="Trebuchet MS"/>
        </w:rPr>
        <w:t xml:space="preserve">%) performed </w:t>
      </w:r>
      <w:r w:rsidR="00F87294">
        <w:rPr>
          <w:rFonts w:eastAsia="Trebuchet MS" w:cs="Trebuchet MS"/>
        </w:rPr>
        <w:t>‘</w:t>
      </w:r>
      <w:r w:rsidR="00B5501C">
        <w:rPr>
          <w:rFonts w:eastAsia="Trebuchet MS" w:cs="Trebuchet MS"/>
        </w:rPr>
        <w:t>better than the national rate.</w:t>
      </w:r>
      <w:r w:rsidR="00F87294">
        <w:rPr>
          <w:rFonts w:eastAsia="Trebuchet MS" w:cs="Trebuchet MS"/>
        </w:rPr>
        <w:t>’</w:t>
      </w:r>
    </w:p>
    <w:p w14:paraId="52C9F6C2" w14:textId="7686D344" w:rsidR="006F0B61" w:rsidRDefault="006F0B61" w:rsidP="00EC4DB0">
      <w:pPr>
        <w:pBdr>
          <w:top w:val="single" w:sz="4" w:space="1" w:color="auto"/>
          <w:left w:val="single" w:sz="4" w:space="4" w:color="auto"/>
          <w:bottom w:val="single" w:sz="4" w:space="31" w:color="auto"/>
          <w:right w:val="single" w:sz="4" w:space="4" w:color="auto"/>
        </w:pBdr>
        <w:spacing w:line="240" w:lineRule="auto"/>
      </w:pPr>
      <w:r w:rsidRPr="00003275">
        <w:rPr>
          <w:b/>
        </w:rPr>
        <w:t xml:space="preserve">Figure </w:t>
      </w:r>
      <w:r w:rsidRPr="00003275">
        <w:rPr>
          <w:b/>
        </w:rPr>
        <w:fldChar w:fldCharType="begin"/>
      </w:r>
      <w:r w:rsidRPr="00003275">
        <w:rPr>
          <w:b/>
        </w:rPr>
        <w:instrText xml:space="preserve"> SEQ Figure \* ARABIC </w:instrText>
      </w:r>
      <w:r w:rsidRPr="00003275">
        <w:rPr>
          <w:b/>
        </w:rPr>
        <w:fldChar w:fldCharType="separate"/>
      </w:r>
      <w:r w:rsidR="00B5501C">
        <w:rPr>
          <w:b/>
          <w:noProof/>
        </w:rPr>
        <w:t>5</w:t>
      </w:r>
      <w:r w:rsidRPr="00003275">
        <w:rPr>
          <w:b/>
        </w:rPr>
        <w:fldChar w:fldCharType="end"/>
      </w:r>
      <w:r w:rsidR="008C7A0C">
        <w:rPr>
          <w:b/>
        </w:rPr>
        <w:t xml:space="preserve">. </w:t>
      </w:r>
      <w:r w:rsidRPr="00003275">
        <w:rPr>
          <w:b/>
        </w:rPr>
        <w:t>Boxplot</w:t>
      </w:r>
      <w:r w:rsidR="00E46463">
        <w:rPr>
          <w:b/>
        </w:rPr>
        <w:t>s</w:t>
      </w:r>
      <w:r w:rsidRPr="00003275">
        <w:rPr>
          <w:b/>
        </w:rPr>
        <w:t xml:space="preserve"> of risk-standardized acute admission rates (RSAARs), comparing ACOs with varying proportions of low SES patients wit</w:t>
      </w:r>
      <w:r w:rsidRPr="007D004F">
        <w:rPr>
          <w:b/>
        </w:rPr>
        <w:t xml:space="preserve">h </w:t>
      </w:r>
      <w:r w:rsidR="00B5501C" w:rsidRPr="007D004F">
        <w:rPr>
          <w:b/>
        </w:rPr>
        <w:t>diabetes</w:t>
      </w:r>
      <w:r w:rsidRPr="007D004F">
        <w:rPr>
          <w:b/>
        </w:rPr>
        <w:t xml:space="preserve"> </w:t>
      </w:r>
      <w:r w:rsidRPr="00003275">
        <w:rPr>
          <w:b/>
        </w:rPr>
        <w:t>(based on AHRQ SES Index; Quartile 1 [Q1]: ACOs with few low SES patients; Quartile 4 [Q4]: ACOs with many low SES patients)</w:t>
      </w:r>
      <w:r w:rsidRPr="00EC1960">
        <w:rPr>
          <w:noProof/>
        </w:rPr>
        <w:t xml:space="preserve"> </w:t>
      </w:r>
      <w:r w:rsidR="00973860" w:rsidRPr="00F77285">
        <w:rPr>
          <w:noProof/>
        </w:rPr>
        <w:drawing>
          <wp:inline distT="0" distB="0" distL="0" distR="0" wp14:anchorId="1A762ECE" wp14:editId="7108363D">
            <wp:extent cx="3366770" cy="30398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1">
                      <a:extLst>
                        <a:ext uri="{28A0092B-C50C-407E-A947-70E740481C1C}">
                          <a14:useLocalDpi xmlns:a14="http://schemas.microsoft.com/office/drawing/2010/main" val="0"/>
                        </a:ext>
                      </a:extLst>
                    </a:blip>
                    <a:srcRect t="9574"/>
                    <a:stretch/>
                  </pic:blipFill>
                  <pic:spPr bwMode="auto">
                    <a:xfrm>
                      <a:off x="0" y="0"/>
                      <a:ext cx="3386955" cy="3058117"/>
                    </a:xfrm>
                    <a:prstGeom prst="rect">
                      <a:avLst/>
                    </a:prstGeom>
                    <a:noFill/>
                    <a:ln>
                      <a:noFill/>
                    </a:ln>
                    <a:extLst>
                      <a:ext uri="{53640926-AAD7-44D8-BBD7-CCE9431645EC}">
                        <a14:shadowObscured xmlns:a14="http://schemas.microsoft.com/office/drawing/2010/main"/>
                      </a:ext>
                    </a:extLst>
                  </pic:spPr>
                </pic:pic>
              </a:graphicData>
            </a:graphic>
          </wp:inline>
        </w:drawing>
      </w:r>
    </w:p>
    <w:p w14:paraId="07F67C4F" w14:textId="77777777" w:rsidR="00185051" w:rsidRDefault="00185051" w:rsidP="00EC4DB0">
      <w:pPr>
        <w:pBdr>
          <w:top w:val="single" w:sz="4" w:space="1" w:color="auto"/>
          <w:left w:val="single" w:sz="4" w:space="4" w:color="auto"/>
          <w:bottom w:val="single" w:sz="4" w:space="31" w:color="auto"/>
          <w:right w:val="single" w:sz="4" w:space="4" w:color="auto"/>
        </w:pBdr>
        <w:spacing w:line="240" w:lineRule="auto"/>
        <w:rPr>
          <w:b/>
        </w:rPr>
      </w:pPr>
    </w:p>
    <w:p w14:paraId="160BA71D" w14:textId="77777777" w:rsidR="00185051" w:rsidRDefault="00185051" w:rsidP="00EC4DB0">
      <w:pPr>
        <w:pBdr>
          <w:top w:val="single" w:sz="4" w:space="1" w:color="auto"/>
          <w:left w:val="single" w:sz="4" w:space="4" w:color="auto"/>
          <w:bottom w:val="single" w:sz="4" w:space="31" w:color="auto"/>
          <w:right w:val="single" w:sz="4" w:space="4" w:color="auto"/>
        </w:pBdr>
        <w:spacing w:line="240" w:lineRule="auto"/>
        <w:rPr>
          <w:b/>
        </w:rPr>
      </w:pPr>
    </w:p>
    <w:p w14:paraId="5816B0CA" w14:textId="77777777" w:rsidR="00185051" w:rsidRDefault="00185051" w:rsidP="00EC4DB0">
      <w:pPr>
        <w:pBdr>
          <w:top w:val="single" w:sz="4" w:space="1" w:color="auto"/>
          <w:left w:val="single" w:sz="4" w:space="4" w:color="auto"/>
          <w:bottom w:val="single" w:sz="4" w:space="31" w:color="auto"/>
          <w:right w:val="single" w:sz="4" w:space="4" w:color="auto"/>
        </w:pBdr>
        <w:spacing w:line="240" w:lineRule="auto"/>
        <w:rPr>
          <w:b/>
        </w:rPr>
      </w:pPr>
    </w:p>
    <w:p w14:paraId="79892A7E" w14:textId="77777777" w:rsidR="00185051" w:rsidRDefault="00185051" w:rsidP="00EC4DB0">
      <w:pPr>
        <w:pBdr>
          <w:top w:val="single" w:sz="4" w:space="1" w:color="auto"/>
          <w:left w:val="single" w:sz="4" w:space="4" w:color="auto"/>
          <w:bottom w:val="single" w:sz="4" w:space="31" w:color="auto"/>
          <w:right w:val="single" w:sz="4" w:space="4" w:color="auto"/>
        </w:pBdr>
        <w:spacing w:line="240" w:lineRule="auto"/>
        <w:rPr>
          <w:b/>
        </w:rPr>
      </w:pPr>
    </w:p>
    <w:p w14:paraId="1E30204F" w14:textId="77777777" w:rsidR="00185051" w:rsidRDefault="00185051" w:rsidP="00EC4DB0">
      <w:pPr>
        <w:pBdr>
          <w:top w:val="single" w:sz="4" w:space="1" w:color="auto"/>
          <w:left w:val="single" w:sz="4" w:space="4" w:color="auto"/>
          <w:bottom w:val="single" w:sz="4" w:space="31" w:color="auto"/>
          <w:right w:val="single" w:sz="4" w:space="4" w:color="auto"/>
        </w:pBdr>
        <w:spacing w:line="240" w:lineRule="auto"/>
        <w:rPr>
          <w:b/>
        </w:rPr>
      </w:pPr>
    </w:p>
    <w:p w14:paraId="375425FB" w14:textId="77777777" w:rsidR="00185051" w:rsidRDefault="00185051" w:rsidP="00EC4DB0">
      <w:pPr>
        <w:pBdr>
          <w:top w:val="single" w:sz="4" w:space="1" w:color="auto"/>
          <w:left w:val="single" w:sz="4" w:space="4" w:color="auto"/>
          <w:bottom w:val="single" w:sz="4" w:space="31" w:color="auto"/>
          <w:right w:val="single" w:sz="4" w:space="4" w:color="auto"/>
        </w:pBdr>
        <w:spacing w:line="240" w:lineRule="auto"/>
        <w:rPr>
          <w:b/>
        </w:rPr>
      </w:pPr>
    </w:p>
    <w:p w14:paraId="352D2C62" w14:textId="77777777" w:rsidR="00973860" w:rsidRDefault="00973860" w:rsidP="00EC4DB0">
      <w:pPr>
        <w:pBdr>
          <w:top w:val="single" w:sz="4" w:space="1" w:color="auto"/>
          <w:left w:val="single" w:sz="4" w:space="4" w:color="auto"/>
          <w:bottom w:val="single" w:sz="4" w:space="31" w:color="auto"/>
          <w:right w:val="single" w:sz="4" w:space="4" w:color="auto"/>
        </w:pBdr>
        <w:spacing w:line="240" w:lineRule="auto"/>
        <w:rPr>
          <w:b/>
        </w:rPr>
        <w:sectPr w:rsidR="00973860" w:rsidSect="008505D1">
          <w:pgSz w:w="12240" w:h="15840"/>
          <w:pgMar w:top="1440" w:right="1440" w:bottom="1440" w:left="1440" w:header="720" w:footer="720" w:gutter="0"/>
          <w:cols w:space="720"/>
          <w:docGrid w:linePitch="360"/>
        </w:sectPr>
      </w:pPr>
    </w:p>
    <w:p w14:paraId="2338B955" w14:textId="2866458C" w:rsidR="00185051" w:rsidRDefault="006F0B61" w:rsidP="007A561A">
      <w:pPr>
        <w:pBdr>
          <w:top w:val="single" w:sz="4" w:space="1" w:color="auto"/>
          <w:left w:val="single" w:sz="4" w:space="4" w:color="auto"/>
          <w:bottom w:val="single" w:sz="4" w:space="31" w:color="auto"/>
          <w:right w:val="single" w:sz="4" w:space="4" w:color="auto"/>
        </w:pBdr>
        <w:spacing w:after="0" w:line="240" w:lineRule="auto"/>
        <w:rPr>
          <w:b/>
        </w:rPr>
      </w:pPr>
      <w:r w:rsidRPr="00003275">
        <w:rPr>
          <w:b/>
        </w:rPr>
        <w:lastRenderedPageBreak/>
        <w:t xml:space="preserve">Figure </w:t>
      </w:r>
      <w:r w:rsidRPr="00003275">
        <w:rPr>
          <w:b/>
        </w:rPr>
        <w:fldChar w:fldCharType="begin"/>
      </w:r>
      <w:r w:rsidRPr="00003275">
        <w:rPr>
          <w:b/>
        </w:rPr>
        <w:instrText xml:space="preserve"> SEQ Figure \* ARABIC </w:instrText>
      </w:r>
      <w:r w:rsidRPr="00003275">
        <w:rPr>
          <w:b/>
        </w:rPr>
        <w:fldChar w:fldCharType="separate"/>
      </w:r>
      <w:r>
        <w:rPr>
          <w:b/>
          <w:noProof/>
        </w:rPr>
        <w:t>6</w:t>
      </w:r>
      <w:r w:rsidRPr="00003275">
        <w:rPr>
          <w:b/>
        </w:rPr>
        <w:fldChar w:fldCharType="end"/>
      </w:r>
      <w:r w:rsidRPr="00003275">
        <w:rPr>
          <w:b/>
        </w:rPr>
        <w:t xml:space="preserve">. </w:t>
      </w:r>
      <w:r w:rsidRPr="00054998">
        <w:rPr>
          <w:b/>
        </w:rPr>
        <w:t>Boxplot</w:t>
      </w:r>
      <w:r w:rsidR="00E46463">
        <w:rPr>
          <w:b/>
        </w:rPr>
        <w:t>s</w:t>
      </w:r>
      <w:r w:rsidRPr="00054998">
        <w:rPr>
          <w:b/>
        </w:rPr>
        <w:t xml:space="preserve"> of risk-standardized acute admission rates (RSAARs), comparing ACOs with varying proportions of Medicaid dual-eligible patients with </w:t>
      </w:r>
      <w:r w:rsidR="00B5501C" w:rsidRPr="007D004F">
        <w:rPr>
          <w:b/>
          <w:u w:val="single"/>
        </w:rPr>
        <w:t>diabetes</w:t>
      </w:r>
      <w:r w:rsidRPr="007D004F">
        <w:rPr>
          <w:b/>
          <w:u w:val="single"/>
        </w:rPr>
        <w:t xml:space="preserve"> (</w:t>
      </w:r>
      <w:r w:rsidRPr="00054998">
        <w:rPr>
          <w:b/>
        </w:rPr>
        <w:t>Quartile 1 [Q1]: ACOs with few Medicaid dual-eligible patients; Quartile 4 [Q4]: ACOs with many Medicaid dual- eligible patients)</w:t>
      </w:r>
    </w:p>
    <w:p w14:paraId="24E10BF7" w14:textId="506FE55C" w:rsidR="006F0B61" w:rsidRDefault="00973860" w:rsidP="00EC4DB0">
      <w:pPr>
        <w:pBdr>
          <w:top w:val="single" w:sz="4" w:space="1" w:color="auto"/>
          <w:left w:val="single" w:sz="4" w:space="4" w:color="auto"/>
          <w:bottom w:val="single" w:sz="4" w:space="31" w:color="auto"/>
          <w:right w:val="single" w:sz="4" w:space="4" w:color="auto"/>
        </w:pBdr>
        <w:spacing w:line="240" w:lineRule="auto"/>
        <w:rPr>
          <w:u w:val="single"/>
        </w:rPr>
      </w:pPr>
      <w:r w:rsidRPr="00CF7EF8">
        <w:rPr>
          <w:noProof/>
        </w:rPr>
        <w:drawing>
          <wp:inline distT="0" distB="0" distL="0" distR="0" wp14:anchorId="6FBEE20C" wp14:editId="348E2E13">
            <wp:extent cx="3324090" cy="304848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2">
                      <a:extLst>
                        <a:ext uri="{28A0092B-C50C-407E-A947-70E740481C1C}">
                          <a14:useLocalDpi xmlns:a14="http://schemas.microsoft.com/office/drawing/2010/main" val="0"/>
                        </a:ext>
                      </a:extLst>
                    </a:blip>
                    <a:srcRect t="8154"/>
                    <a:stretch/>
                  </pic:blipFill>
                  <pic:spPr bwMode="auto">
                    <a:xfrm>
                      <a:off x="0" y="0"/>
                      <a:ext cx="3338164" cy="3061390"/>
                    </a:xfrm>
                    <a:prstGeom prst="rect">
                      <a:avLst/>
                    </a:prstGeom>
                    <a:noFill/>
                    <a:ln>
                      <a:noFill/>
                    </a:ln>
                    <a:extLst>
                      <a:ext uri="{53640926-AAD7-44D8-BBD7-CCE9431645EC}">
                        <a14:shadowObscured xmlns:a14="http://schemas.microsoft.com/office/drawing/2010/main"/>
                      </a:ext>
                    </a:extLst>
                  </pic:spPr>
                </pic:pic>
              </a:graphicData>
            </a:graphic>
          </wp:inline>
        </w:drawing>
      </w:r>
    </w:p>
    <w:p w14:paraId="2773A839" w14:textId="77777777" w:rsidR="006F0B61" w:rsidRDefault="006F0B61" w:rsidP="00EC4DB0">
      <w:pPr>
        <w:spacing w:after="0" w:line="240" w:lineRule="auto"/>
        <w:rPr>
          <w:rFonts w:cstheme="minorHAnsi"/>
          <w:b/>
          <w:bCs/>
        </w:rPr>
      </w:pPr>
    </w:p>
    <w:p w14:paraId="22225376" w14:textId="3389A1B8" w:rsidR="006F0B61" w:rsidRDefault="006F0B61" w:rsidP="00EC4DB0">
      <w:pPr>
        <w:spacing w:after="0" w:line="240" w:lineRule="auto"/>
        <w:rPr>
          <w:rFonts w:cstheme="minorHAnsi"/>
          <w:bCs/>
        </w:rPr>
      </w:pPr>
      <w:r>
        <w:rPr>
          <w:rFonts w:cstheme="minorHAnsi"/>
          <w:b/>
          <w:bCs/>
        </w:rPr>
        <w:t>2b4.5. Describe the method of</w:t>
      </w:r>
      <w:r w:rsidRPr="00A25024">
        <w:rPr>
          <w:rFonts w:cstheme="minorHAnsi"/>
          <w:b/>
          <w:bCs/>
        </w:rPr>
        <w:t xml:space="preserve"> </w:t>
      </w:r>
      <w:r>
        <w:rPr>
          <w:rFonts w:cstheme="minorHAnsi"/>
          <w:b/>
          <w:bCs/>
        </w:rPr>
        <w:t xml:space="preserve">testing/analysis used </w:t>
      </w:r>
      <w:r w:rsidRPr="00A25024">
        <w:rPr>
          <w:rFonts w:cstheme="minorHAnsi"/>
          <w:b/>
          <w:bCs/>
        </w:rPr>
        <w:t xml:space="preserve">to develop and validate the adequacy of the statistical model </w:t>
      </w:r>
      <w:r w:rsidRPr="006C3A4F">
        <w:rPr>
          <w:rFonts w:cstheme="minorHAnsi"/>
          <w:b/>
          <w:bCs/>
          <w:u w:val="single"/>
        </w:rPr>
        <w:t>or</w:t>
      </w:r>
      <w:r w:rsidRPr="00A25024">
        <w:rPr>
          <w:rFonts w:cstheme="minorHAnsi"/>
          <w:b/>
          <w:bCs/>
        </w:rPr>
        <w:t xml:space="preserve"> stratification approach</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p>
    <w:p w14:paraId="0778D451" w14:textId="77777777" w:rsidR="006F0B61" w:rsidRDefault="006F0B61" w:rsidP="00EC4DB0">
      <w:pPr>
        <w:spacing w:after="0" w:line="240" w:lineRule="auto"/>
        <w:rPr>
          <w:u w:val="single"/>
        </w:rPr>
      </w:pPr>
    </w:p>
    <w:p w14:paraId="70C230DC" w14:textId="77777777" w:rsidR="006F0B61" w:rsidRPr="003E01FE" w:rsidRDefault="006F0B61" w:rsidP="004767F9">
      <w:pPr>
        <w:pBdr>
          <w:top w:val="single" w:sz="4" w:space="1" w:color="auto"/>
          <w:left w:val="single" w:sz="4" w:space="4" w:color="auto"/>
          <w:bottom w:val="single" w:sz="4" w:space="1" w:color="auto"/>
          <w:right w:val="single" w:sz="4" w:space="4" w:color="auto"/>
        </w:pBdr>
        <w:spacing w:after="0" w:line="240" w:lineRule="auto"/>
      </w:pPr>
      <w:r w:rsidRPr="003E01FE">
        <w:t xml:space="preserve">We assessed adequacy of the patient-level risk-adjustment model (described above). We evaluated model performance first in the 2012 Development Sample. We then validated the model performance in the 2012 Validation Sample. </w:t>
      </w:r>
    </w:p>
    <w:p w14:paraId="64D96919" w14:textId="77777777" w:rsidR="006F0B61" w:rsidRPr="003E01FE" w:rsidRDefault="006F0B61" w:rsidP="004767F9">
      <w:pPr>
        <w:pBdr>
          <w:top w:val="single" w:sz="4" w:space="1" w:color="auto"/>
          <w:left w:val="single" w:sz="4" w:space="4" w:color="auto"/>
          <w:bottom w:val="single" w:sz="4" w:space="1" w:color="auto"/>
          <w:right w:val="single" w:sz="4" w:space="4" w:color="auto"/>
        </w:pBdr>
        <w:spacing w:after="0" w:line="240" w:lineRule="auto"/>
      </w:pPr>
    </w:p>
    <w:p w14:paraId="03A1C39F" w14:textId="77777777" w:rsidR="006F0B61" w:rsidRPr="003E01FE" w:rsidRDefault="006F0B61" w:rsidP="004767F9">
      <w:pPr>
        <w:pBdr>
          <w:top w:val="single" w:sz="4" w:space="1" w:color="auto"/>
          <w:left w:val="single" w:sz="4" w:space="4" w:color="auto"/>
          <w:bottom w:val="single" w:sz="4" w:space="1" w:color="auto"/>
          <w:right w:val="single" w:sz="4" w:space="4" w:color="auto"/>
        </w:pBdr>
        <w:spacing w:after="0" w:line="240" w:lineRule="auto"/>
      </w:pPr>
      <w:r w:rsidRPr="003E01FE">
        <w:t xml:space="preserve">The measure uses </w:t>
      </w:r>
      <w:r w:rsidRPr="003E01FE">
        <w:rPr>
          <w:rFonts w:eastAsia="SimSun" w:hint="eastAsia"/>
          <w:lang w:eastAsia="zh-CN"/>
        </w:rPr>
        <w:t>the number</w:t>
      </w:r>
      <w:r w:rsidRPr="003E01FE">
        <w:t xml:space="preserve"> of acute unplanned hospital admissions per </w:t>
      </w:r>
      <w:r w:rsidRPr="00F24E7B">
        <w:t>person-year</w:t>
      </w:r>
      <w:r w:rsidRPr="003E01FE">
        <w:t xml:space="preserve"> at risk for admission. Because the outcome is a count of hospital admissions – rather than a binary outcome, such as whether or not a patient has been admitted – several routinely used metrics of model performance cannot be applied (for example, we cannot use a c-statistic). </w:t>
      </w:r>
    </w:p>
    <w:p w14:paraId="6FDA4E93" w14:textId="77777777" w:rsidR="006F0B61" w:rsidRPr="003E01FE" w:rsidRDefault="006F0B61" w:rsidP="004767F9">
      <w:pPr>
        <w:pBdr>
          <w:top w:val="single" w:sz="4" w:space="1" w:color="auto"/>
          <w:left w:val="single" w:sz="4" w:space="4" w:color="auto"/>
          <w:bottom w:val="single" w:sz="4" w:space="1" w:color="auto"/>
          <w:right w:val="single" w:sz="4" w:space="4" w:color="auto"/>
        </w:pBdr>
        <w:spacing w:after="0" w:line="240" w:lineRule="auto"/>
      </w:pPr>
    </w:p>
    <w:p w14:paraId="250556DD" w14:textId="32BC93BD" w:rsidR="006F0B61" w:rsidRPr="003E01FE" w:rsidRDefault="006F0B61" w:rsidP="004767F9">
      <w:pPr>
        <w:pBdr>
          <w:top w:val="single" w:sz="4" w:space="1" w:color="auto"/>
          <w:left w:val="single" w:sz="4" w:space="4" w:color="auto"/>
          <w:bottom w:val="single" w:sz="4" w:space="1" w:color="auto"/>
          <w:right w:val="single" w:sz="4" w:space="4" w:color="auto"/>
        </w:pBdr>
        <w:spacing w:after="0" w:line="240" w:lineRule="auto"/>
      </w:pPr>
      <w:r w:rsidRPr="003E01FE">
        <w:t xml:space="preserve">Using the 2012 Development Sample, we computed two summary statistics for assessing the risk-adjustment model performance: goodness-of-fit statistics (deviance R squared) and overfitting indices. We then compared the model performance in the development sample with its performance in the validation sample. </w:t>
      </w:r>
    </w:p>
    <w:p w14:paraId="58E220B2" w14:textId="77777777" w:rsidR="006F0B61" w:rsidRPr="003E01FE" w:rsidRDefault="006F0B61" w:rsidP="004767F9">
      <w:pPr>
        <w:pBdr>
          <w:top w:val="single" w:sz="4" w:space="1" w:color="auto"/>
          <w:left w:val="single" w:sz="4" w:space="4" w:color="auto"/>
          <w:bottom w:val="single" w:sz="4" w:space="1" w:color="auto"/>
          <w:right w:val="single" w:sz="4" w:space="4" w:color="auto"/>
        </w:pBdr>
        <w:spacing w:after="0" w:line="240" w:lineRule="auto"/>
      </w:pPr>
    </w:p>
    <w:p w14:paraId="760D2048" w14:textId="077C77DB" w:rsidR="006F0B61" w:rsidRPr="003E01FE" w:rsidRDefault="006F0B61" w:rsidP="004767F9">
      <w:pPr>
        <w:pBdr>
          <w:top w:val="single" w:sz="4" w:space="1" w:color="auto"/>
          <w:left w:val="single" w:sz="4" w:space="4" w:color="auto"/>
          <w:bottom w:val="single" w:sz="4" w:space="1" w:color="auto"/>
          <w:right w:val="single" w:sz="4" w:space="4" w:color="auto"/>
        </w:pBdr>
        <w:spacing w:after="0" w:line="240" w:lineRule="auto"/>
        <w:rPr>
          <w:u w:val="single"/>
        </w:rPr>
      </w:pPr>
      <w:r w:rsidRPr="003E01FE">
        <w:rPr>
          <w:u w:val="single"/>
        </w:rPr>
        <w:t>Deviance R squared</w:t>
      </w:r>
    </w:p>
    <w:p w14:paraId="709C5F44" w14:textId="05862111" w:rsidR="006F0B61" w:rsidRPr="00EF378C" w:rsidRDefault="006F0B61" w:rsidP="004767F9">
      <w:pPr>
        <w:pBdr>
          <w:top w:val="single" w:sz="4" w:space="1" w:color="auto"/>
          <w:left w:val="single" w:sz="4" w:space="4" w:color="auto"/>
          <w:bottom w:val="single" w:sz="4" w:space="1" w:color="auto"/>
          <w:right w:val="single" w:sz="4" w:space="4" w:color="auto"/>
        </w:pBdr>
        <w:spacing w:after="0" w:line="240" w:lineRule="auto"/>
      </w:pPr>
      <w:r w:rsidRPr="003E01FE">
        <w:t>Our measure uses a negative binomial function because the outcome is a count of hospital admissions</w:t>
      </w:r>
      <w:r w:rsidRPr="003E01FE">
        <w:rPr>
          <w:rFonts w:eastAsia="SimSun" w:hint="eastAsia"/>
          <w:lang w:eastAsia="zh-CN"/>
        </w:rPr>
        <w:t xml:space="preserve"> with over</w:t>
      </w:r>
      <w:r w:rsidRPr="003E01FE">
        <w:rPr>
          <w:rFonts w:eastAsia="SimSun"/>
          <w:lang w:eastAsia="zh-CN"/>
        </w:rPr>
        <w:t>-</w:t>
      </w:r>
      <w:r w:rsidRPr="003E01FE">
        <w:rPr>
          <w:rFonts w:eastAsia="SimSun" w:hint="eastAsia"/>
          <w:lang w:eastAsia="zh-CN"/>
        </w:rPr>
        <w:t>dispersion</w:t>
      </w:r>
      <w:r w:rsidRPr="003E01FE">
        <w:t>.</w:t>
      </w:r>
      <w:r w:rsidRPr="003E01FE">
        <w:rPr>
          <w:rFonts w:eastAsia="SimSun" w:hint="eastAsia"/>
          <w:lang w:eastAsia="zh-CN"/>
        </w:rPr>
        <w:t xml:space="preserve"> We calc</w:t>
      </w:r>
      <w:r>
        <w:rPr>
          <w:rFonts w:eastAsia="SimSun" w:hint="eastAsia"/>
          <w:lang w:eastAsia="zh-CN"/>
        </w:rPr>
        <w:t>ulate</w:t>
      </w:r>
      <w:r>
        <w:rPr>
          <w:rFonts w:eastAsia="SimSun"/>
          <w:lang w:eastAsia="zh-CN"/>
        </w:rPr>
        <w:t>d</w:t>
      </w:r>
      <w:r>
        <w:rPr>
          <w:rFonts w:eastAsia="SimSun" w:hint="eastAsia"/>
          <w:lang w:eastAsia="zh-CN"/>
        </w:rPr>
        <w:t xml:space="preserve"> deviance R squared using the deviance residual defined by Cameron [</w:t>
      </w:r>
      <w:r>
        <w:rPr>
          <w:rFonts w:eastAsia="SimSun"/>
          <w:lang w:eastAsia="zh-CN"/>
        </w:rPr>
        <w:t>1</w:t>
      </w:r>
      <w:r>
        <w:rPr>
          <w:rFonts w:eastAsia="SimSun" w:hint="eastAsia"/>
          <w:lang w:eastAsia="zh-CN"/>
        </w:rPr>
        <w:t>]</w:t>
      </w:r>
      <w:r>
        <w:t xml:space="preserve">. </w:t>
      </w:r>
      <w:r w:rsidRPr="00831BD0">
        <w:t xml:space="preserve">The </w:t>
      </w:r>
      <w:r>
        <w:t>deviance R square</w:t>
      </w:r>
      <w:r>
        <w:rPr>
          <w:rFonts w:eastAsia="SimSun" w:hint="eastAsia"/>
          <w:lang w:eastAsia="zh-CN"/>
        </w:rPr>
        <w:t>d</w:t>
      </w:r>
      <w:r>
        <w:rPr>
          <w:rFonts w:eastAsia="SimSun"/>
          <w:lang w:eastAsia="zh-CN"/>
        </w:rPr>
        <w:t xml:space="preserve"> </w:t>
      </w:r>
      <w:r w:rsidRPr="00831BD0">
        <w:t xml:space="preserve">evaluates how successful the fit is in explaining the variation of the data. </w:t>
      </w:r>
      <w:r>
        <w:t xml:space="preserve">Deviance R squared </w:t>
      </w:r>
      <w:r w:rsidRPr="00831BD0">
        <w:t xml:space="preserve">can take on any value between 0 and 1, with a value closer to 1 indicating that a </w:t>
      </w:r>
      <w:r w:rsidRPr="00831BD0">
        <w:lastRenderedPageBreak/>
        <w:t xml:space="preserve">greater proportion of </w:t>
      </w:r>
      <w:r>
        <w:t>deviance</w:t>
      </w:r>
      <w:r w:rsidRPr="00831BD0">
        <w:t xml:space="preserve"> is accounted for by the model. For example, a </w:t>
      </w:r>
      <w:r>
        <w:t xml:space="preserve">deviance R squared </w:t>
      </w:r>
      <w:r w:rsidRPr="00831BD0">
        <w:t>value of 0.</w:t>
      </w:r>
      <w:r w:rsidR="00D7691C">
        <w:t>21</w:t>
      </w:r>
      <w:r w:rsidR="00D7691C" w:rsidRPr="00831BD0">
        <w:t xml:space="preserve"> </w:t>
      </w:r>
      <w:r w:rsidRPr="00831BD0">
        <w:t xml:space="preserve">means that the fit explains </w:t>
      </w:r>
      <w:r w:rsidR="00D7691C">
        <w:t>21</w:t>
      </w:r>
      <w:r w:rsidRPr="00831BD0">
        <w:t xml:space="preserve">% of the total </w:t>
      </w:r>
      <w:r>
        <w:t>deviance</w:t>
      </w:r>
      <w:r w:rsidRPr="00831BD0">
        <w:t>.</w:t>
      </w:r>
    </w:p>
    <w:p w14:paraId="39FFB04F" w14:textId="77777777" w:rsidR="006F0B61" w:rsidRPr="00EF378C" w:rsidRDefault="006F0B61" w:rsidP="004767F9">
      <w:pPr>
        <w:pBdr>
          <w:top w:val="single" w:sz="4" w:space="1" w:color="auto"/>
          <w:left w:val="single" w:sz="4" w:space="4" w:color="auto"/>
          <w:bottom w:val="single" w:sz="4" w:space="1" w:color="auto"/>
          <w:right w:val="single" w:sz="4" w:space="4" w:color="auto"/>
        </w:pBdr>
        <w:spacing w:after="0" w:line="240" w:lineRule="auto"/>
      </w:pPr>
    </w:p>
    <w:p w14:paraId="211BA33D" w14:textId="77777777" w:rsidR="006F0B61" w:rsidRPr="00187269" w:rsidRDefault="006F0B61" w:rsidP="004767F9">
      <w:pPr>
        <w:pBdr>
          <w:top w:val="single" w:sz="4" w:space="1" w:color="auto"/>
          <w:left w:val="single" w:sz="4" w:space="4" w:color="auto"/>
          <w:bottom w:val="single" w:sz="4" w:space="1" w:color="auto"/>
          <w:right w:val="single" w:sz="4" w:space="4" w:color="auto"/>
        </w:pBdr>
        <w:spacing w:after="0" w:line="240" w:lineRule="auto"/>
        <w:rPr>
          <w:u w:val="single"/>
        </w:rPr>
      </w:pPr>
      <w:r w:rsidRPr="00187269">
        <w:rPr>
          <w:u w:val="single"/>
        </w:rPr>
        <w:t>Overfitting</w:t>
      </w:r>
      <w:r>
        <w:rPr>
          <w:u w:val="single"/>
        </w:rPr>
        <w:t xml:space="preserve"> indices</w:t>
      </w:r>
    </w:p>
    <w:p w14:paraId="3C521B26" w14:textId="77777777" w:rsidR="006F0B61" w:rsidRDefault="006F0B61" w:rsidP="004767F9">
      <w:pPr>
        <w:pBdr>
          <w:top w:val="single" w:sz="4" w:space="1" w:color="auto"/>
          <w:left w:val="single" w:sz="4" w:space="4" w:color="auto"/>
          <w:bottom w:val="single" w:sz="4" w:space="1" w:color="auto"/>
          <w:right w:val="single" w:sz="4" w:space="4" w:color="auto"/>
        </w:pBdr>
        <w:spacing w:after="0" w:line="240" w:lineRule="auto"/>
      </w:pPr>
      <w:r>
        <w:t>O</w:t>
      </w:r>
      <w:r w:rsidRPr="00BB0FE1">
        <w:t xml:space="preserve">verfitting refers to the phenomenon in which a model accurately describes the relationship between </w:t>
      </w:r>
      <w:r>
        <w:t xml:space="preserve">the </w:t>
      </w:r>
      <w:r w:rsidRPr="00BB0FE1">
        <w:t xml:space="preserve">predictive variables and </w:t>
      </w:r>
      <w:r>
        <w:t xml:space="preserve">the </w:t>
      </w:r>
      <w:r w:rsidRPr="00BB0FE1">
        <w:t>outcome in the development dataset</w:t>
      </w:r>
      <w:r>
        <w:t>,</w:t>
      </w:r>
      <w:r w:rsidRPr="00BB0FE1">
        <w:t xml:space="preserve"> but fails to provide valid predictions in new patients</w:t>
      </w:r>
      <w:r>
        <w:t xml:space="preserve">.  </w:t>
      </w:r>
    </w:p>
    <w:p w14:paraId="34E85F4A" w14:textId="77777777" w:rsidR="006F0B61" w:rsidRDefault="006F0B61" w:rsidP="004767F9">
      <w:pPr>
        <w:pBdr>
          <w:top w:val="single" w:sz="4" w:space="1" w:color="auto"/>
          <w:left w:val="single" w:sz="4" w:space="4" w:color="auto"/>
          <w:bottom w:val="single" w:sz="4" w:space="1" w:color="auto"/>
          <w:right w:val="single" w:sz="4" w:space="4" w:color="auto"/>
        </w:pBdr>
        <w:spacing w:after="0" w:line="240" w:lineRule="auto"/>
      </w:pPr>
    </w:p>
    <w:p w14:paraId="519C7598" w14:textId="77777777" w:rsidR="006F0B61" w:rsidRPr="00187269" w:rsidRDefault="006F0B61" w:rsidP="004767F9">
      <w:pPr>
        <w:pBdr>
          <w:top w:val="single" w:sz="4" w:space="1" w:color="auto"/>
          <w:left w:val="single" w:sz="4" w:space="4" w:color="auto"/>
          <w:bottom w:val="single" w:sz="4" w:space="1" w:color="auto"/>
          <w:right w:val="single" w:sz="4" w:space="4" w:color="auto"/>
        </w:pBdr>
        <w:spacing w:after="0" w:line="240" w:lineRule="auto"/>
        <w:rPr>
          <w:u w:val="single"/>
        </w:rPr>
      </w:pPr>
      <w:r w:rsidRPr="00187269">
        <w:rPr>
          <w:u w:val="single"/>
        </w:rPr>
        <w:t>Model performance among patients at different risk of admission</w:t>
      </w:r>
    </w:p>
    <w:p w14:paraId="7A582EA4" w14:textId="77777777" w:rsidR="006F0B61" w:rsidRDefault="006F0B61" w:rsidP="004767F9">
      <w:pPr>
        <w:pBdr>
          <w:top w:val="single" w:sz="4" w:space="1" w:color="auto"/>
          <w:left w:val="single" w:sz="4" w:space="4" w:color="auto"/>
          <w:bottom w:val="single" w:sz="4" w:space="1" w:color="auto"/>
          <w:right w:val="single" w:sz="4" w:space="4" w:color="auto"/>
        </w:pBdr>
        <w:spacing w:after="0" w:line="240" w:lineRule="auto"/>
      </w:pPr>
      <w:r>
        <w:t xml:space="preserve">In order to determine whether the model performs well across groups of patients at different risk of admission, the sample was divided into quartiles of predicted admission rate (highest, second highest, lowest, and second lowest). We then assessed the model probability of the number of admissions compared with the observed probability of the number of admissions. </w:t>
      </w:r>
    </w:p>
    <w:p w14:paraId="24025565" w14:textId="77777777" w:rsidR="006F0B61" w:rsidRDefault="006F0B61" w:rsidP="004767F9">
      <w:pPr>
        <w:pBdr>
          <w:top w:val="single" w:sz="4" w:space="1" w:color="auto"/>
          <w:left w:val="single" w:sz="4" w:space="4" w:color="auto"/>
          <w:bottom w:val="single" w:sz="4" w:space="1" w:color="auto"/>
          <w:right w:val="single" w:sz="4" w:space="4" w:color="auto"/>
        </w:pBdr>
        <w:spacing w:after="0" w:line="240" w:lineRule="auto"/>
      </w:pPr>
    </w:p>
    <w:p w14:paraId="0892DB70" w14:textId="6E1630FC" w:rsidR="006F0B61" w:rsidRDefault="006F0B61" w:rsidP="004767F9">
      <w:pPr>
        <w:pBdr>
          <w:top w:val="single" w:sz="4" w:space="1" w:color="auto"/>
          <w:left w:val="single" w:sz="4" w:space="4" w:color="auto"/>
          <w:bottom w:val="single" w:sz="4" w:space="1" w:color="auto"/>
          <w:right w:val="single" w:sz="4" w:space="4" w:color="auto"/>
        </w:pBdr>
        <w:spacing w:after="0" w:line="240" w:lineRule="auto"/>
        <w:rPr>
          <w:rFonts w:ascii="Calibri" w:hAnsi="Calibri"/>
        </w:rPr>
      </w:pPr>
      <w:r w:rsidRPr="00C45585">
        <w:rPr>
          <w:rFonts w:eastAsia="SimSun" w:hint="eastAsia"/>
          <w:lang w:eastAsia="zh-CN"/>
        </w:rPr>
        <w:t>Generally</w:t>
      </w:r>
      <w:r w:rsidRPr="00C45585">
        <w:rPr>
          <w:rFonts w:eastAsia="SimSun"/>
          <w:lang w:eastAsia="zh-CN"/>
        </w:rPr>
        <w:t>,</w:t>
      </w:r>
      <w:r w:rsidRPr="00C45585">
        <w:rPr>
          <w:rFonts w:eastAsia="SimSun" w:hint="eastAsia"/>
          <w:lang w:eastAsia="zh-CN"/>
        </w:rPr>
        <w:t xml:space="preserve"> </w:t>
      </w:r>
      <w:r w:rsidRPr="00C45585">
        <w:rPr>
          <w:rFonts w:ascii="Calibri" w:eastAsia="SimSun" w:hAnsi="Calibri" w:hint="eastAsia"/>
          <w:color w:val="000000"/>
          <w:lang w:eastAsia="zh-CN"/>
        </w:rPr>
        <w:t>r</w:t>
      </w:r>
      <w:r w:rsidRPr="00C45585">
        <w:rPr>
          <w:rFonts w:ascii="Calibri" w:hAnsi="Calibri"/>
          <w:color w:val="000000"/>
        </w:rPr>
        <w:t xml:space="preserve">esiduals measure the departure of fitted values from actual values of the dependent variable, but they cannot be applied to count data. For linear models, a residual is easily defined as the difference between actual and fitted values. For nonlinear models, the definition of a residual is not unique. Specifically, for count data, the raw residual (the observed value minus the fitted value) is heteroskedastic and asymmetric. </w:t>
      </w:r>
      <w:r>
        <w:t xml:space="preserve">Therefore, there is no residual that has zero mean, constant variance, and symmetric distribution. For fully parametric models such as negative binomial models, we can compare </w:t>
      </w:r>
      <w:r w:rsidRPr="00F24E7B">
        <w:rPr>
          <w:i/>
          <w:iCs/>
        </w:rPr>
        <w:t>predicted</w:t>
      </w:r>
      <w:r w:rsidRPr="00616F93">
        <w:t xml:space="preserve"> </w:t>
      </w:r>
      <w:r>
        <w:t xml:space="preserve">probabilities with </w:t>
      </w:r>
      <w:r w:rsidRPr="00F24E7B">
        <w:rPr>
          <w:i/>
          <w:iCs/>
        </w:rPr>
        <w:t>observed</w:t>
      </w:r>
      <w:r w:rsidRPr="00616F93">
        <w:t xml:space="preserve"> </w:t>
      </w:r>
      <w:r>
        <w:t>probabilities</w:t>
      </w:r>
      <w:r>
        <w:rPr>
          <w:color w:val="1F497D"/>
        </w:rPr>
        <w:t xml:space="preserve"> </w:t>
      </w:r>
      <w:r>
        <w:t xml:space="preserve">of each count of admissions. For each patient, we can calculate the </w:t>
      </w:r>
      <w:r w:rsidRPr="00F24E7B">
        <w:rPr>
          <w:i/>
          <w:iCs/>
        </w:rPr>
        <w:t>predicted</w:t>
      </w:r>
      <w:r w:rsidRPr="00616F93">
        <w:t xml:space="preserve"> </w:t>
      </w:r>
      <w:r>
        <w:t xml:space="preserve">probability of being admitted to the hospital </w:t>
      </w:r>
      <w:r>
        <w:rPr>
          <w:i/>
          <w:iCs/>
        </w:rPr>
        <w:t>n</w:t>
      </w:r>
      <w:r>
        <w:t xml:space="preserve"> times (0, 1, 2, …</w:t>
      </w:r>
      <w:r>
        <w:rPr>
          <w:i/>
          <w:iCs/>
        </w:rPr>
        <w:t>n</w:t>
      </w:r>
      <w:r>
        <w:t xml:space="preserve">) given this patient’s risk factors for hospitalization. For example, a patient has a single predicted admission rate of 2.5 admissions per </w:t>
      </w:r>
      <w:r w:rsidRPr="00F24E7B">
        <w:t>person-years</w:t>
      </w:r>
      <w:r>
        <w:t xml:space="preserve"> of exposure; however, given the assumed negative binomial distribution of the risk of admissions, we can also express the patient’s risk of admission as the probabilities of observing 0, 1, 2,…10 hospital admissions. Therefore, for each patient, we can calculate a set of predicted probabilities of observing different counts of admissions. The</w:t>
      </w:r>
      <w:r w:rsidRPr="00616F93">
        <w:t xml:space="preserve"> </w:t>
      </w:r>
      <w:r w:rsidRPr="00F24E7B">
        <w:rPr>
          <w:i/>
          <w:iCs/>
        </w:rPr>
        <w:t>predicted</w:t>
      </w:r>
      <w:r>
        <w:t xml:space="preserve"> probability for a </w:t>
      </w:r>
      <w:r w:rsidRPr="00F24E7B">
        <w:rPr>
          <w:u w:val="single"/>
        </w:rPr>
        <w:t>group of patients</w:t>
      </w:r>
      <w:r w:rsidRPr="00616F93">
        <w:t xml:space="preserve"> is the </w:t>
      </w:r>
      <w:r w:rsidRPr="00F24E7B">
        <w:rPr>
          <w:u w:val="single"/>
        </w:rPr>
        <w:t>average</w:t>
      </w:r>
      <w:r>
        <w:t xml:space="preserve"> probability of observing 0, 1, 2, …</w:t>
      </w:r>
      <w:r>
        <w:rPr>
          <w:i/>
          <w:iCs/>
        </w:rPr>
        <w:t>n</w:t>
      </w:r>
      <w:r>
        <w:t xml:space="preserve"> hospital admissions, given these patients’ risk factors for admission. </w:t>
      </w:r>
      <w:r w:rsidRPr="00616F93">
        <w:t xml:space="preserve">The </w:t>
      </w:r>
      <w:r w:rsidRPr="00F24E7B">
        <w:rPr>
          <w:i/>
          <w:iCs/>
        </w:rPr>
        <w:t>observed</w:t>
      </w:r>
      <w:r w:rsidRPr="00616F93">
        <w:t xml:space="preserve"> probability</w:t>
      </w:r>
      <w:r>
        <w:t xml:space="preserve"> of each count of admissions for a group of patients is the proportion of these patients admitted to the hospital 0, 1, 2, …</w:t>
      </w:r>
      <w:r>
        <w:rPr>
          <w:i/>
          <w:iCs/>
        </w:rPr>
        <w:t>n</w:t>
      </w:r>
      <w:r>
        <w:t xml:space="preserve"> times. </w:t>
      </w:r>
    </w:p>
    <w:p w14:paraId="04F8FFB4" w14:textId="77777777" w:rsidR="006F0B61" w:rsidRDefault="006F0B61" w:rsidP="004767F9">
      <w:pPr>
        <w:pBdr>
          <w:top w:val="single" w:sz="4" w:space="1" w:color="auto"/>
          <w:left w:val="single" w:sz="4" w:space="4" w:color="auto"/>
          <w:bottom w:val="single" w:sz="4" w:space="1" w:color="auto"/>
          <w:right w:val="single" w:sz="4" w:space="4" w:color="auto"/>
        </w:pBdr>
        <w:spacing w:after="0" w:line="240" w:lineRule="auto"/>
        <w:rPr>
          <w:rFonts w:ascii="Calibri" w:hAnsi="Calibri"/>
        </w:rPr>
      </w:pPr>
    </w:p>
    <w:p w14:paraId="5F764FB7" w14:textId="77777777" w:rsidR="006F0B61" w:rsidRDefault="006F0B61" w:rsidP="004767F9">
      <w:pPr>
        <w:pBdr>
          <w:top w:val="single" w:sz="4" w:space="1" w:color="auto"/>
          <w:left w:val="single" w:sz="4" w:space="4" w:color="auto"/>
          <w:bottom w:val="single" w:sz="4" w:space="1" w:color="auto"/>
          <w:right w:val="single" w:sz="4" w:space="4" w:color="auto"/>
        </w:pBdr>
        <w:spacing w:after="0" w:line="240" w:lineRule="auto"/>
        <w:rPr>
          <w:rFonts w:ascii="Calibri" w:hAnsi="Calibri"/>
          <w:u w:val="single"/>
        </w:rPr>
      </w:pPr>
      <w:r>
        <w:rPr>
          <w:rFonts w:ascii="Calibri" w:hAnsi="Calibri"/>
          <w:u w:val="single"/>
        </w:rPr>
        <w:t>Citations</w:t>
      </w:r>
    </w:p>
    <w:p w14:paraId="19E88DD7" w14:textId="32C55466" w:rsidR="006F0B61" w:rsidRPr="006F0B61" w:rsidRDefault="006F0B61" w:rsidP="004767F9">
      <w:pPr>
        <w:pBdr>
          <w:top w:val="single" w:sz="4" w:space="1" w:color="auto"/>
          <w:left w:val="single" w:sz="4" w:space="4" w:color="auto"/>
          <w:bottom w:val="single" w:sz="4" w:space="1" w:color="auto"/>
          <w:right w:val="single" w:sz="4" w:space="4" w:color="auto"/>
        </w:pBdr>
        <w:spacing w:after="0" w:line="240" w:lineRule="auto"/>
      </w:pPr>
      <w:r w:rsidRPr="00644DAC">
        <w:rPr>
          <w:rFonts w:ascii="Calibri" w:hAnsi="Calibri"/>
        </w:rPr>
        <w:t>1. Cameron AC, Windmeijer FAG. R-Squared Measures for Count Data Regression Models with Applications to Health-Care Utilization. Journal of Business &amp; Economic Statistics. 1996;14(2):209-220.</w:t>
      </w:r>
    </w:p>
    <w:p w14:paraId="6813894B" w14:textId="77777777" w:rsidR="00DD58D0" w:rsidRDefault="00DD58D0" w:rsidP="00EC4DB0">
      <w:pPr>
        <w:autoSpaceDE w:val="0"/>
        <w:autoSpaceDN w:val="0"/>
        <w:adjustRightInd w:val="0"/>
        <w:spacing w:after="0" w:line="240" w:lineRule="auto"/>
        <w:rPr>
          <w:rFonts w:cstheme="minorHAnsi"/>
          <w:b/>
          <w:bCs/>
        </w:rPr>
      </w:pPr>
    </w:p>
    <w:p w14:paraId="578C2633" w14:textId="77777777" w:rsidR="006F0B61" w:rsidRDefault="006F0B61" w:rsidP="00EC4DB0">
      <w:pPr>
        <w:autoSpaceDE w:val="0"/>
        <w:autoSpaceDN w:val="0"/>
        <w:adjustRightInd w:val="0"/>
        <w:spacing w:after="0" w:line="240" w:lineRule="auto"/>
        <w:rPr>
          <w:rFonts w:cstheme="minorHAnsi"/>
          <w:b/>
          <w:bCs/>
        </w:rPr>
      </w:pPr>
      <w:r w:rsidRPr="00001D73">
        <w:rPr>
          <w:rFonts w:cstheme="minorHAnsi"/>
          <w:bCs/>
          <w:i/>
        </w:rPr>
        <w:t>Provide the statistical results from testing the approach to controlling for differences in patient characteristics (case mix) below</w:t>
      </w:r>
      <w:r>
        <w:rPr>
          <w:rFonts w:cstheme="minorHAnsi"/>
          <w:bCs/>
        </w:rPr>
        <w:t>.</w:t>
      </w:r>
      <w:r w:rsidRPr="00A25024">
        <w:rPr>
          <w:rFonts w:cstheme="minorHAnsi"/>
          <w:bCs/>
        </w:rPr>
        <w:br/>
      </w:r>
      <w:r w:rsidRPr="00743E46">
        <w:rPr>
          <w:rFonts w:cstheme="minorHAnsi"/>
          <w:b/>
          <w:bCs/>
          <w:i/>
          <w:highlight w:val="green"/>
        </w:rPr>
        <w:t xml:space="preserve">If stratified, skip to </w:t>
      </w:r>
      <w:hyperlink w:anchor="question2b49" w:history="1">
        <w:r w:rsidRPr="00BE592D">
          <w:rPr>
            <w:rStyle w:val="Hyperlink"/>
            <w:rFonts w:cstheme="minorHAnsi"/>
            <w:b/>
            <w:bCs/>
            <w:i/>
            <w:highlight w:val="green"/>
          </w:rPr>
          <w:t>2b4.9</w:t>
        </w:r>
      </w:hyperlink>
    </w:p>
    <w:p w14:paraId="36A267B7" w14:textId="77777777" w:rsidR="006F0B61" w:rsidRDefault="006F0B61" w:rsidP="00EC4DB0">
      <w:pPr>
        <w:autoSpaceDE w:val="0"/>
        <w:autoSpaceDN w:val="0"/>
        <w:adjustRightInd w:val="0"/>
        <w:spacing w:after="0" w:line="240" w:lineRule="auto"/>
        <w:rPr>
          <w:rFonts w:cstheme="minorHAnsi"/>
          <w:b/>
          <w:bCs/>
        </w:rPr>
      </w:pPr>
    </w:p>
    <w:p w14:paraId="74401623" w14:textId="77777777" w:rsidR="00001D73" w:rsidRDefault="00743E46" w:rsidP="00EC4DB0">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5FF6D4AF" w14:textId="526D3B04" w:rsidR="00DD58D0" w:rsidRPr="006F0B61" w:rsidRDefault="00DD58D0" w:rsidP="004767F9">
      <w:pPr>
        <w:pBdr>
          <w:top w:val="single" w:sz="4" w:space="0" w:color="auto"/>
          <w:left w:val="single" w:sz="4" w:space="4" w:color="auto"/>
          <w:bottom w:val="single" w:sz="4" w:space="1" w:color="auto"/>
          <w:right w:val="single" w:sz="4" w:space="4" w:color="auto"/>
        </w:pBdr>
        <w:spacing w:after="0" w:line="240" w:lineRule="auto"/>
      </w:pPr>
      <w:r w:rsidRPr="006F0B61">
        <w:t>2012 Development Sample results (deviance R squared): 0.217</w:t>
      </w:r>
    </w:p>
    <w:p w14:paraId="641DA2AE" w14:textId="437DEA9C" w:rsidR="00DD58D0" w:rsidRPr="006F0B61" w:rsidRDefault="00DD58D0" w:rsidP="004767F9">
      <w:pPr>
        <w:pBdr>
          <w:top w:val="single" w:sz="4" w:space="0" w:color="auto"/>
          <w:left w:val="single" w:sz="4" w:space="4" w:color="auto"/>
          <w:bottom w:val="single" w:sz="4" w:space="1" w:color="auto"/>
          <w:right w:val="single" w:sz="4" w:space="4" w:color="auto"/>
        </w:pBdr>
        <w:spacing w:after="0" w:line="240" w:lineRule="auto"/>
      </w:pPr>
      <w:r w:rsidRPr="006F0B61">
        <w:t xml:space="preserve">2012 Validation Sample results (deviance R squared): </w:t>
      </w:r>
      <w:r w:rsidRPr="006F0B61">
        <w:rPr>
          <w:rFonts w:ascii="Calibri" w:eastAsia="Times New Roman" w:hAnsi="Calibri" w:cs="Calibri"/>
          <w:color w:val="000000"/>
        </w:rPr>
        <w:t>0.21</w:t>
      </w:r>
      <w:r w:rsidR="00FE2C62">
        <w:rPr>
          <w:rFonts w:ascii="Calibri" w:eastAsia="Times New Roman" w:hAnsi="Calibri" w:cs="Calibri"/>
          <w:color w:val="000000"/>
        </w:rPr>
        <w:t>8</w:t>
      </w:r>
    </w:p>
    <w:p w14:paraId="78EDAA8A" w14:textId="77777777" w:rsidR="00DD58D0" w:rsidRPr="00001D73" w:rsidRDefault="00DD58D0" w:rsidP="00EC4DB0">
      <w:pPr>
        <w:autoSpaceDE w:val="0"/>
        <w:autoSpaceDN w:val="0"/>
        <w:adjustRightInd w:val="0"/>
        <w:spacing w:after="0" w:line="240" w:lineRule="auto"/>
        <w:rPr>
          <w:rFonts w:cstheme="minorHAnsi"/>
          <w:b/>
          <w:bCs/>
        </w:rPr>
      </w:pPr>
    </w:p>
    <w:p w14:paraId="599E4336" w14:textId="77777777" w:rsidR="00001D73" w:rsidRDefault="00743E46" w:rsidP="00EC4DB0">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5328A4A0" w14:textId="77777777" w:rsidR="00DD58D0" w:rsidRPr="006F0B61" w:rsidRDefault="00DD58D0" w:rsidP="004767F9">
      <w:pPr>
        <w:pBdr>
          <w:top w:val="single" w:sz="4" w:space="1" w:color="auto"/>
          <w:left w:val="single" w:sz="4" w:space="4" w:color="auto"/>
          <w:bottom w:val="single" w:sz="4" w:space="1" w:color="auto"/>
          <w:right w:val="single" w:sz="4" w:space="4" w:color="auto"/>
        </w:pBdr>
        <w:spacing w:after="0" w:line="240" w:lineRule="auto"/>
      </w:pPr>
      <w:r w:rsidRPr="006F0B61">
        <w:t xml:space="preserve">2012 Development Sample calibration results (overfitting index): (0.0000, </w:t>
      </w:r>
      <w:r w:rsidRPr="006F0B61">
        <w:rPr>
          <w:rFonts w:ascii="Calibri" w:eastAsia="Times New Roman" w:hAnsi="Calibri" w:cs="Calibri"/>
          <w:color w:val="000000"/>
        </w:rPr>
        <w:t>1.0000</w:t>
      </w:r>
      <w:r w:rsidRPr="006F0B61">
        <w:t>)</w:t>
      </w:r>
      <w:r w:rsidRPr="006F0B61">
        <w:tab/>
      </w:r>
    </w:p>
    <w:p w14:paraId="5940748D" w14:textId="77777777" w:rsidR="00DD58D0" w:rsidRPr="006F0B61" w:rsidRDefault="00DD58D0" w:rsidP="004767F9">
      <w:pPr>
        <w:pBdr>
          <w:top w:val="single" w:sz="4" w:space="1" w:color="auto"/>
          <w:left w:val="single" w:sz="4" w:space="4" w:color="auto"/>
          <w:bottom w:val="single" w:sz="4" w:space="1" w:color="auto"/>
          <w:right w:val="single" w:sz="4" w:space="4" w:color="auto"/>
        </w:pBdr>
        <w:spacing w:after="0" w:line="240" w:lineRule="auto"/>
        <w:rPr>
          <w:rFonts w:cstheme="minorHAnsi"/>
          <w:b/>
          <w:bCs/>
        </w:rPr>
      </w:pPr>
      <w:r w:rsidRPr="006F0B61">
        <w:lastRenderedPageBreak/>
        <w:t xml:space="preserve">2012 Validation Sample calibration results (overfitting index): (0.0017, </w:t>
      </w:r>
      <w:r w:rsidRPr="006F0B61">
        <w:rPr>
          <w:rFonts w:ascii="Calibri" w:eastAsia="Times New Roman" w:hAnsi="Calibri" w:cs="Calibri"/>
          <w:color w:val="000000"/>
        </w:rPr>
        <w:t>1.0031</w:t>
      </w:r>
      <w:r w:rsidRPr="006F0B61">
        <w:t>)</w:t>
      </w:r>
    </w:p>
    <w:p w14:paraId="7F895902" w14:textId="77777777" w:rsidR="00DD58D0" w:rsidRDefault="00DD58D0" w:rsidP="00EC4DB0">
      <w:pPr>
        <w:autoSpaceDE w:val="0"/>
        <w:autoSpaceDN w:val="0"/>
        <w:adjustRightInd w:val="0"/>
        <w:spacing w:after="0" w:line="240" w:lineRule="auto"/>
        <w:rPr>
          <w:rFonts w:cstheme="minorHAnsi"/>
          <w:b/>
          <w:bCs/>
        </w:rPr>
      </w:pPr>
    </w:p>
    <w:p w14:paraId="27854A42" w14:textId="437AE7E5" w:rsidR="00743E46" w:rsidRDefault="00743E46" w:rsidP="00EC4DB0">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5451DD7D" w14:textId="77777777" w:rsidR="00DD58D0" w:rsidRDefault="00DD58D0" w:rsidP="004767F9">
      <w:pPr>
        <w:pBdr>
          <w:top w:val="single" w:sz="4" w:space="1" w:color="auto"/>
          <w:left w:val="single" w:sz="4" w:space="4" w:color="auto"/>
          <w:bottom w:val="single" w:sz="4" w:space="1" w:color="auto"/>
          <w:right w:val="single" w:sz="4" w:space="4" w:color="auto"/>
        </w:pBdr>
        <w:spacing w:line="240" w:lineRule="auto"/>
      </w:pPr>
      <w:r>
        <w:t xml:space="preserve">Below are plots of observed vs. predicted probabilities for the number of hospital admissions among four groups </w:t>
      </w:r>
      <w:r w:rsidRPr="001D7CF3">
        <w:t>of patients: lowest (A) and second lowest (B) predicted admissions; and second highest (C) and highest (D) predicted admissions in the 2012 Development Sample.</w:t>
      </w:r>
    </w:p>
    <w:p w14:paraId="3D213C9C" w14:textId="77777777" w:rsidR="00DD58D0" w:rsidRDefault="00DD58D0" w:rsidP="00EC4DB0">
      <w:pPr>
        <w:pBdr>
          <w:top w:val="single" w:sz="4" w:space="1" w:color="auto"/>
          <w:left w:val="single" w:sz="4" w:space="4" w:color="auto"/>
          <w:bottom w:val="single" w:sz="4" w:space="1" w:color="auto"/>
          <w:right w:val="single" w:sz="4" w:space="4" w:color="auto"/>
        </w:pBdr>
        <w:spacing w:after="0" w:line="240" w:lineRule="auto"/>
      </w:pPr>
      <w:r w:rsidRPr="00147B7D">
        <w:rPr>
          <w:b/>
          <w:bCs/>
        </w:rPr>
        <w:t xml:space="preserve">Figure </w:t>
      </w:r>
      <w:r w:rsidRPr="00147B7D">
        <w:rPr>
          <w:b/>
          <w:bCs/>
        </w:rPr>
        <w:fldChar w:fldCharType="begin"/>
      </w:r>
      <w:r w:rsidRPr="00147B7D">
        <w:rPr>
          <w:b/>
          <w:bCs/>
        </w:rPr>
        <w:instrText xml:space="preserve"> SEQ Figure \* ARABIC </w:instrText>
      </w:r>
      <w:r w:rsidRPr="00147B7D">
        <w:rPr>
          <w:b/>
          <w:bCs/>
        </w:rPr>
        <w:fldChar w:fldCharType="separate"/>
      </w:r>
      <w:r w:rsidR="001D7CF3">
        <w:rPr>
          <w:b/>
          <w:bCs/>
          <w:noProof/>
        </w:rPr>
        <w:t>7</w:t>
      </w:r>
      <w:r w:rsidRPr="00147B7D">
        <w:rPr>
          <w:b/>
        </w:rPr>
        <w:fldChar w:fldCharType="end"/>
      </w:r>
      <w:r>
        <w:rPr>
          <w:b/>
        </w:rPr>
        <w:t xml:space="preserve">. </w:t>
      </w:r>
      <w:r w:rsidRPr="00147B7D">
        <w:rPr>
          <w:b/>
        </w:rPr>
        <w:t xml:space="preserve">Observed vs. predicted probabilities for the number of hospital admissions among lowest predicted admission group. Lowest predicted admission group (8 to 17 admissions per 100 </w:t>
      </w:r>
      <w:r w:rsidRPr="00F24E7B">
        <w:rPr>
          <w:b/>
        </w:rPr>
        <w:t>person-years</w:t>
      </w:r>
      <w:r w:rsidRPr="00147B7D">
        <w:rPr>
          <w:b/>
        </w:rPr>
        <w:t xml:space="preserve">, median: 13 and </w:t>
      </w:r>
      <w:r>
        <w:rPr>
          <w:b/>
        </w:rPr>
        <w:t xml:space="preserve">interquartile range </w:t>
      </w:r>
      <w:r w:rsidRPr="00147B7D">
        <w:rPr>
          <w:b/>
        </w:rPr>
        <w:t>(IQR): 11</w:t>
      </w:r>
      <w:r>
        <w:rPr>
          <w:b/>
        </w:rPr>
        <w:t xml:space="preserve"> to </w:t>
      </w:r>
      <w:r w:rsidRPr="00147B7D">
        <w:rPr>
          <w:b/>
        </w:rPr>
        <w:t>15</w:t>
      </w:r>
      <w:r>
        <w:rPr>
          <w:b/>
        </w:rPr>
        <w:t>.</w:t>
      </w:r>
      <w:r w:rsidRPr="00E6672D">
        <w:rPr>
          <w:rFonts w:ascii="Calibri" w:eastAsia="Calibri" w:hAnsi="Calibri" w:cs="Times New Roman"/>
          <w:noProof/>
        </w:rPr>
        <w:t xml:space="preserve"> </w:t>
      </w:r>
      <w:r w:rsidRPr="00E52F74">
        <w:rPr>
          <w:rFonts w:ascii="Calibri" w:eastAsia="Calibri" w:hAnsi="Calibri" w:cs="Times New Roman"/>
          <w:noProof/>
        </w:rPr>
        <w:drawing>
          <wp:inline distT="0" distB="0" distL="0" distR="0" wp14:anchorId="4C039C76" wp14:editId="41963B60">
            <wp:extent cx="2935224" cy="22037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libration train_p11.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35224" cy="2203704"/>
                    </a:xfrm>
                    <a:prstGeom prst="rect">
                      <a:avLst/>
                    </a:prstGeom>
                  </pic:spPr>
                </pic:pic>
              </a:graphicData>
            </a:graphic>
          </wp:inline>
        </w:drawing>
      </w:r>
    </w:p>
    <w:p w14:paraId="15899937" w14:textId="77777777" w:rsidR="00607002" w:rsidRDefault="00607002" w:rsidP="00EC4DB0">
      <w:pPr>
        <w:pBdr>
          <w:top w:val="single" w:sz="4" w:space="1" w:color="auto"/>
          <w:left w:val="single" w:sz="4" w:space="4" w:color="auto"/>
          <w:bottom w:val="single" w:sz="4" w:space="1" w:color="auto"/>
          <w:right w:val="single" w:sz="4" w:space="4" w:color="auto"/>
        </w:pBdr>
        <w:spacing w:after="0" w:line="240" w:lineRule="auto"/>
        <w:rPr>
          <w:b/>
          <w:bCs/>
        </w:rPr>
      </w:pPr>
    </w:p>
    <w:p w14:paraId="3F1EF727" w14:textId="77777777" w:rsidR="00DD58D0" w:rsidRDefault="00DD58D0" w:rsidP="00EC4DB0">
      <w:pPr>
        <w:pBdr>
          <w:top w:val="single" w:sz="4" w:space="1" w:color="auto"/>
          <w:left w:val="single" w:sz="4" w:space="4" w:color="auto"/>
          <w:bottom w:val="single" w:sz="4" w:space="1" w:color="auto"/>
          <w:right w:val="single" w:sz="4" w:space="4" w:color="auto"/>
        </w:pBdr>
        <w:spacing w:after="0" w:line="240" w:lineRule="auto"/>
      </w:pPr>
      <w:r w:rsidRPr="00147B7D">
        <w:rPr>
          <w:b/>
          <w:bCs/>
        </w:rPr>
        <w:t xml:space="preserve">Figure </w:t>
      </w:r>
      <w:r w:rsidRPr="00147B7D">
        <w:rPr>
          <w:b/>
          <w:bCs/>
        </w:rPr>
        <w:fldChar w:fldCharType="begin"/>
      </w:r>
      <w:r w:rsidRPr="00147B7D">
        <w:rPr>
          <w:b/>
          <w:bCs/>
        </w:rPr>
        <w:instrText xml:space="preserve"> SEQ Figure \* ARABIC </w:instrText>
      </w:r>
      <w:r w:rsidRPr="00147B7D">
        <w:rPr>
          <w:b/>
          <w:bCs/>
        </w:rPr>
        <w:fldChar w:fldCharType="separate"/>
      </w:r>
      <w:r w:rsidR="001D7CF3">
        <w:rPr>
          <w:b/>
          <w:bCs/>
          <w:noProof/>
        </w:rPr>
        <w:t>8</w:t>
      </w:r>
      <w:r w:rsidRPr="00147B7D">
        <w:rPr>
          <w:b/>
        </w:rPr>
        <w:fldChar w:fldCharType="end"/>
      </w:r>
      <w:r>
        <w:rPr>
          <w:b/>
        </w:rPr>
        <w:t xml:space="preserve">. </w:t>
      </w:r>
      <w:r w:rsidRPr="00147B7D">
        <w:rPr>
          <w:b/>
        </w:rPr>
        <w:t xml:space="preserve">Observed vs. predicted probabilities for the number of hospital admissions among second lowest admission group (17 to 27 admissions per 100 </w:t>
      </w:r>
      <w:r w:rsidRPr="00F24E7B">
        <w:rPr>
          <w:b/>
        </w:rPr>
        <w:t>person-years</w:t>
      </w:r>
      <w:r w:rsidRPr="00147B7D">
        <w:rPr>
          <w:b/>
        </w:rPr>
        <w:t>, median: 21, IQR: 19</w:t>
      </w:r>
      <w:r>
        <w:rPr>
          <w:b/>
        </w:rPr>
        <w:t xml:space="preserve"> to</w:t>
      </w:r>
      <w:r w:rsidRPr="00147B7D">
        <w:rPr>
          <w:b/>
        </w:rPr>
        <w:t xml:space="preserve"> 24.</w:t>
      </w:r>
    </w:p>
    <w:p w14:paraId="21FC5BC7" w14:textId="77777777" w:rsidR="00DD58D0" w:rsidRDefault="00DD58D0" w:rsidP="00EC4DB0">
      <w:pPr>
        <w:pBdr>
          <w:top w:val="single" w:sz="4" w:space="1" w:color="auto"/>
          <w:left w:val="single" w:sz="4" w:space="4" w:color="auto"/>
          <w:bottom w:val="single" w:sz="4" w:space="1" w:color="auto"/>
          <w:right w:val="single" w:sz="4" w:space="4" w:color="auto"/>
        </w:pBdr>
        <w:spacing w:line="240" w:lineRule="auto"/>
      </w:pPr>
      <w:r w:rsidRPr="007E26F0">
        <w:rPr>
          <w:rFonts w:ascii="Calibri" w:eastAsia="Calibri" w:hAnsi="Calibri" w:cs="Times New Roman"/>
          <w:noProof/>
        </w:rPr>
        <w:drawing>
          <wp:inline distT="0" distB="0" distL="0" distR="0" wp14:anchorId="3B70A9EB" wp14:editId="6C336041">
            <wp:extent cx="2935224" cy="2203704"/>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libration train_p21.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35224" cy="2203704"/>
                    </a:xfrm>
                    <a:prstGeom prst="rect">
                      <a:avLst/>
                    </a:prstGeom>
                  </pic:spPr>
                </pic:pic>
              </a:graphicData>
            </a:graphic>
          </wp:inline>
        </w:drawing>
      </w:r>
    </w:p>
    <w:p w14:paraId="48828FE4" w14:textId="77777777" w:rsidR="00607002" w:rsidRDefault="00607002" w:rsidP="00EC4DB0">
      <w:pPr>
        <w:pBdr>
          <w:top w:val="single" w:sz="4" w:space="1" w:color="auto"/>
          <w:left w:val="single" w:sz="4" w:space="4" w:color="auto"/>
          <w:bottom w:val="single" w:sz="4" w:space="1" w:color="auto"/>
          <w:right w:val="single" w:sz="4" w:space="4" w:color="auto"/>
        </w:pBdr>
        <w:spacing w:after="0" w:line="240" w:lineRule="auto"/>
        <w:rPr>
          <w:b/>
          <w:bCs/>
        </w:rPr>
      </w:pPr>
      <w:bookmarkStart w:id="20" w:name="_Ref441566583"/>
    </w:p>
    <w:p w14:paraId="53D6FA10" w14:textId="77777777" w:rsidR="00607002" w:rsidRDefault="00607002" w:rsidP="00EC4DB0">
      <w:pPr>
        <w:pBdr>
          <w:top w:val="single" w:sz="4" w:space="1" w:color="auto"/>
          <w:left w:val="single" w:sz="4" w:space="4" w:color="auto"/>
          <w:bottom w:val="single" w:sz="4" w:space="1" w:color="auto"/>
          <w:right w:val="single" w:sz="4" w:space="4" w:color="auto"/>
        </w:pBdr>
        <w:spacing w:after="0" w:line="240" w:lineRule="auto"/>
        <w:rPr>
          <w:b/>
          <w:bCs/>
        </w:rPr>
      </w:pPr>
    </w:p>
    <w:p w14:paraId="794428A7" w14:textId="77777777" w:rsidR="00607002" w:rsidRDefault="00607002" w:rsidP="00EC4DB0">
      <w:pPr>
        <w:pBdr>
          <w:top w:val="single" w:sz="4" w:space="1" w:color="auto"/>
          <w:left w:val="single" w:sz="4" w:space="4" w:color="auto"/>
          <w:bottom w:val="single" w:sz="4" w:space="1" w:color="auto"/>
          <w:right w:val="single" w:sz="4" w:space="4" w:color="auto"/>
        </w:pBdr>
        <w:spacing w:after="0" w:line="240" w:lineRule="auto"/>
        <w:rPr>
          <w:b/>
          <w:bCs/>
        </w:rPr>
      </w:pPr>
    </w:p>
    <w:p w14:paraId="46D87DA3" w14:textId="77777777" w:rsidR="00607002" w:rsidRDefault="00607002" w:rsidP="00EC4DB0">
      <w:pPr>
        <w:pBdr>
          <w:top w:val="single" w:sz="4" w:space="1" w:color="auto"/>
          <w:left w:val="single" w:sz="4" w:space="4" w:color="auto"/>
          <w:bottom w:val="single" w:sz="4" w:space="1" w:color="auto"/>
          <w:right w:val="single" w:sz="4" w:space="4" w:color="auto"/>
        </w:pBdr>
        <w:spacing w:after="0" w:line="240" w:lineRule="auto"/>
        <w:rPr>
          <w:b/>
          <w:bCs/>
        </w:rPr>
      </w:pPr>
    </w:p>
    <w:p w14:paraId="7A58B080" w14:textId="77777777" w:rsidR="00607002" w:rsidRDefault="00607002" w:rsidP="00EC4DB0">
      <w:pPr>
        <w:pBdr>
          <w:top w:val="single" w:sz="4" w:space="1" w:color="auto"/>
          <w:left w:val="single" w:sz="4" w:space="4" w:color="auto"/>
          <w:bottom w:val="single" w:sz="4" w:space="1" w:color="auto"/>
          <w:right w:val="single" w:sz="4" w:space="4" w:color="auto"/>
        </w:pBdr>
        <w:spacing w:after="0" w:line="240" w:lineRule="auto"/>
        <w:rPr>
          <w:b/>
          <w:bCs/>
        </w:rPr>
      </w:pPr>
    </w:p>
    <w:p w14:paraId="377819FC" w14:textId="77777777" w:rsidR="00607002" w:rsidRDefault="00607002" w:rsidP="00EC4DB0">
      <w:pPr>
        <w:pBdr>
          <w:top w:val="single" w:sz="4" w:space="1" w:color="auto"/>
          <w:left w:val="single" w:sz="4" w:space="4" w:color="auto"/>
          <w:bottom w:val="single" w:sz="4" w:space="1" w:color="auto"/>
          <w:right w:val="single" w:sz="4" w:space="4" w:color="auto"/>
        </w:pBdr>
        <w:spacing w:after="0" w:line="240" w:lineRule="auto"/>
        <w:rPr>
          <w:b/>
          <w:bCs/>
        </w:rPr>
      </w:pPr>
    </w:p>
    <w:p w14:paraId="69599524" w14:textId="27097F8B" w:rsidR="00DD58D0" w:rsidRDefault="00DD58D0" w:rsidP="00EC4DB0">
      <w:pPr>
        <w:pBdr>
          <w:top w:val="single" w:sz="4" w:space="1" w:color="auto"/>
          <w:left w:val="single" w:sz="4" w:space="4" w:color="auto"/>
          <w:bottom w:val="single" w:sz="4" w:space="1" w:color="auto"/>
          <w:right w:val="single" w:sz="4" w:space="4" w:color="auto"/>
        </w:pBdr>
        <w:spacing w:after="0" w:line="240" w:lineRule="auto"/>
      </w:pPr>
      <w:r w:rsidRPr="00147B7D">
        <w:rPr>
          <w:b/>
          <w:bCs/>
        </w:rPr>
        <w:lastRenderedPageBreak/>
        <w:t xml:space="preserve">Figure </w:t>
      </w:r>
      <w:r w:rsidRPr="00147B7D">
        <w:rPr>
          <w:b/>
          <w:bCs/>
        </w:rPr>
        <w:fldChar w:fldCharType="begin"/>
      </w:r>
      <w:r w:rsidRPr="00147B7D">
        <w:rPr>
          <w:b/>
          <w:bCs/>
        </w:rPr>
        <w:instrText xml:space="preserve"> SEQ Figure \* ARABIC </w:instrText>
      </w:r>
      <w:r w:rsidRPr="00147B7D">
        <w:rPr>
          <w:b/>
          <w:bCs/>
        </w:rPr>
        <w:fldChar w:fldCharType="separate"/>
      </w:r>
      <w:r w:rsidR="001D7CF3">
        <w:rPr>
          <w:b/>
          <w:bCs/>
          <w:noProof/>
        </w:rPr>
        <w:t>9</w:t>
      </w:r>
      <w:r w:rsidRPr="00147B7D">
        <w:rPr>
          <w:b/>
        </w:rPr>
        <w:fldChar w:fldCharType="end"/>
      </w:r>
      <w:bookmarkEnd w:id="20"/>
      <w:r>
        <w:rPr>
          <w:b/>
        </w:rPr>
        <w:t xml:space="preserve">. </w:t>
      </w:r>
      <w:r w:rsidRPr="00147B7D">
        <w:rPr>
          <w:b/>
        </w:rPr>
        <w:t xml:space="preserve">Observed vs. predicted probabilities for the number of hospital admissions among second highest admission group (27 to 53 admissions per 100 </w:t>
      </w:r>
      <w:r w:rsidRPr="00F24E7B">
        <w:rPr>
          <w:b/>
        </w:rPr>
        <w:t>person-years</w:t>
      </w:r>
      <w:r w:rsidRPr="00147B7D">
        <w:rPr>
          <w:b/>
        </w:rPr>
        <w:t>, median: 36 IQR: 31</w:t>
      </w:r>
      <w:r w:rsidR="00F24E7B">
        <w:rPr>
          <w:b/>
        </w:rPr>
        <w:t xml:space="preserve"> to</w:t>
      </w:r>
      <w:r w:rsidRPr="00147B7D">
        <w:rPr>
          <w:b/>
        </w:rPr>
        <w:t xml:space="preserve"> 43.</w:t>
      </w:r>
    </w:p>
    <w:p w14:paraId="2CBB7A98" w14:textId="77777777" w:rsidR="00DD58D0" w:rsidRDefault="00DD58D0" w:rsidP="00EC4DB0">
      <w:pPr>
        <w:pBdr>
          <w:top w:val="single" w:sz="4" w:space="1" w:color="auto"/>
          <w:left w:val="single" w:sz="4" w:space="4" w:color="auto"/>
          <w:bottom w:val="single" w:sz="4" w:space="1" w:color="auto"/>
          <w:right w:val="single" w:sz="4" w:space="4" w:color="auto"/>
        </w:pBdr>
        <w:spacing w:line="240" w:lineRule="auto"/>
      </w:pPr>
      <w:r w:rsidRPr="007E26F0">
        <w:rPr>
          <w:rFonts w:ascii="Calibri" w:eastAsia="Calibri" w:hAnsi="Calibri" w:cs="Times New Roman"/>
          <w:noProof/>
        </w:rPr>
        <w:drawing>
          <wp:inline distT="0" distB="0" distL="0" distR="0" wp14:anchorId="0A008D2F" wp14:editId="52350962">
            <wp:extent cx="2935224" cy="2203704"/>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libration train_p31.jp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35224" cy="2203704"/>
                    </a:xfrm>
                    <a:prstGeom prst="rect">
                      <a:avLst/>
                    </a:prstGeom>
                  </pic:spPr>
                </pic:pic>
              </a:graphicData>
            </a:graphic>
          </wp:inline>
        </w:drawing>
      </w:r>
    </w:p>
    <w:p w14:paraId="2F5ADE01" w14:textId="77777777" w:rsidR="00DD58D0" w:rsidRDefault="00DD58D0" w:rsidP="00EC4DB0">
      <w:pPr>
        <w:pBdr>
          <w:top w:val="single" w:sz="4" w:space="1" w:color="auto"/>
          <w:left w:val="single" w:sz="4" w:space="4" w:color="auto"/>
          <w:bottom w:val="single" w:sz="4" w:space="1" w:color="auto"/>
          <w:right w:val="single" w:sz="4" w:space="4" w:color="auto"/>
        </w:pBdr>
        <w:spacing w:after="0" w:line="240" w:lineRule="auto"/>
        <w:rPr>
          <w:b/>
        </w:rPr>
      </w:pPr>
      <w:r w:rsidRPr="00147B7D">
        <w:rPr>
          <w:b/>
          <w:bCs/>
        </w:rPr>
        <w:t xml:space="preserve">Figure </w:t>
      </w:r>
      <w:r w:rsidRPr="00147B7D">
        <w:rPr>
          <w:b/>
          <w:bCs/>
        </w:rPr>
        <w:fldChar w:fldCharType="begin"/>
      </w:r>
      <w:r w:rsidRPr="00147B7D">
        <w:rPr>
          <w:b/>
          <w:bCs/>
        </w:rPr>
        <w:instrText xml:space="preserve"> SEQ Figure \* ARABIC </w:instrText>
      </w:r>
      <w:r w:rsidRPr="00147B7D">
        <w:rPr>
          <w:b/>
          <w:bCs/>
        </w:rPr>
        <w:fldChar w:fldCharType="separate"/>
      </w:r>
      <w:r w:rsidR="001D7CF3">
        <w:rPr>
          <w:b/>
          <w:bCs/>
          <w:noProof/>
        </w:rPr>
        <w:t>10</w:t>
      </w:r>
      <w:r w:rsidRPr="00147B7D">
        <w:rPr>
          <w:b/>
        </w:rPr>
        <w:fldChar w:fldCharType="end"/>
      </w:r>
      <w:r>
        <w:rPr>
          <w:b/>
        </w:rPr>
        <w:t xml:space="preserve">. </w:t>
      </w:r>
      <w:r w:rsidRPr="00147B7D">
        <w:rPr>
          <w:b/>
        </w:rPr>
        <w:t>Observed vs. predicted probabilities for the number of hospital admissions among highest admission group (53</w:t>
      </w:r>
      <w:r>
        <w:rPr>
          <w:b/>
        </w:rPr>
        <w:t xml:space="preserve"> to </w:t>
      </w:r>
      <w:r w:rsidRPr="00147B7D">
        <w:rPr>
          <w:b/>
        </w:rPr>
        <w:t xml:space="preserve">2,783 admissions per 100 </w:t>
      </w:r>
      <w:r w:rsidRPr="00F24E7B">
        <w:rPr>
          <w:b/>
        </w:rPr>
        <w:t>person-years</w:t>
      </w:r>
      <w:r w:rsidRPr="00147B7D">
        <w:rPr>
          <w:b/>
        </w:rPr>
        <w:t>, median: 96, IQR: 69</w:t>
      </w:r>
      <w:r>
        <w:rPr>
          <w:b/>
        </w:rPr>
        <w:t xml:space="preserve"> to</w:t>
      </w:r>
      <w:r w:rsidRPr="00147B7D">
        <w:rPr>
          <w:b/>
        </w:rPr>
        <w:t xml:space="preserve"> 158.</w:t>
      </w:r>
    </w:p>
    <w:p w14:paraId="665CF032" w14:textId="16778F20" w:rsidR="001D7CF3" w:rsidRDefault="001D7CF3" w:rsidP="00EC4DB0">
      <w:pPr>
        <w:pBdr>
          <w:top w:val="single" w:sz="4" w:space="1" w:color="auto"/>
          <w:left w:val="single" w:sz="4" w:space="4" w:color="auto"/>
          <w:bottom w:val="single" w:sz="4" w:space="1" w:color="auto"/>
          <w:right w:val="single" w:sz="4" w:space="4" w:color="auto"/>
        </w:pBdr>
        <w:spacing w:after="0" w:line="240" w:lineRule="auto"/>
      </w:pPr>
      <w:r w:rsidRPr="007E26F0">
        <w:rPr>
          <w:rFonts w:ascii="Calibri" w:eastAsia="Calibri" w:hAnsi="Calibri" w:cs="Times New Roman"/>
          <w:noProof/>
        </w:rPr>
        <w:drawing>
          <wp:inline distT="0" distB="0" distL="0" distR="0" wp14:anchorId="03BA73C1" wp14:editId="22F75E46">
            <wp:extent cx="2938272" cy="2203704"/>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libration train_p41.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938272" cy="2203704"/>
                    </a:xfrm>
                    <a:prstGeom prst="rect">
                      <a:avLst/>
                    </a:prstGeom>
                  </pic:spPr>
                </pic:pic>
              </a:graphicData>
            </a:graphic>
          </wp:inline>
        </w:drawing>
      </w:r>
    </w:p>
    <w:p w14:paraId="38A60671" w14:textId="77777777" w:rsidR="00DD58D0" w:rsidRDefault="00DD58D0" w:rsidP="00EC4DB0">
      <w:pPr>
        <w:autoSpaceDE w:val="0"/>
        <w:autoSpaceDN w:val="0"/>
        <w:adjustRightInd w:val="0"/>
        <w:spacing w:after="0" w:line="240" w:lineRule="auto"/>
        <w:rPr>
          <w:rFonts w:cstheme="minorHAnsi"/>
          <w:b/>
        </w:rPr>
      </w:pPr>
    </w:p>
    <w:p w14:paraId="72DDBF1C" w14:textId="09F5EA71" w:rsidR="00092566" w:rsidRDefault="00743E46" w:rsidP="00EC4DB0">
      <w:pPr>
        <w:autoSpaceDE w:val="0"/>
        <w:autoSpaceDN w:val="0"/>
        <w:adjustRightInd w:val="0"/>
        <w:spacing w:after="0" w:line="240" w:lineRule="auto"/>
        <w:rPr>
          <w:rFonts w:cstheme="minorHAnsi"/>
          <w:bCs/>
        </w:rPr>
      </w:pPr>
      <w:bookmarkStart w:id="21" w:name="question2b49"/>
      <w:bookmarkEnd w:id="21"/>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1B586314" w14:textId="5DEA8B7C" w:rsidR="00DD58D0" w:rsidRPr="00DD58D0" w:rsidRDefault="00DD58D0" w:rsidP="004767F9">
      <w:pPr>
        <w:pBdr>
          <w:top w:val="single" w:sz="4" w:space="1" w:color="auto"/>
          <w:left w:val="single" w:sz="4" w:space="4" w:color="auto"/>
          <w:bottom w:val="single" w:sz="4" w:space="0" w:color="auto"/>
          <w:right w:val="single" w:sz="4" w:space="4" w:color="auto"/>
        </w:pBdr>
        <w:spacing w:line="240" w:lineRule="auto"/>
      </w:pPr>
      <w:r>
        <w:t>This measure is not risk stratified.</w:t>
      </w:r>
    </w:p>
    <w:p w14:paraId="3FF992C1" w14:textId="77777777" w:rsidR="00092566" w:rsidRDefault="00743E46" w:rsidP="00EC4DB0">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53542C4F" w14:textId="105A101C" w:rsidR="00DD58D0" w:rsidRDefault="00DD58D0" w:rsidP="004767F9">
      <w:pPr>
        <w:pBdr>
          <w:top w:val="single" w:sz="4" w:space="1" w:color="auto"/>
          <w:left w:val="single" w:sz="4" w:space="4" w:color="auto"/>
          <w:bottom w:val="single" w:sz="4" w:space="1" w:color="auto"/>
          <w:right w:val="single" w:sz="4" w:space="4" w:color="auto"/>
        </w:pBdr>
        <w:spacing w:after="0" w:line="240" w:lineRule="auto"/>
      </w:pPr>
      <w:r w:rsidRPr="009C3A12">
        <w:t xml:space="preserve">Model performance was similar in the development and validation datasets, with strong model discrimination and fit. </w:t>
      </w:r>
      <w:r w:rsidRPr="00895F1A">
        <w:t xml:space="preserve">The </w:t>
      </w:r>
      <w:r>
        <w:t>over-fitting index</w:t>
      </w:r>
      <w:r w:rsidRPr="00895F1A">
        <w:t xml:space="preserve"> of </w:t>
      </w:r>
      <w:r>
        <w:t>γ</w:t>
      </w:r>
      <w:r w:rsidRPr="009556C0">
        <w:rPr>
          <w:vertAlign w:val="subscript"/>
        </w:rPr>
        <w:t>0</w:t>
      </w:r>
      <w:r>
        <w:rPr>
          <w:vertAlign w:val="subscript"/>
        </w:rPr>
        <w:t xml:space="preserve"> </w:t>
      </w:r>
      <w:r w:rsidRPr="00895F1A">
        <w:t xml:space="preserve">close to 0 and </w:t>
      </w:r>
      <w:r>
        <w:t>γ</w:t>
      </w:r>
      <w:r w:rsidRPr="009556C0">
        <w:rPr>
          <w:vertAlign w:val="subscript"/>
        </w:rPr>
        <w:t>1</w:t>
      </w:r>
      <w:r>
        <w:rPr>
          <w:vertAlign w:val="subscript"/>
        </w:rPr>
        <w:t xml:space="preserve"> </w:t>
      </w:r>
      <w:r w:rsidRPr="00895F1A">
        <w:t>close to 1 indicates good calibration of the model</w:t>
      </w:r>
      <w:r>
        <w:t xml:space="preserve"> [1]</w:t>
      </w:r>
      <w:r w:rsidRPr="00895F1A">
        <w:t xml:space="preserve">. </w:t>
      </w:r>
      <w:r>
        <w:t>Additionally, the risk plots of all four risk groups show that the model performs well across a broad range of risk. In the highest risk group (2b4.8, Figure D), we observed that the model somewhat over</w:t>
      </w:r>
      <w:r w:rsidR="00811423">
        <w:t>-</w:t>
      </w:r>
      <w:r>
        <w:t>predicts the probability of 0 admissions and somewhat under</w:t>
      </w:r>
      <w:r w:rsidR="00811423">
        <w:t>-</w:t>
      </w:r>
      <w:r>
        <w:t xml:space="preserve">predicts the probability of 1 or 2 admissions. </w:t>
      </w:r>
      <w:r w:rsidRPr="00A32D71">
        <w:t>In the highest risk group, we observe</w:t>
      </w:r>
      <w:r>
        <w:t xml:space="preserve">d that the observed and predicted probabilities of the number of </w:t>
      </w:r>
      <w:r w:rsidR="00811423">
        <w:t>0</w:t>
      </w:r>
      <w:r>
        <w:t xml:space="preserve">, </w:t>
      </w:r>
      <w:r w:rsidR="00811423">
        <w:t>1</w:t>
      </w:r>
      <w:r>
        <w:t xml:space="preserve">, or </w:t>
      </w:r>
      <w:r w:rsidR="00811423">
        <w:t>2</w:t>
      </w:r>
      <w:r w:rsidRPr="00A32D71">
        <w:t xml:space="preserve"> admissions </w:t>
      </w:r>
      <w:r>
        <w:t>differed slightly</w:t>
      </w:r>
      <w:r w:rsidRPr="00A32D71">
        <w:t xml:space="preserve">. However, these differences </w:t>
      </w:r>
      <w:r>
        <w:t>we</w:t>
      </w:r>
      <w:r w:rsidRPr="00A32D71">
        <w:t>re small and somewhat expected among the highest risk group of patients.</w:t>
      </w:r>
    </w:p>
    <w:p w14:paraId="5F34AB90" w14:textId="77777777" w:rsidR="00DD58D0" w:rsidRPr="00494159" w:rsidRDefault="00DD58D0" w:rsidP="00EC4DB0">
      <w:pPr>
        <w:pBdr>
          <w:top w:val="single" w:sz="4" w:space="1" w:color="auto"/>
          <w:left w:val="single" w:sz="4" w:space="4" w:color="auto"/>
          <w:bottom w:val="single" w:sz="4" w:space="1" w:color="auto"/>
          <w:right w:val="single" w:sz="4" w:space="4" w:color="auto"/>
        </w:pBdr>
        <w:spacing w:after="0" w:line="240" w:lineRule="auto"/>
        <w:rPr>
          <w:rFonts w:ascii="Calibri" w:hAnsi="Calibri"/>
        </w:rPr>
      </w:pPr>
    </w:p>
    <w:p w14:paraId="02A6A8F4" w14:textId="77777777" w:rsidR="00DD58D0" w:rsidRPr="00147B7D" w:rsidRDefault="00DD58D0" w:rsidP="004767F9">
      <w:pPr>
        <w:pBdr>
          <w:top w:val="single" w:sz="4" w:space="1" w:color="auto"/>
          <w:left w:val="single" w:sz="4" w:space="4" w:color="auto"/>
          <w:bottom w:val="single" w:sz="4" w:space="1" w:color="auto"/>
          <w:right w:val="single" w:sz="4" w:space="4" w:color="auto"/>
        </w:pBdr>
        <w:spacing w:after="0" w:line="240" w:lineRule="auto"/>
        <w:rPr>
          <w:rFonts w:ascii="Calibri" w:hAnsi="Calibri"/>
          <w:u w:val="single"/>
        </w:rPr>
      </w:pPr>
      <w:r w:rsidRPr="00147B7D">
        <w:rPr>
          <w:rFonts w:ascii="Calibri" w:hAnsi="Calibri"/>
          <w:u w:val="single"/>
        </w:rPr>
        <w:lastRenderedPageBreak/>
        <w:t>Citations</w:t>
      </w:r>
    </w:p>
    <w:p w14:paraId="4EAC52DC" w14:textId="77777777" w:rsidR="00DD58D0" w:rsidRPr="00494159" w:rsidRDefault="00DD58D0" w:rsidP="004767F9">
      <w:pPr>
        <w:pBdr>
          <w:top w:val="single" w:sz="4" w:space="1" w:color="auto"/>
          <w:left w:val="single" w:sz="4" w:space="4" w:color="auto"/>
          <w:bottom w:val="single" w:sz="4" w:space="1" w:color="auto"/>
          <w:right w:val="single" w:sz="4" w:space="4" w:color="auto"/>
        </w:pBdr>
        <w:spacing w:after="0" w:line="240" w:lineRule="auto"/>
        <w:rPr>
          <w:rFonts w:ascii="Calibri" w:hAnsi="Calibri"/>
        </w:rPr>
      </w:pPr>
      <w:r w:rsidRPr="00494159">
        <w:rPr>
          <w:rFonts w:ascii="Calibri" w:hAnsi="Calibri" w:cs="Segoe UI"/>
        </w:rPr>
        <w:t xml:space="preserve">1. Cameron AC, Windmeijer FA. R-squared measures for count data regression models with applications to health-care utilization. </w:t>
      </w:r>
      <w:r w:rsidRPr="00494159">
        <w:rPr>
          <w:rFonts w:ascii="Calibri" w:hAnsi="Calibri" w:cs="Segoe UI"/>
          <w:i/>
          <w:iCs/>
        </w:rPr>
        <w:t xml:space="preserve">Journal of Business &amp; Economic Statistics. </w:t>
      </w:r>
      <w:r w:rsidRPr="00494159">
        <w:rPr>
          <w:rFonts w:ascii="Calibri" w:hAnsi="Calibri" w:cs="Segoe UI"/>
        </w:rPr>
        <w:t>1996;14(2):209-220.</w:t>
      </w:r>
    </w:p>
    <w:p w14:paraId="01A5DE77" w14:textId="77777777" w:rsidR="00DD58D0" w:rsidRPr="00A25024" w:rsidRDefault="00DD58D0" w:rsidP="00EC4DB0">
      <w:pPr>
        <w:autoSpaceDE w:val="0"/>
        <w:autoSpaceDN w:val="0"/>
        <w:adjustRightInd w:val="0"/>
        <w:spacing w:after="0" w:line="240" w:lineRule="auto"/>
        <w:rPr>
          <w:rFonts w:cstheme="minorHAnsi"/>
          <w:bCs/>
        </w:rPr>
      </w:pPr>
    </w:p>
    <w:p w14:paraId="647FBA12" w14:textId="77777777" w:rsidR="00092566" w:rsidRPr="00A25024" w:rsidRDefault="00092566" w:rsidP="00EC4DB0">
      <w:pPr>
        <w:spacing w:after="0" w:line="240" w:lineRule="auto"/>
        <w:rPr>
          <w:rFonts w:cstheme="minorHAnsi"/>
        </w:rPr>
      </w:pPr>
    </w:p>
    <w:p w14:paraId="13123B14" w14:textId="77777777" w:rsidR="00021170" w:rsidRPr="009B1A15" w:rsidRDefault="009B1A15" w:rsidP="00EC4DB0">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D712F61" w14:textId="77777777" w:rsidR="003755CB" w:rsidRDefault="003755CB" w:rsidP="00EC4DB0">
      <w:pPr>
        <w:autoSpaceDE w:val="0"/>
        <w:autoSpaceDN w:val="0"/>
        <w:adjustRightInd w:val="0"/>
        <w:spacing w:after="0" w:line="240" w:lineRule="auto"/>
        <w:rPr>
          <w:rFonts w:cstheme="minorHAnsi"/>
          <w:b/>
          <w:bCs/>
        </w:rPr>
      </w:pPr>
    </w:p>
    <w:p w14:paraId="2A6603F8" w14:textId="0D43FF1A" w:rsidR="00B5501C" w:rsidRPr="00B5501C" w:rsidRDefault="00B5501C" w:rsidP="004767F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B5501C">
        <w:rPr>
          <w:rFonts w:cstheme="minorHAnsi"/>
          <w:bCs/>
        </w:rPr>
        <w:t>Not applicable</w:t>
      </w:r>
      <w:r w:rsidR="00607002">
        <w:rPr>
          <w:rFonts w:cstheme="minorHAnsi"/>
          <w:bCs/>
        </w:rPr>
        <w:t>.</w:t>
      </w:r>
    </w:p>
    <w:p w14:paraId="23006004" w14:textId="6048CFB9" w:rsidR="00E46C12" w:rsidRDefault="00E46C12" w:rsidP="00EC4DB0">
      <w:pPr>
        <w:spacing w:line="240" w:lineRule="auto"/>
        <w:rPr>
          <w:rFonts w:cstheme="minorHAnsi"/>
          <w:b/>
          <w:bCs/>
        </w:rPr>
      </w:pPr>
      <w:r>
        <w:rPr>
          <w:rFonts w:cstheme="minorHAnsi"/>
          <w:b/>
          <w:bCs/>
        </w:rPr>
        <w:br w:type="page"/>
      </w:r>
    </w:p>
    <w:p w14:paraId="62629927" w14:textId="77777777" w:rsidR="00D61410" w:rsidRPr="00A25024" w:rsidRDefault="00D61410" w:rsidP="00EC4DB0">
      <w:pPr>
        <w:autoSpaceDE w:val="0"/>
        <w:autoSpaceDN w:val="0"/>
        <w:adjustRightInd w:val="0"/>
        <w:spacing w:after="0" w:line="240" w:lineRule="auto"/>
        <w:rPr>
          <w:rFonts w:cstheme="minorHAnsi"/>
          <w:b/>
          <w:bCs/>
        </w:rPr>
      </w:pPr>
      <w:bookmarkStart w:id="22" w:name="section2b5"/>
      <w:bookmarkEnd w:id="22"/>
      <w:r w:rsidRPr="00A25024">
        <w:rPr>
          <w:rFonts w:cstheme="minorHAnsi"/>
          <w:b/>
          <w:bCs/>
        </w:rPr>
        <w:lastRenderedPageBreak/>
        <w:t>2b5. IDENTIFICATION OF STATISTICALLY SIGNIFICANT &amp; MEANINGFUL DIFFERENCES IN PERFORMANCE</w:t>
      </w:r>
    </w:p>
    <w:p w14:paraId="7B9A5936" w14:textId="77777777" w:rsidR="00D61410" w:rsidRDefault="00D61410" w:rsidP="00EC4DB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16EDA780" w14:textId="3B751B2D" w:rsidR="00E46C12" w:rsidRDefault="00E46C12" w:rsidP="004767F9">
      <w:pPr>
        <w:pBdr>
          <w:top w:val="single" w:sz="4" w:space="1" w:color="auto"/>
          <w:left w:val="single" w:sz="4" w:space="4" w:color="auto"/>
          <w:bottom w:val="single" w:sz="4" w:space="1" w:color="auto"/>
          <w:right w:val="single" w:sz="4" w:space="4" w:color="auto"/>
        </w:pBdr>
        <w:shd w:val="clear" w:color="auto" w:fill="FFFFFF"/>
        <w:spacing w:after="0" w:line="240" w:lineRule="auto"/>
        <w:rPr>
          <w:rFonts w:cs="Trebuchet MS"/>
          <w:bCs/>
        </w:rPr>
      </w:pPr>
      <w:r w:rsidRPr="003162B2">
        <w:rPr>
          <w:rFonts w:cs="Trebuchet MS"/>
          <w:bCs/>
        </w:rPr>
        <w:t xml:space="preserve">The method for discriminating </w:t>
      </w:r>
      <w:r>
        <w:rPr>
          <w:rFonts w:cs="Trebuchet MS"/>
          <w:bCs/>
        </w:rPr>
        <w:t>facility-level</w:t>
      </w:r>
      <w:r w:rsidRPr="003162B2">
        <w:rPr>
          <w:rFonts w:cs="Trebuchet MS"/>
          <w:bCs/>
        </w:rPr>
        <w:t xml:space="preserve"> performance </w:t>
      </w:r>
      <w:r>
        <w:rPr>
          <w:rFonts w:cs="Trebuchet MS"/>
          <w:bCs/>
        </w:rPr>
        <w:t xml:space="preserve">for public reporting </w:t>
      </w:r>
      <w:r w:rsidRPr="003162B2">
        <w:rPr>
          <w:rFonts w:cs="Trebuchet MS"/>
          <w:bCs/>
        </w:rPr>
        <w:t>has not been determined</w:t>
      </w:r>
      <w:r w:rsidRPr="007A78D8">
        <w:rPr>
          <w:rFonts w:cs="Trebuchet MS"/>
          <w:bCs/>
        </w:rPr>
        <w:t xml:space="preserve">. </w:t>
      </w:r>
      <w:r w:rsidRPr="0007213F">
        <w:rPr>
          <w:rFonts w:cs="Trebuchet MS"/>
          <w:bCs/>
        </w:rPr>
        <w:t xml:space="preserve">For publicly reported readmission measures of hospital outcomes developed with similar methodology, CMS currently estimates an interval estimate for each risk-standardized rate to characterize the amount of uncertainty associated with the rate, compares the interval estimate to the national crude rate for the outcome, and categorizes hospitals as </w:t>
      </w:r>
      <w:r w:rsidR="00607002">
        <w:rPr>
          <w:rFonts w:cs="Trebuchet MS"/>
          <w:bCs/>
        </w:rPr>
        <w:t>‘</w:t>
      </w:r>
      <w:r w:rsidRPr="0007213F">
        <w:rPr>
          <w:rFonts w:cs="Trebuchet MS"/>
          <w:bCs/>
        </w:rPr>
        <w:t>better than</w:t>
      </w:r>
      <w:r>
        <w:rPr>
          <w:rFonts w:cs="Trebuchet MS"/>
          <w:bCs/>
        </w:rPr>
        <w:t xml:space="preserve"> the national rate</w:t>
      </w:r>
      <w:r w:rsidR="00607002">
        <w:rPr>
          <w:rFonts w:cs="Trebuchet MS"/>
          <w:bCs/>
        </w:rPr>
        <w:t>,’ ‘</w:t>
      </w:r>
      <w:r w:rsidRPr="0007213F">
        <w:rPr>
          <w:rFonts w:cs="Trebuchet MS"/>
          <w:bCs/>
        </w:rPr>
        <w:t>worse than</w:t>
      </w:r>
      <w:r>
        <w:rPr>
          <w:rFonts w:cs="Trebuchet MS"/>
          <w:bCs/>
        </w:rPr>
        <w:t xml:space="preserve"> the national rate</w:t>
      </w:r>
      <w:r w:rsidR="005F0DE5">
        <w:rPr>
          <w:rFonts w:cs="Trebuchet MS"/>
          <w:bCs/>
        </w:rPr>
        <w:t>,’</w:t>
      </w:r>
      <w:bookmarkStart w:id="23" w:name="_GoBack"/>
      <w:bookmarkEnd w:id="23"/>
      <w:r w:rsidRPr="0007213F">
        <w:rPr>
          <w:rFonts w:cs="Trebuchet MS"/>
          <w:bCs/>
        </w:rPr>
        <w:t xml:space="preserve"> or </w:t>
      </w:r>
      <w:r w:rsidR="00607002">
        <w:rPr>
          <w:rFonts w:cs="Trebuchet MS"/>
          <w:bCs/>
        </w:rPr>
        <w:t>‘</w:t>
      </w:r>
      <w:r w:rsidRPr="0007213F">
        <w:rPr>
          <w:rFonts w:cs="Trebuchet MS"/>
          <w:bCs/>
        </w:rPr>
        <w:t>no different than</w:t>
      </w:r>
      <w:r>
        <w:rPr>
          <w:rFonts w:cs="Trebuchet MS"/>
          <w:bCs/>
        </w:rPr>
        <w:t xml:space="preserve"> the national rate</w:t>
      </w:r>
      <w:r w:rsidR="00607002">
        <w:rPr>
          <w:rFonts w:cs="Trebuchet MS"/>
          <w:bCs/>
        </w:rPr>
        <w:t>.’</w:t>
      </w:r>
      <w:r w:rsidRPr="0007213F">
        <w:rPr>
          <w:rFonts w:cs="Trebuchet MS"/>
          <w:bCs/>
        </w:rPr>
        <w:t xml:space="preserve"> </w:t>
      </w:r>
      <w:r>
        <w:rPr>
          <w:rFonts w:cs="Trebuchet MS"/>
          <w:bCs/>
        </w:rPr>
        <w:t xml:space="preserve">We used that approach here. </w:t>
      </w:r>
      <w:r w:rsidRPr="0007213F">
        <w:rPr>
          <w:rFonts w:cs="Trebuchet MS"/>
          <w:bCs/>
        </w:rPr>
        <w:t xml:space="preserve">However, the approach to discriminating performance </w:t>
      </w:r>
      <w:r>
        <w:rPr>
          <w:rFonts w:cs="Trebuchet MS"/>
          <w:bCs/>
        </w:rPr>
        <w:t xml:space="preserve">that would be used for this measure in public reporting </w:t>
      </w:r>
      <w:r w:rsidRPr="0007213F">
        <w:rPr>
          <w:rFonts w:cs="Trebuchet MS"/>
          <w:bCs/>
        </w:rPr>
        <w:t>has not been determined.</w:t>
      </w:r>
    </w:p>
    <w:p w14:paraId="363F85EF" w14:textId="77777777" w:rsidR="00E46C12" w:rsidRDefault="00E46C12" w:rsidP="004767F9">
      <w:pPr>
        <w:pBdr>
          <w:top w:val="single" w:sz="4" w:space="1" w:color="auto"/>
          <w:left w:val="single" w:sz="4" w:space="4" w:color="auto"/>
          <w:bottom w:val="single" w:sz="4" w:space="1" w:color="auto"/>
          <w:right w:val="single" w:sz="4" w:space="4" w:color="auto"/>
        </w:pBdr>
        <w:shd w:val="clear" w:color="auto" w:fill="FFFFFF"/>
        <w:spacing w:after="0" w:line="240" w:lineRule="auto"/>
        <w:rPr>
          <w:rFonts w:cs="Trebuchet MS"/>
          <w:bCs/>
        </w:rPr>
      </w:pPr>
    </w:p>
    <w:p w14:paraId="3E01F0A6" w14:textId="77777777" w:rsidR="00E46C12" w:rsidRPr="00D32CBE" w:rsidRDefault="00E46C12" w:rsidP="004767F9">
      <w:pPr>
        <w:pBdr>
          <w:top w:val="single" w:sz="4" w:space="1" w:color="auto"/>
          <w:left w:val="single" w:sz="4" w:space="4" w:color="auto"/>
          <w:bottom w:val="single" w:sz="4" w:space="1" w:color="auto"/>
          <w:right w:val="single" w:sz="4" w:space="4" w:color="auto"/>
        </w:pBdr>
        <w:shd w:val="clear" w:color="auto" w:fill="FFFFFF"/>
        <w:spacing w:after="0" w:line="240" w:lineRule="auto"/>
        <w:rPr>
          <w:rFonts w:cs="Trebuchet MS"/>
          <w:bCs/>
        </w:rPr>
      </w:pPr>
      <w:r w:rsidRPr="00D32CBE">
        <w:rPr>
          <w:rFonts w:cs="Trebuchet MS"/>
          <w:bCs/>
        </w:rPr>
        <w:t xml:space="preserve">In order to determine </w:t>
      </w:r>
      <w:r>
        <w:rPr>
          <w:rFonts w:cs="Trebuchet MS"/>
          <w:bCs/>
        </w:rPr>
        <w:t xml:space="preserve">interval </w:t>
      </w:r>
      <w:r w:rsidRPr="00D32CBE">
        <w:rPr>
          <w:rFonts w:cs="Trebuchet MS"/>
          <w:bCs/>
        </w:rPr>
        <w:t>estimates</w:t>
      </w:r>
      <w:r>
        <w:rPr>
          <w:rFonts w:cs="Trebuchet MS"/>
          <w:bCs/>
        </w:rPr>
        <w:t xml:space="preserve"> (IEs)</w:t>
      </w:r>
      <w:r w:rsidRPr="00D32CBE">
        <w:rPr>
          <w:rFonts w:cs="Trebuchet MS"/>
          <w:bCs/>
        </w:rPr>
        <w:t xml:space="preserve">, we used bootstrapping methods. In brief, we randomly sampled </w:t>
      </w:r>
      <w:r>
        <w:rPr>
          <w:rFonts w:cs="Trebuchet MS"/>
          <w:bCs/>
        </w:rPr>
        <w:t xml:space="preserve">114 </w:t>
      </w:r>
      <w:r w:rsidRPr="00D32CBE">
        <w:rPr>
          <w:rFonts w:cs="Trebuchet MS"/>
          <w:bCs/>
        </w:rPr>
        <w:t xml:space="preserve">ACOs with replacement. This is done by randomly selecting an ACO from the </w:t>
      </w:r>
      <w:r>
        <w:rPr>
          <w:rFonts w:cs="Trebuchet MS"/>
          <w:bCs/>
        </w:rPr>
        <w:t xml:space="preserve">114 </w:t>
      </w:r>
      <w:r w:rsidRPr="00D32CBE">
        <w:rPr>
          <w:rFonts w:cs="Trebuchet MS"/>
          <w:bCs/>
        </w:rPr>
        <w:t xml:space="preserve">ACOs, then placing the selected ACO back into the pool, until we got </w:t>
      </w:r>
      <w:r>
        <w:rPr>
          <w:rFonts w:cs="Trebuchet MS"/>
          <w:bCs/>
        </w:rPr>
        <w:t>114</w:t>
      </w:r>
      <w:r w:rsidRPr="00D32CBE">
        <w:rPr>
          <w:rFonts w:cs="Trebuchet MS"/>
          <w:bCs/>
        </w:rPr>
        <w:t xml:space="preserve"> ACOs, with some ACOs being selected more than once.  Performance score</w:t>
      </w:r>
      <w:r>
        <w:rPr>
          <w:rFonts w:cs="Trebuchet MS"/>
          <w:bCs/>
        </w:rPr>
        <w:t>s</w:t>
      </w:r>
      <w:r w:rsidRPr="00D32CBE">
        <w:rPr>
          <w:rFonts w:cs="Trebuchet MS"/>
          <w:bCs/>
        </w:rPr>
        <w:t xml:space="preserve"> w</w:t>
      </w:r>
      <w:r>
        <w:rPr>
          <w:rFonts w:cs="Trebuchet MS"/>
          <w:bCs/>
        </w:rPr>
        <w:t>ere</w:t>
      </w:r>
      <w:r w:rsidRPr="00D32CBE">
        <w:rPr>
          <w:rFonts w:cs="Trebuchet MS"/>
          <w:bCs/>
        </w:rPr>
        <w:t xml:space="preserve"> calculated for each random sample of</w:t>
      </w:r>
      <w:r>
        <w:rPr>
          <w:rFonts w:cs="Trebuchet MS"/>
          <w:bCs/>
        </w:rPr>
        <w:t xml:space="preserve"> 114</w:t>
      </w:r>
      <w:r w:rsidRPr="00D32CBE">
        <w:rPr>
          <w:rFonts w:cs="Trebuchet MS"/>
          <w:bCs/>
        </w:rPr>
        <w:t xml:space="preserve"> ACOs. If some ACOs were selected more than once in a bootstrapped sample, we treated them as distinct so that we had random effects to estimate the variance components.</w:t>
      </w:r>
      <w:r>
        <w:rPr>
          <w:rFonts w:cs="Trebuchet MS"/>
          <w:bCs/>
        </w:rPr>
        <w:t xml:space="preserve"> This process was repeated many times until 3,000 results were obtained for each ACO.</w:t>
      </w:r>
    </w:p>
    <w:p w14:paraId="6B79ED70" w14:textId="77777777" w:rsidR="00E46C12" w:rsidRDefault="00E46C12" w:rsidP="004767F9">
      <w:pPr>
        <w:pBdr>
          <w:top w:val="single" w:sz="4" w:space="1" w:color="auto"/>
          <w:left w:val="single" w:sz="4" w:space="4" w:color="auto"/>
          <w:bottom w:val="single" w:sz="4" w:space="1" w:color="auto"/>
          <w:right w:val="single" w:sz="4" w:space="4" w:color="auto"/>
        </w:pBdr>
        <w:shd w:val="clear" w:color="auto" w:fill="FFFFFF"/>
        <w:spacing w:after="0" w:line="240" w:lineRule="auto"/>
        <w:rPr>
          <w:rFonts w:cs="Trebuchet MS"/>
          <w:bCs/>
        </w:rPr>
      </w:pPr>
    </w:p>
    <w:p w14:paraId="3F96D96C" w14:textId="54429FDA" w:rsidR="00E46C12" w:rsidRPr="003162B2" w:rsidRDefault="00E46C12" w:rsidP="004767F9">
      <w:pPr>
        <w:pBdr>
          <w:top w:val="single" w:sz="4" w:space="1" w:color="auto"/>
          <w:left w:val="single" w:sz="4" w:space="4" w:color="auto"/>
          <w:bottom w:val="single" w:sz="4" w:space="1" w:color="auto"/>
          <w:right w:val="single" w:sz="4" w:space="4" w:color="auto"/>
        </w:pBdr>
        <w:shd w:val="clear" w:color="auto" w:fill="FFFFFF"/>
        <w:spacing w:after="0" w:line="240" w:lineRule="auto"/>
        <w:rPr>
          <w:rFonts w:cs="Trebuchet MS"/>
          <w:bCs/>
        </w:rPr>
      </w:pPr>
      <w:r>
        <w:rPr>
          <w:rFonts w:cs="Trebuchet MS"/>
          <w:bCs/>
        </w:rPr>
        <w:t xml:space="preserve">Using the 95% IEs, we assigned each ACO to one of three performance categories: </w:t>
      </w:r>
      <w:r w:rsidR="00607002">
        <w:rPr>
          <w:rFonts w:cs="Trebuchet MS"/>
          <w:bCs/>
        </w:rPr>
        <w:t>‘</w:t>
      </w:r>
      <w:r>
        <w:rPr>
          <w:rFonts w:cs="Trebuchet MS"/>
          <w:bCs/>
        </w:rPr>
        <w:t>better than the national rate,</w:t>
      </w:r>
      <w:r w:rsidR="00607002">
        <w:rPr>
          <w:rFonts w:cs="Trebuchet MS"/>
          <w:bCs/>
        </w:rPr>
        <w:t>’</w:t>
      </w:r>
      <w:r>
        <w:rPr>
          <w:rFonts w:cs="Trebuchet MS"/>
          <w:bCs/>
        </w:rPr>
        <w:t xml:space="preserve"> </w:t>
      </w:r>
      <w:r w:rsidR="00607002">
        <w:rPr>
          <w:rFonts w:cs="Trebuchet MS"/>
          <w:bCs/>
        </w:rPr>
        <w:t>‘</w:t>
      </w:r>
      <w:r>
        <w:rPr>
          <w:rFonts w:cs="Trebuchet MS"/>
          <w:bCs/>
        </w:rPr>
        <w:t>no different than the national rate,</w:t>
      </w:r>
      <w:r w:rsidR="00607002">
        <w:rPr>
          <w:rFonts w:cs="Trebuchet MS"/>
          <w:bCs/>
        </w:rPr>
        <w:t>’</w:t>
      </w:r>
      <w:r>
        <w:rPr>
          <w:rFonts w:cs="Trebuchet MS"/>
          <w:bCs/>
        </w:rPr>
        <w:t xml:space="preserve"> and </w:t>
      </w:r>
      <w:r w:rsidR="00607002">
        <w:rPr>
          <w:rFonts w:cs="Trebuchet MS"/>
          <w:bCs/>
        </w:rPr>
        <w:t>‘</w:t>
      </w:r>
      <w:r>
        <w:rPr>
          <w:rFonts w:cs="Trebuchet MS"/>
          <w:bCs/>
        </w:rPr>
        <w:t>worse than the national rate.</w:t>
      </w:r>
      <w:r w:rsidR="00607002">
        <w:rPr>
          <w:rFonts w:cs="Trebuchet MS"/>
          <w:bCs/>
        </w:rPr>
        <w:t>’</w:t>
      </w:r>
      <w:r>
        <w:rPr>
          <w:rFonts w:cs="Trebuchet MS"/>
          <w:bCs/>
        </w:rPr>
        <w:t xml:space="preserve"> Each ACO was compared to all Medicare FFS beneficiaries who met our diabetes cohort criteria, so that each ACO was evaluated against the US national admission rate among </w:t>
      </w:r>
      <w:r w:rsidRPr="00A50927">
        <w:rPr>
          <w:rFonts w:cs="Trebuchet MS"/>
          <w:bCs/>
        </w:rPr>
        <w:t xml:space="preserve">Medicare FFS </w:t>
      </w:r>
      <w:r>
        <w:rPr>
          <w:rFonts w:cs="Trebuchet MS"/>
          <w:bCs/>
        </w:rPr>
        <w:t xml:space="preserve">patients with diabetes. The ACO was </w:t>
      </w:r>
      <w:r w:rsidR="00967FFE">
        <w:rPr>
          <w:rFonts w:cs="Trebuchet MS"/>
          <w:bCs/>
        </w:rPr>
        <w:t>‘</w:t>
      </w:r>
      <w:r>
        <w:rPr>
          <w:rFonts w:cs="Trebuchet MS"/>
          <w:bCs/>
        </w:rPr>
        <w:t>better than the national rate</w:t>
      </w:r>
      <w:r w:rsidR="00967FFE">
        <w:rPr>
          <w:rFonts w:cs="Trebuchet MS"/>
          <w:bCs/>
        </w:rPr>
        <w:t>’</w:t>
      </w:r>
      <w:r>
        <w:rPr>
          <w:rFonts w:cs="Trebuchet MS"/>
          <w:bCs/>
        </w:rPr>
        <w:t xml:space="preserve"> if the 95% IE was completely below </w:t>
      </w:r>
      <w:r w:rsidRPr="00A50927">
        <w:rPr>
          <w:rFonts w:cs="Trebuchet MS"/>
          <w:bCs/>
        </w:rPr>
        <w:t xml:space="preserve">the US national Medicare FFS rate among </w:t>
      </w:r>
      <w:r>
        <w:rPr>
          <w:rFonts w:cs="Trebuchet MS"/>
          <w:bCs/>
        </w:rPr>
        <w:t xml:space="preserve">patients with diabetes; </w:t>
      </w:r>
      <w:r w:rsidR="00967FFE">
        <w:rPr>
          <w:rFonts w:cs="Trebuchet MS"/>
          <w:bCs/>
        </w:rPr>
        <w:t>‘</w:t>
      </w:r>
      <w:r>
        <w:rPr>
          <w:rFonts w:cs="Trebuchet MS"/>
          <w:bCs/>
        </w:rPr>
        <w:t>no different than the national rate</w:t>
      </w:r>
      <w:r w:rsidR="00967FFE">
        <w:rPr>
          <w:rFonts w:cs="Trebuchet MS"/>
          <w:bCs/>
        </w:rPr>
        <w:t>’</w:t>
      </w:r>
      <w:r>
        <w:rPr>
          <w:rFonts w:cs="Trebuchet MS"/>
          <w:bCs/>
        </w:rPr>
        <w:t xml:space="preserve"> if the 95% IE included </w:t>
      </w:r>
      <w:r w:rsidRPr="00A50927">
        <w:rPr>
          <w:rFonts w:cs="Trebuchet MS"/>
          <w:bCs/>
        </w:rPr>
        <w:t xml:space="preserve">the US national Medicare FFS rate among </w:t>
      </w:r>
      <w:r>
        <w:rPr>
          <w:rFonts w:cs="Trebuchet MS"/>
          <w:bCs/>
        </w:rPr>
        <w:t xml:space="preserve">patients with diabetes; and </w:t>
      </w:r>
      <w:r w:rsidR="00967FFE">
        <w:rPr>
          <w:rFonts w:cs="Trebuchet MS"/>
          <w:bCs/>
        </w:rPr>
        <w:t>‘</w:t>
      </w:r>
      <w:r>
        <w:rPr>
          <w:rFonts w:cs="Trebuchet MS"/>
          <w:bCs/>
        </w:rPr>
        <w:t>worse than the national rate</w:t>
      </w:r>
      <w:r w:rsidR="00967FFE">
        <w:rPr>
          <w:rFonts w:cs="Trebuchet MS"/>
          <w:bCs/>
        </w:rPr>
        <w:t>’</w:t>
      </w:r>
      <w:r>
        <w:rPr>
          <w:rFonts w:cs="Trebuchet MS"/>
          <w:bCs/>
        </w:rPr>
        <w:t xml:space="preserve"> if the 95% IE was above the US</w:t>
      </w:r>
      <w:r w:rsidRPr="00A50927">
        <w:rPr>
          <w:rFonts w:cs="Trebuchet MS"/>
          <w:bCs/>
        </w:rPr>
        <w:t xml:space="preserve"> national Medicare FFS rate among </w:t>
      </w:r>
      <w:r>
        <w:rPr>
          <w:rFonts w:cs="Trebuchet MS"/>
          <w:bCs/>
        </w:rPr>
        <w:t>patients with diabetes.</w:t>
      </w:r>
    </w:p>
    <w:p w14:paraId="67CBF7C8" w14:textId="77777777" w:rsidR="00E46C12" w:rsidRPr="00A25024" w:rsidRDefault="00E46C12" w:rsidP="00EC4DB0">
      <w:pPr>
        <w:autoSpaceDE w:val="0"/>
        <w:autoSpaceDN w:val="0"/>
        <w:adjustRightInd w:val="0"/>
        <w:spacing w:after="0" w:line="240" w:lineRule="auto"/>
        <w:rPr>
          <w:rFonts w:cstheme="minorHAnsi"/>
          <w:bCs/>
        </w:rPr>
      </w:pPr>
    </w:p>
    <w:p w14:paraId="6B5D69F8" w14:textId="77777777" w:rsidR="00D61410" w:rsidRPr="00A25024" w:rsidRDefault="00D61410" w:rsidP="00EC4DB0">
      <w:pPr>
        <w:autoSpaceDE w:val="0"/>
        <w:autoSpaceDN w:val="0"/>
        <w:adjustRightInd w:val="0"/>
        <w:spacing w:after="0" w:line="240" w:lineRule="auto"/>
        <w:rPr>
          <w:rFonts w:cstheme="minorHAnsi"/>
          <w:bCs/>
        </w:rPr>
      </w:pPr>
    </w:p>
    <w:p w14:paraId="79B74AF2" w14:textId="77777777" w:rsidR="00D61410" w:rsidRDefault="00D61410" w:rsidP="00EC4DB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781E3EFC" w14:textId="139BFCDD" w:rsidR="00E46C12" w:rsidRPr="00E46C12" w:rsidRDefault="00E46C12" w:rsidP="004767F9">
      <w:pPr>
        <w:pBdr>
          <w:top w:val="single" w:sz="4" w:space="1" w:color="auto"/>
          <w:left w:val="single" w:sz="4" w:space="4" w:color="auto"/>
          <w:bottom w:val="single" w:sz="4" w:space="0" w:color="auto"/>
          <w:right w:val="single" w:sz="4" w:space="4" w:color="auto"/>
        </w:pBdr>
        <w:spacing w:line="240" w:lineRule="auto"/>
      </w:pPr>
      <w:r w:rsidRPr="007E3AA3">
        <w:t xml:space="preserve">51 (44.7%) ACOs were </w:t>
      </w:r>
      <w:r w:rsidR="00607002">
        <w:t>‘</w:t>
      </w:r>
      <w:r w:rsidR="00D7691C">
        <w:t>no different than the national rate</w:t>
      </w:r>
      <w:r w:rsidRPr="007E3AA3">
        <w:t>,</w:t>
      </w:r>
      <w:r w:rsidR="00607002">
        <w:t>’</w:t>
      </w:r>
      <w:r w:rsidRPr="007E3AA3">
        <w:t xml:space="preserve"> 45 (39.5%) were </w:t>
      </w:r>
      <w:r w:rsidR="00607002">
        <w:t>‘</w:t>
      </w:r>
      <w:r w:rsidRPr="007E3AA3">
        <w:t xml:space="preserve">better than </w:t>
      </w:r>
      <w:r>
        <w:t>the national rate</w:t>
      </w:r>
      <w:r w:rsidRPr="007E3AA3">
        <w:t>,</w:t>
      </w:r>
      <w:r w:rsidR="00607002">
        <w:t>’</w:t>
      </w:r>
      <w:r w:rsidRPr="007E3AA3">
        <w:t xml:space="preserve"> and 18 (15.8%) were </w:t>
      </w:r>
      <w:r w:rsidR="00607002">
        <w:t>‘</w:t>
      </w:r>
      <w:r w:rsidRPr="007E3AA3">
        <w:t xml:space="preserve">worse than </w:t>
      </w:r>
      <w:r>
        <w:t>the national</w:t>
      </w:r>
      <w:r w:rsidRPr="007E3AA3">
        <w:t xml:space="preserve"> rate</w:t>
      </w:r>
      <w:r w:rsidR="00607002">
        <w:t>’</w:t>
      </w:r>
      <w:r w:rsidRPr="007E3AA3">
        <w:t xml:space="preserve"> of admissions per 100 </w:t>
      </w:r>
      <w:r w:rsidRPr="00F24E7B">
        <w:t>person-years</w:t>
      </w:r>
      <w:r w:rsidRPr="007E3AA3">
        <w:t xml:space="preserve"> at risk for hospitalization among the</w:t>
      </w:r>
      <w:r>
        <w:t xml:space="preserve"> US </w:t>
      </w:r>
      <w:r w:rsidRPr="007E3AA3">
        <w:t xml:space="preserve">national Medicare FFS </w:t>
      </w:r>
      <w:r>
        <w:t>diabetes</w:t>
      </w:r>
      <w:r w:rsidRPr="007E3AA3">
        <w:t xml:space="preserve"> patient population.</w:t>
      </w:r>
      <w:r>
        <w:t xml:space="preserve"> </w:t>
      </w:r>
    </w:p>
    <w:p w14:paraId="07C32FDC" w14:textId="77777777" w:rsidR="00D61410" w:rsidRPr="00927027" w:rsidRDefault="00D61410" w:rsidP="00EC4DB0">
      <w:pPr>
        <w:autoSpaceDE w:val="0"/>
        <w:autoSpaceDN w:val="0"/>
        <w:adjustRightInd w:val="0"/>
        <w:spacing w:after="0" w:line="240" w:lineRule="auto"/>
        <w:rPr>
          <w:rFonts w:cstheme="minorHAnsi"/>
          <w:bCs/>
        </w:rPr>
      </w:pPr>
    </w:p>
    <w:p w14:paraId="660FCDD5" w14:textId="77777777" w:rsidR="00D61410" w:rsidRDefault="00D61410" w:rsidP="00EC4DB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414FC824" w14:textId="77777777" w:rsidR="00E46C12" w:rsidRPr="00B23D94" w:rsidRDefault="00E46C12" w:rsidP="004767F9">
      <w:pPr>
        <w:pBdr>
          <w:top w:val="single" w:sz="4" w:space="1" w:color="auto"/>
          <w:left w:val="single" w:sz="4" w:space="4" w:color="auto"/>
          <w:bottom w:val="single" w:sz="4" w:space="1" w:color="auto"/>
          <w:right w:val="single" w:sz="4" w:space="4" w:color="auto"/>
        </w:pBdr>
        <w:spacing w:after="0" w:line="240" w:lineRule="auto"/>
        <w:rPr>
          <w:rFonts w:cstheme="minorHAnsi"/>
          <w:bCs/>
        </w:rPr>
      </w:pPr>
      <w:r>
        <w:rPr>
          <w:rFonts w:cstheme="minorHAnsi"/>
          <w:bCs/>
        </w:rPr>
        <w:lastRenderedPageBreak/>
        <w:t>These results</w:t>
      </w:r>
      <w:r w:rsidRPr="003A34B8">
        <w:rPr>
          <w:rFonts w:cstheme="minorHAnsi"/>
          <w:bCs/>
        </w:rPr>
        <w:t xml:space="preserve"> </w:t>
      </w:r>
      <w:r>
        <w:rPr>
          <w:rFonts w:cstheme="minorHAnsi"/>
          <w:bCs/>
        </w:rPr>
        <w:t>suggest</w:t>
      </w:r>
      <w:r w:rsidRPr="003A34B8">
        <w:rPr>
          <w:rFonts w:cstheme="minorHAnsi"/>
          <w:bCs/>
        </w:rPr>
        <w:t xml:space="preserve"> there are meaningful differences in the quality of care received for patients</w:t>
      </w:r>
      <w:r>
        <w:rPr>
          <w:rFonts w:cstheme="minorHAnsi"/>
          <w:bCs/>
        </w:rPr>
        <w:t xml:space="preserve"> in the 114 ACOs in the ambulatory setting</w:t>
      </w:r>
      <w:r w:rsidRPr="003A34B8">
        <w:rPr>
          <w:rFonts w:cstheme="minorHAnsi"/>
          <w:bCs/>
        </w:rPr>
        <w:t>.</w:t>
      </w:r>
      <w:r>
        <w:rPr>
          <w:rFonts w:cstheme="minorHAnsi"/>
          <w:bCs/>
        </w:rPr>
        <w:t xml:space="preserve"> </w:t>
      </w:r>
    </w:p>
    <w:p w14:paraId="1A90D533" w14:textId="77777777" w:rsidR="00E46C12" w:rsidRPr="00A25024" w:rsidRDefault="00E46C12" w:rsidP="00EC4DB0">
      <w:pPr>
        <w:autoSpaceDE w:val="0"/>
        <w:autoSpaceDN w:val="0"/>
        <w:adjustRightInd w:val="0"/>
        <w:spacing w:after="0" w:line="240" w:lineRule="auto"/>
        <w:rPr>
          <w:rFonts w:cstheme="minorHAnsi"/>
          <w:bCs/>
        </w:rPr>
      </w:pPr>
    </w:p>
    <w:p w14:paraId="07584617" w14:textId="77777777" w:rsidR="0086464B" w:rsidRDefault="0086464B" w:rsidP="00EC4DB0">
      <w:pPr>
        <w:spacing w:after="0" w:line="240" w:lineRule="auto"/>
        <w:rPr>
          <w:rFonts w:cstheme="minorHAnsi"/>
          <w:b/>
          <w:bCs/>
        </w:rPr>
      </w:pPr>
      <w:r>
        <w:rPr>
          <w:rFonts w:cstheme="minorHAnsi"/>
          <w:b/>
          <w:bCs/>
        </w:rPr>
        <w:t>_______________________________________</w:t>
      </w:r>
    </w:p>
    <w:p w14:paraId="60858E6F" w14:textId="77777777" w:rsidR="004B1BA0" w:rsidRDefault="00021170" w:rsidP="00EC4DB0">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EC4DB0">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DF717FC" w14:textId="77777777" w:rsidR="00567D12" w:rsidRPr="00A25024" w:rsidRDefault="00567D12" w:rsidP="00EC4DB0">
      <w:pPr>
        <w:autoSpaceDE w:val="0"/>
        <w:autoSpaceDN w:val="0"/>
        <w:adjustRightInd w:val="0"/>
        <w:spacing w:after="0" w:line="240" w:lineRule="auto"/>
        <w:rPr>
          <w:rFonts w:cstheme="minorHAnsi"/>
          <w:b/>
          <w:bCs/>
        </w:rPr>
      </w:pPr>
    </w:p>
    <w:p w14:paraId="7B5FF83C" w14:textId="7B2F0D40" w:rsidR="00052A6F" w:rsidRDefault="002B2116" w:rsidP="00EC4DB0">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Default="000F06B5" w:rsidP="00EC4DB0">
      <w:pPr>
        <w:autoSpaceDE w:val="0"/>
        <w:autoSpaceDN w:val="0"/>
        <w:adjustRightInd w:val="0"/>
        <w:spacing w:after="0" w:line="240" w:lineRule="auto"/>
        <w:rPr>
          <w:rFonts w:cstheme="minorHAnsi"/>
          <w:bCs/>
        </w:rPr>
      </w:pPr>
    </w:p>
    <w:p w14:paraId="074EE995" w14:textId="77777777" w:rsidR="00E46C12" w:rsidRPr="00FA6A22" w:rsidRDefault="00E46C12" w:rsidP="004767F9">
      <w:pPr>
        <w:pBdr>
          <w:top w:val="single" w:sz="4" w:space="1" w:color="auto"/>
          <w:left w:val="single" w:sz="4" w:space="4" w:color="auto"/>
          <w:bottom w:val="single" w:sz="4" w:space="0" w:color="auto"/>
          <w:right w:val="single" w:sz="4" w:space="4" w:color="auto"/>
        </w:pBdr>
        <w:autoSpaceDE w:val="0"/>
        <w:autoSpaceDN w:val="0"/>
        <w:adjustRightInd w:val="0"/>
        <w:spacing w:after="0" w:line="240" w:lineRule="auto"/>
        <w:rPr>
          <w:rFonts w:cstheme="minorHAnsi"/>
          <w:bCs/>
        </w:rPr>
      </w:pPr>
      <w:r w:rsidRPr="00FA6A22">
        <w:rPr>
          <w:rFonts w:cstheme="minorHAnsi"/>
          <w:bCs/>
        </w:rPr>
        <w:t>Items 2b6.1-2b6.3 skipped, as t</w:t>
      </w:r>
      <w:r w:rsidRPr="00FA6A22">
        <w:t>his measure has only one set of specifications.</w:t>
      </w:r>
    </w:p>
    <w:p w14:paraId="09511994" w14:textId="77777777" w:rsidR="00E46C12" w:rsidRPr="00A25024" w:rsidRDefault="00E46C12" w:rsidP="00EC4DB0">
      <w:pPr>
        <w:autoSpaceDE w:val="0"/>
        <w:autoSpaceDN w:val="0"/>
        <w:adjustRightInd w:val="0"/>
        <w:spacing w:after="0" w:line="240" w:lineRule="auto"/>
        <w:rPr>
          <w:rFonts w:cstheme="minorHAnsi"/>
          <w:bCs/>
        </w:rPr>
      </w:pPr>
    </w:p>
    <w:p w14:paraId="72DFD5D2" w14:textId="0C1C1E8F" w:rsidR="000F06B5" w:rsidRDefault="00E1508F" w:rsidP="00EC4DB0">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065C209" w14:textId="624065DA" w:rsidR="00E46C12" w:rsidRPr="00E46C12" w:rsidRDefault="00E46C12" w:rsidP="004767F9">
      <w:pPr>
        <w:pBdr>
          <w:top w:val="single" w:sz="4" w:space="1" w:color="auto"/>
          <w:left w:val="single" w:sz="4" w:space="4" w:color="auto"/>
          <w:bottom w:val="single" w:sz="4" w:space="1" w:color="auto"/>
          <w:right w:val="single" w:sz="4" w:space="4" w:color="auto"/>
        </w:pBdr>
        <w:spacing w:line="240" w:lineRule="auto"/>
      </w:pPr>
      <w:r>
        <w:t>Not applicable</w:t>
      </w:r>
      <w:r w:rsidR="00607002">
        <w:t>.</w:t>
      </w:r>
    </w:p>
    <w:p w14:paraId="101ACD22" w14:textId="77777777" w:rsidR="000F06B5" w:rsidRPr="00A25024" w:rsidRDefault="000F06B5" w:rsidP="00EC4DB0">
      <w:pPr>
        <w:pStyle w:val="ListParagraph"/>
        <w:autoSpaceDE w:val="0"/>
        <w:autoSpaceDN w:val="0"/>
        <w:adjustRightInd w:val="0"/>
        <w:spacing w:after="0" w:line="240" w:lineRule="auto"/>
        <w:ind w:left="0"/>
        <w:rPr>
          <w:rFonts w:cstheme="minorHAnsi"/>
          <w:bCs/>
        </w:rPr>
      </w:pPr>
    </w:p>
    <w:p w14:paraId="6F3C3DEE" w14:textId="77777777" w:rsidR="00A35F8F" w:rsidRDefault="00E1508F" w:rsidP="00EC4DB0">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6EED5799" w14:textId="5B90458B" w:rsidR="00E46C12" w:rsidRDefault="00E46C12" w:rsidP="004767F9">
      <w:pPr>
        <w:pBdr>
          <w:top w:val="single" w:sz="4" w:space="1" w:color="auto"/>
          <w:left w:val="single" w:sz="4" w:space="4" w:color="auto"/>
          <w:bottom w:val="single" w:sz="4" w:space="1" w:color="auto"/>
          <w:right w:val="single" w:sz="4" w:space="4" w:color="auto"/>
        </w:pBdr>
        <w:spacing w:line="240" w:lineRule="auto"/>
      </w:pPr>
      <w:r>
        <w:t>Not applicable</w:t>
      </w:r>
      <w:r w:rsidR="00607002">
        <w:t>.</w:t>
      </w:r>
    </w:p>
    <w:p w14:paraId="7520D695" w14:textId="77777777" w:rsidR="00E1508F" w:rsidRPr="00E1508F" w:rsidRDefault="00E1508F" w:rsidP="00EC4DB0">
      <w:pPr>
        <w:autoSpaceDE w:val="0"/>
        <w:autoSpaceDN w:val="0"/>
        <w:adjustRightInd w:val="0"/>
        <w:spacing w:after="0" w:line="240" w:lineRule="auto"/>
        <w:rPr>
          <w:rFonts w:cstheme="minorHAnsi"/>
          <w:bCs/>
        </w:rPr>
      </w:pPr>
    </w:p>
    <w:p w14:paraId="07D50D8A" w14:textId="35A484DA" w:rsidR="0079180E" w:rsidRDefault="00E1508F" w:rsidP="00EC4DB0">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05DDC580" w14:textId="48C8CE2C" w:rsidR="00E46C12" w:rsidRDefault="00E46C12" w:rsidP="004767F9">
      <w:pPr>
        <w:pBdr>
          <w:top w:val="single" w:sz="4" w:space="1" w:color="auto"/>
          <w:left w:val="single" w:sz="4" w:space="4" w:color="auto"/>
          <w:bottom w:val="single" w:sz="4" w:space="1" w:color="auto"/>
          <w:right w:val="single" w:sz="4" w:space="4" w:color="auto"/>
        </w:pBdr>
        <w:spacing w:line="240" w:lineRule="auto"/>
      </w:pPr>
      <w:r>
        <w:t>Not applicable</w:t>
      </w:r>
      <w:r w:rsidR="00607002">
        <w:t>.</w:t>
      </w:r>
    </w:p>
    <w:p w14:paraId="137520E8" w14:textId="2246815E" w:rsidR="008F7E67" w:rsidRDefault="008F7E67" w:rsidP="00EC4DB0">
      <w:pPr>
        <w:spacing w:after="0" w:line="240" w:lineRule="auto"/>
        <w:rPr>
          <w:rFonts w:cstheme="minorHAnsi"/>
          <w:b/>
          <w:bCs/>
        </w:rPr>
      </w:pPr>
      <w:r>
        <w:rPr>
          <w:rFonts w:cstheme="minorHAnsi"/>
          <w:b/>
          <w:bCs/>
        </w:rPr>
        <w:t>______________________________________</w:t>
      </w:r>
    </w:p>
    <w:p w14:paraId="0F7C197C" w14:textId="77777777" w:rsidR="008F7E67" w:rsidRDefault="008F7E67" w:rsidP="00EC4DB0">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EC4DB0">
      <w:pPr>
        <w:autoSpaceDE w:val="0"/>
        <w:autoSpaceDN w:val="0"/>
        <w:adjustRightInd w:val="0"/>
        <w:spacing w:after="0" w:line="240" w:lineRule="auto"/>
        <w:rPr>
          <w:rFonts w:cstheme="minorHAnsi"/>
          <w:bCs/>
        </w:rPr>
      </w:pPr>
    </w:p>
    <w:p w14:paraId="0B2E0E82" w14:textId="77777777" w:rsidR="00E46C12" w:rsidRDefault="008F7E67" w:rsidP="00EC4DB0">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p>
    <w:p w14:paraId="07DEF1AF" w14:textId="607C306D" w:rsidR="008F7E67" w:rsidRPr="00E46C12" w:rsidRDefault="00E46C12" w:rsidP="004767F9">
      <w:pPr>
        <w:pBdr>
          <w:top w:val="single" w:sz="4" w:space="1" w:color="auto"/>
          <w:left w:val="single" w:sz="4" w:space="4" w:color="auto"/>
          <w:bottom w:val="single" w:sz="4" w:space="1" w:color="auto"/>
          <w:right w:val="single" w:sz="4" w:space="4" w:color="auto"/>
        </w:pBdr>
        <w:spacing w:line="240" w:lineRule="auto"/>
      </w:pPr>
      <w:r>
        <w:lastRenderedPageBreak/>
        <w:t>Not applicable</w:t>
      </w:r>
      <w:r w:rsidR="00607002">
        <w:rPr>
          <w:rFonts w:cstheme="minorHAnsi"/>
          <w:bCs/>
        </w:rPr>
        <w:t>.</w:t>
      </w:r>
    </w:p>
    <w:p w14:paraId="0EEA770E" w14:textId="77777777" w:rsidR="008F7E67" w:rsidRPr="00A25024" w:rsidRDefault="008F7E67" w:rsidP="00EC4DB0">
      <w:pPr>
        <w:pStyle w:val="ListParagraph"/>
        <w:autoSpaceDE w:val="0"/>
        <w:autoSpaceDN w:val="0"/>
        <w:adjustRightInd w:val="0"/>
        <w:spacing w:after="0" w:line="240" w:lineRule="auto"/>
        <w:ind w:left="0"/>
        <w:rPr>
          <w:rFonts w:cstheme="minorHAnsi"/>
          <w:bCs/>
        </w:rPr>
      </w:pPr>
    </w:p>
    <w:p w14:paraId="53E61B91" w14:textId="77777777" w:rsidR="008F7E67" w:rsidRDefault="008F7E67" w:rsidP="00EC4DB0">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2C6B4AE1" w14:textId="6A552BBF" w:rsidR="00E46C12" w:rsidRPr="00E46C12" w:rsidRDefault="00E46C12" w:rsidP="004767F9">
      <w:pPr>
        <w:pBdr>
          <w:top w:val="single" w:sz="4" w:space="1" w:color="auto"/>
          <w:left w:val="single" w:sz="4" w:space="4" w:color="auto"/>
          <w:bottom w:val="single" w:sz="4" w:space="1" w:color="auto"/>
          <w:right w:val="single" w:sz="4" w:space="4" w:color="auto"/>
        </w:pBdr>
        <w:spacing w:line="240" w:lineRule="auto"/>
      </w:pPr>
      <w:r>
        <w:t>Not applicable</w:t>
      </w:r>
      <w:r w:rsidR="00607002">
        <w:t>.</w:t>
      </w:r>
    </w:p>
    <w:p w14:paraId="3DBC6E74" w14:textId="77777777" w:rsidR="008F7E67" w:rsidRPr="00E1508F" w:rsidRDefault="008F7E67" w:rsidP="00EC4DB0">
      <w:pPr>
        <w:autoSpaceDE w:val="0"/>
        <w:autoSpaceDN w:val="0"/>
        <w:adjustRightInd w:val="0"/>
        <w:spacing w:after="0" w:line="240" w:lineRule="auto"/>
        <w:rPr>
          <w:rFonts w:cstheme="minorHAnsi"/>
          <w:bCs/>
        </w:rPr>
      </w:pPr>
    </w:p>
    <w:p w14:paraId="00E63DBF" w14:textId="77777777" w:rsidR="008B604D" w:rsidRDefault="008F7E67" w:rsidP="00EC4DB0">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1BDB878E" w14:textId="77777777" w:rsidR="00BA053B" w:rsidRDefault="00BA053B" w:rsidP="00EC4DB0">
      <w:pPr>
        <w:autoSpaceDE w:val="0"/>
        <w:autoSpaceDN w:val="0"/>
        <w:adjustRightInd w:val="0"/>
        <w:spacing w:after="0" w:line="240" w:lineRule="auto"/>
        <w:rPr>
          <w:rFonts w:cstheme="minorHAnsi"/>
          <w:bCs/>
        </w:rPr>
      </w:pPr>
    </w:p>
    <w:p w14:paraId="0701D95D" w14:textId="175AB0F9" w:rsidR="00E46C12" w:rsidRDefault="00E46C12" w:rsidP="004767F9">
      <w:pPr>
        <w:pBdr>
          <w:top w:val="single" w:sz="4" w:space="1" w:color="auto"/>
          <w:left w:val="single" w:sz="4" w:space="4" w:color="auto"/>
          <w:bottom w:val="single" w:sz="4" w:space="1" w:color="auto"/>
          <w:right w:val="single" w:sz="4" w:space="4" w:color="auto"/>
        </w:pBdr>
        <w:spacing w:line="240" w:lineRule="auto"/>
      </w:pPr>
      <w:r>
        <w:t>Not applicable</w:t>
      </w:r>
      <w:r w:rsidR="00607002">
        <w:t>.</w:t>
      </w:r>
    </w:p>
    <w:p w14:paraId="01C894D1" w14:textId="77777777" w:rsidR="00E46C12" w:rsidRPr="005560E7" w:rsidRDefault="00E46C12" w:rsidP="00EC4DB0">
      <w:pPr>
        <w:autoSpaceDE w:val="0"/>
        <w:autoSpaceDN w:val="0"/>
        <w:adjustRightInd w:val="0"/>
        <w:spacing w:after="0" w:line="240" w:lineRule="auto"/>
        <w:rPr>
          <w:rFonts w:cstheme="minorHAnsi"/>
          <w:bCs/>
        </w:rPr>
      </w:pPr>
    </w:p>
    <w:sectPr w:rsidR="00E46C12" w:rsidRPr="005560E7" w:rsidSect="008505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139A2" w14:textId="77777777" w:rsidR="00351877" w:rsidRDefault="00351877" w:rsidP="005C73CA">
      <w:pPr>
        <w:spacing w:after="0" w:line="240" w:lineRule="auto"/>
      </w:pPr>
      <w:r>
        <w:separator/>
      </w:r>
    </w:p>
  </w:endnote>
  <w:endnote w:type="continuationSeparator" w:id="0">
    <w:p w14:paraId="7863F403" w14:textId="77777777" w:rsidR="00351877" w:rsidRDefault="00351877"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8F65F" w14:textId="6409F02F" w:rsidR="00351877" w:rsidRDefault="00351877">
    <w:pPr>
      <w:pStyle w:val="Footer"/>
    </w:pPr>
    <w:r>
      <w:t>Version 6.5 5/1/2015</w:t>
    </w:r>
    <w:r>
      <w:ptab w:relativeTo="margin" w:alignment="right" w:leader="none"/>
    </w:r>
    <w:r>
      <w:fldChar w:fldCharType="begin"/>
    </w:r>
    <w:r>
      <w:instrText xml:space="preserve"> PAGE   \* MERGEFORMAT </w:instrText>
    </w:r>
    <w:r>
      <w:fldChar w:fldCharType="separate"/>
    </w:r>
    <w:r w:rsidR="005F0DE5">
      <w:rPr>
        <w:noProof/>
      </w:rPr>
      <w:t>29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25C0A" w14:textId="77777777" w:rsidR="00351877" w:rsidRDefault="00351877" w:rsidP="005C73CA">
      <w:pPr>
        <w:spacing w:after="0" w:line="240" w:lineRule="auto"/>
      </w:pPr>
      <w:r>
        <w:separator/>
      </w:r>
    </w:p>
  </w:footnote>
  <w:footnote w:type="continuationSeparator" w:id="0">
    <w:p w14:paraId="113D86A5" w14:textId="77777777" w:rsidR="00351877" w:rsidRDefault="00351877"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8AB25" w14:textId="18783095" w:rsidR="00351877" w:rsidRPr="00105D8B" w:rsidRDefault="00351877"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145C0"/>
    <w:rsid w:val="00021170"/>
    <w:rsid w:val="0002128B"/>
    <w:rsid w:val="00024DFD"/>
    <w:rsid w:val="00027AB8"/>
    <w:rsid w:val="000309DD"/>
    <w:rsid w:val="00031414"/>
    <w:rsid w:val="00033038"/>
    <w:rsid w:val="00033D63"/>
    <w:rsid w:val="0003436F"/>
    <w:rsid w:val="000364A9"/>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52B2"/>
    <w:rsid w:val="000C0FF8"/>
    <w:rsid w:val="000C1440"/>
    <w:rsid w:val="000D7948"/>
    <w:rsid w:val="000D7C84"/>
    <w:rsid w:val="000E4E13"/>
    <w:rsid w:val="000E78F6"/>
    <w:rsid w:val="000F034A"/>
    <w:rsid w:val="000F06B5"/>
    <w:rsid w:val="000F39E9"/>
    <w:rsid w:val="001009DF"/>
    <w:rsid w:val="00104B45"/>
    <w:rsid w:val="00105D8B"/>
    <w:rsid w:val="0011342F"/>
    <w:rsid w:val="001202E9"/>
    <w:rsid w:val="0012044E"/>
    <w:rsid w:val="001219B5"/>
    <w:rsid w:val="00121F9C"/>
    <w:rsid w:val="0012454F"/>
    <w:rsid w:val="00125273"/>
    <w:rsid w:val="0012575E"/>
    <w:rsid w:val="00127C06"/>
    <w:rsid w:val="00135882"/>
    <w:rsid w:val="00145149"/>
    <w:rsid w:val="00145972"/>
    <w:rsid w:val="00145D4F"/>
    <w:rsid w:val="0014773C"/>
    <w:rsid w:val="0017696D"/>
    <w:rsid w:val="001848FC"/>
    <w:rsid w:val="00185051"/>
    <w:rsid w:val="00193F21"/>
    <w:rsid w:val="001969C5"/>
    <w:rsid w:val="001A6CDD"/>
    <w:rsid w:val="001C12EE"/>
    <w:rsid w:val="001C65FB"/>
    <w:rsid w:val="001C7B02"/>
    <w:rsid w:val="001D14DB"/>
    <w:rsid w:val="001D7CF3"/>
    <w:rsid w:val="001E263B"/>
    <w:rsid w:val="001E4DD4"/>
    <w:rsid w:val="001E69DC"/>
    <w:rsid w:val="001F169D"/>
    <w:rsid w:val="001F1DA1"/>
    <w:rsid w:val="001F6F93"/>
    <w:rsid w:val="001F7A20"/>
    <w:rsid w:val="0021054A"/>
    <w:rsid w:val="0021195A"/>
    <w:rsid w:val="00213383"/>
    <w:rsid w:val="00220250"/>
    <w:rsid w:val="0022691B"/>
    <w:rsid w:val="00232163"/>
    <w:rsid w:val="002340F1"/>
    <w:rsid w:val="002376F8"/>
    <w:rsid w:val="002408E4"/>
    <w:rsid w:val="00241591"/>
    <w:rsid w:val="00250B4F"/>
    <w:rsid w:val="0025762F"/>
    <w:rsid w:val="0028114D"/>
    <w:rsid w:val="00287649"/>
    <w:rsid w:val="00287E84"/>
    <w:rsid w:val="0029286C"/>
    <w:rsid w:val="0029300E"/>
    <w:rsid w:val="00293E08"/>
    <w:rsid w:val="00294698"/>
    <w:rsid w:val="002B0C3A"/>
    <w:rsid w:val="002B2116"/>
    <w:rsid w:val="002B2D9B"/>
    <w:rsid w:val="002B5016"/>
    <w:rsid w:val="002B742C"/>
    <w:rsid w:val="002B7F4D"/>
    <w:rsid w:val="002C285C"/>
    <w:rsid w:val="002C7BE4"/>
    <w:rsid w:val="002D417D"/>
    <w:rsid w:val="002D5E5D"/>
    <w:rsid w:val="002E78A0"/>
    <w:rsid w:val="002F20F0"/>
    <w:rsid w:val="002F2687"/>
    <w:rsid w:val="002F48E1"/>
    <w:rsid w:val="002F4F3B"/>
    <w:rsid w:val="0030166F"/>
    <w:rsid w:val="00304C86"/>
    <w:rsid w:val="003059EB"/>
    <w:rsid w:val="003116AC"/>
    <w:rsid w:val="0031329B"/>
    <w:rsid w:val="00315567"/>
    <w:rsid w:val="00320398"/>
    <w:rsid w:val="00327380"/>
    <w:rsid w:val="00330144"/>
    <w:rsid w:val="00335004"/>
    <w:rsid w:val="00345CBA"/>
    <w:rsid w:val="00346245"/>
    <w:rsid w:val="00351877"/>
    <w:rsid w:val="00352B77"/>
    <w:rsid w:val="00356267"/>
    <w:rsid w:val="00356BAD"/>
    <w:rsid w:val="003605B4"/>
    <w:rsid w:val="003627AC"/>
    <w:rsid w:val="00366914"/>
    <w:rsid w:val="00372FE3"/>
    <w:rsid w:val="003755CB"/>
    <w:rsid w:val="00380DE5"/>
    <w:rsid w:val="00383F85"/>
    <w:rsid w:val="00387BA1"/>
    <w:rsid w:val="00394BEA"/>
    <w:rsid w:val="003A306C"/>
    <w:rsid w:val="003A7DE7"/>
    <w:rsid w:val="003B1006"/>
    <w:rsid w:val="003B5638"/>
    <w:rsid w:val="003C5F11"/>
    <w:rsid w:val="003D294B"/>
    <w:rsid w:val="003D6401"/>
    <w:rsid w:val="003E1863"/>
    <w:rsid w:val="004037A1"/>
    <w:rsid w:val="0041606D"/>
    <w:rsid w:val="00416962"/>
    <w:rsid w:val="004348CC"/>
    <w:rsid w:val="004658FF"/>
    <w:rsid w:val="00474ED7"/>
    <w:rsid w:val="004756E1"/>
    <w:rsid w:val="004767F9"/>
    <w:rsid w:val="004770A1"/>
    <w:rsid w:val="0048008A"/>
    <w:rsid w:val="0048257B"/>
    <w:rsid w:val="00483E94"/>
    <w:rsid w:val="00484120"/>
    <w:rsid w:val="00484C86"/>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1184"/>
    <w:rsid w:val="005232D6"/>
    <w:rsid w:val="005333CC"/>
    <w:rsid w:val="005363F1"/>
    <w:rsid w:val="00537C1B"/>
    <w:rsid w:val="00544F74"/>
    <w:rsid w:val="00545747"/>
    <w:rsid w:val="0055007C"/>
    <w:rsid w:val="00553FDD"/>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4768"/>
    <w:rsid w:val="005E091C"/>
    <w:rsid w:val="005E2CAB"/>
    <w:rsid w:val="005E429E"/>
    <w:rsid w:val="005F0DE5"/>
    <w:rsid w:val="00601ED4"/>
    <w:rsid w:val="0060280A"/>
    <w:rsid w:val="006030BC"/>
    <w:rsid w:val="00607002"/>
    <w:rsid w:val="00612866"/>
    <w:rsid w:val="00616EB5"/>
    <w:rsid w:val="00616F93"/>
    <w:rsid w:val="0062406D"/>
    <w:rsid w:val="006269D4"/>
    <w:rsid w:val="006327D8"/>
    <w:rsid w:val="0064070A"/>
    <w:rsid w:val="00643A01"/>
    <w:rsid w:val="006574D2"/>
    <w:rsid w:val="006576D4"/>
    <w:rsid w:val="00663563"/>
    <w:rsid w:val="006676D4"/>
    <w:rsid w:val="00675535"/>
    <w:rsid w:val="00681359"/>
    <w:rsid w:val="00686681"/>
    <w:rsid w:val="0069157C"/>
    <w:rsid w:val="00696262"/>
    <w:rsid w:val="006C3A4F"/>
    <w:rsid w:val="006C416E"/>
    <w:rsid w:val="006C4845"/>
    <w:rsid w:val="006D6BC1"/>
    <w:rsid w:val="006E2BFC"/>
    <w:rsid w:val="006E5C57"/>
    <w:rsid w:val="006F0B61"/>
    <w:rsid w:val="006F22A5"/>
    <w:rsid w:val="00702C73"/>
    <w:rsid w:val="00713394"/>
    <w:rsid w:val="00724677"/>
    <w:rsid w:val="00725AC2"/>
    <w:rsid w:val="00730FDE"/>
    <w:rsid w:val="00732880"/>
    <w:rsid w:val="007416B9"/>
    <w:rsid w:val="00741795"/>
    <w:rsid w:val="007422FD"/>
    <w:rsid w:val="00743E46"/>
    <w:rsid w:val="00747C45"/>
    <w:rsid w:val="00756FDB"/>
    <w:rsid w:val="007629B6"/>
    <w:rsid w:val="007665BF"/>
    <w:rsid w:val="00771B2A"/>
    <w:rsid w:val="007757CE"/>
    <w:rsid w:val="00775800"/>
    <w:rsid w:val="0079180E"/>
    <w:rsid w:val="00794C9D"/>
    <w:rsid w:val="007950CC"/>
    <w:rsid w:val="0079538B"/>
    <w:rsid w:val="007961B8"/>
    <w:rsid w:val="00797624"/>
    <w:rsid w:val="007A4828"/>
    <w:rsid w:val="007A561A"/>
    <w:rsid w:val="007B093D"/>
    <w:rsid w:val="007B2069"/>
    <w:rsid w:val="007B2FAC"/>
    <w:rsid w:val="007C04A1"/>
    <w:rsid w:val="007C21FA"/>
    <w:rsid w:val="007C7FDB"/>
    <w:rsid w:val="007D004F"/>
    <w:rsid w:val="007D13B1"/>
    <w:rsid w:val="007D4351"/>
    <w:rsid w:val="007D7019"/>
    <w:rsid w:val="007E18DB"/>
    <w:rsid w:val="007E6F1C"/>
    <w:rsid w:val="007E749C"/>
    <w:rsid w:val="00804C69"/>
    <w:rsid w:val="0080711D"/>
    <w:rsid w:val="00811423"/>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483C"/>
    <w:rsid w:val="008C54A9"/>
    <w:rsid w:val="008C7A0C"/>
    <w:rsid w:val="008E67C3"/>
    <w:rsid w:val="008F589F"/>
    <w:rsid w:val="008F76A9"/>
    <w:rsid w:val="008F7E67"/>
    <w:rsid w:val="00900DBF"/>
    <w:rsid w:val="00902E55"/>
    <w:rsid w:val="009048B9"/>
    <w:rsid w:val="00904E91"/>
    <w:rsid w:val="00915886"/>
    <w:rsid w:val="009214DC"/>
    <w:rsid w:val="00927027"/>
    <w:rsid w:val="009344BA"/>
    <w:rsid w:val="00946E61"/>
    <w:rsid w:val="00947F78"/>
    <w:rsid w:val="00953234"/>
    <w:rsid w:val="00961EAF"/>
    <w:rsid w:val="0096278F"/>
    <w:rsid w:val="00967FFE"/>
    <w:rsid w:val="009726E1"/>
    <w:rsid w:val="00972A04"/>
    <w:rsid w:val="00973860"/>
    <w:rsid w:val="00977591"/>
    <w:rsid w:val="00980E75"/>
    <w:rsid w:val="00994BE0"/>
    <w:rsid w:val="009A25B1"/>
    <w:rsid w:val="009A4608"/>
    <w:rsid w:val="009A6A57"/>
    <w:rsid w:val="009A70BF"/>
    <w:rsid w:val="009B1A15"/>
    <w:rsid w:val="009C0852"/>
    <w:rsid w:val="009C13CA"/>
    <w:rsid w:val="009C32C6"/>
    <w:rsid w:val="009C665F"/>
    <w:rsid w:val="009D6991"/>
    <w:rsid w:val="009D7E38"/>
    <w:rsid w:val="009E095B"/>
    <w:rsid w:val="009E1846"/>
    <w:rsid w:val="009E78FF"/>
    <w:rsid w:val="00A01494"/>
    <w:rsid w:val="00A12178"/>
    <w:rsid w:val="00A22FA9"/>
    <w:rsid w:val="00A25024"/>
    <w:rsid w:val="00A35F8F"/>
    <w:rsid w:val="00A41377"/>
    <w:rsid w:val="00A4263D"/>
    <w:rsid w:val="00A509B8"/>
    <w:rsid w:val="00A52AB9"/>
    <w:rsid w:val="00A539EB"/>
    <w:rsid w:val="00A6210B"/>
    <w:rsid w:val="00A64EBF"/>
    <w:rsid w:val="00A71200"/>
    <w:rsid w:val="00A7323A"/>
    <w:rsid w:val="00A831B4"/>
    <w:rsid w:val="00A97798"/>
    <w:rsid w:val="00AA5213"/>
    <w:rsid w:val="00AA65A6"/>
    <w:rsid w:val="00AC1D8E"/>
    <w:rsid w:val="00AC48FA"/>
    <w:rsid w:val="00AD0240"/>
    <w:rsid w:val="00AD4137"/>
    <w:rsid w:val="00AD763A"/>
    <w:rsid w:val="00B037BA"/>
    <w:rsid w:val="00B20139"/>
    <w:rsid w:val="00B20800"/>
    <w:rsid w:val="00B218DA"/>
    <w:rsid w:val="00B342FA"/>
    <w:rsid w:val="00B53E8B"/>
    <w:rsid w:val="00B5501C"/>
    <w:rsid w:val="00B774D2"/>
    <w:rsid w:val="00B8015A"/>
    <w:rsid w:val="00B82A57"/>
    <w:rsid w:val="00BA053B"/>
    <w:rsid w:val="00BA3AD5"/>
    <w:rsid w:val="00BB35AE"/>
    <w:rsid w:val="00BC03A1"/>
    <w:rsid w:val="00BC0D25"/>
    <w:rsid w:val="00BD2505"/>
    <w:rsid w:val="00BD4CE0"/>
    <w:rsid w:val="00BE592D"/>
    <w:rsid w:val="00BF52B0"/>
    <w:rsid w:val="00BF5697"/>
    <w:rsid w:val="00C14CCC"/>
    <w:rsid w:val="00C1695E"/>
    <w:rsid w:val="00C22C1C"/>
    <w:rsid w:val="00C33F2E"/>
    <w:rsid w:val="00C34936"/>
    <w:rsid w:val="00C34C14"/>
    <w:rsid w:val="00C355B9"/>
    <w:rsid w:val="00C37EF1"/>
    <w:rsid w:val="00C401C4"/>
    <w:rsid w:val="00C41680"/>
    <w:rsid w:val="00C56752"/>
    <w:rsid w:val="00C60A25"/>
    <w:rsid w:val="00C765C5"/>
    <w:rsid w:val="00C82479"/>
    <w:rsid w:val="00C867F0"/>
    <w:rsid w:val="00CA06D8"/>
    <w:rsid w:val="00CA337D"/>
    <w:rsid w:val="00CA345A"/>
    <w:rsid w:val="00CB49FF"/>
    <w:rsid w:val="00CC02CF"/>
    <w:rsid w:val="00CC086A"/>
    <w:rsid w:val="00CD0F66"/>
    <w:rsid w:val="00CD364B"/>
    <w:rsid w:val="00CE23B8"/>
    <w:rsid w:val="00CE50D7"/>
    <w:rsid w:val="00CF4CBE"/>
    <w:rsid w:val="00D00344"/>
    <w:rsid w:val="00D136BF"/>
    <w:rsid w:val="00D1754D"/>
    <w:rsid w:val="00D2223F"/>
    <w:rsid w:val="00D274A4"/>
    <w:rsid w:val="00D277AF"/>
    <w:rsid w:val="00D31163"/>
    <w:rsid w:val="00D320B1"/>
    <w:rsid w:val="00D33AFD"/>
    <w:rsid w:val="00D36489"/>
    <w:rsid w:val="00D42195"/>
    <w:rsid w:val="00D50704"/>
    <w:rsid w:val="00D5760A"/>
    <w:rsid w:val="00D61410"/>
    <w:rsid w:val="00D7691C"/>
    <w:rsid w:val="00D8181D"/>
    <w:rsid w:val="00D968D8"/>
    <w:rsid w:val="00DA563D"/>
    <w:rsid w:val="00DA7277"/>
    <w:rsid w:val="00DB3627"/>
    <w:rsid w:val="00DB4724"/>
    <w:rsid w:val="00DB6944"/>
    <w:rsid w:val="00DC4746"/>
    <w:rsid w:val="00DD58D0"/>
    <w:rsid w:val="00DE7149"/>
    <w:rsid w:val="00E0314C"/>
    <w:rsid w:val="00E1508F"/>
    <w:rsid w:val="00E261DF"/>
    <w:rsid w:val="00E27240"/>
    <w:rsid w:val="00E27EDD"/>
    <w:rsid w:val="00E30584"/>
    <w:rsid w:val="00E310B9"/>
    <w:rsid w:val="00E37E1B"/>
    <w:rsid w:val="00E46463"/>
    <w:rsid w:val="00E46C12"/>
    <w:rsid w:val="00E562C0"/>
    <w:rsid w:val="00E672D6"/>
    <w:rsid w:val="00E76024"/>
    <w:rsid w:val="00E856A2"/>
    <w:rsid w:val="00E967AD"/>
    <w:rsid w:val="00E96884"/>
    <w:rsid w:val="00EA0753"/>
    <w:rsid w:val="00EA5435"/>
    <w:rsid w:val="00EA5F47"/>
    <w:rsid w:val="00EB455E"/>
    <w:rsid w:val="00EC4DB0"/>
    <w:rsid w:val="00EC79DE"/>
    <w:rsid w:val="00ED4ACE"/>
    <w:rsid w:val="00EE4D35"/>
    <w:rsid w:val="00EF024F"/>
    <w:rsid w:val="00EF0BB9"/>
    <w:rsid w:val="00EF2DA7"/>
    <w:rsid w:val="00F1412B"/>
    <w:rsid w:val="00F15BFA"/>
    <w:rsid w:val="00F24E7B"/>
    <w:rsid w:val="00F435AA"/>
    <w:rsid w:val="00F5738A"/>
    <w:rsid w:val="00F612D4"/>
    <w:rsid w:val="00F620BE"/>
    <w:rsid w:val="00F77F1D"/>
    <w:rsid w:val="00F87294"/>
    <w:rsid w:val="00F87CCB"/>
    <w:rsid w:val="00FA48C7"/>
    <w:rsid w:val="00FB51FB"/>
    <w:rsid w:val="00FB73C1"/>
    <w:rsid w:val="00FE2C62"/>
    <w:rsid w:val="00FF0A14"/>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523698A"/>
  <w15:docId w15:val="{AEF0A75A-317E-481E-866D-75910C7BA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CM23">
    <w:name w:val="CM23"/>
    <w:basedOn w:val="Normal"/>
    <w:next w:val="Normal"/>
    <w:uiPriority w:val="99"/>
    <w:rsid w:val="001E263B"/>
    <w:pPr>
      <w:widowControl w:val="0"/>
      <w:autoSpaceDE w:val="0"/>
      <w:autoSpaceDN w:val="0"/>
      <w:adjustRightInd w:val="0"/>
      <w:spacing w:before="120" w:after="0" w:line="240" w:lineRule="auto"/>
    </w:pPr>
    <w:rPr>
      <w:rFonts w:ascii="Trebuchet MS" w:eastAsia="Times New Roman" w:hAnsi="Trebuchet MS" w:cs="Times New Roman"/>
      <w:sz w:val="24"/>
      <w:szCs w:val="24"/>
    </w:rPr>
  </w:style>
  <w:style w:type="paragraph" w:styleId="Caption">
    <w:name w:val="caption"/>
    <w:basedOn w:val="Normal"/>
    <w:next w:val="Normal"/>
    <w:uiPriority w:val="35"/>
    <w:unhideWhenUsed/>
    <w:qFormat/>
    <w:rsid w:val="001E263B"/>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qualityforum.org/projects/Patient_Outcome_Measures_Phases1-2.aspx" TargetMode="External"/><Relationship Id="rId18" Type="http://schemas.openxmlformats.org/officeDocument/2006/relationships/image" Target="media/image2.jpeg"/><Relationship Id="rId26" Type="http://schemas.openxmlformats.org/officeDocument/2006/relationships/image" Target="media/image10.jpe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image" Target="media/image1.png"/><Relationship Id="rId25" Type="http://schemas.openxmlformats.org/officeDocument/2006/relationships/image" Target="media/image9.jpe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jpeg"/><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7.jpeg"/><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ms.gov/Medicare/Quality-Initiatives-Patient-Assessment-Instruments/MMS/CallforPublicComment.html" TargetMode="External"/><Relationship Id="rId22" Type="http://schemas.openxmlformats.org/officeDocument/2006/relationships/image" Target="media/image6.emf"/><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95271"/>
    <w:rsid w:val="00127222"/>
    <w:rsid w:val="001736D7"/>
    <w:rsid w:val="00190AF4"/>
    <w:rsid w:val="00223FA3"/>
    <w:rsid w:val="002A288F"/>
    <w:rsid w:val="002C65A7"/>
    <w:rsid w:val="002F052A"/>
    <w:rsid w:val="00350176"/>
    <w:rsid w:val="003840F0"/>
    <w:rsid w:val="00437537"/>
    <w:rsid w:val="00474834"/>
    <w:rsid w:val="004D785E"/>
    <w:rsid w:val="00535A52"/>
    <w:rsid w:val="0053654E"/>
    <w:rsid w:val="005F022C"/>
    <w:rsid w:val="00632A7E"/>
    <w:rsid w:val="00632AB6"/>
    <w:rsid w:val="00730B33"/>
    <w:rsid w:val="00772B2A"/>
    <w:rsid w:val="007C672A"/>
    <w:rsid w:val="007D4368"/>
    <w:rsid w:val="00822666"/>
    <w:rsid w:val="00823ECC"/>
    <w:rsid w:val="00826796"/>
    <w:rsid w:val="00866C97"/>
    <w:rsid w:val="008714C0"/>
    <w:rsid w:val="009017AE"/>
    <w:rsid w:val="009C542D"/>
    <w:rsid w:val="00A01A18"/>
    <w:rsid w:val="00A92F13"/>
    <w:rsid w:val="00A95183"/>
    <w:rsid w:val="00AB4AF7"/>
    <w:rsid w:val="00AD7C4F"/>
    <w:rsid w:val="00B445F5"/>
    <w:rsid w:val="00BD40CB"/>
    <w:rsid w:val="00C362A2"/>
    <w:rsid w:val="00C90121"/>
    <w:rsid w:val="00CA1FE8"/>
    <w:rsid w:val="00CA344F"/>
    <w:rsid w:val="00D1676E"/>
    <w:rsid w:val="00DC0246"/>
    <w:rsid w:val="00DC50EB"/>
    <w:rsid w:val="00E211AE"/>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0C901-3C40-4C03-AF30-8401D54B3554}">
  <ds:schemaRefs>
    <ds:schemaRef ds:uri="http://schemas.microsoft.com/office/infopath/2007/PartnerControls"/>
    <ds:schemaRef ds:uri="http://schemas.microsoft.com/office/2006/documentManagement/types"/>
    <ds:schemaRef ds:uri="836b82f1-340d-495e-85b5-201c5296619a"/>
    <ds:schemaRef ds:uri="http://purl.org/dc/elements/1.1/"/>
    <ds:schemaRef ds:uri="http://schemas.openxmlformats.org/package/2006/metadata/core-properties"/>
    <ds:schemaRef ds:uri="http://purl.org/dc/dcmitype/"/>
    <ds:schemaRef ds:uri="http://schemas.microsoft.com/office/2006/metadata/properties"/>
    <ds:schemaRef ds:uri="http://purl.org/dc/terms/"/>
    <ds:schemaRef ds:uri="http://www.w3.org/XML/1998/namespace"/>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ED517976-C5B7-466F-982D-9AB343060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11040</Words>
  <Characters>62934</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73827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Altaf, Faseeha</cp:lastModifiedBy>
  <cp:revision>3</cp:revision>
  <dcterms:created xsi:type="dcterms:W3CDTF">2016-01-29T20:38:00Z</dcterms:created>
  <dcterms:modified xsi:type="dcterms:W3CDTF">2016-01-29T20:38:00Z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