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0F91CBBB"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D02EE7" w:rsidRPr="00D02EE7">
            <w:rPr>
              <w:rFonts w:ascii="Calibri" w:eastAsia="Calibri" w:hAnsi="Calibri" w:cs="Times New Roman"/>
              <w:color w:val="0000FF"/>
            </w:rPr>
            <w:t>Assigned by NQF</w:t>
          </w:r>
        </w:sdtContent>
      </w:sdt>
    </w:p>
    <w:p w14:paraId="520878E5" w14:textId="50E620E8"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Fonts w:ascii="Calibri" w:eastAsia="Calibri" w:hAnsi="Calibri" w:cs="Times New Roman"/>
                <w:color w:val="0000FF"/>
              </w:rPr>
              <w:id w:val="-937907768"/>
            </w:sdtPr>
            <w:sdtEndPr>
              <w:rPr>
                <w:noProof/>
                <w:color w:val="auto"/>
              </w:rPr>
            </w:sdtEndPr>
            <w:sdtContent>
              <w:r w:rsidR="00C60901" w:rsidRPr="00C60901">
                <w:rPr>
                  <w:rFonts w:ascii="Calibri" w:eastAsia="Calibri" w:hAnsi="Calibri" w:cs="Times New Roman"/>
                  <w:color w:val="0000FF"/>
                </w:rPr>
                <w:t>Febrile Neutropenia Risk Assessment Prior to Chemotherapy</w:t>
              </w:r>
            </w:sdtContent>
          </w:sdt>
        </w:sdtContent>
      </w:sdt>
    </w:p>
    <w:p w14:paraId="520878E6"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20878E7" w14:textId="77777777" w:rsidR="00114848" w:rsidRPr="003B1CC5" w:rsidRDefault="00114848" w:rsidP="002E2177">
      <w:pPr>
        <w:ind w:left="0" w:firstLine="0"/>
        <w:rPr>
          <w:b/>
          <w:noProof/>
        </w:rPr>
      </w:pPr>
    </w:p>
    <w:p w14:paraId="520878E8" w14:textId="25EF9F75"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date w:fullDate="2016-03-11T00:00:00Z">
            <w:dateFormat w:val="M/d/yyyy"/>
            <w:lid w:val="en-US"/>
            <w:storeMappedDataAs w:val="dateTime"/>
            <w:calendar w:val="gregorian"/>
          </w:date>
        </w:sdtPr>
        <w:sdtEndPr>
          <w:rPr>
            <w:rStyle w:val="DefaultParagraphFont"/>
            <w:noProof/>
            <w:color w:val="auto"/>
            <w:u w:val="none"/>
          </w:rPr>
        </w:sdtEndPr>
        <w:sdtContent>
          <w:r w:rsidR="009F5287">
            <w:rPr>
              <w:rStyle w:val="Style2"/>
            </w:rPr>
            <w:t>3/11/2016</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4"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5"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6"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7"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8"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77777777" w:rsidR="00496AF8" w:rsidRPr="003B1CC5" w:rsidRDefault="00BD3D0D"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2087907" w14:textId="77777777" w:rsidR="00236F87" w:rsidRPr="003B1CC5" w:rsidRDefault="00BD3D0D"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2087909" w14:textId="77777777" w:rsidR="00496AF8" w:rsidRPr="003B1CC5" w:rsidRDefault="00BD3D0D"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08790A" w14:textId="3F6C7405" w:rsidR="00496AF8" w:rsidRPr="003B1CC5" w:rsidRDefault="00BD3D0D" w:rsidP="008D611B">
      <w:pPr>
        <w:ind w:left="432" w:hanging="432"/>
        <w:rPr>
          <w:bCs/>
        </w:rPr>
      </w:pPr>
      <w:sdt>
        <w:sdtPr>
          <w:rPr>
            <w:bCs/>
            <w:color w:val="0000FF"/>
            <w:highlight w:val="yellow"/>
          </w:rPr>
          <w:id w:val="-1535727686"/>
          <w14:checkbox>
            <w14:checked w14:val="1"/>
            <w14:checkedState w14:val="2612" w14:font="MS Gothic"/>
            <w14:uncheckedState w14:val="2610" w14:font="MS Gothic"/>
          </w14:checkbox>
        </w:sdtPr>
        <w:sdtEndPr/>
        <w:sdtContent>
          <w:r w:rsidR="008D611B" w:rsidRPr="00517300">
            <w:rPr>
              <w:rFonts w:ascii="MS Gothic" w:eastAsia="MS Gothic" w:hAnsi="MS Gothic" w:hint="eastAsia"/>
              <w:bCs/>
              <w:color w:val="0000FF"/>
              <w:highlight w:val="yellow"/>
            </w:rPr>
            <w:t>☒</w:t>
          </w:r>
        </w:sdtContent>
      </w:sdt>
      <w:r w:rsidR="0015535B" w:rsidRPr="00517300">
        <w:rPr>
          <w:bCs/>
          <w:highlight w:val="yellow"/>
        </w:rPr>
        <w:t xml:space="preserve"> </w:t>
      </w:r>
      <w:r w:rsidR="00E41417" w:rsidRPr="00517300">
        <w:rPr>
          <w:bCs/>
          <w:highlight w:val="yellow"/>
        </w:rPr>
        <w:t>P</w:t>
      </w:r>
      <w:r w:rsidR="00496AF8" w:rsidRPr="00517300">
        <w:rPr>
          <w:bCs/>
          <w:highlight w:val="yellow"/>
        </w:rPr>
        <w:t xml:space="preserve">rocess:  </w:t>
      </w:r>
      <w:sdt>
        <w:sdtPr>
          <w:rPr>
            <w:rStyle w:val="Style2"/>
            <w:rFonts w:cstheme="minorHAnsi"/>
            <w:highlight w:val="yellow"/>
          </w:rPr>
          <w:id w:val="321244333"/>
        </w:sdtPr>
        <w:sdtEndPr>
          <w:rPr>
            <w:rStyle w:val="DefaultParagraphFont"/>
            <w:rFonts w:cstheme="minorBidi"/>
            <w:bCs/>
            <w:color w:val="auto"/>
            <w:highlight w:val="none"/>
            <w:u w:val="none"/>
          </w:rPr>
        </w:sdtEndPr>
        <w:sdtContent>
          <w:sdt>
            <w:sdtPr>
              <w:rPr>
                <w:rFonts w:ascii="Calibri" w:eastAsia="Calibri" w:hAnsi="Calibri" w:cs="Times New Roman"/>
                <w:color w:val="0000FF"/>
                <w:highlight w:val="yellow"/>
              </w:rPr>
              <w:id w:val="2043946278"/>
            </w:sdtPr>
            <w:sdtEndPr>
              <w:rPr>
                <w:noProof/>
                <w:color w:val="auto"/>
                <w:highlight w:val="none"/>
              </w:rPr>
            </w:sdtEndPr>
            <w:sdtContent>
              <w:r w:rsidR="00F71473" w:rsidRPr="00517300">
                <w:rPr>
                  <w:rFonts w:ascii="Calibri" w:eastAsia="Calibri" w:hAnsi="Calibri" w:cs="Times New Roman"/>
                  <w:color w:val="0000FF"/>
                  <w:highlight w:val="yellow"/>
                </w:rPr>
                <w:t>Febrile Neutropenia Risk Assessment Prior to Chemotherapy</w:t>
              </w:r>
            </w:sdtContent>
          </w:sdt>
        </w:sdtContent>
      </w:sdt>
    </w:p>
    <w:p w14:paraId="5208790B" w14:textId="77777777" w:rsidR="00496AF8" w:rsidRPr="003B1CC5" w:rsidRDefault="00BD3D0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BD3D0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208790D" w14:textId="77777777" w:rsidR="00496AF8" w:rsidRPr="003B1CC5" w:rsidRDefault="00496AF8"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52087910" w14:textId="77777777"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52087911" w14:textId="77777777" w:rsidR="002B06BD" w:rsidRDefault="002B06BD" w:rsidP="002E2177">
      <w:pPr>
        <w:ind w:left="432" w:hanging="432"/>
        <w:rPr>
          <w:color w:val="0000FF"/>
        </w:rPr>
      </w:pPr>
    </w:p>
    <w:p w14:paraId="6F94167E" w14:textId="1E13782A" w:rsidR="00517300" w:rsidRDefault="009F5287" w:rsidP="002E2177">
      <w:pPr>
        <w:ind w:left="432" w:hanging="432"/>
        <w:rPr>
          <w:color w:val="0000FF"/>
        </w:rPr>
      </w:pPr>
      <w:r>
        <w:rPr>
          <w:color w:val="0000FF"/>
        </w:rPr>
        <w:t>Not applicable; t</w:t>
      </w:r>
      <w:r w:rsidR="00517300">
        <w:rPr>
          <w:color w:val="0000FF"/>
        </w:rPr>
        <w:t xml:space="preserve">he measure </w:t>
      </w:r>
      <w:r w:rsidR="00B85F58" w:rsidRPr="00B85F58">
        <w:rPr>
          <w:color w:val="0000FF"/>
        </w:rPr>
        <w:t xml:space="preserve">does not </w:t>
      </w:r>
      <w:r w:rsidR="00B85F58">
        <w:rPr>
          <w:color w:val="0000FF"/>
        </w:rPr>
        <w:t>relate to</w:t>
      </w:r>
      <w:r w:rsidR="00B85F58" w:rsidRPr="00B85F58">
        <w:rPr>
          <w:color w:val="0000FF"/>
        </w:rPr>
        <w:t xml:space="preserve"> </w:t>
      </w:r>
      <w:r w:rsidR="00517300">
        <w:rPr>
          <w:color w:val="0000FF"/>
        </w:rPr>
        <w:t>a health outcome.</w:t>
      </w:r>
    </w:p>
    <w:p w14:paraId="18DA7F50" w14:textId="77777777" w:rsidR="00517300" w:rsidRPr="003B1CC5" w:rsidRDefault="00517300" w:rsidP="002E2177">
      <w:pPr>
        <w:ind w:left="432" w:hanging="432"/>
        <w:rPr>
          <w:color w:val="0000FF"/>
        </w:rPr>
      </w:pPr>
    </w:p>
    <w:p w14:paraId="52087912"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1D2E58F0" w14:textId="77777777" w:rsidR="00517300" w:rsidRDefault="00517300" w:rsidP="00517300">
      <w:pPr>
        <w:ind w:left="432" w:hanging="432"/>
        <w:rPr>
          <w:color w:val="0000FF"/>
        </w:rPr>
      </w:pPr>
    </w:p>
    <w:p w14:paraId="1616A703" w14:textId="2B5DA226" w:rsidR="00517300" w:rsidRDefault="009F5287" w:rsidP="00517300">
      <w:pPr>
        <w:ind w:left="432" w:hanging="432"/>
        <w:rPr>
          <w:color w:val="0000FF"/>
        </w:rPr>
      </w:pPr>
      <w:r>
        <w:rPr>
          <w:color w:val="0000FF"/>
        </w:rPr>
        <w:t>Not applicable; t</w:t>
      </w:r>
      <w:r w:rsidR="00517300">
        <w:rPr>
          <w:color w:val="0000FF"/>
        </w:rPr>
        <w:t xml:space="preserve">he measure </w:t>
      </w:r>
      <w:r w:rsidR="00B85F58" w:rsidRPr="00B85F58">
        <w:rPr>
          <w:color w:val="0000FF"/>
        </w:rPr>
        <w:t xml:space="preserve">does not relate to </w:t>
      </w:r>
      <w:r w:rsidR="00517300">
        <w:rPr>
          <w:color w:val="0000FF"/>
        </w:rPr>
        <w:t>a health outcome.</w:t>
      </w:r>
    </w:p>
    <w:p w14:paraId="52087913" w14:textId="77777777" w:rsidR="00D14F0B" w:rsidRPr="003B1CC5" w:rsidRDefault="00D14F0B" w:rsidP="002E2177">
      <w:pPr>
        <w:ind w:left="0" w:firstLine="0"/>
        <w:rPr>
          <w:iCs/>
        </w:rPr>
      </w:pPr>
    </w:p>
    <w:p w14:paraId="5208791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52087915" w14:textId="77777777" w:rsidR="002B06BD" w:rsidRPr="003B1CC5" w:rsidRDefault="00925F11" w:rsidP="002E2177">
      <w:pPr>
        <w:ind w:left="0" w:firstLine="0"/>
        <w:rPr>
          <w:b/>
          <w:iCs/>
          <w:caps/>
        </w:rPr>
      </w:pPr>
      <w:r w:rsidRPr="003B1CC5">
        <w:rPr>
          <w:b/>
          <w:iCs/>
          <w:caps/>
        </w:rPr>
        <w:t>_________________________</w:t>
      </w:r>
    </w:p>
    <w:p w14:paraId="4EECB524" w14:textId="77777777" w:rsidR="00015C4A" w:rsidRDefault="00015C4A">
      <w:pPr>
        <w:rPr>
          <w:b/>
          <w:iCs/>
          <w:caps/>
        </w:rPr>
      </w:pPr>
      <w:r>
        <w:rPr>
          <w:b/>
          <w:iCs/>
          <w:caps/>
        </w:rPr>
        <w:br w:type="page"/>
      </w:r>
    </w:p>
    <w:p w14:paraId="52087916" w14:textId="1F34FD78" w:rsidR="00496AF8" w:rsidRPr="003B1CC5" w:rsidRDefault="002F20A7" w:rsidP="002E2177">
      <w:pPr>
        <w:ind w:left="0" w:firstLine="0"/>
        <w:rPr>
          <w:b/>
          <w:iCs/>
        </w:rPr>
      </w:pPr>
      <w:r w:rsidRPr="003B1CC5">
        <w:rPr>
          <w:b/>
          <w:iCs/>
          <w:caps/>
        </w:rPr>
        <w:lastRenderedPageBreak/>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52087918" w14:textId="3D4A936D" w:rsidR="007C1887" w:rsidRDefault="007C1887" w:rsidP="002E2177">
      <w:pPr>
        <w:ind w:left="0" w:firstLine="0"/>
      </w:pPr>
    </w:p>
    <w:p w14:paraId="1663FA37" w14:textId="12E540C9" w:rsidR="00D205FA" w:rsidRDefault="00C87105" w:rsidP="002E2177">
      <w:pPr>
        <w:ind w:left="0" w:firstLine="0"/>
      </w:pPr>
      <w:r>
        <w:rPr>
          <w:noProof/>
        </w:rPr>
        <w:drawing>
          <wp:inline distT="0" distB="0" distL="0" distR="0" wp14:anchorId="7FF31471" wp14:editId="3B3D96BF">
            <wp:extent cx="5943600" cy="445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N Process Outcome Diagram 3-11-16.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4418C583" w14:textId="77777777" w:rsidR="00D73F15" w:rsidRPr="003B1CC5" w:rsidRDefault="00D73F15" w:rsidP="002E2177">
      <w:pPr>
        <w:ind w:left="0" w:firstLine="0"/>
      </w:pPr>
    </w:p>
    <w:p w14:paraId="52087919"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208791A" w14:textId="721E83D6" w:rsidR="00FD4D82" w:rsidRPr="003B1CC5" w:rsidRDefault="00BD3D0D" w:rsidP="002E2177">
      <w:pPr>
        <w:ind w:left="0" w:firstLine="0"/>
      </w:pPr>
      <w:sdt>
        <w:sdtPr>
          <w:rPr>
            <w:bCs/>
            <w:color w:val="0000FF"/>
            <w:highlight w:val="yellow"/>
          </w:rPr>
          <w:id w:val="-468508862"/>
          <w14:checkbox>
            <w14:checked w14:val="1"/>
            <w14:checkedState w14:val="2612" w14:font="MS Gothic"/>
            <w14:uncheckedState w14:val="2610" w14:font="MS Gothic"/>
          </w14:checkbox>
        </w:sdtPr>
        <w:sdtEndPr/>
        <w:sdtContent>
          <w:r w:rsidR="00D205FA" w:rsidRPr="00006E72">
            <w:rPr>
              <w:rFonts w:ascii="MS Gothic" w:eastAsia="MS Gothic" w:hAnsi="MS Gothic" w:hint="eastAsia"/>
              <w:bCs/>
              <w:color w:val="0000FF"/>
              <w:highlight w:val="yellow"/>
            </w:rPr>
            <w:t>☒</w:t>
          </w:r>
        </w:sdtContent>
      </w:sdt>
      <w:r w:rsidR="001B38BF" w:rsidRPr="00006E72">
        <w:rPr>
          <w:highlight w:val="yellow"/>
        </w:rPr>
        <w:t xml:space="preserve"> Clinical Practice </w:t>
      </w:r>
      <w:r w:rsidR="00AA5587" w:rsidRPr="00006E72">
        <w:rPr>
          <w:highlight w:val="yellow"/>
        </w:rPr>
        <w:t>G</w:t>
      </w:r>
      <w:r w:rsidR="001B38BF" w:rsidRPr="00006E72">
        <w:rPr>
          <w:highlight w:val="yellow"/>
        </w:rPr>
        <w:t>uideline</w:t>
      </w:r>
      <w:r w:rsidR="00E746A2" w:rsidRPr="00006E72">
        <w:rPr>
          <w:highlight w:val="yellow"/>
        </w:rPr>
        <w:t xml:space="preserve"> recommendation</w:t>
      </w:r>
      <w:r w:rsidR="001B38BF" w:rsidRPr="00006E72">
        <w:rPr>
          <w:highlight w:val="yellow"/>
        </w:rPr>
        <w:t xml:space="preserve"> – </w:t>
      </w:r>
      <w:r w:rsidR="00FD4D82" w:rsidRPr="00006E72">
        <w:rPr>
          <w:b/>
          <w:i/>
          <w:highlight w:val="yellow"/>
        </w:rPr>
        <w:t>complete section</w:t>
      </w:r>
      <w:r w:rsidR="00CF0AB1" w:rsidRPr="00006E72">
        <w:rPr>
          <w:b/>
          <w:i/>
          <w:highlight w:val="yellow"/>
        </w:rPr>
        <w:t>s</w:t>
      </w:r>
      <w:r w:rsidR="00FD4D82" w:rsidRPr="00006E72">
        <w:rPr>
          <w:b/>
          <w:i/>
          <w:highlight w:val="yellow"/>
        </w:rPr>
        <w:t xml:space="preserve"> </w:t>
      </w:r>
      <w:hyperlink w:anchor="Section1a4" w:history="1">
        <w:r w:rsidR="00FD4D82" w:rsidRPr="00006E72">
          <w:rPr>
            <w:rStyle w:val="Hyperlink"/>
            <w:b/>
            <w:i/>
            <w:highlight w:val="yellow"/>
          </w:rPr>
          <w:t>1</w:t>
        </w:r>
        <w:r w:rsidR="00773485" w:rsidRPr="00006E72">
          <w:rPr>
            <w:rStyle w:val="Hyperlink"/>
            <w:b/>
            <w:i/>
            <w:highlight w:val="yellow"/>
          </w:rPr>
          <w:t>a</w:t>
        </w:r>
        <w:r w:rsidR="00701CC3" w:rsidRPr="00006E72">
          <w:rPr>
            <w:rStyle w:val="Hyperlink"/>
            <w:b/>
            <w:i/>
            <w:highlight w:val="yellow"/>
          </w:rPr>
          <w:t>.</w:t>
        </w:r>
        <w:r w:rsidR="00AA5587" w:rsidRPr="00006E72">
          <w:rPr>
            <w:rStyle w:val="Hyperlink"/>
            <w:b/>
            <w:i/>
            <w:highlight w:val="yellow"/>
          </w:rPr>
          <w:t>4</w:t>
        </w:r>
      </w:hyperlink>
      <w:r w:rsidR="00CB06C9" w:rsidRPr="00006E72">
        <w:rPr>
          <w:b/>
          <w:i/>
          <w:highlight w:val="yellow"/>
        </w:rPr>
        <w:t>,</w:t>
      </w:r>
      <w:r w:rsidR="00773485" w:rsidRPr="00006E72">
        <w:rPr>
          <w:b/>
          <w:i/>
          <w:highlight w:val="yellow"/>
        </w:rPr>
        <w:t xml:space="preserve"> and </w:t>
      </w:r>
      <w:hyperlink w:anchor="Section1a7" w:history="1">
        <w:r w:rsidR="00773485" w:rsidRPr="00006E72">
          <w:rPr>
            <w:rStyle w:val="Hyperlink"/>
            <w:b/>
            <w:i/>
            <w:highlight w:val="yellow"/>
          </w:rPr>
          <w:t>1a.7</w:t>
        </w:r>
      </w:hyperlink>
      <w:r w:rsidR="001B38BF" w:rsidRPr="003B1CC5">
        <w:t xml:space="preserve"> </w:t>
      </w:r>
    </w:p>
    <w:p w14:paraId="5208791B" w14:textId="77777777" w:rsidR="00FD4D82" w:rsidRPr="003B1CC5" w:rsidRDefault="00BD3D0D"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77777777" w:rsidR="007573F0" w:rsidRPr="003B1CC5" w:rsidRDefault="00BD3D0D"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1B12119D" w:rsidR="00FD4D82" w:rsidRPr="003B1CC5" w:rsidRDefault="00BD3D0D" w:rsidP="002E2177">
      <w:pPr>
        <w:ind w:left="0" w:firstLine="0"/>
      </w:pPr>
      <w:sdt>
        <w:sdtPr>
          <w:rPr>
            <w:bCs/>
            <w:color w:val="0000FF"/>
            <w:highlight w:val="yellow"/>
          </w:rPr>
          <w:id w:val="302275832"/>
          <w14:checkbox>
            <w14:checked w14:val="1"/>
            <w14:checkedState w14:val="2612" w14:font="MS Gothic"/>
            <w14:uncheckedState w14:val="2610" w14:font="MS Gothic"/>
          </w14:checkbox>
        </w:sdtPr>
        <w:sdtEndPr/>
        <w:sdtContent>
          <w:r w:rsidR="00006E72" w:rsidRPr="00006E72">
            <w:rPr>
              <w:rFonts w:ascii="MS Gothic" w:eastAsia="MS Gothic" w:hAnsi="MS Gothic" w:hint="eastAsia"/>
              <w:bCs/>
              <w:color w:val="0000FF"/>
              <w:highlight w:val="yellow"/>
            </w:rPr>
            <w:t>☒</w:t>
          </w:r>
        </w:sdtContent>
      </w:sdt>
      <w:r w:rsidR="00FD4D82" w:rsidRPr="00006E72">
        <w:rPr>
          <w:highlight w:val="yellow"/>
        </w:rPr>
        <w:t xml:space="preserve"> Other </w:t>
      </w:r>
      <w:r w:rsidR="001B38BF" w:rsidRPr="00006E72">
        <w:rPr>
          <w:highlight w:val="yellow"/>
        </w:rPr>
        <w:t xml:space="preserve">– </w:t>
      </w:r>
      <w:r w:rsidR="00FD4D82" w:rsidRPr="00006E72">
        <w:rPr>
          <w:b/>
          <w:i/>
          <w:highlight w:val="yellow"/>
        </w:rPr>
        <w:t xml:space="preserve">complete section </w:t>
      </w:r>
      <w:hyperlink w:anchor="Section1a8" w:history="1">
        <w:r w:rsidR="00FD4D82" w:rsidRPr="00006E72">
          <w:rPr>
            <w:rStyle w:val="Hyperlink"/>
            <w:b/>
            <w:i/>
            <w:highlight w:val="yellow"/>
          </w:rPr>
          <w:t>1</w:t>
        </w:r>
        <w:r w:rsidR="00773485" w:rsidRPr="00006E72">
          <w:rPr>
            <w:rStyle w:val="Hyperlink"/>
            <w:b/>
            <w:i/>
            <w:highlight w:val="yellow"/>
          </w:rPr>
          <w:t>a</w:t>
        </w:r>
        <w:r w:rsidR="00FD4D82" w:rsidRPr="00006E72">
          <w:rPr>
            <w:rStyle w:val="Hyperlink"/>
            <w:b/>
            <w:i/>
            <w:highlight w:val="yellow"/>
          </w:rPr>
          <w:t>.</w:t>
        </w:r>
        <w:r w:rsidR="00773485" w:rsidRPr="00006E72">
          <w:rPr>
            <w:rStyle w:val="Hyperlink"/>
            <w:b/>
            <w:i/>
            <w:highlight w:val="yellow"/>
          </w:rPr>
          <w:t>8</w:t>
        </w:r>
      </w:hyperlink>
    </w:p>
    <w:p w14:paraId="5208791E" w14:textId="77777777" w:rsidR="00FD4D82" w:rsidRPr="003B1CC5" w:rsidRDefault="00FD4D82" w:rsidP="002E2177">
      <w:pPr>
        <w:ind w:left="0" w:firstLine="0"/>
      </w:pPr>
    </w:p>
    <w:p w14:paraId="520879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6401AF43" w14:textId="77777777" w:rsidR="009464EF" w:rsidRDefault="009464EF" w:rsidP="00457A7A">
      <w:pPr>
        <w:ind w:left="0" w:firstLine="0"/>
        <w:rPr>
          <w:rFonts w:cs="Arial"/>
          <w:color w:val="0000FF"/>
        </w:rPr>
      </w:pPr>
    </w:p>
    <w:p w14:paraId="12077991" w14:textId="54BB7DEB" w:rsidR="00AC047E" w:rsidRDefault="001E0A74" w:rsidP="00457A7A">
      <w:pPr>
        <w:ind w:left="0" w:firstLine="0"/>
        <w:rPr>
          <w:rFonts w:cs="Arial"/>
          <w:color w:val="0000FF"/>
        </w:rPr>
      </w:pPr>
      <w:r>
        <w:rPr>
          <w:rFonts w:cs="Arial"/>
          <w:color w:val="0000FF"/>
        </w:rPr>
        <w:t>Two clinical practice guidelines contain</w:t>
      </w:r>
      <w:r w:rsidR="00D02EE7">
        <w:rPr>
          <w:rFonts w:cs="Arial"/>
          <w:color w:val="0000FF"/>
        </w:rPr>
        <w:t xml:space="preserve"> </w:t>
      </w:r>
      <w:r w:rsidR="00AB4224">
        <w:rPr>
          <w:rFonts w:cs="Arial"/>
          <w:color w:val="0000FF"/>
        </w:rPr>
        <w:t xml:space="preserve">recommendations that </w:t>
      </w:r>
      <w:r w:rsidR="006D6CC4">
        <w:rPr>
          <w:rFonts w:cs="Arial"/>
          <w:color w:val="0000FF"/>
        </w:rPr>
        <w:t xml:space="preserve">support risk assessment for </w:t>
      </w:r>
      <w:r w:rsidR="00610C65" w:rsidRPr="00B512E4">
        <w:rPr>
          <w:rStyle w:val="Style1"/>
        </w:rPr>
        <w:t>chemotherapy-induced febrile neutropenia</w:t>
      </w:r>
      <w:r w:rsidR="007359F4">
        <w:rPr>
          <w:rStyle w:val="Style1"/>
        </w:rPr>
        <w:t xml:space="preserve"> (FN)</w:t>
      </w:r>
      <w:r w:rsidR="00AC047E">
        <w:rPr>
          <w:rFonts w:cs="Arial"/>
          <w:color w:val="0000FF"/>
        </w:rPr>
        <w:t>:</w:t>
      </w:r>
      <w:r w:rsidR="00463097">
        <w:rPr>
          <w:rFonts w:cs="Arial"/>
          <w:color w:val="0000FF"/>
        </w:rPr>
        <w:t xml:space="preserve"> </w:t>
      </w:r>
    </w:p>
    <w:p w14:paraId="2EBA9F0D" w14:textId="7FA14821" w:rsidR="00AC047E" w:rsidRDefault="00463097" w:rsidP="00AC047E">
      <w:pPr>
        <w:pStyle w:val="ListParagraph"/>
        <w:numPr>
          <w:ilvl w:val="0"/>
          <w:numId w:val="10"/>
        </w:numPr>
        <w:rPr>
          <w:rFonts w:cs="Arial"/>
          <w:color w:val="0000FF"/>
        </w:rPr>
      </w:pPr>
      <w:r w:rsidRPr="00AC047E">
        <w:rPr>
          <w:rFonts w:cs="Arial"/>
          <w:color w:val="0000FF"/>
        </w:rPr>
        <w:lastRenderedPageBreak/>
        <w:t xml:space="preserve">2015 American Society of Clinical Oncology (ASCO) Recommendations for the Use of WBC Growth Factors, and </w:t>
      </w:r>
    </w:p>
    <w:p w14:paraId="3AA319C3" w14:textId="21EA040F" w:rsidR="00AC047E" w:rsidRPr="0048235E" w:rsidRDefault="00F94384" w:rsidP="00AC047E">
      <w:pPr>
        <w:pStyle w:val="ListParagraph"/>
        <w:numPr>
          <w:ilvl w:val="0"/>
          <w:numId w:val="10"/>
        </w:numPr>
        <w:rPr>
          <w:rFonts w:cs="Arial"/>
          <w:color w:val="0000FF"/>
        </w:rPr>
      </w:pPr>
      <w:r>
        <w:rPr>
          <w:rFonts w:cs="Arial"/>
          <w:color w:val="0000FF"/>
        </w:rPr>
        <w:t>NCCN Clinical Practice Guidelines in Oncology (NCCN Guidelines</w:t>
      </w:r>
      <w:r w:rsidRPr="00F94384">
        <w:rPr>
          <w:rFonts w:cs="Arial"/>
          <w:color w:val="0000FF"/>
        </w:rPr>
        <w:t>®</w:t>
      </w:r>
      <w:r>
        <w:rPr>
          <w:rFonts w:cs="Arial"/>
          <w:color w:val="0000FF"/>
        </w:rPr>
        <w:t>)</w:t>
      </w:r>
      <w:r w:rsidRPr="0048235E">
        <w:rPr>
          <w:rFonts w:cs="Arial"/>
          <w:color w:val="0000FF"/>
        </w:rPr>
        <w:t xml:space="preserve">. </w:t>
      </w:r>
    </w:p>
    <w:p w14:paraId="2597548A" w14:textId="23BE29F9" w:rsidR="00AB4224" w:rsidRPr="0048235E" w:rsidRDefault="00D93B2C" w:rsidP="00AC047E">
      <w:pPr>
        <w:ind w:left="0" w:firstLine="0"/>
        <w:rPr>
          <w:rFonts w:cs="Arial"/>
          <w:color w:val="0000FF"/>
        </w:rPr>
      </w:pPr>
      <w:r w:rsidRPr="0048235E">
        <w:rPr>
          <w:rFonts w:cs="Arial"/>
          <w:color w:val="0000FF"/>
        </w:rPr>
        <w:t xml:space="preserve">The citation and URL are provided </w:t>
      </w:r>
      <w:r w:rsidR="00F71473">
        <w:rPr>
          <w:rFonts w:cs="Arial"/>
          <w:color w:val="0000FF"/>
        </w:rPr>
        <w:t xml:space="preserve">below </w:t>
      </w:r>
      <w:r w:rsidRPr="0048235E">
        <w:rPr>
          <w:rFonts w:cs="Arial"/>
          <w:color w:val="0000FF"/>
        </w:rPr>
        <w:t xml:space="preserve">for each of these </w:t>
      </w:r>
      <w:r w:rsidR="00924ABD" w:rsidRPr="0048235E">
        <w:rPr>
          <w:rFonts w:cs="Arial"/>
          <w:color w:val="0000FF"/>
        </w:rPr>
        <w:t>guidelines</w:t>
      </w:r>
      <w:r w:rsidR="006D6CC4" w:rsidRPr="0048235E">
        <w:rPr>
          <w:rFonts w:cs="Arial"/>
          <w:color w:val="0000FF"/>
        </w:rPr>
        <w:t>:</w:t>
      </w:r>
    </w:p>
    <w:p w14:paraId="3992FE7C" w14:textId="77777777" w:rsidR="00AB4224" w:rsidRPr="0048235E" w:rsidRDefault="00AB4224" w:rsidP="00457A7A">
      <w:pPr>
        <w:ind w:left="0" w:firstLine="0"/>
        <w:rPr>
          <w:rFonts w:cs="Arial"/>
          <w:color w:val="0000FF"/>
        </w:rPr>
      </w:pPr>
    </w:p>
    <w:p w14:paraId="561DA94D" w14:textId="6F98122B" w:rsidR="001A1CA4" w:rsidRPr="0048235E" w:rsidRDefault="00AE74A6" w:rsidP="00457A7A">
      <w:pPr>
        <w:ind w:left="0" w:firstLine="0"/>
        <w:rPr>
          <w:rFonts w:cs="Arial"/>
          <w:color w:val="0000FF"/>
        </w:rPr>
      </w:pPr>
      <w:r w:rsidRPr="0048235E">
        <w:rPr>
          <w:rFonts w:cs="Arial"/>
          <w:b/>
          <w:color w:val="0000FF"/>
        </w:rPr>
        <w:t xml:space="preserve">2015 </w:t>
      </w:r>
      <w:r w:rsidR="00433A1E" w:rsidRPr="0048235E">
        <w:rPr>
          <w:rFonts w:cs="Arial"/>
          <w:b/>
          <w:color w:val="0000FF"/>
        </w:rPr>
        <w:t xml:space="preserve">ASCO Clinical Practice Guideline Update: </w:t>
      </w:r>
    </w:p>
    <w:p w14:paraId="7D0CFF88" w14:textId="3DD1A74A" w:rsidR="00457A7A" w:rsidRPr="000E50C9" w:rsidRDefault="009464EF" w:rsidP="00457A7A">
      <w:pPr>
        <w:ind w:left="0" w:firstLine="0"/>
        <w:rPr>
          <w:rFonts w:cs="Arial"/>
          <w:color w:val="0000FF"/>
        </w:rPr>
      </w:pPr>
      <w:r w:rsidRPr="0048235E">
        <w:rPr>
          <w:rFonts w:cs="Arial"/>
          <w:color w:val="0000FF"/>
        </w:rPr>
        <w:t xml:space="preserve">Smith TJ, </w:t>
      </w:r>
      <w:proofErr w:type="spellStart"/>
      <w:r w:rsidRPr="0048235E">
        <w:rPr>
          <w:rFonts w:cs="Arial"/>
          <w:color w:val="0000FF"/>
        </w:rPr>
        <w:t>Bohlke</w:t>
      </w:r>
      <w:proofErr w:type="spellEnd"/>
      <w:r w:rsidRPr="0048235E">
        <w:rPr>
          <w:rFonts w:cs="Arial"/>
          <w:color w:val="0000FF"/>
        </w:rPr>
        <w:t xml:space="preserve"> K, Lyman GH, Carson KR, Crawford J, Cross SJ, Goldberg JM, </w:t>
      </w:r>
      <w:proofErr w:type="spellStart"/>
      <w:r w:rsidRPr="0048235E">
        <w:rPr>
          <w:rFonts w:cs="Arial"/>
          <w:color w:val="0000FF"/>
        </w:rPr>
        <w:t>Khatcheressian</w:t>
      </w:r>
      <w:proofErr w:type="spellEnd"/>
      <w:r w:rsidRPr="0048235E">
        <w:rPr>
          <w:rFonts w:cs="Arial"/>
          <w:color w:val="0000FF"/>
        </w:rPr>
        <w:t xml:space="preserve"> JL, </w:t>
      </w:r>
      <w:proofErr w:type="spellStart"/>
      <w:r w:rsidRPr="0048235E">
        <w:rPr>
          <w:rFonts w:cs="Arial"/>
          <w:color w:val="0000FF"/>
        </w:rPr>
        <w:t>Leighl</w:t>
      </w:r>
      <w:proofErr w:type="spellEnd"/>
      <w:r w:rsidRPr="0048235E">
        <w:rPr>
          <w:rFonts w:cs="Arial"/>
          <w:color w:val="0000FF"/>
        </w:rPr>
        <w:t xml:space="preserve"> NB, Perkins CL, </w:t>
      </w:r>
      <w:proofErr w:type="spellStart"/>
      <w:r w:rsidRPr="0048235E">
        <w:rPr>
          <w:rFonts w:cs="Arial"/>
          <w:color w:val="0000FF"/>
        </w:rPr>
        <w:t>Somlo</w:t>
      </w:r>
      <w:proofErr w:type="spellEnd"/>
      <w:r w:rsidRPr="0048235E">
        <w:rPr>
          <w:rFonts w:cs="Arial"/>
          <w:color w:val="0000FF"/>
        </w:rPr>
        <w:t xml:space="preserve"> G, Wade JL, Wozniak AJ, Armitage JO. Recommendations for the Use of WBC Growth Factors: American Society of Clinical Oncology Clinical Practice Guideline Update. J </w:t>
      </w:r>
      <w:proofErr w:type="spellStart"/>
      <w:r w:rsidRPr="0048235E">
        <w:rPr>
          <w:rFonts w:cs="Arial"/>
          <w:color w:val="0000FF"/>
        </w:rPr>
        <w:t>Clin</w:t>
      </w:r>
      <w:proofErr w:type="spellEnd"/>
      <w:r w:rsidRPr="0048235E">
        <w:rPr>
          <w:rFonts w:cs="Arial"/>
          <w:color w:val="0000FF"/>
        </w:rPr>
        <w:t xml:space="preserve"> </w:t>
      </w:r>
      <w:proofErr w:type="spellStart"/>
      <w:r w:rsidRPr="0048235E">
        <w:rPr>
          <w:rFonts w:cs="Arial"/>
          <w:color w:val="0000FF"/>
        </w:rPr>
        <w:t>Oncol</w:t>
      </w:r>
      <w:proofErr w:type="spellEnd"/>
      <w:r w:rsidRPr="0048235E">
        <w:rPr>
          <w:rFonts w:cs="Arial"/>
          <w:color w:val="0000FF"/>
        </w:rPr>
        <w:t>. 2015 October 1; 33(28): 3199–3212.</w:t>
      </w:r>
      <w:r w:rsidR="0029675A" w:rsidRPr="0048235E">
        <w:rPr>
          <w:rFonts w:cs="Arial"/>
          <w:color w:val="0000FF"/>
        </w:rPr>
        <w:t xml:space="preserve"> Available </w:t>
      </w:r>
      <w:r w:rsidR="0024204B">
        <w:rPr>
          <w:rFonts w:cs="Arial"/>
          <w:color w:val="0000FF"/>
        </w:rPr>
        <w:t>December 2, 2015</w:t>
      </w:r>
      <w:r w:rsidR="00FC6737">
        <w:rPr>
          <w:rFonts w:cs="Arial"/>
          <w:color w:val="0000FF"/>
        </w:rPr>
        <w:t>,</w:t>
      </w:r>
      <w:r w:rsidR="0024204B">
        <w:rPr>
          <w:rFonts w:cs="Arial"/>
          <w:color w:val="0000FF"/>
        </w:rPr>
        <w:t xml:space="preserve"> </w:t>
      </w:r>
      <w:r w:rsidR="0029675A" w:rsidRPr="0048235E">
        <w:rPr>
          <w:rFonts w:cs="Arial"/>
          <w:color w:val="0000FF"/>
        </w:rPr>
        <w:t xml:space="preserve">at </w:t>
      </w:r>
      <w:hyperlink r:id="rId20" w:history="1">
        <w:r w:rsidR="0029675A" w:rsidRPr="000E50C9">
          <w:rPr>
            <w:rStyle w:val="Hyperlink"/>
            <w:u w:val="none"/>
          </w:rPr>
          <w:t>http://jco.ascopubs.org/content/33/28/3199.full.pdf+html</w:t>
        </w:r>
      </w:hyperlink>
    </w:p>
    <w:p w14:paraId="5D9ECF1D" w14:textId="77777777" w:rsidR="009464EF" w:rsidRPr="0048235E" w:rsidRDefault="009464EF" w:rsidP="00457A7A">
      <w:pPr>
        <w:ind w:left="0" w:firstLine="0"/>
        <w:rPr>
          <w:rFonts w:cs="Arial"/>
          <w:color w:val="0000FF"/>
        </w:rPr>
      </w:pPr>
    </w:p>
    <w:p w14:paraId="52087924" w14:textId="780C753D" w:rsidR="006F4B7F" w:rsidRPr="0048235E" w:rsidRDefault="00747DBF" w:rsidP="002E2177">
      <w:pPr>
        <w:ind w:left="0" w:firstLine="0"/>
        <w:rPr>
          <w:color w:val="0000FF"/>
        </w:rPr>
      </w:pPr>
      <w:r w:rsidRPr="0048235E">
        <w:rPr>
          <w:color w:val="0000FF"/>
        </w:rPr>
        <w:t>URL:</w:t>
      </w:r>
    </w:p>
    <w:p w14:paraId="1947F19B" w14:textId="292CC3BF" w:rsidR="00747DBF" w:rsidRPr="000E50C9" w:rsidRDefault="00BD3D0D" w:rsidP="002E2177">
      <w:pPr>
        <w:ind w:left="0" w:firstLine="0"/>
        <w:rPr>
          <w:rStyle w:val="Hyperlink"/>
          <w:u w:val="none"/>
        </w:rPr>
      </w:pPr>
      <w:hyperlink r:id="rId21" w:history="1">
        <w:r w:rsidR="001D453E" w:rsidRPr="000E50C9">
          <w:rPr>
            <w:rStyle w:val="Hyperlink"/>
            <w:u w:val="none"/>
          </w:rPr>
          <w:t>http://jco.ascopubs.org/content/33/28/3199.full.pdf+html</w:t>
        </w:r>
      </w:hyperlink>
    </w:p>
    <w:p w14:paraId="07778930" w14:textId="77777777" w:rsidR="00433A1E" w:rsidRPr="0048235E" w:rsidRDefault="00433A1E" w:rsidP="002E2177">
      <w:pPr>
        <w:ind w:left="0" w:firstLine="0"/>
        <w:rPr>
          <w:rStyle w:val="Hyperlink"/>
        </w:rPr>
      </w:pPr>
    </w:p>
    <w:p w14:paraId="42C0DBC2" w14:textId="642E704F" w:rsidR="00F94384" w:rsidRPr="00F94384" w:rsidRDefault="00F94384" w:rsidP="002E2177">
      <w:pPr>
        <w:ind w:left="0" w:firstLine="0"/>
        <w:rPr>
          <w:rFonts w:cs="Arial"/>
          <w:b/>
          <w:color w:val="0000FF"/>
        </w:rPr>
      </w:pPr>
      <w:r w:rsidRPr="00F94384">
        <w:rPr>
          <w:rFonts w:cs="Arial"/>
          <w:b/>
          <w:color w:val="0000FF"/>
        </w:rPr>
        <w:t>NCCN Clinical Practice Guidelines in Oncology (NCCN Guidelines®)</w:t>
      </w:r>
    </w:p>
    <w:p w14:paraId="4B6D1841" w14:textId="56DED657" w:rsidR="00433A1E" w:rsidRPr="0048235E" w:rsidRDefault="00433A1E" w:rsidP="002E2177">
      <w:pPr>
        <w:ind w:left="0" w:firstLine="0"/>
        <w:rPr>
          <w:color w:val="0000FF"/>
        </w:rPr>
      </w:pPr>
      <w:r w:rsidRPr="0048235E">
        <w:rPr>
          <w:rFonts w:cs="Arial"/>
          <w:color w:val="0000FF"/>
        </w:rPr>
        <w:t>Crawford, J., Becker, P. S., Armitage, J. O. et al. NCCN Clinical Practice Guidelines in Oncolog</w:t>
      </w:r>
      <w:r w:rsidR="00A14B15" w:rsidRPr="0048235E">
        <w:rPr>
          <w:rFonts w:cs="Arial"/>
          <w:color w:val="0000FF"/>
        </w:rPr>
        <w:t>y</w:t>
      </w:r>
      <w:r w:rsidRPr="0048235E">
        <w:rPr>
          <w:rFonts w:cs="Arial"/>
          <w:color w:val="0000FF"/>
        </w:rPr>
        <w:t xml:space="preserve"> (NCCN Guidelines</w:t>
      </w:r>
      <w:r w:rsidRPr="0048235E">
        <w:rPr>
          <w:rFonts w:ascii="Arial" w:hAnsi="Arial" w:cs="Arial"/>
          <w:color w:val="0000FF"/>
        </w:rPr>
        <w:t>®),</w:t>
      </w:r>
      <w:r w:rsidRPr="0048235E">
        <w:rPr>
          <w:rFonts w:cs="Arial"/>
          <w:color w:val="0000FF"/>
        </w:rPr>
        <w:t xml:space="preserve"> Myeloid Growth Factors, Version 1.2015. Available </w:t>
      </w:r>
      <w:r w:rsidR="00FC6737">
        <w:rPr>
          <w:rFonts w:cs="Arial"/>
          <w:color w:val="0000FF"/>
        </w:rPr>
        <w:t xml:space="preserve">December 2, 2015, </w:t>
      </w:r>
      <w:r w:rsidRPr="0048235E">
        <w:rPr>
          <w:rFonts w:cs="Arial"/>
          <w:color w:val="0000FF"/>
        </w:rPr>
        <w:t xml:space="preserve">at </w:t>
      </w:r>
      <w:r w:rsidR="00766DEF" w:rsidRPr="0048235E">
        <w:rPr>
          <w:rFonts w:cs="Arial"/>
          <w:color w:val="0000FF"/>
        </w:rPr>
        <w:t>http://www.nccn.org/professionals/physician_gls/pdf/myeloid_growth.pdf</w:t>
      </w:r>
    </w:p>
    <w:p w14:paraId="17E0187C" w14:textId="77777777" w:rsidR="001D453E" w:rsidRPr="0048235E" w:rsidRDefault="001D453E" w:rsidP="002E2177">
      <w:pPr>
        <w:ind w:left="0" w:firstLine="0"/>
        <w:rPr>
          <w:color w:val="0000FF"/>
        </w:rPr>
      </w:pPr>
    </w:p>
    <w:p w14:paraId="592BB579" w14:textId="77777777" w:rsidR="00FE7B32" w:rsidRPr="0048235E" w:rsidRDefault="00FE7B32" w:rsidP="002E2177">
      <w:pPr>
        <w:ind w:left="0" w:firstLine="0"/>
        <w:rPr>
          <w:rFonts w:cs="Arial"/>
          <w:color w:val="0000FF"/>
        </w:rPr>
      </w:pPr>
      <w:r w:rsidRPr="0048235E">
        <w:rPr>
          <w:rFonts w:cs="Arial"/>
          <w:color w:val="0000FF"/>
        </w:rPr>
        <w:t>URL:</w:t>
      </w:r>
    </w:p>
    <w:p w14:paraId="04F7D798" w14:textId="7CDDBF0A" w:rsidR="00FE7B32" w:rsidRPr="0048235E" w:rsidRDefault="00FE7B32" w:rsidP="002E2177">
      <w:pPr>
        <w:ind w:left="0" w:firstLine="0"/>
        <w:rPr>
          <w:color w:val="0000FF"/>
        </w:rPr>
      </w:pPr>
      <w:r w:rsidRPr="0048235E">
        <w:rPr>
          <w:rFonts w:cs="Arial"/>
          <w:color w:val="0000FF"/>
        </w:rPr>
        <w:t>http://www.nccn.org/professionals/physician_gls/pdf/myeloid_growth.pdf</w:t>
      </w:r>
    </w:p>
    <w:p w14:paraId="3316A0EF" w14:textId="77777777" w:rsidR="00FE7B32" w:rsidRPr="0048235E" w:rsidRDefault="00FE7B32" w:rsidP="002E2177">
      <w:pPr>
        <w:ind w:left="0" w:firstLine="0"/>
        <w:rPr>
          <w:color w:val="0000FF"/>
        </w:rPr>
      </w:pPr>
    </w:p>
    <w:p w14:paraId="37BBD9CC" w14:textId="51E1065C" w:rsidR="00F94384" w:rsidRPr="00F94384" w:rsidRDefault="00F94384" w:rsidP="00F943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rPr>
          <w:rFonts w:cs="Arial"/>
          <w:color w:val="0000FF"/>
        </w:rPr>
      </w:pPr>
      <w:r w:rsidRPr="00F94384">
        <w:rPr>
          <w:rFonts w:cs="Arial"/>
          <w:color w:val="0000FF"/>
        </w:rPr>
        <w:t xml:space="preserve">Referenced with permission from the NCCN Clinical Practice Guidelines in Oncology (NCCN Guidelines®) for </w:t>
      </w:r>
      <w:r w:rsidR="00610C65" w:rsidRPr="00610C65">
        <w:rPr>
          <w:rFonts w:cs="Arial"/>
          <w:color w:val="0000FF"/>
        </w:rPr>
        <w:t xml:space="preserve">NCCN Clinical Practice Guidelines in Oncology (NCCN Guidelines®), Myeloid Growth Factors, </w:t>
      </w:r>
      <w:proofErr w:type="gramStart"/>
      <w:r w:rsidR="00610C65" w:rsidRPr="00610C65">
        <w:rPr>
          <w:rFonts w:cs="Arial"/>
          <w:color w:val="0000FF"/>
        </w:rPr>
        <w:t>Version</w:t>
      </w:r>
      <w:proofErr w:type="gramEnd"/>
      <w:r w:rsidR="00610C65" w:rsidRPr="00610C65">
        <w:rPr>
          <w:rFonts w:cs="Arial"/>
          <w:color w:val="0000FF"/>
        </w:rPr>
        <w:t xml:space="preserve"> 1.2015</w:t>
      </w:r>
      <w:r w:rsidRPr="00F94384">
        <w:rPr>
          <w:rFonts w:cs="Arial"/>
          <w:color w:val="0000FF"/>
        </w:rPr>
        <w:t>. © National Comprehensive Cancer Network, Inc</w:t>
      </w:r>
      <w:r w:rsidR="00D02EE7">
        <w:rPr>
          <w:rFonts w:cs="Arial"/>
          <w:color w:val="0000FF"/>
        </w:rPr>
        <w:t>.,</w:t>
      </w:r>
      <w:r w:rsidRPr="00F94384">
        <w:rPr>
          <w:rFonts w:cs="Arial"/>
          <w:color w:val="0000FF"/>
        </w:rPr>
        <w:t xml:space="preserve"> </w:t>
      </w:r>
      <w:r w:rsidR="00610C65" w:rsidRPr="00F94384">
        <w:rPr>
          <w:rFonts w:cs="Arial"/>
          <w:color w:val="0000FF"/>
        </w:rPr>
        <w:t>201</w:t>
      </w:r>
      <w:r w:rsidR="00610C65">
        <w:rPr>
          <w:rFonts w:cs="Arial"/>
          <w:color w:val="0000FF"/>
        </w:rPr>
        <w:t>5</w:t>
      </w:r>
      <w:r w:rsidRPr="00F94384">
        <w:rPr>
          <w:rFonts w:cs="Arial"/>
          <w:color w:val="0000FF"/>
        </w:rPr>
        <w:t xml:space="preserve">.  All rights reserved.  Accessed </w:t>
      </w:r>
      <w:r w:rsidR="00610C65">
        <w:rPr>
          <w:rFonts w:cs="Arial"/>
          <w:color w:val="0000FF"/>
        </w:rPr>
        <w:t>December 2, 2015</w:t>
      </w:r>
      <w:r w:rsidRPr="00F94384">
        <w:rPr>
          <w:rFonts w:cs="Arial"/>
          <w:color w:val="0000FF"/>
        </w:rPr>
        <w:t>. To view the most recent and complete version of the guideline, go online to NCCN.org.  NATIONAL COMPREHENSIVE CANCER NETWORK®, NCCN®, NCCN GUIDELINES®, and all other NCCN Content are trademarks owned by the National Comprehensive Cancer Network, Inc.</w:t>
      </w:r>
    </w:p>
    <w:p w14:paraId="489B7B49" w14:textId="77777777" w:rsidR="00A14B15" w:rsidRPr="0048235E" w:rsidRDefault="00A14B15" w:rsidP="002E2177">
      <w:pPr>
        <w:ind w:left="0" w:firstLine="0"/>
        <w:rPr>
          <w:color w:val="0000FF"/>
        </w:rPr>
      </w:pPr>
    </w:p>
    <w:p w14:paraId="52087925" w14:textId="77777777" w:rsidR="00D14F0B" w:rsidRPr="0048235E" w:rsidRDefault="008B51D9" w:rsidP="002E2177">
      <w:pPr>
        <w:ind w:left="0" w:firstLine="0"/>
      </w:pPr>
      <w:r w:rsidRPr="0048235E">
        <w:rPr>
          <w:b/>
          <w:color w:val="0000FF"/>
        </w:rPr>
        <w:t>1</w:t>
      </w:r>
      <w:r w:rsidR="00773485" w:rsidRPr="0048235E">
        <w:rPr>
          <w:b/>
          <w:color w:val="0000FF"/>
        </w:rPr>
        <w:t>a</w:t>
      </w:r>
      <w:r w:rsidRPr="0048235E">
        <w:rPr>
          <w:b/>
          <w:color w:val="0000FF"/>
        </w:rPr>
        <w:t>.</w:t>
      </w:r>
      <w:r w:rsidR="00B058A6" w:rsidRPr="0048235E">
        <w:rPr>
          <w:b/>
          <w:color w:val="0000FF"/>
        </w:rPr>
        <w:t>4</w:t>
      </w:r>
      <w:r w:rsidR="00265702" w:rsidRPr="0048235E">
        <w:rPr>
          <w:b/>
          <w:color w:val="0000FF"/>
        </w:rPr>
        <w:t>.2</w:t>
      </w:r>
      <w:r w:rsidRPr="0048235E">
        <w:rPr>
          <w:b/>
          <w:color w:val="0000FF"/>
        </w:rPr>
        <w:t>.</w:t>
      </w:r>
      <w:r w:rsidRPr="0048235E">
        <w:t xml:space="preserve"> </w:t>
      </w:r>
      <w:r w:rsidR="00496AF8" w:rsidRPr="0048235E">
        <w:rPr>
          <w:b/>
        </w:rPr>
        <w:t>Identify</w:t>
      </w:r>
      <w:r w:rsidR="00A44FF0" w:rsidRPr="0048235E">
        <w:rPr>
          <w:b/>
        </w:rPr>
        <w:t xml:space="preserve"> </w:t>
      </w:r>
      <w:r w:rsidR="00C54E40" w:rsidRPr="0048235E">
        <w:rPr>
          <w:b/>
        </w:rPr>
        <w:t>g</w:t>
      </w:r>
      <w:r w:rsidR="00496AF8" w:rsidRPr="0048235E">
        <w:rPr>
          <w:b/>
        </w:rPr>
        <w:t xml:space="preserve">uideline </w:t>
      </w:r>
      <w:r w:rsidR="00E746A2" w:rsidRPr="0048235E">
        <w:rPr>
          <w:b/>
        </w:rPr>
        <w:t xml:space="preserve">recommendation </w:t>
      </w:r>
      <w:r w:rsidR="00496AF8" w:rsidRPr="0048235E">
        <w:rPr>
          <w:b/>
        </w:rPr>
        <w:t>number and/or page number</w:t>
      </w:r>
      <w:r w:rsidR="00265702" w:rsidRPr="0048235E">
        <w:t xml:space="preserve"> and </w:t>
      </w:r>
      <w:r w:rsidR="00C54E40" w:rsidRPr="0048235E">
        <w:rPr>
          <w:b/>
        </w:rPr>
        <w:t>q</w:t>
      </w:r>
      <w:r w:rsidR="00265702" w:rsidRPr="0048235E">
        <w:rPr>
          <w:b/>
        </w:rPr>
        <w:t>uote verbatim, the specific guideline recommendation</w:t>
      </w:r>
      <w:r w:rsidR="00FC32D3" w:rsidRPr="0048235E">
        <w:t>.</w:t>
      </w:r>
    </w:p>
    <w:p w14:paraId="19C2C366" w14:textId="77777777" w:rsidR="00433A1E" w:rsidRDefault="00433A1E" w:rsidP="001410AE">
      <w:pPr>
        <w:ind w:left="0" w:firstLine="0"/>
        <w:rPr>
          <w:color w:val="0000FF"/>
        </w:rPr>
      </w:pPr>
    </w:p>
    <w:p w14:paraId="1DE2B182" w14:textId="5674D9EC" w:rsidR="001E0A74" w:rsidRDefault="00742C5E" w:rsidP="001410AE">
      <w:pPr>
        <w:ind w:left="0" w:firstLine="0"/>
        <w:rPr>
          <w:color w:val="0000FF"/>
        </w:rPr>
      </w:pPr>
      <w:r>
        <w:rPr>
          <w:color w:val="0000FF"/>
        </w:rPr>
        <w:t>The two</w:t>
      </w:r>
      <w:r w:rsidR="001E0A74">
        <w:rPr>
          <w:color w:val="0000FF"/>
        </w:rPr>
        <w:t xml:space="preserve"> guideline recommendations listed below </w:t>
      </w:r>
      <w:r w:rsidR="00C500CA">
        <w:rPr>
          <w:color w:val="0000FF"/>
        </w:rPr>
        <w:t xml:space="preserve">provide </w:t>
      </w:r>
      <w:r w:rsidR="001A2DF3">
        <w:rPr>
          <w:color w:val="0000FF"/>
        </w:rPr>
        <w:t xml:space="preserve">strong </w:t>
      </w:r>
      <w:r w:rsidR="00C500CA">
        <w:rPr>
          <w:color w:val="0000FF"/>
        </w:rPr>
        <w:t>support</w:t>
      </w:r>
      <w:r w:rsidR="001E0A74">
        <w:rPr>
          <w:color w:val="0000FF"/>
        </w:rPr>
        <w:t xml:space="preserve"> for conducting an FN risk assessment </w:t>
      </w:r>
      <w:r w:rsidR="000D0711">
        <w:rPr>
          <w:color w:val="0000FF"/>
        </w:rPr>
        <w:t xml:space="preserve">prior to the first cycle of chemotherapy </w:t>
      </w:r>
      <w:r w:rsidR="001E0A74">
        <w:rPr>
          <w:color w:val="0000FF"/>
        </w:rPr>
        <w:t xml:space="preserve">to determine which patients </w:t>
      </w:r>
      <w:r w:rsidR="000D0711">
        <w:rPr>
          <w:color w:val="0000FF"/>
        </w:rPr>
        <w:t>with solid tumors should receive primary prophylaxis with a CSF.</w:t>
      </w:r>
      <w:r w:rsidR="003D0185">
        <w:rPr>
          <w:color w:val="0000FF"/>
        </w:rPr>
        <w:t xml:space="preserve"> </w:t>
      </w:r>
      <w:r w:rsidR="00C500CA" w:rsidRPr="00C500CA">
        <w:rPr>
          <w:color w:val="0000FF"/>
        </w:rPr>
        <w:t xml:space="preserve">Bold italics were added in </w:t>
      </w:r>
      <w:r w:rsidR="00C500CA">
        <w:rPr>
          <w:color w:val="0000FF"/>
        </w:rPr>
        <w:t xml:space="preserve">each recommendation </w:t>
      </w:r>
      <w:r w:rsidR="00C500CA" w:rsidRPr="00C500CA">
        <w:rPr>
          <w:color w:val="0000FF"/>
        </w:rPr>
        <w:t xml:space="preserve">to </w:t>
      </w:r>
      <w:r w:rsidR="007359F4">
        <w:rPr>
          <w:color w:val="0000FF"/>
        </w:rPr>
        <w:t>emphasize</w:t>
      </w:r>
      <w:r w:rsidR="00C500CA" w:rsidRPr="00C500CA">
        <w:rPr>
          <w:color w:val="0000FF"/>
        </w:rPr>
        <w:t xml:space="preserve"> the text related to conducting an FN risk assessment.</w:t>
      </w:r>
    </w:p>
    <w:p w14:paraId="1CC09016" w14:textId="77777777" w:rsidR="001E0A74" w:rsidRPr="0048235E" w:rsidRDefault="001E0A74" w:rsidP="001410AE">
      <w:pPr>
        <w:ind w:left="0" w:firstLine="0"/>
        <w:rPr>
          <w:color w:val="0000FF"/>
        </w:rPr>
      </w:pPr>
    </w:p>
    <w:p w14:paraId="3AA120CE" w14:textId="3CC1D407" w:rsidR="00DE7A59" w:rsidRPr="0048235E" w:rsidRDefault="00DE7A59" w:rsidP="001410AE">
      <w:pPr>
        <w:ind w:left="0" w:firstLine="0"/>
        <w:rPr>
          <w:b/>
          <w:color w:val="0000FF"/>
        </w:rPr>
      </w:pPr>
      <w:r w:rsidRPr="0048235E">
        <w:rPr>
          <w:rFonts w:cs="Arial"/>
          <w:b/>
          <w:color w:val="0000FF"/>
        </w:rPr>
        <w:t xml:space="preserve">Recommendation </w:t>
      </w:r>
      <w:r w:rsidR="00E63F87" w:rsidRPr="0048235E">
        <w:rPr>
          <w:rFonts w:cs="Arial"/>
          <w:b/>
          <w:color w:val="0000FF"/>
        </w:rPr>
        <w:t xml:space="preserve">1 (page 3203 </w:t>
      </w:r>
      <w:r w:rsidR="00644CD5" w:rsidRPr="0048235E">
        <w:rPr>
          <w:rFonts w:cs="Arial"/>
          <w:b/>
          <w:color w:val="0000FF"/>
        </w:rPr>
        <w:t>in</w:t>
      </w:r>
      <w:r w:rsidRPr="0048235E">
        <w:rPr>
          <w:rFonts w:cs="Arial"/>
          <w:b/>
          <w:color w:val="0000FF"/>
        </w:rPr>
        <w:t xml:space="preserve"> </w:t>
      </w:r>
      <w:r w:rsidR="00AE74A6" w:rsidRPr="0048235E">
        <w:rPr>
          <w:rFonts w:cs="Arial"/>
          <w:b/>
          <w:color w:val="0000FF"/>
        </w:rPr>
        <w:t xml:space="preserve">2015 </w:t>
      </w:r>
      <w:r w:rsidRPr="0048235E">
        <w:rPr>
          <w:rFonts w:cs="Arial"/>
          <w:b/>
          <w:color w:val="0000FF"/>
        </w:rPr>
        <w:t>ASCO Clinical Practice Guideline Update</w:t>
      </w:r>
      <w:r w:rsidR="00644CD5" w:rsidRPr="0048235E">
        <w:rPr>
          <w:rFonts w:cs="Arial"/>
          <w:b/>
          <w:color w:val="0000FF"/>
        </w:rPr>
        <w:t>; see complete citation in Section 1a.4.1 above)</w:t>
      </w:r>
      <w:r w:rsidRPr="0048235E">
        <w:rPr>
          <w:rFonts w:cs="Arial"/>
          <w:b/>
          <w:color w:val="0000FF"/>
        </w:rPr>
        <w:t>:</w:t>
      </w:r>
    </w:p>
    <w:p w14:paraId="52087926" w14:textId="40BDDF46" w:rsidR="00496AF8" w:rsidRPr="0048235E" w:rsidRDefault="00F15003" w:rsidP="001410AE">
      <w:pPr>
        <w:ind w:left="0" w:firstLine="0"/>
        <w:rPr>
          <w:color w:val="0000FF"/>
        </w:rPr>
      </w:pPr>
      <w:r w:rsidRPr="0048235E">
        <w:rPr>
          <w:color w:val="0000FF"/>
        </w:rPr>
        <w:t>“</w:t>
      </w:r>
      <w:r w:rsidR="00EC6217" w:rsidRPr="0048235E">
        <w:rPr>
          <w:color w:val="0000FF"/>
        </w:rPr>
        <w:t xml:space="preserve">Recommendation 1: </w:t>
      </w:r>
      <w:r w:rsidR="001410AE" w:rsidRPr="0048235E">
        <w:rPr>
          <w:color w:val="0000FF"/>
        </w:rPr>
        <w:t xml:space="preserve">Primary prophylaxis with a CSF starting with the first cycle and continuing through subsequent cycles of chemotherapy is recommended in </w:t>
      </w:r>
      <w:r w:rsidR="001410AE" w:rsidRPr="0048235E">
        <w:rPr>
          <w:b/>
          <w:i/>
          <w:color w:val="0000FF"/>
        </w:rPr>
        <w:t>patients who have an approximately 20% or higher risk for febrile neutropenia based on patient-, disease- and treatment-related factors</w:t>
      </w:r>
      <w:r w:rsidR="001410AE" w:rsidRPr="0048235E">
        <w:rPr>
          <w:color w:val="0000FF"/>
        </w:rPr>
        <w:t>. Primary CSF prophylaxis should also be administered in patients receiving dose dense chemotherapy when considered appropriate. Consideration should be given to alternative, equally effective, and safe chemotherapy regimens not requiring CSF support when available.</w:t>
      </w:r>
      <w:r w:rsidRPr="0048235E">
        <w:rPr>
          <w:color w:val="0000FF"/>
        </w:rPr>
        <w:t>”</w:t>
      </w:r>
      <w:r w:rsidR="0048235E" w:rsidRPr="0048235E">
        <w:rPr>
          <w:color w:val="0000FF"/>
        </w:rPr>
        <w:t xml:space="preserve"> (</w:t>
      </w:r>
      <w:r w:rsidR="000E50C9">
        <w:rPr>
          <w:color w:val="0000FF"/>
        </w:rPr>
        <w:t xml:space="preserve">Emphasis </w:t>
      </w:r>
      <w:r w:rsidR="00806CF7">
        <w:rPr>
          <w:color w:val="0000FF"/>
        </w:rPr>
        <w:t>added</w:t>
      </w:r>
      <w:r w:rsidR="000E50C9">
        <w:rPr>
          <w:color w:val="0000FF"/>
        </w:rPr>
        <w:t>.</w:t>
      </w:r>
      <w:r w:rsidR="0048235E" w:rsidRPr="0048235E">
        <w:rPr>
          <w:color w:val="0000FF"/>
        </w:rPr>
        <w:t>)</w:t>
      </w:r>
    </w:p>
    <w:p w14:paraId="52E57FBD" w14:textId="77777777" w:rsidR="00DE7A59" w:rsidRPr="0048235E" w:rsidRDefault="00DE7A59" w:rsidP="001410AE">
      <w:pPr>
        <w:ind w:left="0" w:firstLine="0"/>
        <w:rPr>
          <w:color w:val="0000FF"/>
        </w:rPr>
      </w:pPr>
    </w:p>
    <w:p w14:paraId="25DAB050" w14:textId="6AC63A70" w:rsidR="001E0A74" w:rsidRDefault="00B65B8A" w:rsidP="001410AE">
      <w:pPr>
        <w:ind w:left="0" w:firstLine="0"/>
        <w:rPr>
          <w:rFonts w:cs="Arial"/>
          <w:b/>
          <w:color w:val="0000FF"/>
        </w:rPr>
      </w:pPr>
      <w:r w:rsidRPr="00725318">
        <w:rPr>
          <w:rFonts w:cs="Arial"/>
          <w:b/>
          <w:color w:val="0000FF"/>
        </w:rPr>
        <w:t xml:space="preserve">Recommendation </w:t>
      </w:r>
      <w:r w:rsidR="003421EE" w:rsidRPr="00725318">
        <w:rPr>
          <w:rFonts w:cs="Arial"/>
          <w:b/>
          <w:color w:val="0000FF"/>
        </w:rPr>
        <w:t xml:space="preserve">on Risk Assessment for Prophylactic Use of CSFs </w:t>
      </w:r>
      <w:r w:rsidR="00644CD5" w:rsidRPr="00725318">
        <w:rPr>
          <w:rFonts w:cs="Arial"/>
          <w:b/>
          <w:color w:val="0000FF"/>
        </w:rPr>
        <w:t xml:space="preserve">(page MS-9 </w:t>
      </w:r>
      <w:r w:rsidR="003421EE" w:rsidRPr="00725318">
        <w:rPr>
          <w:rFonts w:cs="Arial"/>
          <w:b/>
          <w:color w:val="0000FF"/>
        </w:rPr>
        <w:t>in</w:t>
      </w:r>
      <w:r w:rsidRPr="00725318">
        <w:rPr>
          <w:rFonts w:cs="Arial"/>
          <w:b/>
          <w:color w:val="0000FF"/>
        </w:rPr>
        <w:t xml:space="preserve"> </w:t>
      </w:r>
      <w:r w:rsidR="00725318" w:rsidRPr="00725318">
        <w:rPr>
          <w:rFonts w:cs="Arial"/>
          <w:b/>
          <w:color w:val="0000FF"/>
        </w:rPr>
        <w:t xml:space="preserve">NCCN Clinical Practice Guidelines in Oncology </w:t>
      </w:r>
      <w:r w:rsidR="00894002">
        <w:rPr>
          <w:rFonts w:cs="Arial"/>
          <w:b/>
          <w:color w:val="0000FF"/>
        </w:rPr>
        <w:t>[</w:t>
      </w:r>
      <w:r w:rsidR="00725318" w:rsidRPr="00725318">
        <w:rPr>
          <w:rFonts w:cs="Arial"/>
          <w:b/>
          <w:color w:val="0000FF"/>
        </w:rPr>
        <w:t>NCCN Guidelines</w:t>
      </w:r>
      <w:r w:rsidR="00894002" w:rsidRPr="00725318">
        <w:rPr>
          <w:rFonts w:cs="Arial"/>
          <w:b/>
          <w:color w:val="0000FF"/>
        </w:rPr>
        <w:t>®</w:t>
      </w:r>
      <w:r w:rsidR="00894002">
        <w:rPr>
          <w:rFonts w:cs="Arial"/>
          <w:b/>
          <w:color w:val="0000FF"/>
        </w:rPr>
        <w:t>]</w:t>
      </w:r>
      <w:r w:rsidR="00894002" w:rsidRPr="00725318">
        <w:rPr>
          <w:rFonts w:cs="Arial"/>
          <w:b/>
          <w:color w:val="0000FF"/>
        </w:rPr>
        <w:t xml:space="preserve">; </w:t>
      </w:r>
      <w:r w:rsidR="003421EE" w:rsidRPr="00725318">
        <w:rPr>
          <w:rFonts w:cs="Arial"/>
          <w:b/>
          <w:color w:val="0000FF"/>
        </w:rPr>
        <w:t>see complete citation in Section 1a.4.1 above</w:t>
      </w:r>
      <w:r w:rsidRPr="00725318">
        <w:rPr>
          <w:rFonts w:cs="Arial"/>
          <w:b/>
          <w:color w:val="0000FF"/>
        </w:rPr>
        <w:t>)</w:t>
      </w:r>
      <w:r w:rsidR="00894002">
        <w:rPr>
          <w:rFonts w:cs="Arial"/>
          <w:b/>
          <w:color w:val="0000FF"/>
        </w:rPr>
        <w:t>:</w:t>
      </w:r>
      <w:r w:rsidRPr="00725318">
        <w:rPr>
          <w:rFonts w:cs="Arial"/>
          <w:b/>
          <w:color w:val="0000FF"/>
        </w:rPr>
        <w:t xml:space="preserve"> </w:t>
      </w:r>
    </w:p>
    <w:p w14:paraId="69A85AD1" w14:textId="5BD91710" w:rsidR="00B65B8A" w:rsidRPr="0048235E" w:rsidRDefault="00F15003" w:rsidP="001410AE">
      <w:pPr>
        <w:ind w:left="0" w:firstLine="0"/>
        <w:rPr>
          <w:rFonts w:cs="Arial"/>
          <w:color w:val="0000FF"/>
        </w:rPr>
      </w:pPr>
      <w:r w:rsidRPr="001E0A74">
        <w:rPr>
          <w:rFonts w:cs="Arial"/>
          <w:color w:val="0000FF"/>
        </w:rPr>
        <w:t>“</w:t>
      </w:r>
      <w:r w:rsidR="00B65B8A" w:rsidRPr="001E0A74">
        <w:rPr>
          <w:rFonts w:cs="Arial"/>
          <w:color w:val="0000FF"/>
        </w:rPr>
        <w:t>The guidelines begin with</w:t>
      </w:r>
      <w:r w:rsidR="00B65B8A" w:rsidRPr="0048235E">
        <w:rPr>
          <w:rFonts w:cs="Arial"/>
          <w:color w:val="0000FF"/>
        </w:rPr>
        <w:t xml:space="preserve"> </w:t>
      </w:r>
      <w:r w:rsidR="00B6638C" w:rsidRPr="00B6638C">
        <w:rPr>
          <w:rFonts w:cs="Arial"/>
          <w:b/>
          <w:i/>
          <w:color w:val="0000FF"/>
        </w:rPr>
        <w:t>an evaluation of risk for chemotherapy-induced FN prior to the first cycle of chemotherapy</w:t>
      </w:r>
      <w:r w:rsidR="00B65B8A" w:rsidRPr="0048235E">
        <w:rPr>
          <w:rFonts w:cs="Arial"/>
          <w:color w:val="0000FF"/>
        </w:rPr>
        <w:t>. The risk assessment includes disease typ</w:t>
      </w:r>
      <w:r w:rsidR="001733DE" w:rsidRPr="0048235E">
        <w:rPr>
          <w:rFonts w:cs="Arial"/>
          <w:color w:val="0000FF"/>
        </w:rPr>
        <w:t>e</w:t>
      </w:r>
      <w:r w:rsidR="00B65B8A" w:rsidRPr="0048235E">
        <w:rPr>
          <w:rFonts w:cs="Arial"/>
          <w:color w:val="0000FF"/>
        </w:rPr>
        <w:t>, chemotherapeutic regimen (high-dose, dose-dense, or standard-dose therapy), patient risk factors, and treatment intent. Three categories based on the intent of chemotherapy have been designated by the NCCN Panel. These include curative-adjuvant therapy, treatmen</w:t>
      </w:r>
      <w:r w:rsidR="001733DE" w:rsidRPr="0048235E">
        <w:rPr>
          <w:rFonts w:cs="Arial"/>
          <w:color w:val="0000FF"/>
        </w:rPr>
        <w:t>t</w:t>
      </w:r>
      <w:r w:rsidR="00B65B8A" w:rsidRPr="0048235E">
        <w:rPr>
          <w:rFonts w:cs="Arial"/>
          <w:color w:val="0000FF"/>
        </w:rPr>
        <w:t xml:space="preserve"> directed toward prolongation of survival, and symptom management therapy. Based on the chemotherapy regimen and patient-related risk factors, the patient is assigned to either an overall high-risk group (&gt;20% risk of FN), intermediate risk group (10%-20% risk), or low-risk group (&lt;10% risk). Of note, there is currently no consensus nomogram for risk assessment. While the NCCN </w:t>
      </w:r>
      <w:r w:rsidR="00297781" w:rsidRPr="0048235E">
        <w:rPr>
          <w:rFonts w:cs="Arial"/>
          <w:color w:val="0000FF"/>
        </w:rPr>
        <w:t>P</w:t>
      </w:r>
      <w:r w:rsidR="00B65B8A" w:rsidRPr="0048235E">
        <w:rPr>
          <w:rFonts w:cs="Arial"/>
          <w:color w:val="0000FF"/>
        </w:rPr>
        <w:t>anel outlines criteria to ai</w:t>
      </w:r>
      <w:r w:rsidR="00297781" w:rsidRPr="0048235E">
        <w:rPr>
          <w:rFonts w:cs="Arial"/>
          <w:color w:val="0000FF"/>
        </w:rPr>
        <w:t>d</w:t>
      </w:r>
      <w:r w:rsidR="00B65B8A" w:rsidRPr="0048235E">
        <w:rPr>
          <w:rFonts w:cs="Arial"/>
          <w:color w:val="0000FF"/>
        </w:rPr>
        <w:t xml:space="preserve"> in the assessment of FN risk, independent clinical judgment should be exercised based on the patient</w:t>
      </w:r>
      <w:r w:rsidR="001733DE" w:rsidRPr="0048235E">
        <w:rPr>
          <w:rFonts w:cs="Arial"/>
          <w:color w:val="0000FF"/>
        </w:rPr>
        <w:t>’</w:t>
      </w:r>
      <w:r w:rsidR="00B65B8A" w:rsidRPr="0048235E">
        <w:rPr>
          <w:rFonts w:cs="Arial"/>
          <w:color w:val="0000FF"/>
        </w:rPr>
        <w:t>s situation (see Patient Risk Factors for Developing Febrile Neutropenia in the algorithm). In addition to assessing patient- and treatment-related risk, consideration should be given to the intent of cancer treatment when determining the appropriate use of CSFs. For example, a patient with a previous neutropenic compli</w:t>
      </w:r>
      <w:r w:rsidR="00297781" w:rsidRPr="0048235E">
        <w:rPr>
          <w:rFonts w:cs="Arial"/>
          <w:color w:val="0000FF"/>
        </w:rPr>
        <w:t>c</w:t>
      </w:r>
      <w:r w:rsidR="00B65B8A" w:rsidRPr="0048235E">
        <w:rPr>
          <w:rFonts w:cs="Arial"/>
          <w:color w:val="0000FF"/>
        </w:rPr>
        <w:t>ation in the immediately prior cy</w:t>
      </w:r>
      <w:r w:rsidR="00FB00AC" w:rsidRPr="0048235E">
        <w:rPr>
          <w:rFonts w:cs="Arial"/>
          <w:color w:val="0000FF"/>
        </w:rPr>
        <w:t>c</w:t>
      </w:r>
      <w:r w:rsidR="00B65B8A" w:rsidRPr="0048235E">
        <w:rPr>
          <w:rFonts w:cs="Arial"/>
          <w:color w:val="0000FF"/>
        </w:rPr>
        <w:t>le of chemotherapy, with no plan to reduce the dose intensity should be considered high risk.</w:t>
      </w:r>
      <w:r w:rsidRPr="0048235E">
        <w:rPr>
          <w:rFonts w:cs="Arial"/>
          <w:color w:val="0000FF"/>
        </w:rPr>
        <w:t>”</w:t>
      </w:r>
      <w:r w:rsidR="0048235E" w:rsidRPr="0048235E">
        <w:rPr>
          <w:rFonts w:cs="Arial"/>
          <w:color w:val="0000FF"/>
        </w:rPr>
        <w:t xml:space="preserve"> (</w:t>
      </w:r>
      <w:r w:rsidR="00497294">
        <w:rPr>
          <w:rFonts w:cs="Arial"/>
          <w:color w:val="0000FF"/>
        </w:rPr>
        <w:t>E</w:t>
      </w:r>
      <w:r w:rsidR="00461DE3">
        <w:rPr>
          <w:rFonts w:cs="Arial"/>
          <w:color w:val="0000FF"/>
        </w:rPr>
        <w:t>mphasis added</w:t>
      </w:r>
      <w:r w:rsidR="0048235E" w:rsidRPr="0048235E">
        <w:rPr>
          <w:rFonts w:cs="Arial"/>
          <w:color w:val="0000FF"/>
        </w:rPr>
        <w:t>.)</w:t>
      </w:r>
    </w:p>
    <w:p w14:paraId="7B461EAC" w14:textId="77777777" w:rsidR="00B65B8A" w:rsidRPr="0048235E" w:rsidRDefault="00B65B8A" w:rsidP="001410AE">
      <w:pPr>
        <w:ind w:left="0" w:firstLine="0"/>
        <w:rPr>
          <w:rFonts w:cs="Arial"/>
          <w:color w:val="0000FF"/>
        </w:rPr>
      </w:pPr>
    </w:p>
    <w:p w14:paraId="215CF580" w14:textId="1D9674C5" w:rsidR="00336B5C" w:rsidRPr="0048235E" w:rsidRDefault="00336B5C" w:rsidP="00336B5C">
      <w:pPr>
        <w:ind w:left="0" w:firstLine="0"/>
        <w:rPr>
          <w:rFonts w:cs="Arial"/>
          <w:b/>
          <w:color w:val="0000FF"/>
        </w:rPr>
      </w:pPr>
      <w:r w:rsidRPr="0048235E">
        <w:rPr>
          <w:rFonts w:cs="Arial"/>
          <w:b/>
          <w:color w:val="0000FF"/>
        </w:rPr>
        <w:t xml:space="preserve">Diagram related to Recommendation on Risk Assessment for Prophylactic Use of CSFs (page MGF-1 in </w:t>
      </w:r>
      <w:r w:rsidR="00725318" w:rsidRPr="00725318">
        <w:rPr>
          <w:rFonts w:cs="Arial"/>
          <w:b/>
          <w:color w:val="0000FF"/>
        </w:rPr>
        <w:t xml:space="preserve">NCCN Clinical Practice Guidelines in Oncology (NCCN Guidelines®); </w:t>
      </w:r>
      <w:r w:rsidRPr="0048235E">
        <w:rPr>
          <w:rFonts w:cs="Arial"/>
          <w:b/>
          <w:color w:val="0000FF"/>
        </w:rPr>
        <w:t>see complete citation in Section 1a.4.1 above)</w:t>
      </w:r>
      <w:r w:rsidR="00561CD1" w:rsidRPr="0048235E">
        <w:rPr>
          <w:rFonts w:cs="Arial"/>
          <w:b/>
          <w:color w:val="0000FF"/>
        </w:rPr>
        <w:t>:</w:t>
      </w:r>
      <w:r w:rsidRPr="0048235E">
        <w:rPr>
          <w:rFonts w:cs="Arial"/>
          <w:b/>
          <w:color w:val="0000FF"/>
        </w:rPr>
        <w:t xml:space="preserve"> </w:t>
      </w:r>
    </w:p>
    <w:p w14:paraId="49625352" w14:textId="62415764" w:rsidR="00DE7A59" w:rsidRPr="0048235E" w:rsidRDefault="0029675A" w:rsidP="001410AE">
      <w:pPr>
        <w:ind w:left="0" w:firstLine="0"/>
        <w:rPr>
          <w:color w:val="0000FF"/>
        </w:rPr>
      </w:pPr>
      <w:r w:rsidRPr="0048235E">
        <w:rPr>
          <w:rFonts w:cs="Arial"/>
          <w:color w:val="0000FF"/>
        </w:rPr>
        <w:t>The NCCN A</w:t>
      </w:r>
      <w:r w:rsidR="00B65B8A" w:rsidRPr="0048235E">
        <w:rPr>
          <w:rFonts w:cs="Arial"/>
          <w:color w:val="0000FF"/>
        </w:rPr>
        <w:t xml:space="preserve">lgorithm </w:t>
      </w:r>
      <w:r w:rsidR="00C01FD1" w:rsidRPr="0048235E">
        <w:rPr>
          <w:rFonts w:cs="Arial"/>
          <w:color w:val="0000FF"/>
        </w:rPr>
        <w:t xml:space="preserve">shown </w:t>
      </w:r>
      <w:r w:rsidRPr="0048235E">
        <w:rPr>
          <w:rFonts w:cs="Arial"/>
          <w:color w:val="0000FF"/>
        </w:rPr>
        <w:t xml:space="preserve">on </w:t>
      </w:r>
      <w:r w:rsidR="00B65B8A" w:rsidRPr="0048235E">
        <w:rPr>
          <w:rFonts w:cs="Arial"/>
          <w:color w:val="0000FF"/>
        </w:rPr>
        <w:t>page MGF-1</w:t>
      </w:r>
      <w:r w:rsidRPr="0048235E">
        <w:rPr>
          <w:rFonts w:cs="Arial"/>
          <w:color w:val="0000FF"/>
        </w:rPr>
        <w:t xml:space="preserve"> of the </w:t>
      </w:r>
      <w:r w:rsidR="00561CD1" w:rsidRPr="0048235E">
        <w:rPr>
          <w:rFonts w:cs="Arial"/>
          <w:color w:val="0000FF"/>
        </w:rPr>
        <w:t xml:space="preserve">2015 </w:t>
      </w:r>
      <w:r w:rsidR="00DE7A59" w:rsidRPr="0048235E">
        <w:rPr>
          <w:rStyle w:val="Hyperlink"/>
          <w:u w:val="none"/>
        </w:rPr>
        <w:t>NCCN</w:t>
      </w:r>
      <w:r w:rsidR="00DE7A59" w:rsidRPr="0048235E">
        <w:rPr>
          <w:rStyle w:val="Hyperlink"/>
        </w:rPr>
        <w:t xml:space="preserve"> </w:t>
      </w:r>
      <w:r w:rsidR="00DE7A59" w:rsidRPr="0048235E">
        <w:rPr>
          <w:rFonts w:cs="Arial"/>
          <w:color w:val="0000FF"/>
        </w:rPr>
        <w:t>Clinical Practice Guidelines on Myeloid Growth Factors</w:t>
      </w:r>
      <w:r w:rsidR="00C01FD1" w:rsidRPr="0048235E">
        <w:rPr>
          <w:rFonts w:cs="Arial"/>
          <w:color w:val="0000FF"/>
        </w:rPr>
        <w:t xml:space="preserve"> </w:t>
      </w:r>
      <w:r w:rsidR="006A3B37">
        <w:rPr>
          <w:rFonts w:cs="Arial"/>
          <w:color w:val="0000FF"/>
        </w:rPr>
        <w:t>(</w:t>
      </w:r>
      <w:r w:rsidR="006A3B37" w:rsidRPr="00725318">
        <w:rPr>
          <w:rFonts w:cs="Arial"/>
          <w:b/>
          <w:color w:val="0000FF"/>
        </w:rPr>
        <w:t>NCCN Guidelines®</w:t>
      </w:r>
      <w:r w:rsidR="006A3B37">
        <w:rPr>
          <w:rFonts w:cs="Arial"/>
          <w:color w:val="0000FF"/>
        </w:rPr>
        <w:t xml:space="preserve">) </w:t>
      </w:r>
      <w:r w:rsidRPr="0048235E">
        <w:rPr>
          <w:rFonts w:cs="Arial"/>
          <w:color w:val="0000FF"/>
        </w:rPr>
        <w:t>and reproduced below illustrates the factors leading to the decision about prophylactic use of CSF for febrile neutropenia that is described in the paragraph above</w:t>
      </w:r>
      <w:r w:rsidR="00DE7A59" w:rsidRPr="0048235E">
        <w:rPr>
          <w:rFonts w:cs="Arial"/>
          <w:color w:val="0000FF"/>
        </w:rPr>
        <w:t>:</w:t>
      </w:r>
    </w:p>
    <w:p w14:paraId="38AA2E61" w14:textId="11BF3556" w:rsidR="004A2FBF" w:rsidRPr="0048235E" w:rsidRDefault="004622EC" w:rsidP="004A2FBF">
      <w:pPr>
        <w:ind w:left="0" w:firstLine="0"/>
        <w:jc w:val="center"/>
        <w:rPr>
          <w:color w:val="0000FF"/>
        </w:rPr>
      </w:pPr>
      <w:r w:rsidRPr="0048235E">
        <w:rPr>
          <w:noProof/>
          <w:color w:val="0000FF"/>
        </w:rPr>
        <w:drawing>
          <wp:inline distT="0" distB="0" distL="0" distR="0" wp14:anchorId="40987348" wp14:editId="000D23EF">
            <wp:extent cx="5943600" cy="3171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CN Figure for NQF Evidence Form 1-27-16.png"/>
                    <pic:cNvPicPr/>
                  </pic:nvPicPr>
                  <pic:blipFill rotWithShape="1">
                    <a:blip r:embed="rId22">
                      <a:extLst>
                        <a:ext uri="{28A0092B-C50C-407E-A947-70E740481C1C}">
                          <a14:useLocalDpi xmlns:a14="http://schemas.microsoft.com/office/drawing/2010/main" val="0"/>
                        </a:ext>
                      </a:extLst>
                    </a:blip>
                    <a:srcRect t="15385" b="13461"/>
                    <a:stretch/>
                  </pic:blipFill>
                  <pic:spPr bwMode="auto">
                    <a:xfrm>
                      <a:off x="0" y="0"/>
                      <a:ext cx="5943600" cy="3171825"/>
                    </a:xfrm>
                    <a:prstGeom prst="rect">
                      <a:avLst/>
                    </a:prstGeom>
                    <a:ln>
                      <a:noFill/>
                    </a:ln>
                    <a:extLst>
                      <a:ext uri="{53640926-AAD7-44D8-BBD7-CCE9431645EC}">
                        <a14:shadowObscured xmlns:a14="http://schemas.microsoft.com/office/drawing/2010/main"/>
                      </a:ext>
                    </a:extLst>
                  </pic:spPr>
                </pic:pic>
              </a:graphicData>
            </a:graphic>
          </wp:inline>
        </w:drawing>
      </w:r>
    </w:p>
    <w:p w14:paraId="134ED35D" w14:textId="089CA64F" w:rsidR="00AA280B" w:rsidRPr="00AA280B" w:rsidRDefault="00AA280B" w:rsidP="00AA2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rPr>
          <w:rFonts w:cs="Arial"/>
          <w:color w:val="0000FF"/>
        </w:rPr>
      </w:pPr>
      <w:r w:rsidRPr="00AA280B">
        <w:rPr>
          <w:rFonts w:cs="Arial"/>
          <w:color w:val="0000FF"/>
        </w:rPr>
        <w:t xml:space="preserve">Reproduced with permission from the NCCN Clinical Practice Guidelines in Oncology (NCCN Guidelines®) for </w:t>
      </w:r>
      <w:r w:rsidR="00B12D93" w:rsidRPr="00B12D93">
        <w:rPr>
          <w:rFonts w:cs="Arial"/>
          <w:color w:val="0000FF"/>
        </w:rPr>
        <w:t xml:space="preserve">NCCN Clinical Practice Guidelines in Oncology (NCCN Guidelines®), Myeloid Growth Factors, </w:t>
      </w:r>
      <w:proofErr w:type="gramStart"/>
      <w:r w:rsidR="00B12D93" w:rsidRPr="00B12D93">
        <w:rPr>
          <w:rFonts w:cs="Arial"/>
          <w:color w:val="0000FF"/>
        </w:rPr>
        <w:t>Version</w:t>
      </w:r>
      <w:proofErr w:type="gramEnd"/>
      <w:r w:rsidR="00B12D93" w:rsidRPr="00B12D93">
        <w:rPr>
          <w:rFonts w:cs="Arial"/>
          <w:color w:val="0000FF"/>
        </w:rPr>
        <w:t xml:space="preserve"> 1.2015</w:t>
      </w:r>
      <w:r w:rsidRPr="00AA280B">
        <w:rPr>
          <w:rFonts w:cs="Arial"/>
          <w:color w:val="0000FF"/>
        </w:rPr>
        <w:t xml:space="preserve">.  © </w:t>
      </w:r>
      <w:r w:rsidR="00125A73" w:rsidRPr="00AA280B">
        <w:rPr>
          <w:rFonts w:cs="Arial"/>
          <w:color w:val="0000FF"/>
        </w:rPr>
        <w:t>201</w:t>
      </w:r>
      <w:r w:rsidR="00125A73">
        <w:rPr>
          <w:rFonts w:cs="Arial"/>
          <w:color w:val="0000FF"/>
        </w:rPr>
        <w:t>5</w:t>
      </w:r>
      <w:r w:rsidR="00125A73" w:rsidRPr="00AA280B">
        <w:rPr>
          <w:rFonts w:cs="Arial"/>
          <w:color w:val="0000FF"/>
        </w:rPr>
        <w:t xml:space="preserve"> </w:t>
      </w:r>
      <w:r w:rsidRPr="00AA280B">
        <w:rPr>
          <w:rFonts w:cs="Arial"/>
          <w:color w:val="0000FF"/>
        </w:rPr>
        <w:t xml:space="preserve">National Comprehensive Cancer Network, Inc.  All rights reserved.  The NCCN Guidelines® and illustrations herein may not be reproduced in any form for any purpose without the express written permission of the NCCN.  To view the most recent and complete version of the NCCN </w:t>
      </w:r>
      <w:r w:rsidRPr="00AA280B">
        <w:rPr>
          <w:rFonts w:cs="Arial"/>
          <w:color w:val="0000FF"/>
        </w:rPr>
        <w:lastRenderedPageBreak/>
        <w:t>Guidelines, go online to NCCN.org.  NATIONAL COMPREHENSIVE CANCER NETWORK®, NCCN®, NCCN GUIDELINES®, and all other NCCN Content are trademarks owned by the National Comprehensive Cancer Network, Inc.</w:t>
      </w:r>
    </w:p>
    <w:p w14:paraId="52087927" w14:textId="77777777" w:rsidR="00496AF8" w:rsidRPr="003B1CC5" w:rsidRDefault="00496AF8" w:rsidP="002E2177">
      <w:pPr>
        <w:ind w:left="0" w:firstLine="0"/>
      </w:pPr>
    </w:p>
    <w:p w14:paraId="5208792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52087929" w14:textId="77777777" w:rsidR="008A45F3" w:rsidRPr="003B1CC5" w:rsidRDefault="008A45F3" w:rsidP="00265702">
      <w:pPr>
        <w:ind w:left="0" w:firstLine="0"/>
      </w:pPr>
    </w:p>
    <w:p w14:paraId="67012CF1" w14:textId="76B32CEC" w:rsidR="00FB00AC" w:rsidRPr="00A51089" w:rsidRDefault="00C27546" w:rsidP="00FB00AC">
      <w:pPr>
        <w:ind w:left="0" w:firstLine="0"/>
        <w:rPr>
          <w:b/>
          <w:color w:val="0000FF"/>
        </w:rPr>
      </w:pPr>
      <w:r w:rsidRPr="00A51089">
        <w:rPr>
          <w:rFonts w:cs="Arial"/>
          <w:b/>
          <w:color w:val="0000FF"/>
        </w:rPr>
        <w:t xml:space="preserve">ASCO </w:t>
      </w:r>
      <w:r w:rsidR="00FB00AC" w:rsidRPr="00A51089">
        <w:rPr>
          <w:rFonts w:cs="Arial"/>
          <w:b/>
          <w:color w:val="0000FF"/>
        </w:rPr>
        <w:t>Recommendation 1:</w:t>
      </w:r>
    </w:p>
    <w:p w14:paraId="60CBD3EE" w14:textId="080E2A05" w:rsidR="00454DD9" w:rsidRPr="00D12832" w:rsidRDefault="00454DD9" w:rsidP="001410AE">
      <w:pPr>
        <w:ind w:left="0" w:firstLine="0"/>
        <w:rPr>
          <w:color w:val="0000FF"/>
          <w:u w:val="single"/>
        </w:rPr>
      </w:pPr>
      <w:r w:rsidRPr="00D12832">
        <w:rPr>
          <w:color w:val="0000FF"/>
          <w:u w:val="single"/>
        </w:rPr>
        <w:t>Grade</w:t>
      </w:r>
      <w:r w:rsidR="00333C10" w:rsidRPr="00D12832">
        <w:rPr>
          <w:color w:val="0000FF"/>
          <w:u w:val="single"/>
        </w:rPr>
        <w:t>s</w:t>
      </w:r>
      <w:r w:rsidRPr="00D12832">
        <w:rPr>
          <w:color w:val="0000FF"/>
          <w:u w:val="single"/>
        </w:rPr>
        <w:t xml:space="preserve"> assigned to </w:t>
      </w:r>
      <w:r w:rsidR="0029675A" w:rsidRPr="00D12832">
        <w:rPr>
          <w:color w:val="0000FF"/>
          <w:u w:val="single"/>
        </w:rPr>
        <w:t>R</w:t>
      </w:r>
      <w:r w:rsidRPr="00D12832">
        <w:rPr>
          <w:color w:val="0000FF"/>
          <w:u w:val="single"/>
        </w:rPr>
        <w:t>ecommendation</w:t>
      </w:r>
      <w:r w:rsidR="0029675A" w:rsidRPr="00D12832">
        <w:rPr>
          <w:color w:val="0000FF"/>
          <w:u w:val="single"/>
        </w:rPr>
        <w:t xml:space="preserve"> 1</w:t>
      </w:r>
      <w:r w:rsidR="00DB6724" w:rsidRPr="00D12832">
        <w:rPr>
          <w:color w:val="0000FF"/>
          <w:u w:val="single"/>
        </w:rPr>
        <w:t xml:space="preserve"> </w:t>
      </w:r>
      <w:r w:rsidR="00DB6724" w:rsidRPr="00D12832">
        <w:rPr>
          <w:rFonts w:cs="Arial"/>
          <w:color w:val="0000FF"/>
          <w:u w:val="single"/>
        </w:rPr>
        <w:t>(page 3203</w:t>
      </w:r>
      <w:r w:rsidR="00A2606E" w:rsidRPr="00D12832">
        <w:rPr>
          <w:color w:val="0000FF"/>
          <w:u w:val="single"/>
        </w:rPr>
        <w:t xml:space="preserve"> of </w:t>
      </w:r>
      <w:r w:rsidR="00561CD1" w:rsidRPr="00D12832">
        <w:rPr>
          <w:color w:val="0000FF"/>
          <w:u w:val="single"/>
        </w:rPr>
        <w:t xml:space="preserve">2015 </w:t>
      </w:r>
      <w:r w:rsidR="00A2606E" w:rsidRPr="00D12832">
        <w:rPr>
          <w:rFonts w:cs="Arial"/>
          <w:color w:val="0000FF"/>
          <w:u w:val="single"/>
        </w:rPr>
        <w:t>ASCO Clinical Practice Guideline Update; see complete citation in Section 1a.4.1 above</w:t>
      </w:r>
      <w:r w:rsidR="00DB6724" w:rsidRPr="00D12832">
        <w:rPr>
          <w:rFonts w:cs="Arial"/>
          <w:color w:val="0000FF"/>
          <w:u w:val="single"/>
        </w:rPr>
        <w:t>)</w:t>
      </w:r>
      <w:r w:rsidRPr="00D12832">
        <w:rPr>
          <w:color w:val="0000FF"/>
          <w:u w:val="single"/>
        </w:rPr>
        <w:t>:</w:t>
      </w:r>
    </w:p>
    <w:p w14:paraId="134446FC" w14:textId="14C1ED36" w:rsidR="001410AE" w:rsidRPr="001410AE" w:rsidRDefault="001410AE" w:rsidP="001410AE">
      <w:pPr>
        <w:ind w:left="0" w:firstLine="0"/>
        <w:rPr>
          <w:color w:val="0000FF"/>
        </w:rPr>
      </w:pPr>
      <w:r w:rsidRPr="001410AE">
        <w:rPr>
          <w:color w:val="0000FF"/>
        </w:rPr>
        <w:t xml:space="preserve">Type: </w:t>
      </w:r>
      <w:r w:rsidR="00071FBE">
        <w:rPr>
          <w:b/>
          <w:color w:val="0000FF"/>
        </w:rPr>
        <w:t>E</w:t>
      </w:r>
      <w:r w:rsidRPr="00071FBE">
        <w:rPr>
          <w:b/>
          <w:color w:val="0000FF"/>
        </w:rPr>
        <w:t>vidence</w:t>
      </w:r>
      <w:r w:rsidR="0029675A" w:rsidRPr="00071FBE">
        <w:rPr>
          <w:b/>
          <w:color w:val="0000FF"/>
        </w:rPr>
        <w:t>-</w:t>
      </w:r>
      <w:r w:rsidRPr="00071FBE">
        <w:rPr>
          <w:b/>
          <w:color w:val="0000FF"/>
        </w:rPr>
        <w:t>based</w:t>
      </w:r>
      <w:r w:rsidRPr="001410AE">
        <w:rPr>
          <w:color w:val="0000FF"/>
        </w:rPr>
        <w:t>, benefits outweigh harms.</w:t>
      </w:r>
    </w:p>
    <w:p w14:paraId="5208792A" w14:textId="51BD2CBF" w:rsidR="008A45F3" w:rsidRDefault="001410AE" w:rsidP="001410AE">
      <w:pPr>
        <w:ind w:left="0" w:firstLine="0"/>
        <w:rPr>
          <w:color w:val="0000FF"/>
        </w:rPr>
      </w:pPr>
      <w:r w:rsidRPr="001410AE">
        <w:rPr>
          <w:color w:val="0000FF"/>
        </w:rPr>
        <w:t xml:space="preserve">Strength of recommendation: </w:t>
      </w:r>
      <w:r w:rsidR="00071FBE">
        <w:rPr>
          <w:b/>
          <w:color w:val="0000FF"/>
        </w:rPr>
        <w:t>S</w:t>
      </w:r>
      <w:r w:rsidRPr="00071FBE">
        <w:rPr>
          <w:b/>
          <w:color w:val="0000FF"/>
        </w:rPr>
        <w:t>trong</w:t>
      </w:r>
      <w:r w:rsidRPr="001410AE">
        <w:rPr>
          <w:color w:val="0000FF"/>
        </w:rPr>
        <w:t>.</w:t>
      </w:r>
    </w:p>
    <w:p w14:paraId="53ED2F32" w14:textId="77777777" w:rsidR="001410AE" w:rsidRDefault="001410AE" w:rsidP="001410AE">
      <w:pPr>
        <w:ind w:left="0" w:firstLine="0"/>
        <w:rPr>
          <w:color w:val="0000FF"/>
        </w:rPr>
      </w:pPr>
    </w:p>
    <w:p w14:paraId="349D6644" w14:textId="09CDBF76" w:rsidR="00454DD9" w:rsidRPr="00EF20A1" w:rsidRDefault="00454DD9" w:rsidP="001410AE">
      <w:pPr>
        <w:ind w:left="0" w:firstLine="0"/>
        <w:rPr>
          <w:color w:val="0000FF"/>
          <w:u w:val="single"/>
        </w:rPr>
      </w:pPr>
      <w:r w:rsidRPr="00EF20A1">
        <w:rPr>
          <w:color w:val="0000FF"/>
          <w:u w:val="single"/>
        </w:rPr>
        <w:t>Definitions:</w:t>
      </w:r>
    </w:p>
    <w:p w14:paraId="4D386B3B" w14:textId="7A866214" w:rsidR="001410AE" w:rsidRPr="00050D23" w:rsidRDefault="001410AE" w:rsidP="001410AE">
      <w:pPr>
        <w:ind w:left="0" w:firstLine="0"/>
        <w:rPr>
          <w:color w:val="0000FF"/>
          <w:u w:val="single"/>
        </w:rPr>
      </w:pPr>
      <w:r w:rsidRPr="00050D23">
        <w:rPr>
          <w:color w:val="0000FF"/>
          <w:u w:val="single"/>
        </w:rPr>
        <w:t>Definition</w:t>
      </w:r>
      <w:r w:rsidR="00104ED4" w:rsidRPr="00050D23">
        <w:rPr>
          <w:color w:val="0000FF"/>
          <w:u w:val="single"/>
        </w:rPr>
        <w:t xml:space="preserve"> of </w:t>
      </w:r>
      <w:r w:rsidR="006C7876" w:rsidRPr="00050D23">
        <w:rPr>
          <w:color w:val="0000FF"/>
          <w:u w:val="single"/>
        </w:rPr>
        <w:t xml:space="preserve">“Evidence-based” Rating for </w:t>
      </w:r>
      <w:r w:rsidR="00104ED4" w:rsidRPr="00050D23">
        <w:rPr>
          <w:color w:val="0000FF"/>
          <w:u w:val="single"/>
        </w:rPr>
        <w:t>Type of Recommendation</w:t>
      </w:r>
      <w:r w:rsidR="00EB0C60" w:rsidRPr="00050D23">
        <w:rPr>
          <w:color w:val="0000FF"/>
          <w:u w:val="single"/>
        </w:rPr>
        <w:t xml:space="preserve"> (page 7 of </w:t>
      </w:r>
      <w:r w:rsidR="00A2606E" w:rsidRPr="00050D23">
        <w:rPr>
          <w:color w:val="0000FF"/>
          <w:u w:val="single"/>
        </w:rPr>
        <w:t xml:space="preserve">2015 </w:t>
      </w:r>
      <w:r w:rsidR="00EB0C60" w:rsidRPr="00050D23">
        <w:rPr>
          <w:color w:val="0000FF"/>
          <w:u w:val="single"/>
        </w:rPr>
        <w:t>ASCO Guideline Methodology Supplement</w:t>
      </w:r>
      <w:r w:rsidR="00A2606E" w:rsidRPr="00050D23">
        <w:rPr>
          <w:color w:val="0000FF"/>
          <w:u w:val="single"/>
        </w:rPr>
        <w:t>;</w:t>
      </w:r>
      <w:r w:rsidR="00EB0C60" w:rsidRPr="00050D23">
        <w:rPr>
          <w:color w:val="0000FF"/>
          <w:u w:val="single"/>
        </w:rPr>
        <w:t xml:space="preserve"> see complete citation in Section 1a.4.5 below)</w:t>
      </w:r>
      <w:r w:rsidRPr="00050D23">
        <w:rPr>
          <w:color w:val="0000FF"/>
          <w:u w:val="single"/>
        </w:rPr>
        <w:t>:</w:t>
      </w:r>
    </w:p>
    <w:p w14:paraId="0876821D" w14:textId="4314F20B" w:rsidR="001410AE" w:rsidRDefault="001410AE" w:rsidP="001410AE">
      <w:pPr>
        <w:ind w:left="0" w:firstLine="0"/>
        <w:rPr>
          <w:color w:val="0000FF"/>
        </w:rPr>
      </w:pPr>
      <w:r w:rsidRPr="007306C9">
        <w:rPr>
          <w:b/>
          <w:color w:val="0000FF"/>
        </w:rPr>
        <w:t>Evidence-based</w:t>
      </w:r>
      <w:r>
        <w:rPr>
          <w:color w:val="0000FF"/>
        </w:rPr>
        <w:t>=</w:t>
      </w:r>
      <w:r w:rsidR="00EF20A1">
        <w:rPr>
          <w:color w:val="0000FF"/>
        </w:rPr>
        <w:t>”</w:t>
      </w:r>
      <w:r w:rsidRPr="001410AE">
        <w:rPr>
          <w:color w:val="0000FF"/>
        </w:rPr>
        <w:t>There was sufficient evidence from published studies to inform a recommendation to guide clinical practice.</w:t>
      </w:r>
      <w:r w:rsidR="00EF20A1">
        <w:rPr>
          <w:color w:val="0000FF"/>
        </w:rPr>
        <w:t>”</w:t>
      </w:r>
    </w:p>
    <w:p w14:paraId="167CB163" w14:textId="77777777" w:rsidR="00370E05" w:rsidRDefault="00370E05" w:rsidP="001410AE">
      <w:pPr>
        <w:ind w:left="0" w:firstLine="0"/>
        <w:rPr>
          <w:color w:val="0000FF"/>
        </w:rPr>
      </w:pPr>
    </w:p>
    <w:p w14:paraId="70EFEA46" w14:textId="106D8BAF" w:rsidR="00104ED4" w:rsidRDefault="00104ED4" w:rsidP="001410AE">
      <w:pPr>
        <w:ind w:left="0" w:firstLine="0"/>
        <w:rPr>
          <w:color w:val="0000FF"/>
        </w:rPr>
      </w:pPr>
      <w:r w:rsidRPr="001D0B6F">
        <w:rPr>
          <w:color w:val="0000FF"/>
          <w:u w:val="single"/>
        </w:rPr>
        <w:t xml:space="preserve">Definition of </w:t>
      </w:r>
      <w:r w:rsidR="006C5ADC" w:rsidRPr="001D0B6F">
        <w:rPr>
          <w:color w:val="0000FF"/>
          <w:u w:val="single"/>
        </w:rPr>
        <w:t xml:space="preserve">“Strong” </w:t>
      </w:r>
      <w:r w:rsidRPr="001D0B6F">
        <w:rPr>
          <w:color w:val="0000FF"/>
          <w:u w:val="single"/>
        </w:rPr>
        <w:t>Rating for Strength of Recommendation</w:t>
      </w:r>
      <w:r w:rsidR="00EB0C60" w:rsidRPr="001D0B6F">
        <w:rPr>
          <w:color w:val="0000FF"/>
          <w:u w:val="single"/>
        </w:rPr>
        <w:t xml:space="preserve"> (page 8 of </w:t>
      </w:r>
      <w:r w:rsidR="00A2606E" w:rsidRPr="001D0B6F">
        <w:rPr>
          <w:color w:val="0000FF"/>
          <w:u w:val="single"/>
        </w:rPr>
        <w:t xml:space="preserve">2015 </w:t>
      </w:r>
      <w:r w:rsidR="00EB0C60" w:rsidRPr="001D0B6F">
        <w:rPr>
          <w:color w:val="0000FF"/>
          <w:u w:val="single"/>
        </w:rPr>
        <w:t>ASCO</w:t>
      </w:r>
      <w:r w:rsidR="00EB0C60" w:rsidRPr="00EF20A1">
        <w:rPr>
          <w:color w:val="0000FF"/>
          <w:u w:val="single"/>
        </w:rPr>
        <w:t xml:space="preserve"> Guideline Methodology Supplement</w:t>
      </w:r>
      <w:r w:rsidR="00A2606E">
        <w:rPr>
          <w:color w:val="0000FF"/>
          <w:u w:val="single"/>
        </w:rPr>
        <w:t>;</w:t>
      </w:r>
      <w:r w:rsidR="00EB0C60">
        <w:rPr>
          <w:color w:val="0000FF"/>
          <w:u w:val="single"/>
        </w:rPr>
        <w:t xml:space="preserve"> </w:t>
      </w:r>
      <w:r w:rsidR="00EB0C60" w:rsidRPr="00EF20A1">
        <w:rPr>
          <w:color w:val="0000FF"/>
          <w:u w:val="single"/>
        </w:rPr>
        <w:t>see complete citation in Section 1a.4.5 below)</w:t>
      </w:r>
      <w:r>
        <w:rPr>
          <w:color w:val="0000FF"/>
        </w:rPr>
        <w:t>:</w:t>
      </w:r>
    </w:p>
    <w:p w14:paraId="3CCE236C" w14:textId="3AEECFF6" w:rsidR="00104ED4" w:rsidRPr="001410AE" w:rsidRDefault="00104ED4" w:rsidP="001410AE">
      <w:pPr>
        <w:ind w:left="0" w:firstLine="0"/>
        <w:rPr>
          <w:color w:val="0000FF"/>
        </w:rPr>
      </w:pPr>
      <w:r w:rsidRPr="007306C9">
        <w:rPr>
          <w:b/>
          <w:color w:val="0000FF"/>
        </w:rPr>
        <w:t>Strong</w:t>
      </w:r>
      <w:r w:rsidRPr="00A62066">
        <w:rPr>
          <w:color w:val="0033CC"/>
        </w:rPr>
        <w:t xml:space="preserve">= </w:t>
      </w:r>
      <w:r w:rsidR="007306C9">
        <w:rPr>
          <w:color w:val="0033CC"/>
        </w:rPr>
        <w:t>“</w:t>
      </w:r>
      <w:r w:rsidRPr="00104ED4">
        <w:rPr>
          <w:color w:val="0000FF"/>
        </w:rPr>
        <w:t>There is high confidence that the recommendation reflects best practice. This is based on (1) strong evidence for a true net effect (e</w:t>
      </w:r>
      <w:r w:rsidR="004E1875">
        <w:rPr>
          <w:color w:val="0000FF"/>
        </w:rPr>
        <w:t>.</w:t>
      </w:r>
      <w:r w:rsidRPr="00104ED4">
        <w:rPr>
          <w:color w:val="0000FF"/>
        </w:rPr>
        <w:t>g</w:t>
      </w:r>
      <w:r w:rsidR="004E1875">
        <w:rPr>
          <w:color w:val="0000FF"/>
        </w:rPr>
        <w:t>.</w:t>
      </w:r>
      <w:r w:rsidRPr="00104ED4">
        <w:rPr>
          <w:color w:val="0000FF"/>
        </w:rPr>
        <w:t>, benefits exceed harms); (2) consistent results, with no or minor exceptions; (3) minor or no concerns about study quality; and/or (4) the extent of panelists’ agreement. Other compelling considerations (discussed in the guideline’s literature review and analyses) may also warrant a strong recommendation.</w:t>
      </w:r>
      <w:r w:rsidR="00A62066">
        <w:rPr>
          <w:color w:val="0000FF"/>
        </w:rPr>
        <w:t>”</w:t>
      </w:r>
    </w:p>
    <w:p w14:paraId="08F23BA2" w14:textId="77777777" w:rsidR="001410AE" w:rsidRDefault="001410AE" w:rsidP="00265702">
      <w:pPr>
        <w:ind w:left="0" w:firstLine="0"/>
      </w:pPr>
    </w:p>
    <w:p w14:paraId="740D925B" w14:textId="35113866" w:rsidR="00FB00AC" w:rsidRPr="00C60901" w:rsidRDefault="00C27546" w:rsidP="00FB00AC">
      <w:pPr>
        <w:ind w:left="0" w:firstLine="0"/>
        <w:rPr>
          <w:b/>
          <w:color w:val="0000FF"/>
        </w:rPr>
      </w:pPr>
      <w:r w:rsidRPr="006A3B37">
        <w:rPr>
          <w:rFonts w:cs="Arial"/>
          <w:b/>
          <w:color w:val="0000FF"/>
        </w:rPr>
        <w:t xml:space="preserve">NCCN </w:t>
      </w:r>
      <w:r w:rsidR="00FB00AC" w:rsidRPr="006A3B37">
        <w:rPr>
          <w:rFonts w:cs="Arial"/>
          <w:b/>
          <w:color w:val="0000FF"/>
        </w:rPr>
        <w:t>Recommendation on Risk Assessment for Prophylactic Use of CSFs</w:t>
      </w:r>
      <w:r w:rsidR="006A3B37" w:rsidRPr="006A3B37">
        <w:rPr>
          <w:rFonts w:cs="Arial"/>
          <w:b/>
          <w:color w:val="0000FF"/>
        </w:rPr>
        <w:t xml:space="preserve"> from NCCN Clinical Practice Guidelines in Oncology (NCCN Guidelines®)</w:t>
      </w:r>
      <w:r w:rsidR="00A51089" w:rsidRPr="006A3B37">
        <w:rPr>
          <w:rFonts w:cs="Arial"/>
          <w:b/>
          <w:color w:val="0000FF"/>
        </w:rPr>
        <w:t>:</w:t>
      </w:r>
      <w:r w:rsidR="00FB00AC" w:rsidRPr="006A3B37">
        <w:rPr>
          <w:b/>
          <w:color w:val="0000FF"/>
        </w:rPr>
        <w:t xml:space="preserve"> </w:t>
      </w:r>
    </w:p>
    <w:p w14:paraId="37B59077" w14:textId="444DE73C" w:rsidR="00FB00AC" w:rsidRPr="00C60901" w:rsidRDefault="00FB00AC" w:rsidP="00FB00AC">
      <w:pPr>
        <w:ind w:left="0" w:firstLine="0"/>
        <w:rPr>
          <w:color w:val="0000FF"/>
          <w:u w:val="single"/>
        </w:rPr>
      </w:pPr>
      <w:r w:rsidRPr="00C60901">
        <w:rPr>
          <w:color w:val="0000FF"/>
          <w:u w:val="single"/>
        </w:rPr>
        <w:t>Grade assigned to the quoted recommendation</w:t>
      </w:r>
      <w:r w:rsidR="0041281F" w:rsidRPr="00C60901">
        <w:rPr>
          <w:color w:val="0000FF"/>
          <w:u w:val="single"/>
        </w:rPr>
        <w:t xml:space="preserve"> </w:t>
      </w:r>
      <w:r w:rsidR="0041281F" w:rsidRPr="00C60901">
        <w:rPr>
          <w:rFonts w:cs="Arial"/>
          <w:color w:val="0000FF"/>
          <w:u w:val="single"/>
        </w:rPr>
        <w:t>(pages MGF-1 and MS-9</w:t>
      </w:r>
      <w:r w:rsidR="0041281F" w:rsidRPr="00C60901">
        <w:rPr>
          <w:color w:val="0000FF"/>
          <w:u w:val="single"/>
        </w:rPr>
        <w:t xml:space="preserve"> from 2015 </w:t>
      </w:r>
      <w:r w:rsidR="0041281F" w:rsidRPr="00C60901">
        <w:rPr>
          <w:rStyle w:val="Hyperlink"/>
        </w:rPr>
        <w:t xml:space="preserve">NCCN </w:t>
      </w:r>
      <w:r w:rsidR="0041281F" w:rsidRPr="00C60901">
        <w:rPr>
          <w:rFonts w:cs="Arial"/>
          <w:color w:val="0000FF"/>
          <w:u w:val="single"/>
        </w:rPr>
        <w:t>Clinical Practice Guidelines on Myeloid Growth Factors; see complete citation in Section 1a.4.1 above)</w:t>
      </w:r>
      <w:r w:rsidRPr="00C60901">
        <w:rPr>
          <w:color w:val="0000FF"/>
          <w:u w:val="single"/>
        </w:rPr>
        <w:t>:</w:t>
      </w:r>
    </w:p>
    <w:p w14:paraId="3735BF2F" w14:textId="5C10C27D" w:rsidR="00A57E9F" w:rsidRPr="00C60901" w:rsidRDefault="00FB00AC" w:rsidP="00265702">
      <w:pPr>
        <w:ind w:left="0" w:firstLine="0"/>
        <w:rPr>
          <w:color w:val="0000FF"/>
        </w:rPr>
      </w:pPr>
      <w:r w:rsidRPr="007306C9">
        <w:rPr>
          <w:b/>
          <w:color w:val="0000FF"/>
        </w:rPr>
        <w:t>Category 2A</w:t>
      </w:r>
      <w:r w:rsidR="00C7256E" w:rsidRPr="00C60901">
        <w:rPr>
          <w:color w:val="0000FF"/>
        </w:rPr>
        <w:t xml:space="preserve"> (page MGF-1)</w:t>
      </w:r>
      <w:r w:rsidRPr="00C60901">
        <w:rPr>
          <w:color w:val="0000FF"/>
        </w:rPr>
        <w:t xml:space="preserve"> </w:t>
      </w:r>
    </w:p>
    <w:p w14:paraId="6D71EDF0" w14:textId="77777777" w:rsidR="00A57E9F" w:rsidRPr="00C60901" w:rsidRDefault="00A57E9F" w:rsidP="00265702">
      <w:pPr>
        <w:ind w:left="0" w:firstLine="0"/>
        <w:rPr>
          <w:color w:val="0000FF"/>
        </w:rPr>
      </w:pPr>
    </w:p>
    <w:p w14:paraId="2B0C261F" w14:textId="17552818" w:rsidR="007306C9" w:rsidRPr="0024204B" w:rsidRDefault="00A57E9F" w:rsidP="00265702">
      <w:pPr>
        <w:ind w:left="0" w:firstLine="0"/>
        <w:rPr>
          <w:color w:val="0000FF"/>
          <w:u w:val="single"/>
        </w:rPr>
      </w:pPr>
      <w:r w:rsidRPr="00C60901">
        <w:rPr>
          <w:color w:val="0000FF"/>
          <w:u w:val="single"/>
        </w:rPr>
        <w:t>Definition of Category 2A (page MS-1</w:t>
      </w:r>
      <w:r w:rsidR="0041281F" w:rsidRPr="00C60901">
        <w:rPr>
          <w:color w:val="0000FF"/>
          <w:u w:val="single"/>
        </w:rPr>
        <w:t xml:space="preserve"> from 2015 </w:t>
      </w:r>
      <w:r w:rsidR="0041281F" w:rsidRPr="00C60901">
        <w:rPr>
          <w:rStyle w:val="Hyperlink"/>
        </w:rPr>
        <w:t xml:space="preserve">NCCN </w:t>
      </w:r>
      <w:r w:rsidR="0041281F" w:rsidRPr="00C60901">
        <w:rPr>
          <w:rFonts w:cs="Arial"/>
          <w:color w:val="0000FF"/>
          <w:u w:val="single"/>
        </w:rPr>
        <w:t xml:space="preserve">Clinical Practice Guidelines on Myeloid Growth </w:t>
      </w:r>
      <w:r w:rsidR="0041281F" w:rsidRPr="0024204B">
        <w:rPr>
          <w:rFonts w:cs="Arial"/>
          <w:color w:val="0000FF"/>
          <w:u w:val="single"/>
        </w:rPr>
        <w:t>Factors</w:t>
      </w:r>
      <w:r w:rsidR="00673DF0" w:rsidRPr="0024204B">
        <w:rPr>
          <w:rFonts w:cs="Arial"/>
          <w:color w:val="0000FF"/>
          <w:u w:val="single"/>
        </w:rPr>
        <w:t xml:space="preserve"> [</w:t>
      </w:r>
      <w:r w:rsidR="00673DF0" w:rsidRPr="0024204B">
        <w:rPr>
          <w:rFonts w:cs="Arial"/>
          <w:b/>
          <w:color w:val="0000FF"/>
          <w:u w:val="single"/>
        </w:rPr>
        <w:t>NCCN Guidelines®]</w:t>
      </w:r>
      <w:r w:rsidR="0041281F" w:rsidRPr="0024204B">
        <w:rPr>
          <w:rFonts w:cs="Arial"/>
          <w:color w:val="0000FF"/>
          <w:u w:val="single"/>
        </w:rPr>
        <w:t>; see complete citation in Section 1a.4.1 above</w:t>
      </w:r>
      <w:r w:rsidRPr="0024204B">
        <w:rPr>
          <w:color w:val="0000FF"/>
          <w:u w:val="single"/>
        </w:rPr>
        <w:t xml:space="preserve">): </w:t>
      </w:r>
    </w:p>
    <w:p w14:paraId="332616E8" w14:textId="234BC4C1" w:rsidR="00FB00AC" w:rsidRPr="00C60901" w:rsidRDefault="007306C9" w:rsidP="00265702">
      <w:pPr>
        <w:ind w:left="0" w:firstLine="0"/>
        <w:rPr>
          <w:color w:val="0000FF"/>
        </w:rPr>
      </w:pPr>
      <w:r w:rsidRPr="007306C9">
        <w:rPr>
          <w:b/>
          <w:color w:val="0000FF"/>
        </w:rPr>
        <w:t>Category 2A</w:t>
      </w:r>
      <w:r>
        <w:rPr>
          <w:color w:val="0000FF"/>
        </w:rPr>
        <w:t xml:space="preserve">= </w:t>
      </w:r>
      <w:r w:rsidR="00A57E9F" w:rsidRPr="00C60901">
        <w:rPr>
          <w:color w:val="0000FF"/>
        </w:rPr>
        <w:t>“</w:t>
      </w:r>
      <w:r w:rsidR="00FB00AC" w:rsidRPr="00C60901">
        <w:rPr>
          <w:color w:val="0000FF"/>
        </w:rPr>
        <w:t>Based upon lower-level evidence, there is uniform NCCN consensus that the intervention is appropriate.</w:t>
      </w:r>
      <w:r w:rsidR="00A57E9F" w:rsidRPr="00C60901">
        <w:rPr>
          <w:color w:val="0000FF"/>
        </w:rPr>
        <w:t>”</w:t>
      </w:r>
    </w:p>
    <w:p w14:paraId="3D4D8A90" w14:textId="77777777" w:rsidR="00FB00AC" w:rsidRPr="00C60901" w:rsidRDefault="00FB00AC" w:rsidP="00265702">
      <w:pPr>
        <w:ind w:left="0" w:firstLine="0"/>
      </w:pPr>
    </w:p>
    <w:p w14:paraId="5208792B" w14:textId="77777777" w:rsidR="00265702" w:rsidRPr="00C60901" w:rsidRDefault="00965FF6" w:rsidP="00265702">
      <w:pPr>
        <w:ind w:left="0" w:firstLine="0"/>
      </w:pPr>
      <w:r w:rsidRPr="00C60901">
        <w:rPr>
          <w:b/>
          <w:color w:val="0000FF"/>
        </w:rPr>
        <w:t>1a.4.4.</w:t>
      </w:r>
      <w:r w:rsidRPr="00C60901">
        <w:rPr>
          <w:b/>
          <w:color w:val="17365D" w:themeColor="text2" w:themeShade="BF"/>
        </w:rPr>
        <w:t xml:space="preserve"> </w:t>
      </w:r>
      <w:proofErr w:type="gramStart"/>
      <w:r w:rsidR="00C54E40" w:rsidRPr="00C60901">
        <w:rPr>
          <w:b/>
        </w:rPr>
        <w:t>Provide</w:t>
      </w:r>
      <w:proofErr w:type="gramEnd"/>
      <w:r w:rsidR="00C54E40" w:rsidRPr="00C60901">
        <w:rPr>
          <w:b/>
        </w:rPr>
        <w:t xml:space="preserve"> all other grades and associated definitions for recommendation</w:t>
      </w:r>
      <w:r w:rsidR="00205857" w:rsidRPr="00C60901">
        <w:rPr>
          <w:b/>
        </w:rPr>
        <w:t>s</w:t>
      </w:r>
      <w:r w:rsidR="00C54E40" w:rsidRPr="00C60901">
        <w:rPr>
          <w:b/>
        </w:rPr>
        <w:t xml:space="preserve"> in the grading system.</w:t>
      </w:r>
      <w:r w:rsidR="00FC32D3" w:rsidRPr="00C60901">
        <w:rPr>
          <w:b/>
        </w:rPr>
        <w:t xml:space="preserve"> </w:t>
      </w:r>
      <w:r w:rsidR="007573F0" w:rsidRPr="00C60901">
        <w:rPr>
          <w:b/>
        </w:rPr>
        <w:t xml:space="preserve"> </w:t>
      </w:r>
      <w:r w:rsidR="007573F0" w:rsidRPr="00C60901">
        <w:t>(</w:t>
      </w:r>
      <w:r w:rsidR="008A45F3" w:rsidRPr="00C60901">
        <w:rPr>
          <w:i/>
        </w:rPr>
        <w:t xml:space="preserve">Note: </w:t>
      </w:r>
      <w:r w:rsidR="00352B52" w:rsidRPr="00C60901">
        <w:rPr>
          <w:i/>
        </w:rPr>
        <w:t xml:space="preserve">If separate </w:t>
      </w:r>
      <w:r w:rsidRPr="00C60901">
        <w:rPr>
          <w:i/>
        </w:rPr>
        <w:t>g</w:t>
      </w:r>
      <w:r w:rsidR="00352B52" w:rsidRPr="00C60901">
        <w:rPr>
          <w:i/>
        </w:rPr>
        <w:t xml:space="preserve">rades </w:t>
      </w:r>
      <w:r w:rsidR="00030F43" w:rsidRPr="00C60901">
        <w:rPr>
          <w:i/>
        </w:rPr>
        <w:t xml:space="preserve">for the </w:t>
      </w:r>
      <w:r w:rsidR="00352B52" w:rsidRPr="00C60901">
        <w:rPr>
          <w:i/>
        </w:rPr>
        <w:t xml:space="preserve">strength of the </w:t>
      </w:r>
      <w:r w:rsidR="00030F43" w:rsidRPr="00C60901">
        <w:rPr>
          <w:i/>
        </w:rPr>
        <w:t>evidence</w:t>
      </w:r>
      <w:r w:rsidR="00352B52" w:rsidRPr="00C60901">
        <w:rPr>
          <w:i/>
        </w:rPr>
        <w:t xml:space="preserve">, report </w:t>
      </w:r>
      <w:r w:rsidR="00205857" w:rsidRPr="00C60901">
        <w:rPr>
          <w:i/>
        </w:rPr>
        <w:t xml:space="preserve">them </w:t>
      </w:r>
      <w:r w:rsidR="00030F43" w:rsidRPr="00C60901">
        <w:rPr>
          <w:i/>
        </w:rPr>
        <w:t>in section 1a.7.</w:t>
      </w:r>
      <w:r w:rsidR="00030F43" w:rsidRPr="00C60901">
        <w:t>)</w:t>
      </w:r>
      <w:r w:rsidRPr="00C60901">
        <w:t xml:space="preserve"> </w:t>
      </w:r>
    </w:p>
    <w:p w14:paraId="11C3E969" w14:textId="77777777" w:rsidR="00777FBF" w:rsidRPr="00C60901" w:rsidRDefault="00777FBF" w:rsidP="00EC6217">
      <w:pPr>
        <w:ind w:left="0" w:firstLine="0"/>
        <w:rPr>
          <w:color w:val="0000FF"/>
          <w:u w:val="single"/>
        </w:rPr>
      </w:pPr>
    </w:p>
    <w:p w14:paraId="24B5D0CF" w14:textId="4CE5B819" w:rsidR="00816287" w:rsidRPr="00C60901" w:rsidRDefault="00561CD1" w:rsidP="00EC6217">
      <w:pPr>
        <w:ind w:left="0" w:firstLine="0"/>
        <w:rPr>
          <w:rFonts w:cs="Arial"/>
          <w:b/>
          <w:color w:val="0000FF"/>
          <w:u w:val="single"/>
        </w:rPr>
      </w:pPr>
      <w:r w:rsidRPr="00C60901">
        <w:rPr>
          <w:rFonts w:cs="Arial"/>
          <w:b/>
          <w:color w:val="0000FF"/>
          <w:u w:val="single"/>
        </w:rPr>
        <w:t xml:space="preserve">2015 </w:t>
      </w:r>
      <w:r w:rsidR="00816287" w:rsidRPr="00C60901">
        <w:rPr>
          <w:rFonts w:cs="Arial"/>
          <w:b/>
          <w:color w:val="0000FF"/>
          <w:u w:val="single"/>
        </w:rPr>
        <w:t>ASCO Clinical Practice Guideline Update</w:t>
      </w:r>
      <w:r w:rsidRPr="00C60901">
        <w:rPr>
          <w:color w:val="0000FF"/>
          <w:u w:val="single"/>
        </w:rPr>
        <w:t xml:space="preserve">: </w:t>
      </w:r>
    </w:p>
    <w:p w14:paraId="38AB185A" w14:textId="77777777" w:rsidR="00816287" w:rsidRPr="00C60901" w:rsidRDefault="00816287" w:rsidP="00EC6217">
      <w:pPr>
        <w:ind w:left="0" w:firstLine="0"/>
        <w:rPr>
          <w:rFonts w:cs="Arial"/>
          <w:color w:val="0000FF"/>
        </w:rPr>
      </w:pPr>
    </w:p>
    <w:p w14:paraId="1CE85A36" w14:textId="2692AFB4" w:rsidR="00EC6217" w:rsidRPr="00C60901" w:rsidRDefault="00EC6217" w:rsidP="00EC6217">
      <w:pPr>
        <w:ind w:left="0" w:firstLine="0"/>
        <w:rPr>
          <w:color w:val="0000FF"/>
          <w:u w:val="single"/>
        </w:rPr>
      </w:pPr>
      <w:r w:rsidRPr="00C60901">
        <w:rPr>
          <w:color w:val="0000FF"/>
          <w:u w:val="single"/>
        </w:rPr>
        <w:t>Definition</w:t>
      </w:r>
      <w:r w:rsidR="0068508E" w:rsidRPr="00C60901">
        <w:rPr>
          <w:color w:val="0000FF"/>
          <w:u w:val="single"/>
        </w:rPr>
        <w:t>s</w:t>
      </w:r>
      <w:r w:rsidRPr="00C60901">
        <w:rPr>
          <w:color w:val="0000FF"/>
          <w:u w:val="single"/>
        </w:rPr>
        <w:t xml:space="preserve"> of </w:t>
      </w:r>
      <w:r w:rsidR="00561CD1" w:rsidRPr="00C60901">
        <w:rPr>
          <w:color w:val="0000FF"/>
          <w:u w:val="single"/>
        </w:rPr>
        <w:t xml:space="preserve">Other </w:t>
      </w:r>
      <w:r w:rsidRPr="00C60901">
        <w:rPr>
          <w:color w:val="0000FF"/>
          <w:u w:val="single"/>
        </w:rPr>
        <w:t>Type</w:t>
      </w:r>
      <w:r w:rsidR="00561CD1" w:rsidRPr="00C60901">
        <w:rPr>
          <w:color w:val="0000FF"/>
          <w:u w:val="single"/>
        </w:rPr>
        <w:t>s</w:t>
      </w:r>
      <w:r w:rsidRPr="00C60901">
        <w:rPr>
          <w:color w:val="0000FF"/>
          <w:u w:val="single"/>
        </w:rPr>
        <w:t xml:space="preserve"> of Recommendation</w:t>
      </w:r>
      <w:r w:rsidR="00561CD1" w:rsidRPr="00C60901">
        <w:rPr>
          <w:color w:val="0000FF"/>
          <w:u w:val="single"/>
        </w:rPr>
        <w:t xml:space="preserve"> (page 7 of 2015 ASCO Guideline Methodology Supplement; see complete citation in Section 1a.4.5 below)</w:t>
      </w:r>
      <w:r w:rsidRPr="00C60901">
        <w:rPr>
          <w:color w:val="0000FF"/>
          <w:u w:val="single"/>
        </w:rPr>
        <w:t>:</w:t>
      </w:r>
    </w:p>
    <w:p w14:paraId="6C2AA1AC" w14:textId="3FADD775" w:rsidR="00EC6217" w:rsidRPr="00C60901" w:rsidRDefault="006C5ADC" w:rsidP="00EC6217">
      <w:pPr>
        <w:ind w:left="0" w:firstLine="0"/>
        <w:rPr>
          <w:color w:val="0000FF"/>
        </w:rPr>
      </w:pPr>
      <w:r w:rsidRPr="00C60901">
        <w:rPr>
          <w:i/>
          <w:color w:val="0000FF"/>
        </w:rPr>
        <w:t>“</w:t>
      </w:r>
      <w:r w:rsidR="00BE157D" w:rsidRPr="00C60901">
        <w:rPr>
          <w:i/>
          <w:color w:val="0000FF"/>
        </w:rPr>
        <w:t>Formal consensus:</w:t>
      </w:r>
      <w:r w:rsidRPr="00C60901">
        <w:rPr>
          <w:i/>
          <w:color w:val="0000FF"/>
        </w:rPr>
        <w:t xml:space="preserve"> </w:t>
      </w:r>
      <w:r w:rsidR="00BE157D" w:rsidRPr="00C60901">
        <w:rPr>
          <w:color w:val="0000FF"/>
        </w:rPr>
        <w:t>The available evidence was deemed insufficient to inform a recommendation to guide clinical practice. Therefore, the Expert Panel used a formal consensus process to reach this recommendation, which is considered the best current guidance for practice. The Panel may choose to provide a rating for the strength of the recommendation (</w:t>
      </w:r>
      <w:r w:rsidR="00806CF7" w:rsidRPr="00C60901">
        <w:rPr>
          <w:color w:val="0000FF"/>
        </w:rPr>
        <w:t>i.e.</w:t>
      </w:r>
      <w:r w:rsidR="00BE157D" w:rsidRPr="00C60901">
        <w:rPr>
          <w:color w:val="0000FF"/>
        </w:rPr>
        <w:t xml:space="preserve">, “strong,” “moderate,” or “weak”). The </w:t>
      </w:r>
      <w:r w:rsidR="00BE157D" w:rsidRPr="00C60901">
        <w:rPr>
          <w:color w:val="0000FF"/>
        </w:rPr>
        <w:lastRenderedPageBreak/>
        <w:t>results of the formal consensus process are summarized in the guideline and reported in the Data Supplement.</w:t>
      </w:r>
      <w:r w:rsidR="009A5A0B" w:rsidRPr="00C60901">
        <w:rPr>
          <w:color w:val="0000FF"/>
        </w:rPr>
        <w:t>”</w:t>
      </w:r>
    </w:p>
    <w:p w14:paraId="73187358" w14:textId="77777777" w:rsidR="0068508E" w:rsidRPr="00C60901" w:rsidRDefault="0068508E" w:rsidP="00EC6217">
      <w:pPr>
        <w:ind w:left="0" w:firstLine="0"/>
        <w:rPr>
          <w:i/>
          <w:color w:val="0000FF"/>
        </w:rPr>
      </w:pPr>
    </w:p>
    <w:p w14:paraId="2937C464" w14:textId="0B2F709C" w:rsidR="00BE157D" w:rsidRPr="00C60901" w:rsidRDefault="006C5ADC" w:rsidP="00EC6217">
      <w:pPr>
        <w:ind w:left="0" w:firstLine="0"/>
        <w:rPr>
          <w:color w:val="0000FF"/>
        </w:rPr>
      </w:pPr>
      <w:r w:rsidRPr="00C60901">
        <w:rPr>
          <w:i/>
          <w:color w:val="0000FF"/>
        </w:rPr>
        <w:t>“</w:t>
      </w:r>
      <w:r w:rsidR="00BE157D" w:rsidRPr="00C60901">
        <w:rPr>
          <w:i/>
          <w:color w:val="0000FF"/>
        </w:rPr>
        <w:t>Informal consensus:</w:t>
      </w:r>
      <w:r w:rsidRPr="00C60901">
        <w:rPr>
          <w:i/>
          <w:color w:val="0000FF"/>
        </w:rPr>
        <w:t xml:space="preserve"> </w:t>
      </w:r>
      <w:r w:rsidR="00BE157D" w:rsidRPr="00C60901">
        <w:rPr>
          <w:color w:val="0000FF"/>
        </w:rPr>
        <w:t>The available evidence was deemed insufficient to inform a recommendation to guide clinical practice. The recommendation is considered the best current guidance for practice, based on informal consensus of the Expert Panel. The Panel agreed that a formal consensus process was not necessary for reasons described in the literature review and discussion. The Panel may choose to provide a rating for the strength of the recommendation (</w:t>
      </w:r>
      <w:r w:rsidR="00806CF7" w:rsidRPr="00C60901">
        <w:rPr>
          <w:color w:val="0000FF"/>
        </w:rPr>
        <w:t>i.e.</w:t>
      </w:r>
      <w:r w:rsidR="00BE157D" w:rsidRPr="00C60901">
        <w:rPr>
          <w:color w:val="0000FF"/>
        </w:rPr>
        <w:t>, “strong,” “moderate,” or “weak”).</w:t>
      </w:r>
      <w:r w:rsidR="00C71C14" w:rsidRPr="00C60901">
        <w:rPr>
          <w:color w:val="0000FF"/>
        </w:rPr>
        <w:t>”</w:t>
      </w:r>
    </w:p>
    <w:p w14:paraId="0C0DFB4C" w14:textId="77777777" w:rsidR="0068508E" w:rsidRPr="00C60901" w:rsidRDefault="0068508E" w:rsidP="00EC6217">
      <w:pPr>
        <w:ind w:left="0" w:firstLine="0"/>
        <w:rPr>
          <w:i/>
          <w:color w:val="0000FF"/>
        </w:rPr>
      </w:pPr>
    </w:p>
    <w:p w14:paraId="1D80FD2D" w14:textId="431C31BD" w:rsidR="00BE157D" w:rsidRPr="00C60901" w:rsidRDefault="006C5ADC" w:rsidP="00EC6217">
      <w:pPr>
        <w:ind w:left="0" w:firstLine="0"/>
        <w:rPr>
          <w:color w:val="0000FF"/>
        </w:rPr>
      </w:pPr>
      <w:r w:rsidRPr="00C60901">
        <w:rPr>
          <w:i/>
          <w:color w:val="0000FF"/>
        </w:rPr>
        <w:t>“</w:t>
      </w:r>
      <w:r w:rsidR="00BE157D" w:rsidRPr="00C60901">
        <w:rPr>
          <w:i/>
          <w:color w:val="0000FF"/>
        </w:rPr>
        <w:t>No recommendation:</w:t>
      </w:r>
      <w:r w:rsidR="00BE157D" w:rsidRPr="00C60901">
        <w:rPr>
          <w:color w:val="0000FF"/>
        </w:rPr>
        <w:t xml:space="preserve"> There is insufficient evidence, confidence, or agreement to provide a recommendation to guide clinical practice at this time. The Panel deemed the available evidence as insufficient and concluded it was unlikely that a formal consensus process would achieve the level of agreement needed for a recommendation.</w:t>
      </w:r>
      <w:r w:rsidR="00C71C14" w:rsidRPr="00C60901">
        <w:rPr>
          <w:color w:val="0000FF"/>
        </w:rPr>
        <w:t>”</w:t>
      </w:r>
    </w:p>
    <w:p w14:paraId="13044457" w14:textId="77777777" w:rsidR="00BE157D" w:rsidRPr="00C60901" w:rsidRDefault="00BE157D" w:rsidP="00EC6217">
      <w:pPr>
        <w:ind w:left="0" w:firstLine="0"/>
        <w:rPr>
          <w:color w:val="0000FF"/>
        </w:rPr>
      </w:pPr>
    </w:p>
    <w:p w14:paraId="50290630" w14:textId="6FB8473A" w:rsidR="00EC6217" w:rsidRPr="00C60901" w:rsidRDefault="00EC6217" w:rsidP="00EC6217">
      <w:pPr>
        <w:ind w:left="0" w:firstLine="0"/>
        <w:rPr>
          <w:color w:val="0000FF"/>
          <w:u w:val="single"/>
        </w:rPr>
      </w:pPr>
      <w:r w:rsidRPr="00C60901">
        <w:rPr>
          <w:color w:val="0000FF"/>
          <w:u w:val="single"/>
        </w:rPr>
        <w:t>Definition</w:t>
      </w:r>
      <w:r w:rsidR="0068508E" w:rsidRPr="00C60901">
        <w:rPr>
          <w:color w:val="0000FF"/>
          <w:u w:val="single"/>
        </w:rPr>
        <w:t>s</w:t>
      </w:r>
      <w:r w:rsidRPr="00C60901">
        <w:rPr>
          <w:color w:val="0000FF"/>
          <w:u w:val="single"/>
        </w:rPr>
        <w:t xml:space="preserve"> of </w:t>
      </w:r>
      <w:r w:rsidR="00561CD1" w:rsidRPr="00C60901">
        <w:rPr>
          <w:color w:val="0000FF"/>
          <w:u w:val="single"/>
        </w:rPr>
        <w:t xml:space="preserve">Other </w:t>
      </w:r>
      <w:r w:rsidRPr="00C60901">
        <w:rPr>
          <w:color w:val="0000FF"/>
          <w:u w:val="single"/>
        </w:rPr>
        <w:t>Rating</w:t>
      </w:r>
      <w:r w:rsidR="00561CD1" w:rsidRPr="00C60901">
        <w:rPr>
          <w:color w:val="0000FF"/>
          <w:u w:val="single"/>
        </w:rPr>
        <w:t>s</w:t>
      </w:r>
      <w:r w:rsidRPr="00C60901">
        <w:rPr>
          <w:color w:val="0000FF"/>
          <w:u w:val="single"/>
        </w:rPr>
        <w:t xml:space="preserve"> for Strength of Recommendation</w:t>
      </w:r>
      <w:r w:rsidR="00C71C14" w:rsidRPr="00C60901">
        <w:rPr>
          <w:color w:val="0000FF"/>
          <w:u w:val="single"/>
        </w:rPr>
        <w:t xml:space="preserve"> (</w:t>
      </w:r>
      <w:r w:rsidR="00333C10" w:rsidRPr="00C60901">
        <w:rPr>
          <w:color w:val="0000FF"/>
          <w:u w:val="single"/>
        </w:rPr>
        <w:t>page 8 of</w:t>
      </w:r>
      <w:r w:rsidR="00C71C14" w:rsidRPr="00C60901">
        <w:rPr>
          <w:color w:val="0000FF"/>
          <w:u w:val="single"/>
        </w:rPr>
        <w:t xml:space="preserve"> </w:t>
      </w:r>
      <w:r w:rsidR="00561CD1" w:rsidRPr="00C60901">
        <w:rPr>
          <w:color w:val="0000FF"/>
          <w:u w:val="single"/>
        </w:rPr>
        <w:t xml:space="preserve">2015 </w:t>
      </w:r>
      <w:r w:rsidR="00C71C14" w:rsidRPr="00C60901">
        <w:rPr>
          <w:color w:val="0000FF"/>
          <w:u w:val="single"/>
        </w:rPr>
        <w:t>ASCO Guideline Methodology Supplement</w:t>
      </w:r>
      <w:r w:rsidR="00050D23" w:rsidRPr="00C60901">
        <w:rPr>
          <w:color w:val="0000FF"/>
          <w:u w:val="single"/>
        </w:rPr>
        <w:t>;</w:t>
      </w:r>
      <w:r w:rsidR="00C71C14" w:rsidRPr="00C60901">
        <w:rPr>
          <w:color w:val="0000FF"/>
          <w:u w:val="single"/>
        </w:rPr>
        <w:t xml:space="preserve"> see complete citation in Section 1a.4.5 </w:t>
      </w:r>
      <w:r w:rsidR="00333C10" w:rsidRPr="00C60901">
        <w:rPr>
          <w:color w:val="0000FF"/>
          <w:u w:val="single"/>
        </w:rPr>
        <w:t>below</w:t>
      </w:r>
      <w:r w:rsidR="00C71C14" w:rsidRPr="00C60901">
        <w:rPr>
          <w:color w:val="0000FF"/>
          <w:u w:val="single"/>
        </w:rPr>
        <w:t>)</w:t>
      </w:r>
      <w:r w:rsidRPr="00C60901">
        <w:rPr>
          <w:color w:val="0000FF"/>
          <w:u w:val="single"/>
        </w:rPr>
        <w:t>:</w:t>
      </w:r>
    </w:p>
    <w:p w14:paraId="5649108C" w14:textId="77777777" w:rsidR="00333C10" w:rsidRPr="00C60901" w:rsidRDefault="00333C10" w:rsidP="00333C10">
      <w:pPr>
        <w:ind w:left="0" w:firstLine="0"/>
        <w:rPr>
          <w:i/>
          <w:color w:val="0000FF"/>
        </w:rPr>
      </w:pPr>
    </w:p>
    <w:p w14:paraId="229D3FC9" w14:textId="3B7B586B" w:rsidR="00333C10" w:rsidRPr="00C60901" w:rsidRDefault="0024204B" w:rsidP="00333C10">
      <w:pPr>
        <w:ind w:left="0" w:firstLine="0"/>
        <w:rPr>
          <w:color w:val="0000FF"/>
        </w:rPr>
      </w:pPr>
      <w:r>
        <w:rPr>
          <w:i/>
          <w:color w:val="0000FF"/>
        </w:rPr>
        <w:t>“</w:t>
      </w:r>
      <w:r w:rsidR="00333C10" w:rsidRPr="00C60901">
        <w:rPr>
          <w:i/>
          <w:color w:val="0000FF"/>
        </w:rPr>
        <w:t>Moderate:</w:t>
      </w:r>
      <w:r w:rsidR="00333C10" w:rsidRPr="00C60901">
        <w:rPr>
          <w:color w:val="0000FF"/>
        </w:rPr>
        <w:t xml:space="preserve"> </w:t>
      </w:r>
      <w:r w:rsidR="00333C10" w:rsidRPr="00C60901">
        <w:t xml:space="preserve"> </w:t>
      </w:r>
      <w:r w:rsidR="00333C10" w:rsidRPr="00C60901">
        <w:rPr>
          <w:color w:val="0000FF"/>
        </w:rPr>
        <w:t>There is moderate confidence that the recommendation reflects best practice. This is based on (1) good evidence for a true net effect (e.g., benefits exceed harms); (2) consistent results, with minor and/or few exceptions; (3) minor and/or few concerns about study quality; and/or (4) the extent of panelists’ agreement. Other compelling considerations (discussed in the guideline’s literature review and analyses) may also warrant a moderate recommendation.</w:t>
      </w:r>
      <w:r>
        <w:rPr>
          <w:color w:val="0000FF"/>
        </w:rPr>
        <w:t>”</w:t>
      </w:r>
    </w:p>
    <w:p w14:paraId="05A4C1DD" w14:textId="77777777" w:rsidR="00333C10" w:rsidRPr="00C60901" w:rsidRDefault="00333C10" w:rsidP="00333C10">
      <w:pPr>
        <w:ind w:left="0" w:firstLine="0"/>
        <w:rPr>
          <w:i/>
          <w:color w:val="0000FF"/>
        </w:rPr>
      </w:pPr>
    </w:p>
    <w:p w14:paraId="1CADE579" w14:textId="68F462B6" w:rsidR="00333C10" w:rsidRPr="00C60901" w:rsidRDefault="0024204B" w:rsidP="00333C10">
      <w:pPr>
        <w:ind w:left="0" w:firstLine="0"/>
        <w:rPr>
          <w:color w:val="0000FF"/>
        </w:rPr>
      </w:pPr>
      <w:r>
        <w:rPr>
          <w:i/>
          <w:color w:val="0000FF"/>
        </w:rPr>
        <w:t>“</w:t>
      </w:r>
      <w:r w:rsidR="00333C10" w:rsidRPr="00C60901">
        <w:rPr>
          <w:i/>
          <w:color w:val="0000FF"/>
        </w:rPr>
        <w:t>Weak:</w:t>
      </w:r>
      <w:r w:rsidR="00333C10" w:rsidRPr="00C60901">
        <w:rPr>
          <w:color w:val="0000FF"/>
        </w:rPr>
        <w:t xml:space="preserve"> There is some confidence that the recommendation offers the best current guidance for practice. This is based on (1) limited evidence for a true net effect (e.g., benefits exceed harms); (2) consistent results, but with important exceptions; (3) concerns about study quality; and/or (4) the extent of panelists’ agreement. Other considerations (discussed in the guideline’s literature review and analyses) may also warrant a weak recommendation.</w:t>
      </w:r>
      <w:r>
        <w:rPr>
          <w:color w:val="0000FF"/>
        </w:rPr>
        <w:t>”</w:t>
      </w:r>
    </w:p>
    <w:p w14:paraId="611DEF20" w14:textId="77777777" w:rsidR="00816287" w:rsidRPr="00AA280B" w:rsidRDefault="00816287" w:rsidP="00265702">
      <w:pPr>
        <w:ind w:left="0" w:firstLine="0"/>
        <w:rPr>
          <w:rStyle w:val="Hyperlink"/>
        </w:rPr>
      </w:pPr>
    </w:p>
    <w:p w14:paraId="7D5024F6" w14:textId="06A6DACC" w:rsidR="00AA280B" w:rsidRPr="00AA280B" w:rsidRDefault="00AA280B" w:rsidP="00AA280B">
      <w:pPr>
        <w:ind w:left="0" w:firstLine="0"/>
        <w:rPr>
          <w:rFonts w:cs="Arial"/>
          <w:b/>
          <w:color w:val="0000FF"/>
          <w:u w:val="single"/>
        </w:rPr>
      </w:pPr>
      <w:r w:rsidRPr="00AA280B">
        <w:rPr>
          <w:rFonts w:cs="Arial"/>
          <w:b/>
          <w:color w:val="0000FF"/>
          <w:u w:val="single"/>
        </w:rPr>
        <w:t>NCCN Clinical Practice Guidelines in Oncology (NCCN Guidelines®):</w:t>
      </w:r>
    </w:p>
    <w:p w14:paraId="0F131347" w14:textId="77777777" w:rsidR="00561CD1" w:rsidRPr="00C60901" w:rsidRDefault="00561CD1" w:rsidP="00265702">
      <w:pPr>
        <w:ind w:left="0" w:firstLine="0"/>
        <w:rPr>
          <w:rFonts w:cs="Arial"/>
          <w:color w:val="0000FF"/>
          <w:u w:val="single"/>
        </w:rPr>
      </w:pPr>
    </w:p>
    <w:p w14:paraId="5208792D" w14:textId="5517AE09" w:rsidR="00850C35" w:rsidRPr="00C60901" w:rsidRDefault="00561CD1" w:rsidP="00265702">
      <w:pPr>
        <w:ind w:left="0" w:firstLine="0"/>
        <w:rPr>
          <w:rFonts w:cs="Arial"/>
          <w:color w:val="0000FF"/>
          <w:u w:val="single"/>
        </w:rPr>
      </w:pPr>
      <w:r w:rsidRPr="00C60901">
        <w:rPr>
          <w:rFonts w:cs="Arial"/>
          <w:color w:val="0000FF"/>
          <w:u w:val="single"/>
        </w:rPr>
        <w:t>Other NCCN Categories of Evidence and Consensus</w:t>
      </w:r>
      <w:r w:rsidR="00476F9E" w:rsidRPr="00C60901">
        <w:rPr>
          <w:rFonts w:cs="Arial"/>
          <w:color w:val="0000FF"/>
          <w:u w:val="single"/>
        </w:rPr>
        <w:t xml:space="preserve"> (page MS-1</w:t>
      </w:r>
      <w:r w:rsidRPr="00C60901">
        <w:rPr>
          <w:rFonts w:cs="Arial"/>
          <w:color w:val="0000FF"/>
          <w:u w:val="single"/>
        </w:rPr>
        <w:t xml:space="preserve">2015 of 2015 NCCN Clinical Practice </w:t>
      </w:r>
      <w:r w:rsidRPr="00673DF0">
        <w:rPr>
          <w:rFonts w:cs="Arial"/>
          <w:color w:val="0000FF"/>
          <w:u w:val="single"/>
        </w:rPr>
        <w:t>Guidelines on Myeloid Growth Factors</w:t>
      </w:r>
      <w:r w:rsidR="00673DF0" w:rsidRPr="00673DF0">
        <w:rPr>
          <w:rFonts w:cs="Arial"/>
          <w:color w:val="0000FF"/>
          <w:u w:val="single"/>
        </w:rPr>
        <w:t xml:space="preserve"> </w:t>
      </w:r>
      <w:r w:rsidR="00673DF0" w:rsidRPr="0024204B">
        <w:rPr>
          <w:rFonts w:cs="Arial"/>
          <w:color w:val="0000FF"/>
          <w:u w:val="single"/>
        </w:rPr>
        <w:t>[</w:t>
      </w:r>
      <w:r w:rsidR="00673DF0" w:rsidRPr="0024204B">
        <w:rPr>
          <w:rFonts w:cs="Arial"/>
          <w:b/>
          <w:color w:val="0000FF"/>
          <w:u w:val="single"/>
        </w:rPr>
        <w:t>NCCN Guidelines®</w:t>
      </w:r>
      <w:r w:rsidR="00673DF0" w:rsidRPr="0024204B">
        <w:rPr>
          <w:rFonts w:cs="Arial"/>
          <w:color w:val="0000FF"/>
          <w:u w:val="single"/>
        </w:rPr>
        <w:t>]</w:t>
      </w:r>
      <w:r w:rsidRPr="0024204B">
        <w:rPr>
          <w:rFonts w:cs="Arial"/>
          <w:color w:val="0000FF"/>
          <w:u w:val="single"/>
        </w:rPr>
        <w:t>;</w:t>
      </w:r>
      <w:r w:rsidR="006C5ADC" w:rsidRPr="00673DF0">
        <w:rPr>
          <w:rFonts w:cs="Arial"/>
          <w:color w:val="0000FF"/>
          <w:u w:val="single"/>
        </w:rPr>
        <w:t xml:space="preserve"> see complete citation in Section 1a.4.1</w:t>
      </w:r>
      <w:r w:rsidR="006C5ADC" w:rsidRPr="00C60901">
        <w:rPr>
          <w:rFonts w:cs="Arial"/>
          <w:color w:val="0000FF"/>
          <w:u w:val="single"/>
        </w:rPr>
        <w:t xml:space="preserve"> above</w:t>
      </w:r>
      <w:r w:rsidR="00476F9E" w:rsidRPr="00C60901">
        <w:rPr>
          <w:rFonts w:cs="Arial"/>
          <w:color w:val="0000FF"/>
          <w:u w:val="single"/>
        </w:rPr>
        <w:t>)</w:t>
      </w:r>
      <w:r w:rsidR="00A51089" w:rsidRPr="00C60901">
        <w:rPr>
          <w:rFonts w:cs="Arial"/>
          <w:color w:val="0000FF"/>
          <w:u w:val="single"/>
        </w:rPr>
        <w:t xml:space="preserve">: </w:t>
      </w:r>
    </w:p>
    <w:p w14:paraId="791F76F8" w14:textId="77777777" w:rsidR="00A51089" w:rsidRPr="00C60901" w:rsidRDefault="00A51089" w:rsidP="00265702">
      <w:pPr>
        <w:ind w:left="0" w:firstLine="0"/>
        <w:rPr>
          <w:rFonts w:cs="Arial"/>
          <w:b/>
          <w:color w:val="0000FF"/>
        </w:rPr>
      </w:pPr>
    </w:p>
    <w:p w14:paraId="6BB3E6F7" w14:textId="41213AF4" w:rsidR="00816287" w:rsidRPr="00C60901" w:rsidRDefault="00476F9E" w:rsidP="00265702">
      <w:pPr>
        <w:ind w:left="0" w:firstLine="0"/>
        <w:rPr>
          <w:rFonts w:cs="Arial"/>
          <w:color w:val="0000FF"/>
        </w:rPr>
      </w:pPr>
      <w:r w:rsidRPr="00C60901">
        <w:rPr>
          <w:rFonts w:cs="Arial"/>
          <w:color w:val="0000FF"/>
        </w:rPr>
        <w:t>“</w:t>
      </w:r>
      <w:r w:rsidR="00816287" w:rsidRPr="00C60901">
        <w:rPr>
          <w:rFonts w:cs="Arial"/>
          <w:color w:val="0000FF"/>
        </w:rPr>
        <w:t>Category 1: Based upon high-level evidence, there is uniform NCCN consensus that the intervention is appropriate.</w:t>
      </w:r>
      <w:r w:rsidR="006C5ADC" w:rsidRPr="00C60901">
        <w:rPr>
          <w:rFonts w:cs="Arial"/>
          <w:color w:val="0000FF"/>
        </w:rPr>
        <w:t>”</w:t>
      </w:r>
    </w:p>
    <w:p w14:paraId="3C2CA58E" w14:textId="3C84FA4A" w:rsidR="00816287" w:rsidRPr="00C60901" w:rsidRDefault="006C5ADC" w:rsidP="00265702">
      <w:pPr>
        <w:ind w:left="0" w:firstLine="0"/>
        <w:rPr>
          <w:rFonts w:cs="Arial"/>
          <w:color w:val="0000FF"/>
        </w:rPr>
      </w:pPr>
      <w:r w:rsidRPr="00C60901">
        <w:rPr>
          <w:rFonts w:cs="Arial"/>
          <w:color w:val="0000FF"/>
        </w:rPr>
        <w:t>“</w:t>
      </w:r>
      <w:r w:rsidR="00816287" w:rsidRPr="00C60901">
        <w:rPr>
          <w:rFonts w:cs="Arial"/>
          <w:color w:val="0000FF"/>
        </w:rPr>
        <w:t>Category 2B: Based upon lower-level evidence, there is NCCN consensus that the intervention is appropriate.</w:t>
      </w:r>
      <w:r w:rsidRPr="00C60901">
        <w:rPr>
          <w:rFonts w:cs="Arial"/>
          <w:color w:val="0000FF"/>
        </w:rPr>
        <w:t>”</w:t>
      </w:r>
    </w:p>
    <w:p w14:paraId="742BEE53" w14:textId="278026EB" w:rsidR="00816287" w:rsidRDefault="006C5ADC" w:rsidP="00265702">
      <w:pPr>
        <w:ind w:left="0" w:firstLine="0"/>
        <w:rPr>
          <w:rFonts w:cs="Arial"/>
          <w:color w:val="0000FF"/>
        </w:rPr>
      </w:pPr>
      <w:r w:rsidRPr="00C60901">
        <w:rPr>
          <w:rFonts w:cs="Arial"/>
          <w:color w:val="0000FF"/>
        </w:rPr>
        <w:t>“</w:t>
      </w:r>
      <w:r w:rsidR="00816287" w:rsidRPr="00C60901">
        <w:rPr>
          <w:rFonts w:cs="Arial"/>
          <w:color w:val="0000FF"/>
        </w:rPr>
        <w:t>Category 3: Based upon any level of evidence, there is major NCCN disagreement that the intervention is appropriate.</w:t>
      </w:r>
      <w:r w:rsidR="00476F9E" w:rsidRPr="00C60901">
        <w:rPr>
          <w:rFonts w:cs="Arial"/>
          <w:color w:val="0000FF"/>
        </w:rPr>
        <w:t>”</w:t>
      </w:r>
    </w:p>
    <w:p w14:paraId="6FB07FA6" w14:textId="77777777" w:rsidR="00816287" w:rsidRPr="003B1CC5" w:rsidRDefault="00816287" w:rsidP="00265702">
      <w:pPr>
        <w:ind w:left="0" w:firstLine="0"/>
        <w:rPr>
          <w:b/>
        </w:rPr>
      </w:pPr>
    </w:p>
    <w:p w14:paraId="5208792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560D4866" w14:textId="380B22B2" w:rsidR="002E09F4" w:rsidRPr="001D0B6F" w:rsidRDefault="00561CD1" w:rsidP="002E09F4">
      <w:pPr>
        <w:ind w:left="0" w:firstLine="0"/>
        <w:rPr>
          <w:color w:val="0000FF"/>
          <w:u w:val="single"/>
        </w:rPr>
      </w:pPr>
      <w:r w:rsidRPr="001D0B6F">
        <w:rPr>
          <w:color w:val="0000FF"/>
          <w:u w:val="single"/>
        </w:rPr>
        <w:t xml:space="preserve">Complete </w:t>
      </w:r>
      <w:r w:rsidR="002E09F4" w:rsidRPr="001D0B6F">
        <w:rPr>
          <w:color w:val="0000FF"/>
          <w:u w:val="single"/>
        </w:rPr>
        <w:t>Citation</w:t>
      </w:r>
      <w:r w:rsidR="006B27E1" w:rsidRPr="001D0B6F">
        <w:rPr>
          <w:color w:val="0000FF"/>
          <w:u w:val="single"/>
        </w:rPr>
        <w:t xml:space="preserve"> for </w:t>
      </w:r>
      <w:r w:rsidRPr="001D0B6F">
        <w:rPr>
          <w:color w:val="0000FF"/>
          <w:u w:val="single"/>
        </w:rPr>
        <w:t xml:space="preserve">ASCO </w:t>
      </w:r>
      <w:r w:rsidR="006B27E1" w:rsidRPr="001D0B6F">
        <w:rPr>
          <w:color w:val="0000FF"/>
          <w:u w:val="single"/>
        </w:rPr>
        <w:t>definitions in Sections 1a.4.3 and 1a.4.4</w:t>
      </w:r>
      <w:r w:rsidR="002E09F4" w:rsidRPr="001D0B6F">
        <w:rPr>
          <w:color w:val="0000FF"/>
          <w:u w:val="single"/>
        </w:rPr>
        <w:t>:</w:t>
      </w:r>
    </w:p>
    <w:p w14:paraId="5208792F" w14:textId="23142512" w:rsidR="00736AEC" w:rsidRDefault="002E09F4" w:rsidP="002E09F4">
      <w:pPr>
        <w:ind w:left="0" w:firstLine="0"/>
        <w:rPr>
          <w:color w:val="0000FF"/>
        </w:rPr>
      </w:pPr>
      <w:proofErr w:type="gramStart"/>
      <w:r>
        <w:rPr>
          <w:color w:val="0000FF"/>
        </w:rPr>
        <w:t>ASCO Guideline Methodology Supplement.</w:t>
      </w:r>
      <w:proofErr w:type="gramEnd"/>
      <w:r>
        <w:rPr>
          <w:color w:val="0000FF"/>
        </w:rPr>
        <w:t xml:space="preserve"> </w:t>
      </w:r>
      <w:r w:rsidRPr="002E09F4">
        <w:rPr>
          <w:color w:val="0000FF"/>
        </w:rPr>
        <w:t xml:space="preserve">Recommendations for the Use of White Blood Cell Growth </w:t>
      </w:r>
      <w:r>
        <w:rPr>
          <w:color w:val="0000FF"/>
        </w:rPr>
        <w:t>F</w:t>
      </w:r>
      <w:r w:rsidRPr="002E09F4">
        <w:rPr>
          <w:color w:val="0000FF"/>
        </w:rPr>
        <w:t>actors: American Society of Clinical Oncology Clinical Practice Guideline Update</w:t>
      </w:r>
      <w:r>
        <w:rPr>
          <w:color w:val="0000FF"/>
        </w:rPr>
        <w:t xml:space="preserve">. </w:t>
      </w:r>
      <w:r w:rsidR="006B27E1">
        <w:rPr>
          <w:color w:val="0000FF"/>
        </w:rPr>
        <w:t xml:space="preserve">Available </w:t>
      </w:r>
      <w:r w:rsidR="00FC6737">
        <w:rPr>
          <w:rFonts w:cs="Arial"/>
          <w:color w:val="0000FF"/>
        </w:rPr>
        <w:t xml:space="preserve">December 2, 2015, </w:t>
      </w:r>
      <w:r w:rsidR="006B27E1">
        <w:rPr>
          <w:color w:val="0000FF"/>
        </w:rPr>
        <w:t xml:space="preserve">at </w:t>
      </w:r>
      <w:r w:rsidR="006B27E1" w:rsidRPr="00747DBF">
        <w:rPr>
          <w:color w:val="0000FF"/>
        </w:rPr>
        <w:lastRenderedPageBreak/>
        <w:t>http://www.instituteforquality.org/sites/instituteforquality.org/files/METHODOLOGY%20SUPPLEMENT%20WBCGF.pdf</w:t>
      </w:r>
    </w:p>
    <w:p w14:paraId="39BDF135" w14:textId="77777777" w:rsidR="002E09F4" w:rsidRDefault="002E09F4" w:rsidP="002E09F4">
      <w:pPr>
        <w:ind w:left="0" w:firstLine="0"/>
        <w:rPr>
          <w:color w:val="0000FF"/>
        </w:rPr>
      </w:pPr>
    </w:p>
    <w:p w14:paraId="46DB4B0E" w14:textId="65DB38E4" w:rsidR="002E09F4" w:rsidRPr="001D0B6F" w:rsidRDefault="002E09F4" w:rsidP="002E09F4">
      <w:pPr>
        <w:ind w:left="0" w:firstLine="0"/>
        <w:rPr>
          <w:color w:val="0000FF"/>
          <w:u w:val="single"/>
        </w:rPr>
      </w:pPr>
      <w:r w:rsidRPr="001D0B6F">
        <w:rPr>
          <w:color w:val="0000FF"/>
          <w:u w:val="single"/>
        </w:rPr>
        <w:t xml:space="preserve">URL: </w:t>
      </w:r>
    </w:p>
    <w:p w14:paraId="76B10200" w14:textId="355E16C3" w:rsidR="002E09F4" w:rsidRDefault="00747DBF" w:rsidP="00022C44">
      <w:pPr>
        <w:ind w:left="0" w:firstLine="0"/>
        <w:rPr>
          <w:color w:val="0000FF"/>
        </w:rPr>
      </w:pPr>
      <w:r w:rsidRPr="00747DBF">
        <w:rPr>
          <w:color w:val="0000FF"/>
        </w:rPr>
        <w:t>http://www.instituteforquality.org/sites/instituteforquality.org/files/METHODOLOGY%20SUPPLEMENT%20WBCGF.pdf</w:t>
      </w:r>
    </w:p>
    <w:p w14:paraId="7FA6B716" w14:textId="77777777" w:rsidR="002E09F4" w:rsidRPr="003B1CC5" w:rsidRDefault="002E09F4" w:rsidP="002E2177">
      <w:pPr>
        <w:ind w:left="432" w:hanging="432"/>
        <w:rPr>
          <w:color w:val="0000FF"/>
        </w:rPr>
      </w:pPr>
    </w:p>
    <w:p w14:paraId="5208793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2087931" w14:textId="489FF1E3" w:rsidR="00FC32D3" w:rsidRPr="003B1CC5" w:rsidRDefault="00BD3D0D" w:rsidP="00FC32D3">
      <w:pPr>
        <w:ind w:left="720" w:hanging="432"/>
        <w:rPr>
          <w:b/>
        </w:rPr>
      </w:pPr>
      <w:sdt>
        <w:sdtPr>
          <w:rPr>
            <w:bCs/>
            <w:color w:val="0000FF"/>
            <w:highlight w:val="yellow"/>
          </w:rPr>
          <w:id w:val="-1346319738"/>
          <w14:checkbox>
            <w14:checked w14:val="1"/>
            <w14:checkedState w14:val="2612" w14:font="MS Gothic"/>
            <w14:uncheckedState w14:val="2610" w14:font="MS Gothic"/>
          </w14:checkbox>
        </w:sdtPr>
        <w:sdtEndPr/>
        <w:sdtContent>
          <w:r w:rsidR="00015E16" w:rsidRPr="00532AAF">
            <w:rPr>
              <w:rFonts w:ascii="MS Gothic" w:eastAsia="MS Gothic" w:hAnsi="MS Gothic" w:hint="eastAsia"/>
              <w:bCs/>
              <w:color w:val="0000FF"/>
              <w:highlight w:val="yellow"/>
            </w:rPr>
            <w:t>☒</w:t>
          </w:r>
        </w:sdtContent>
      </w:sdt>
      <w:r w:rsidR="00FC32D3" w:rsidRPr="00532AAF">
        <w:rPr>
          <w:b/>
          <w:highlight w:val="yellow"/>
        </w:rPr>
        <w:t xml:space="preserve"> </w:t>
      </w:r>
      <w:r w:rsidR="00FC32D3" w:rsidRPr="00532AAF">
        <w:rPr>
          <w:highlight w:val="yellow"/>
        </w:rPr>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2087932" w14:textId="77777777" w:rsidR="00736AEC" w:rsidRPr="003B1CC5" w:rsidRDefault="00BD3D0D"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2087933" w14:textId="77777777" w:rsidR="00736AEC" w:rsidRPr="003B1CC5" w:rsidRDefault="00736AEC"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208793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2087937" w14:textId="48C74A64" w:rsidR="00307FA5" w:rsidRPr="001D0B6F" w:rsidRDefault="00581A26" w:rsidP="00307FA5">
      <w:pPr>
        <w:ind w:left="0" w:firstLine="0"/>
        <w:rPr>
          <w:rFonts w:cs="Arial"/>
          <w:color w:val="0000FF"/>
        </w:rPr>
      </w:pPr>
      <w:r w:rsidRPr="001D0B6F">
        <w:rPr>
          <w:rFonts w:cs="Arial"/>
          <w:color w:val="0000FF"/>
        </w:rPr>
        <w:t>Not applicable</w:t>
      </w:r>
    </w:p>
    <w:p w14:paraId="52087938" w14:textId="77777777" w:rsidR="00307FA5" w:rsidRPr="00022C44" w:rsidRDefault="00307FA5" w:rsidP="00307FA5">
      <w:pPr>
        <w:ind w:left="0" w:firstLine="0"/>
      </w:pPr>
    </w:p>
    <w:p w14:paraId="52087939"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2AFF8594" w14:textId="77777777" w:rsidR="00581A26" w:rsidRPr="001D0B6F" w:rsidRDefault="00581A26" w:rsidP="00581A26">
      <w:pPr>
        <w:ind w:left="0" w:firstLine="0"/>
        <w:rPr>
          <w:rFonts w:cs="Arial"/>
          <w:color w:val="0000FF"/>
        </w:rPr>
      </w:pPr>
      <w:r w:rsidRPr="001D0B6F">
        <w:rPr>
          <w:rFonts w:cs="Arial"/>
          <w:color w:val="0000FF"/>
        </w:rPr>
        <w:t>Not applicable</w:t>
      </w:r>
    </w:p>
    <w:p w14:paraId="5208793B" w14:textId="77777777" w:rsidR="00307FA5" w:rsidRPr="00022C44" w:rsidRDefault="00307FA5" w:rsidP="00307FA5">
      <w:pPr>
        <w:ind w:left="0" w:firstLine="0"/>
      </w:pPr>
    </w:p>
    <w:p w14:paraId="5208793C"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64739CEF" w14:textId="77777777" w:rsidR="00581A26" w:rsidRPr="001D0B6F" w:rsidRDefault="00581A26" w:rsidP="00581A26">
      <w:pPr>
        <w:ind w:left="0" w:firstLine="0"/>
        <w:rPr>
          <w:rFonts w:cs="Arial"/>
          <w:color w:val="0000FF"/>
        </w:rPr>
      </w:pPr>
      <w:r w:rsidRPr="001D0B6F">
        <w:rPr>
          <w:rFonts w:cs="Arial"/>
          <w:color w:val="0000FF"/>
        </w:rPr>
        <w:t>Not applicable</w:t>
      </w:r>
    </w:p>
    <w:p w14:paraId="40172201" w14:textId="77777777" w:rsidR="00022C44" w:rsidRPr="003B1CC5" w:rsidRDefault="00022C44" w:rsidP="00307FA5">
      <w:pPr>
        <w:ind w:left="0" w:firstLine="0"/>
      </w:pPr>
    </w:p>
    <w:p w14:paraId="5208793E"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429CF252" w14:textId="77777777" w:rsidR="00C10526" w:rsidRPr="001D0B6F" w:rsidRDefault="00C10526" w:rsidP="00C10526">
      <w:pPr>
        <w:ind w:left="0" w:firstLine="0"/>
        <w:rPr>
          <w:rFonts w:cs="Arial"/>
          <w:color w:val="0000FF"/>
        </w:rPr>
      </w:pPr>
      <w:r w:rsidRPr="001D0B6F">
        <w:rPr>
          <w:rFonts w:cs="Arial"/>
          <w:color w:val="0000FF"/>
        </w:rPr>
        <w:t>Not applicable</w:t>
      </w:r>
    </w:p>
    <w:p w14:paraId="52804ED0" w14:textId="77777777" w:rsidR="00022C44" w:rsidRPr="003B1CC5" w:rsidRDefault="00022C44" w:rsidP="00307FA5">
      <w:pPr>
        <w:ind w:left="0" w:firstLine="0"/>
        <w:rPr>
          <w:b/>
          <w:color w:val="0000FF"/>
        </w:rPr>
      </w:pPr>
    </w:p>
    <w:p w14:paraId="52087940"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1A0916D9" w14:textId="77777777" w:rsidR="00C10526" w:rsidRPr="001D0B6F" w:rsidRDefault="00C10526" w:rsidP="00C10526">
      <w:pPr>
        <w:ind w:left="0" w:firstLine="0"/>
        <w:rPr>
          <w:rFonts w:cs="Arial"/>
          <w:color w:val="0000FF"/>
        </w:rPr>
      </w:pPr>
      <w:r w:rsidRPr="001D0B6F">
        <w:rPr>
          <w:rFonts w:cs="Arial"/>
          <w:color w:val="0000FF"/>
        </w:rPr>
        <w:t>Not applicable</w:t>
      </w:r>
    </w:p>
    <w:p w14:paraId="1F5C6239" w14:textId="77777777" w:rsidR="00022C44" w:rsidRPr="003B1CC5" w:rsidRDefault="00022C44" w:rsidP="002E2177">
      <w:pPr>
        <w:ind w:left="432" w:hanging="432"/>
        <w:rPr>
          <w:b/>
        </w:rPr>
      </w:pPr>
    </w:p>
    <w:p w14:paraId="52087942"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2087943" w14:textId="77777777" w:rsidR="00EE5AF6" w:rsidRPr="003B1CC5" w:rsidRDefault="00925F11" w:rsidP="002E2177">
      <w:pPr>
        <w:ind w:left="432" w:hanging="432"/>
        <w:rPr>
          <w:b/>
          <w:color w:val="0000FF"/>
        </w:rPr>
      </w:pPr>
      <w:r w:rsidRPr="003B1CC5">
        <w:rPr>
          <w:b/>
          <w:iCs/>
          <w:caps/>
        </w:rPr>
        <w:t>_________________________</w:t>
      </w:r>
    </w:p>
    <w:p w14:paraId="52087944" w14:textId="77777777"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2087945"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52087946" w14:textId="06B5E1FD" w:rsidR="00EE5AF6" w:rsidRDefault="00EE5AF6" w:rsidP="00EE5AF6">
      <w:pPr>
        <w:ind w:left="0" w:firstLine="0"/>
      </w:pPr>
    </w:p>
    <w:p w14:paraId="5D012152" w14:textId="77777777" w:rsidR="00F16A43" w:rsidRPr="001D0B6F" w:rsidRDefault="00F16A43" w:rsidP="00F16A43">
      <w:pPr>
        <w:ind w:left="0" w:firstLine="0"/>
        <w:rPr>
          <w:color w:val="0000FF"/>
          <w:u w:val="single"/>
        </w:rPr>
      </w:pPr>
      <w:r w:rsidRPr="001D0B6F">
        <w:rPr>
          <w:color w:val="0000FF"/>
          <w:u w:val="single"/>
        </w:rPr>
        <w:t>Citation:</w:t>
      </w:r>
    </w:p>
    <w:p w14:paraId="0F683F80" w14:textId="3303B00D" w:rsidR="00F16A43" w:rsidRPr="002C4635" w:rsidRDefault="00F16A43" w:rsidP="00F16A43">
      <w:pPr>
        <w:ind w:left="0" w:firstLine="0"/>
        <w:rPr>
          <w:color w:val="0000FF"/>
        </w:rPr>
      </w:pPr>
      <w:proofErr w:type="gramStart"/>
      <w:r>
        <w:rPr>
          <w:color w:val="0000FF"/>
        </w:rPr>
        <w:t>ASCO Guidelines Data Supplement.</w:t>
      </w:r>
      <w:proofErr w:type="gramEnd"/>
      <w:r>
        <w:rPr>
          <w:color w:val="0000FF"/>
        </w:rPr>
        <w:t xml:space="preserve"> </w:t>
      </w:r>
      <w:r w:rsidR="00050D23">
        <w:rPr>
          <w:color w:val="0000FF"/>
        </w:rPr>
        <w:t xml:space="preserve">2015. </w:t>
      </w:r>
      <w:r w:rsidRPr="002E09F4">
        <w:rPr>
          <w:color w:val="0000FF"/>
        </w:rPr>
        <w:t xml:space="preserve">Recommendations for the Use of White Blood Cell Growth </w:t>
      </w:r>
      <w:r>
        <w:rPr>
          <w:color w:val="0000FF"/>
        </w:rPr>
        <w:t>F</w:t>
      </w:r>
      <w:r w:rsidRPr="002E09F4">
        <w:rPr>
          <w:color w:val="0000FF"/>
        </w:rPr>
        <w:t>actors: American Society of Clinical Oncology Clinical Practice Guideline Update</w:t>
      </w:r>
      <w:r>
        <w:rPr>
          <w:color w:val="0000FF"/>
        </w:rPr>
        <w:t xml:space="preserve">. </w:t>
      </w:r>
      <w:r w:rsidR="00F51164">
        <w:rPr>
          <w:color w:val="0000FF"/>
        </w:rPr>
        <w:t xml:space="preserve">Available </w:t>
      </w:r>
      <w:r w:rsidR="00A4188E">
        <w:rPr>
          <w:rFonts w:cs="Arial"/>
          <w:color w:val="0000FF"/>
        </w:rPr>
        <w:t xml:space="preserve">December 2, 2015, </w:t>
      </w:r>
      <w:r w:rsidR="00F51164">
        <w:rPr>
          <w:color w:val="0000FF"/>
        </w:rPr>
        <w:t xml:space="preserve">at </w:t>
      </w:r>
      <w:hyperlink r:id="rId23" w:history="1">
        <w:r w:rsidR="00F51164" w:rsidRPr="002C4635">
          <w:rPr>
            <w:rStyle w:val="Hyperlink"/>
            <w:rFonts w:cs="Arial"/>
            <w:u w:val="none"/>
          </w:rPr>
          <w:t>http://www.instituteforquality.org/sites/instituteforquality.org/files/DATA%20SUPPLEMENT%20WBCGF.pdf</w:t>
        </w:r>
      </w:hyperlink>
    </w:p>
    <w:p w14:paraId="3C30054B" w14:textId="77777777" w:rsidR="00747DBF" w:rsidRPr="002C4635" w:rsidRDefault="00747DBF" w:rsidP="00EE5AF6">
      <w:pPr>
        <w:ind w:left="0" w:firstLine="0"/>
      </w:pPr>
    </w:p>
    <w:p w14:paraId="6CF6175D" w14:textId="258CE828" w:rsidR="00747DBF" w:rsidRPr="002C4635" w:rsidRDefault="00747DBF" w:rsidP="00EE5AF6">
      <w:pPr>
        <w:ind w:left="0" w:firstLine="0"/>
        <w:rPr>
          <w:rFonts w:cs="Arial"/>
          <w:color w:val="0000FF"/>
        </w:rPr>
      </w:pPr>
      <w:r w:rsidRPr="002C4635">
        <w:rPr>
          <w:rFonts w:cs="Arial"/>
          <w:color w:val="0000FF"/>
        </w:rPr>
        <w:t xml:space="preserve">URL: </w:t>
      </w:r>
      <w:hyperlink r:id="rId24" w:history="1">
        <w:r w:rsidR="00F16A43" w:rsidRPr="002C4635">
          <w:rPr>
            <w:rStyle w:val="Hyperlink"/>
            <w:rFonts w:cs="Arial"/>
            <w:u w:val="none"/>
          </w:rPr>
          <w:t>http://www.instituteforquality.org/sites/instituteforquality.org/files/DATA%20SUPPLEMENT%20WBCGF.pdf</w:t>
        </w:r>
      </w:hyperlink>
    </w:p>
    <w:p w14:paraId="2BBA1383" w14:textId="77777777" w:rsidR="00F16A43" w:rsidRPr="00747DBF" w:rsidRDefault="00F16A43" w:rsidP="00EE5AF6">
      <w:pPr>
        <w:ind w:left="0" w:firstLine="0"/>
        <w:rPr>
          <w:rFonts w:cs="Arial"/>
          <w:color w:val="0000FF"/>
        </w:rPr>
      </w:pPr>
    </w:p>
    <w:p w14:paraId="52087948" w14:textId="77777777" w:rsidR="00EE5AF6" w:rsidRDefault="00EE5AF6" w:rsidP="00EE5AF6">
      <w:pPr>
        <w:ind w:left="0" w:firstLine="0"/>
        <w:rPr>
          <w:b/>
        </w:rPr>
      </w:pPr>
      <w:r w:rsidRPr="003B1CC5">
        <w:rPr>
          <w:b/>
          <w:color w:val="0000FF"/>
        </w:rPr>
        <w:lastRenderedPageBreak/>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641C3204" w14:textId="77777777" w:rsidR="001D453E" w:rsidRDefault="001D453E" w:rsidP="00EE5AF6">
      <w:pPr>
        <w:ind w:left="0" w:firstLine="0"/>
        <w:rPr>
          <w:b/>
        </w:rPr>
      </w:pPr>
    </w:p>
    <w:p w14:paraId="2F591BCB" w14:textId="77777777" w:rsidR="001D453E" w:rsidRPr="001D0B6F" w:rsidRDefault="001D453E" w:rsidP="001D453E">
      <w:pPr>
        <w:ind w:left="0" w:firstLine="0"/>
        <w:rPr>
          <w:color w:val="0000FF"/>
          <w:u w:val="single"/>
        </w:rPr>
      </w:pPr>
      <w:r w:rsidRPr="001D0B6F">
        <w:rPr>
          <w:color w:val="0000FF"/>
          <w:u w:val="single"/>
        </w:rPr>
        <w:t>Citation:</w:t>
      </w:r>
    </w:p>
    <w:p w14:paraId="088C018F" w14:textId="6F4DD3AA" w:rsidR="001D453E" w:rsidRDefault="001D453E" w:rsidP="001D453E">
      <w:pPr>
        <w:ind w:left="0" w:firstLine="0"/>
        <w:rPr>
          <w:color w:val="0000FF"/>
        </w:rPr>
      </w:pPr>
      <w:proofErr w:type="gramStart"/>
      <w:r>
        <w:rPr>
          <w:color w:val="0000FF"/>
        </w:rPr>
        <w:t>ASCO Guideline</w:t>
      </w:r>
      <w:r w:rsidR="00F16A43">
        <w:rPr>
          <w:color w:val="0000FF"/>
        </w:rPr>
        <w:t>s</w:t>
      </w:r>
      <w:r>
        <w:rPr>
          <w:color w:val="0000FF"/>
        </w:rPr>
        <w:t xml:space="preserve"> Methodology Supplement.</w:t>
      </w:r>
      <w:proofErr w:type="gramEnd"/>
      <w:r>
        <w:rPr>
          <w:color w:val="0000FF"/>
        </w:rPr>
        <w:t xml:space="preserve"> </w:t>
      </w:r>
      <w:r w:rsidR="00050D23">
        <w:rPr>
          <w:color w:val="0000FF"/>
        </w:rPr>
        <w:t xml:space="preserve">2015. </w:t>
      </w:r>
      <w:r w:rsidRPr="002E09F4">
        <w:rPr>
          <w:color w:val="0000FF"/>
        </w:rPr>
        <w:t xml:space="preserve">Recommendations for the Use of White Blood Cell Growth </w:t>
      </w:r>
      <w:r>
        <w:rPr>
          <w:color w:val="0000FF"/>
        </w:rPr>
        <w:t>F</w:t>
      </w:r>
      <w:r w:rsidRPr="002E09F4">
        <w:rPr>
          <w:color w:val="0000FF"/>
        </w:rPr>
        <w:t>actors: American Society of Clinical Oncology Clinical Practice Guideline Update</w:t>
      </w:r>
      <w:r>
        <w:rPr>
          <w:color w:val="0000FF"/>
        </w:rPr>
        <w:t xml:space="preserve">. </w:t>
      </w:r>
      <w:r w:rsidR="00F51164">
        <w:rPr>
          <w:color w:val="0000FF"/>
        </w:rPr>
        <w:t xml:space="preserve">Available </w:t>
      </w:r>
      <w:r w:rsidR="00A4188E">
        <w:rPr>
          <w:rFonts w:cs="Arial"/>
          <w:color w:val="0000FF"/>
        </w:rPr>
        <w:t xml:space="preserve">December 2, 2015, </w:t>
      </w:r>
      <w:r w:rsidR="00F51164">
        <w:rPr>
          <w:color w:val="0000FF"/>
        </w:rPr>
        <w:t xml:space="preserve">at </w:t>
      </w:r>
      <w:r w:rsidR="00F51164" w:rsidRPr="00747DBF">
        <w:rPr>
          <w:color w:val="0000FF"/>
        </w:rPr>
        <w:t>http://www.instituteforquality.org/sites/instituteforquality.org/files/METHODOLOGY%20SUPPLEMENT%20WBCGF.pdf</w:t>
      </w:r>
    </w:p>
    <w:p w14:paraId="7E247102" w14:textId="77777777" w:rsidR="001D453E" w:rsidRDefault="001D453E" w:rsidP="001D453E">
      <w:pPr>
        <w:ind w:left="0" w:firstLine="0"/>
        <w:rPr>
          <w:color w:val="0000FF"/>
        </w:rPr>
      </w:pPr>
    </w:p>
    <w:p w14:paraId="5710646B" w14:textId="77777777" w:rsidR="001D453E" w:rsidRPr="001D0B6F" w:rsidRDefault="001D453E" w:rsidP="001D453E">
      <w:pPr>
        <w:ind w:left="0" w:firstLine="0"/>
        <w:rPr>
          <w:color w:val="0000FF"/>
          <w:u w:val="single"/>
        </w:rPr>
      </w:pPr>
      <w:r w:rsidRPr="001D0B6F">
        <w:rPr>
          <w:color w:val="0000FF"/>
          <w:u w:val="single"/>
        </w:rPr>
        <w:t xml:space="preserve">URL: </w:t>
      </w:r>
    </w:p>
    <w:p w14:paraId="2AE93F1B" w14:textId="77777777" w:rsidR="001D453E" w:rsidRDefault="001D453E" w:rsidP="00022C44">
      <w:pPr>
        <w:ind w:left="0" w:firstLine="0"/>
        <w:rPr>
          <w:color w:val="0000FF"/>
        </w:rPr>
      </w:pPr>
      <w:r w:rsidRPr="00747DBF">
        <w:rPr>
          <w:color w:val="0000FF"/>
        </w:rPr>
        <w:t>http://www.instituteforquality.org/sites/instituteforquality.org/files/METHODOLOGY%20SUPPLEMENT%20WBCGF.pdf</w:t>
      </w:r>
    </w:p>
    <w:p w14:paraId="52087949" w14:textId="77777777" w:rsidR="005D0FDB" w:rsidRPr="003B1CC5" w:rsidRDefault="005D0FDB" w:rsidP="00EE5AF6">
      <w:pPr>
        <w:ind w:left="0" w:firstLine="0"/>
      </w:pPr>
    </w:p>
    <w:p w14:paraId="5208794A"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5208794B" w14:textId="77777777" w:rsidR="00C84623" w:rsidRPr="003B1CC5" w:rsidRDefault="00925F11" w:rsidP="00EE5AF6">
      <w:pPr>
        <w:ind w:left="0" w:firstLine="0"/>
        <w:rPr>
          <w:b/>
          <w:color w:val="0000FF"/>
        </w:rPr>
      </w:pPr>
      <w:r w:rsidRPr="003B1CC5">
        <w:rPr>
          <w:b/>
          <w:iCs/>
          <w:caps/>
        </w:rPr>
        <w:t>_________________________</w:t>
      </w:r>
    </w:p>
    <w:p w14:paraId="5208794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208794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3B1CC5" w:rsidRDefault="00CB1E41" w:rsidP="00EE5AF6">
      <w:pPr>
        <w:ind w:left="0" w:firstLine="0"/>
        <w:rPr>
          <w:b/>
          <w:color w:val="0000FF"/>
        </w:rPr>
      </w:pPr>
    </w:p>
    <w:p w14:paraId="5208794F" w14:textId="77777777"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7EB14CD3" w14:textId="77777777" w:rsidR="00F15FB5" w:rsidRDefault="00F15FB5" w:rsidP="00EE5AF6">
      <w:pPr>
        <w:ind w:left="0" w:firstLine="0"/>
      </w:pPr>
    </w:p>
    <w:p w14:paraId="72DD3635" w14:textId="0CB2F443" w:rsidR="00F15FB5" w:rsidRPr="00CA7F16" w:rsidRDefault="005758E6" w:rsidP="00EE5AF6">
      <w:pPr>
        <w:ind w:left="0" w:firstLine="0"/>
        <w:rPr>
          <w:color w:val="0000FF"/>
        </w:rPr>
      </w:pPr>
      <w:r w:rsidRPr="005758E6">
        <w:rPr>
          <w:b/>
          <w:color w:val="0000FF"/>
        </w:rPr>
        <w:t>2015 ASCO Clinical Practice Guideline Update:</w:t>
      </w:r>
      <w:r w:rsidRPr="005758E6">
        <w:rPr>
          <w:color w:val="0000FF"/>
        </w:rPr>
        <w:t xml:space="preserve"> </w:t>
      </w:r>
      <w:r w:rsidR="00F15FB5" w:rsidRPr="00CA7F16">
        <w:rPr>
          <w:color w:val="0000FF"/>
        </w:rPr>
        <w:t xml:space="preserve">To evaluate the effect of colony-stimulating factors (CSFs) on </w:t>
      </w:r>
      <w:r w:rsidR="00BF2CB8">
        <w:rPr>
          <w:color w:val="0000FF"/>
        </w:rPr>
        <w:t xml:space="preserve">clinical outcomes (e.g., </w:t>
      </w:r>
      <w:r w:rsidR="00F15FB5" w:rsidRPr="00CA7F16">
        <w:rPr>
          <w:color w:val="0000FF"/>
        </w:rPr>
        <w:t>febrile neutropenia</w:t>
      </w:r>
      <w:r w:rsidR="00BF2CB8">
        <w:rPr>
          <w:color w:val="0000FF"/>
        </w:rPr>
        <w:t xml:space="preserve">, </w:t>
      </w:r>
      <w:r w:rsidR="00BF2CB8" w:rsidRPr="00BF2CB8">
        <w:rPr>
          <w:color w:val="0000FF"/>
        </w:rPr>
        <w:t>all-cause and infection-related mortality</w:t>
      </w:r>
      <w:r w:rsidR="00BF2CB8">
        <w:rPr>
          <w:color w:val="0000FF"/>
        </w:rPr>
        <w:t>)</w:t>
      </w:r>
      <w:r w:rsidR="00F15FB5" w:rsidRPr="00CA7F16">
        <w:rPr>
          <w:color w:val="0000FF"/>
        </w:rPr>
        <w:t xml:space="preserve"> in adults or children with a solid tumor or lymphoma treated with chemotherapy </w:t>
      </w:r>
    </w:p>
    <w:p w14:paraId="52087950" w14:textId="77777777" w:rsidR="00EE5AF6" w:rsidRPr="003B1CC5" w:rsidRDefault="00EE5AF6" w:rsidP="00EE5AF6">
      <w:pPr>
        <w:ind w:left="0" w:firstLine="0"/>
      </w:pPr>
    </w:p>
    <w:p w14:paraId="52087951" w14:textId="77777777" w:rsidR="00095EC9"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1D82FD7A" w14:textId="77777777" w:rsidR="00CA7F16" w:rsidRDefault="00CA7F16" w:rsidP="00EA79C9">
      <w:pPr>
        <w:ind w:left="0" w:firstLine="0"/>
      </w:pPr>
    </w:p>
    <w:p w14:paraId="2EBB70DD" w14:textId="669B7A02" w:rsidR="00CA7F16" w:rsidRPr="00454DD9" w:rsidRDefault="00CA7F16" w:rsidP="00CA7F16">
      <w:pPr>
        <w:ind w:left="0" w:firstLine="0"/>
        <w:rPr>
          <w:color w:val="0000FF"/>
          <w:u w:val="single"/>
        </w:rPr>
      </w:pPr>
      <w:r w:rsidRPr="00454DD9">
        <w:rPr>
          <w:color w:val="0000FF"/>
          <w:u w:val="single"/>
        </w:rPr>
        <w:t xml:space="preserve">Grade assigned to the </w:t>
      </w:r>
      <w:r w:rsidR="000660BB">
        <w:rPr>
          <w:color w:val="0000FF"/>
          <w:u w:val="single"/>
        </w:rPr>
        <w:t>evidence</w:t>
      </w:r>
      <w:r w:rsidRPr="00454DD9">
        <w:rPr>
          <w:color w:val="0000FF"/>
          <w:u w:val="single"/>
        </w:rPr>
        <w:t>:</w:t>
      </w:r>
    </w:p>
    <w:p w14:paraId="703BE79F" w14:textId="713D8E03" w:rsidR="00CA7F16" w:rsidRDefault="00CA7F16" w:rsidP="00CA7F16">
      <w:pPr>
        <w:ind w:left="0" w:firstLine="0"/>
        <w:rPr>
          <w:color w:val="0000FF"/>
        </w:rPr>
      </w:pPr>
      <w:r w:rsidRPr="001410AE">
        <w:rPr>
          <w:color w:val="0000FF"/>
        </w:rPr>
        <w:t xml:space="preserve">Evidence quality: </w:t>
      </w:r>
      <w:r w:rsidRPr="00AA2F8F">
        <w:rPr>
          <w:color w:val="0000FF"/>
        </w:rPr>
        <w:t>high</w:t>
      </w:r>
      <w:r w:rsidR="00AA2F8F" w:rsidRPr="00AA2F8F">
        <w:rPr>
          <w:color w:val="0000FF"/>
        </w:rPr>
        <w:t xml:space="preserve"> (page 3203 of </w:t>
      </w:r>
      <w:r w:rsidR="00AE74A6">
        <w:rPr>
          <w:color w:val="0000FF"/>
        </w:rPr>
        <w:t xml:space="preserve">2015 </w:t>
      </w:r>
      <w:r w:rsidR="00AA2F8F" w:rsidRPr="00AA2F8F">
        <w:rPr>
          <w:color w:val="0000FF"/>
        </w:rPr>
        <w:t>ASCO Clinical Practice Guideline Update</w:t>
      </w:r>
      <w:r w:rsidR="00AA2F8F">
        <w:rPr>
          <w:color w:val="0000FF"/>
        </w:rPr>
        <w:t xml:space="preserve">; </w:t>
      </w:r>
      <w:r w:rsidR="00AA2F8F" w:rsidRPr="00AA2F8F">
        <w:rPr>
          <w:color w:val="0000FF"/>
        </w:rPr>
        <w:t>see complete citation in Section 1a.4.1 above</w:t>
      </w:r>
      <w:r w:rsidR="00AA2F8F">
        <w:rPr>
          <w:color w:val="0000FF"/>
        </w:rPr>
        <w:t>)</w:t>
      </w:r>
    </w:p>
    <w:p w14:paraId="2004E0A7" w14:textId="77777777" w:rsidR="00CA7F16" w:rsidRDefault="00CA7F16" w:rsidP="00CA7F16">
      <w:pPr>
        <w:ind w:left="0" w:firstLine="0"/>
        <w:rPr>
          <w:color w:val="0000FF"/>
        </w:rPr>
      </w:pPr>
    </w:p>
    <w:p w14:paraId="5E9BE4DB" w14:textId="617E0B9D" w:rsidR="00CA7F16" w:rsidRPr="001D0B6F" w:rsidRDefault="00CA7F16" w:rsidP="00CA7F16">
      <w:pPr>
        <w:ind w:left="0" w:firstLine="0"/>
        <w:rPr>
          <w:color w:val="0000FF"/>
          <w:u w:val="single"/>
        </w:rPr>
      </w:pPr>
      <w:r w:rsidRPr="001D0B6F">
        <w:rPr>
          <w:color w:val="0000FF"/>
          <w:u w:val="single"/>
        </w:rPr>
        <w:t>Definition of Rating for Strength of Evidence</w:t>
      </w:r>
      <w:r w:rsidR="00AA2F8F" w:rsidRPr="001D0B6F">
        <w:rPr>
          <w:color w:val="0000FF"/>
          <w:u w:val="single"/>
        </w:rPr>
        <w:t xml:space="preserve"> (page 9 of </w:t>
      </w:r>
      <w:r w:rsidR="00AE74A6" w:rsidRPr="001D0B6F">
        <w:rPr>
          <w:color w:val="0000FF"/>
          <w:u w:val="single"/>
        </w:rPr>
        <w:t xml:space="preserve">2015 </w:t>
      </w:r>
      <w:r w:rsidR="00AA2F8F" w:rsidRPr="001D0B6F">
        <w:rPr>
          <w:color w:val="0000FF"/>
          <w:u w:val="single"/>
        </w:rPr>
        <w:t>ASCO Guideline Methodology Supplement; see complete citation in Section 1a.4.5 above)</w:t>
      </w:r>
      <w:r w:rsidRPr="001D0B6F">
        <w:rPr>
          <w:color w:val="0000FF"/>
          <w:u w:val="single"/>
        </w:rPr>
        <w:t>:</w:t>
      </w:r>
    </w:p>
    <w:p w14:paraId="1DA785FE" w14:textId="487991A2" w:rsidR="00CA7F16" w:rsidRDefault="00AA2F8F" w:rsidP="00CA7F16">
      <w:pPr>
        <w:ind w:left="0" w:firstLine="0"/>
        <w:rPr>
          <w:color w:val="0000FF"/>
        </w:rPr>
      </w:pPr>
      <w:r>
        <w:rPr>
          <w:color w:val="0000FF"/>
        </w:rPr>
        <w:t>“</w:t>
      </w:r>
      <w:r w:rsidR="00CA7F16">
        <w:rPr>
          <w:color w:val="0000FF"/>
        </w:rPr>
        <w:t>High=</w:t>
      </w:r>
      <w:r w:rsidR="00CA7F16" w:rsidRPr="00370E05">
        <w:t xml:space="preserve"> </w:t>
      </w:r>
      <w:r w:rsidR="00CA7F16" w:rsidRPr="00370E05">
        <w:rPr>
          <w:color w:val="0000FF"/>
        </w:rPr>
        <w:t>High confidence that the available evidence reflects the true magnitude and direction of the net effect (i.e., balance of benefits v harms) and that further research is very unlikely to change either the magnitude or direction of this net effect.</w:t>
      </w:r>
      <w:r>
        <w:rPr>
          <w:color w:val="0000FF"/>
        </w:rPr>
        <w:t>”</w:t>
      </w:r>
    </w:p>
    <w:p w14:paraId="3ECC3259" w14:textId="77777777" w:rsidR="00CA7F16" w:rsidRDefault="00CA7F16" w:rsidP="00CA7F16">
      <w:pPr>
        <w:ind w:left="0" w:firstLine="0"/>
        <w:rPr>
          <w:color w:val="0000FF"/>
        </w:rPr>
      </w:pPr>
    </w:p>
    <w:p w14:paraId="52087953"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52087954" w14:textId="77777777" w:rsidR="00A12762" w:rsidRDefault="00A12762" w:rsidP="002E2177">
      <w:pPr>
        <w:ind w:left="0" w:firstLine="0"/>
        <w:rPr>
          <w:noProof/>
        </w:rPr>
      </w:pPr>
    </w:p>
    <w:p w14:paraId="08FE43FD" w14:textId="3B90700F" w:rsidR="00CA7F16" w:rsidRPr="001D0B6F" w:rsidRDefault="00CA7F16" w:rsidP="00CA7F16">
      <w:pPr>
        <w:ind w:left="0" w:firstLine="0"/>
        <w:rPr>
          <w:color w:val="0000FF"/>
          <w:u w:val="single"/>
        </w:rPr>
      </w:pPr>
      <w:r w:rsidRPr="001D0B6F">
        <w:rPr>
          <w:color w:val="0000FF"/>
          <w:u w:val="single"/>
        </w:rPr>
        <w:t xml:space="preserve">Definition of </w:t>
      </w:r>
      <w:r w:rsidR="00217867" w:rsidRPr="001D0B6F">
        <w:rPr>
          <w:color w:val="0000FF"/>
          <w:u w:val="single"/>
        </w:rPr>
        <w:t xml:space="preserve">All </w:t>
      </w:r>
      <w:r w:rsidR="00DB0268" w:rsidRPr="001D0B6F">
        <w:rPr>
          <w:color w:val="0000FF"/>
          <w:u w:val="single"/>
        </w:rPr>
        <w:t xml:space="preserve">Other </w:t>
      </w:r>
      <w:r w:rsidRPr="001D0B6F">
        <w:rPr>
          <w:color w:val="0000FF"/>
          <w:u w:val="single"/>
        </w:rPr>
        <w:t>Rating</w:t>
      </w:r>
      <w:r w:rsidR="00DB0268" w:rsidRPr="001D0B6F">
        <w:rPr>
          <w:color w:val="0000FF"/>
          <w:u w:val="single"/>
        </w:rPr>
        <w:t>s</w:t>
      </w:r>
      <w:r w:rsidRPr="001D0B6F">
        <w:rPr>
          <w:color w:val="0000FF"/>
          <w:u w:val="single"/>
        </w:rPr>
        <w:t xml:space="preserve"> for Strength of Evidence</w:t>
      </w:r>
      <w:r w:rsidR="00AA2F8F" w:rsidRPr="001D0B6F">
        <w:rPr>
          <w:color w:val="0000FF"/>
          <w:u w:val="single"/>
        </w:rPr>
        <w:t xml:space="preserve"> (page 9 of </w:t>
      </w:r>
      <w:r w:rsidR="00AE74A6" w:rsidRPr="001D0B6F">
        <w:rPr>
          <w:color w:val="0000FF"/>
          <w:u w:val="single"/>
        </w:rPr>
        <w:t xml:space="preserve">2015 </w:t>
      </w:r>
      <w:r w:rsidR="00AA2F8F" w:rsidRPr="001D0B6F">
        <w:rPr>
          <w:color w:val="0000FF"/>
          <w:u w:val="single"/>
        </w:rPr>
        <w:t>ASCO Guideline Methodology Supplement; see complete citation in Section 1a.4.5 above)</w:t>
      </w:r>
      <w:r w:rsidRPr="001D0B6F">
        <w:rPr>
          <w:color w:val="0000FF"/>
          <w:u w:val="single"/>
        </w:rPr>
        <w:t>:</w:t>
      </w:r>
    </w:p>
    <w:p w14:paraId="446BC89E" w14:textId="77777777" w:rsidR="006705C0" w:rsidRDefault="006705C0" w:rsidP="00CA7F16">
      <w:pPr>
        <w:ind w:left="0" w:firstLine="0"/>
        <w:rPr>
          <w:color w:val="0000FF"/>
        </w:rPr>
      </w:pPr>
    </w:p>
    <w:p w14:paraId="64C07C3C" w14:textId="3F16A571" w:rsidR="00CA7F16" w:rsidRDefault="006705C0" w:rsidP="00CA7F16">
      <w:pPr>
        <w:ind w:left="0" w:firstLine="0"/>
        <w:rPr>
          <w:color w:val="0000FF"/>
        </w:rPr>
      </w:pPr>
      <w:r>
        <w:rPr>
          <w:color w:val="0000FF"/>
        </w:rPr>
        <w:lastRenderedPageBreak/>
        <w:t>“</w:t>
      </w:r>
      <w:r w:rsidR="007B5AD4" w:rsidRPr="007B5AD4">
        <w:rPr>
          <w:color w:val="0000FF"/>
        </w:rPr>
        <w:t>Intermediate</w:t>
      </w:r>
      <w:r w:rsidR="007B5AD4">
        <w:rPr>
          <w:color w:val="0000FF"/>
        </w:rPr>
        <w:t>:</w:t>
      </w:r>
      <w:r>
        <w:rPr>
          <w:color w:val="0000FF"/>
        </w:rPr>
        <w:t xml:space="preserve"> </w:t>
      </w:r>
      <w:r w:rsidRPr="006705C0">
        <w:rPr>
          <w:color w:val="0000FF"/>
        </w:rPr>
        <w:t>Moderate confidence that the available evidence reflects the true magnitude and direction of the net effect. Further research is unlikely to alter the direction of the net effect; however, it might alter the magnitude of the net effect.</w:t>
      </w:r>
      <w:r>
        <w:rPr>
          <w:color w:val="0000FF"/>
        </w:rPr>
        <w:t>“</w:t>
      </w:r>
    </w:p>
    <w:p w14:paraId="789207DC" w14:textId="77777777" w:rsidR="007B5AD4" w:rsidRDefault="007B5AD4" w:rsidP="00CA7F16">
      <w:pPr>
        <w:ind w:left="0" w:firstLine="0"/>
        <w:rPr>
          <w:color w:val="0000FF"/>
        </w:rPr>
      </w:pPr>
    </w:p>
    <w:p w14:paraId="15447172" w14:textId="2F82918D" w:rsidR="007B5AD4" w:rsidRDefault="006705C0" w:rsidP="00CA7F16">
      <w:pPr>
        <w:ind w:left="0" w:firstLine="0"/>
        <w:rPr>
          <w:color w:val="0000FF"/>
        </w:rPr>
      </w:pPr>
      <w:r>
        <w:rPr>
          <w:color w:val="0000FF"/>
        </w:rPr>
        <w:t>“</w:t>
      </w:r>
      <w:r w:rsidR="007B5AD4" w:rsidRPr="007B5AD4">
        <w:rPr>
          <w:color w:val="0000FF"/>
        </w:rPr>
        <w:t>Low</w:t>
      </w:r>
      <w:r w:rsidR="007B5AD4">
        <w:rPr>
          <w:color w:val="0000FF"/>
        </w:rPr>
        <w:t>:</w:t>
      </w:r>
      <w:r>
        <w:rPr>
          <w:color w:val="0000FF"/>
        </w:rPr>
        <w:t xml:space="preserve"> </w:t>
      </w:r>
      <w:r w:rsidRPr="006705C0">
        <w:rPr>
          <w:color w:val="0000FF"/>
        </w:rPr>
        <w:t>Low confidence that the available evidence reflects the true magnitude and direction of the net effect. Further research may change either the magnitude and/or direction this net effect.</w:t>
      </w:r>
      <w:r>
        <w:rPr>
          <w:color w:val="0000FF"/>
        </w:rPr>
        <w:t>“</w:t>
      </w:r>
    </w:p>
    <w:p w14:paraId="0B243887" w14:textId="77777777" w:rsidR="007B5AD4" w:rsidRDefault="007B5AD4" w:rsidP="00CA7F16">
      <w:pPr>
        <w:ind w:left="0" w:firstLine="0"/>
        <w:rPr>
          <w:color w:val="0000FF"/>
        </w:rPr>
      </w:pPr>
    </w:p>
    <w:p w14:paraId="1CB7BF10" w14:textId="57569442" w:rsidR="007B5AD4" w:rsidRDefault="00217867" w:rsidP="00CA7F16">
      <w:pPr>
        <w:ind w:left="0" w:firstLine="0"/>
        <w:rPr>
          <w:color w:val="0000FF"/>
        </w:rPr>
      </w:pPr>
      <w:r>
        <w:rPr>
          <w:color w:val="0000FF"/>
        </w:rPr>
        <w:t>“</w:t>
      </w:r>
      <w:r w:rsidR="007B5AD4" w:rsidRPr="007B5AD4">
        <w:rPr>
          <w:color w:val="0000FF"/>
        </w:rPr>
        <w:t>Insufficient</w:t>
      </w:r>
      <w:r w:rsidR="007B5AD4">
        <w:rPr>
          <w:color w:val="0000FF"/>
        </w:rPr>
        <w:t>:</w:t>
      </w:r>
      <w:r>
        <w:rPr>
          <w:color w:val="0000FF"/>
        </w:rPr>
        <w:t xml:space="preserve"> </w:t>
      </w:r>
      <w:r w:rsidRPr="00217867">
        <w:rPr>
          <w:color w:val="0000FF"/>
        </w:rPr>
        <w:t>Evidence is insufficient to discern the true magnitude and direction of the net effect. Further research may better inform the topic. The use of the consensus opinion of experts is reasonable to inform outcomes related to the topic.</w:t>
      </w:r>
      <w:r>
        <w:rPr>
          <w:color w:val="0000FF"/>
        </w:rPr>
        <w:t>“</w:t>
      </w:r>
    </w:p>
    <w:p w14:paraId="1147D446" w14:textId="48515A19" w:rsidR="007B5AD4" w:rsidRPr="006B2A23" w:rsidRDefault="007B5AD4" w:rsidP="00CA7F16">
      <w:pPr>
        <w:ind w:left="0" w:firstLine="0"/>
        <w:rPr>
          <w:color w:val="0033CC"/>
        </w:rPr>
      </w:pPr>
    </w:p>
    <w:p w14:paraId="52087955" w14:textId="515BE9D6"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u w:val="none"/>
          </w:rPr>
          <w:id w:val="-1666395719"/>
        </w:sdtPr>
        <w:sdtEndPr>
          <w:rPr>
            <w:rStyle w:val="DefaultParagraphFont"/>
            <w:color w:val="auto"/>
          </w:rPr>
        </w:sdtEndPr>
        <w:sdtContent>
          <w:r w:rsidR="00B359EB">
            <w:rPr>
              <w:rStyle w:val="Style2"/>
              <w:u w:val="none"/>
            </w:rPr>
            <w:t>199</w:t>
          </w:r>
          <w:r w:rsidR="00AD7B06">
            <w:rPr>
              <w:rStyle w:val="Style2"/>
              <w:u w:val="none"/>
            </w:rPr>
            <w:t>2</w:t>
          </w:r>
          <w:r w:rsidR="00B359EB">
            <w:rPr>
              <w:rStyle w:val="Style2"/>
              <w:u w:val="none"/>
            </w:rPr>
            <w:t>-2010</w:t>
          </w:r>
        </w:sdtContent>
      </w:sdt>
    </w:p>
    <w:p w14:paraId="52087956" w14:textId="77777777" w:rsidR="00496AF8" w:rsidRPr="003B1CC5" w:rsidRDefault="00496AF8" w:rsidP="002E2177">
      <w:pPr>
        <w:ind w:left="0" w:firstLine="0"/>
        <w:rPr>
          <w:noProof/>
        </w:rPr>
      </w:pPr>
    </w:p>
    <w:p w14:paraId="52087958" w14:textId="77777777" w:rsidR="00496AF8" w:rsidRPr="003B1CC5" w:rsidRDefault="00C5180E" w:rsidP="002E2177">
      <w:pPr>
        <w:ind w:left="0" w:firstLine="0"/>
        <w:rPr>
          <w:b/>
        </w:rPr>
      </w:pPr>
      <w:r w:rsidRPr="003B1CC5">
        <w:rPr>
          <w:b/>
          <w:noProof/>
        </w:rPr>
        <w:t>QUANTITY AND QUALITY OF BODY OF EVIDENCE</w:t>
      </w:r>
    </w:p>
    <w:p w14:paraId="52087959" w14:textId="77777777"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687E86A3" w14:textId="77777777" w:rsidR="00DB0268" w:rsidRDefault="00DB0268" w:rsidP="002E2177">
      <w:pPr>
        <w:ind w:left="432" w:hanging="432"/>
      </w:pPr>
    </w:p>
    <w:p w14:paraId="59001486" w14:textId="72F9658A" w:rsidR="00DB0268" w:rsidRPr="00DF1125" w:rsidRDefault="009533E8" w:rsidP="00ED7253">
      <w:pPr>
        <w:ind w:left="0" w:firstLine="0"/>
        <w:rPr>
          <w:color w:val="0000FF"/>
        </w:rPr>
      </w:pPr>
      <w:r>
        <w:rPr>
          <w:color w:val="0000FF"/>
        </w:rPr>
        <w:t>Seven</w:t>
      </w:r>
      <w:r w:rsidRPr="00DF1125">
        <w:rPr>
          <w:color w:val="0000FF"/>
        </w:rPr>
        <w:t xml:space="preserve"> </w:t>
      </w:r>
      <w:r w:rsidR="00ED7253" w:rsidRPr="00DF1125">
        <w:rPr>
          <w:color w:val="0000FF"/>
        </w:rPr>
        <w:t xml:space="preserve">meta-analyses, </w:t>
      </w:r>
      <w:r>
        <w:rPr>
          <w:color w:val="0000FF"/>
        </w:rPr>
        <w:t>two</w:t>
      </w:r>
      <w:r w:rsidR="00ED7253" w:rsidRPr="00DF1125">
        <w:rPr>
          <w:color w:val="0000FF"/>
        </w:rPr>
        <w:t xml:space="preserve"> RCTs, and </w:t>
      </w:r>
      <w:r>
        <w:rPr>
          <w:color w:val="0000FF"/>
        </w:rPr>
        <w:t>one</w:t>
      </w:r>
      <w:r w:rsidRPr="00DF1125">
        <w:rPr>
          <w:color w:val="0000FF"/>
        </w:rPr>
        <w:t xml:space="preserve"> </w:t>
      </w:r>
      <w:r w:rsidR="00ED7253" w:rsidRPr="00DF1125">
        <w:rPr>
          <w:color w:val="0000FF"/>
        </w:rPr>
        <w:t xml:space="preserve">systematic review are included in the body of evidence cited </w:t>
      </w:r>
      <w:r w:rsidR="00953457" w:rsidRPr="00DF1125">
        <w:rPr>
          <w:color w:val="0000FF"/>
        </w:rPr>
        <w:t>as support</w:t>
      </w:r>
      <w:r w:rsidR="00ED7253" w:rsidRPr="00DF1125">
        <w:rPr>
          <w:color w:val="0000FF"/>
        </w:rPr>
        <w:t xml:space="preserve"> </w:t>
      </w:r>
      <w:r w:rsidR="00953457" w:rsidRPr="00DF1125">
        <w:rPr>
          <w:color w:val="0000FF"/>
        </w:rPr>
        <w:t xml:space="preserve">for Recommendation 1 in </w:t>
      </w:r>
      <w:r w:rsidR="00ED7253" w:rsidRPr="00DF1125">
        <w:rPr>
          <w:color w:val="0000FF"/>
        </w:rPr>
        <w:t xml:space="preserve">the 2015 Recommendations </w:t>
      </w:r>
      <w:r w:rsidR="00953457" w:rsidRPr="00DF1125">
        <w:rPr>
          <w:color w:val="0000FF"/>
        </w:rPr>
        <w:t xml:space="preserve">in </w:t>
      </w:r>
      <w:r w:rsidR="00ED7253" w:rsidRPr="00DF1125">
        <w:rPr>
          <w:color w:val="0000FF"/>
        </w:rPr>
        <w:t xml:space="preserve">the Use of WBC Growth Factors: American Society of Clinical Oncology Clinical Practice Guideline Update (see Section 1a.4.1 </w:t>
      </w:r>
      <w:r w:rsidR="006A7DDE">
        <w:rPr>
          <w:color w:val="0000FF"/>
        </w:rPr>
        <w:t xml:space="preserve">in this form </w:t>
      </w:r>
      <w:r w:rsidR="00ED7253" w:rsidRPr="00DF1125">
        <w:rPr>
          <w:color w:val="0000FF"/>
        </w:rPr>
        <w:t>for complete citation</w:t>
      </w:r>
      <w:r w:rsidR="00392248" w:rsidRPr="00DF1125">
        <w:rPr>
          <w:color w:val="0000FF"/>
        </w:rPr>
        <w:t xml:space="preserve"> of this Guideline</w:t>
      </w:r>
      <w:r w:rsidR="00ED7253" w:rsidRPr="00DF1125">
        <w:rPr>
          <w:color w:val="0000FF"/>
        </w:rPr>
        <w:t>)</w:t>
      </w:r>
      <w:r w:rsidR="00683C4F">
        <w:rPr>
          <w:color w:val="0000FF"/>
        </w:rPr>
        <w:t>.</w:t>
      </w:r>
      <w:r w:rsidR="00B8316D">
        <w:rPr>
          <w:color w:val="0000FF"/>
        </w:rPr>
        <w:t xml:space="preserve"> </w:t>
      </w:r>
      <w:r w:rsidR="003534DC">
        <w:rPr>
          <w:color w:val="0000FF"/>
        </w:rPr>
        <w:t>O</w:t>
      </w:r>
      <w:r w:rsidR="005D1C45">
        <w:rPr>
          <w:color w:val="0000FF"/>
        </w:rPr>
        <w:t>ne meta-analysis, three clinical practice guidelines, one RCT,</w:t>
      </w:r>
      <w:r w:rsidR="00141DC9">
        <w:rPr>
          <w:color w:val="0000FF"/>
        </w:rPr>
        <w:t xml:space="preserve"> and one systematic review</w:t>
      </w:r>
      <w:r w:rsidR="003534DC">
        <w:rPr>
          <w:color w:val="0000FF"/>
        </w:rPr>
        <w:t xml:space="preserve"> </w:t>
      </w:r>
      <w:r w:rsidR="00415B63">
        <w:rPr>
          <w:color w:val="0000FF"/>
        </w:rPr>
        <w:t>which were cited by the ASCO Guidelines were excluded from</w:t>
      </w:r>
      <w:r w:rsidR="003534DC">
        <w:rPr>
          <w:color w:val="0000FF"/>
        </w:rPr>
        <w:t xml:space="preserve"> </w:t>
      </w:r>
      <w:r w:rsidR="00415B63">
        <w:rPr>
          <w:color w:val="0000FF"/>
        </w:rPr>
        <w:t xml:space="preserve">this Measure Submission Form because they </w:t>
      </w:r>
      <w:r w:rsidR="00103968">
        <w:rPr>
          <w:color w:val="0000FF"/>
        </w:rPr>
        <w:t xml:space="preserve">do not provide specific evidence to support </w:t>
      </w:r>
      <w:r w:rsidR="00415B63">
        <w:rPr>
          <w:color w:val="0000FF"/>
        </w:rPr>
        <w:t>the measure topic</w:t>
      </w:r>
      <w:r w:rsidR="00141DC9">
        <w:rPr>
          <w:color w:val="0000FF"/>
        </w:rPr>
        <w:t>.</w:t>
      </w:r>
      <w:r w:rsidR="005D1C45">
        <w:rPr>
          <w:color w:val="0000FF"/>
        </w:rPr>
        <w:t xml:space="preserve"> </w:t>
      </w:r>
    </w:p>
    <w:p w14:paraId="5208795A" w14:textId="77777777" w:rsidR="00496AF8" w:rsidRPr="003B1CC5" w:rsidRDefault="00496AF8" w:rsidP="002E2177">
      <w:pPr>
        <w:ind w:left="0" w:firstLine="0"/>
      </w:pPr>
    </w:p>
    <w:p w14:paraId="5208795B"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208795D" w14:textId="77777777" w:rsidR="00D14F0B" w:rsidRDefault="00D14F0B" w:rsidP="002E2177">
      <w:pPr>
        <w:ind w:left="0" w:firstLine="0"/>
      </w:pPr>
    </w:p>
    <w:p w14:paraId="4DDF92D1" w14:textId="210C1D80" w:rsidR="004648D2" w:rsidRDefault="00B8316D" w:rsidP="002E2177">
      <w:pPr>
        <w:ind w:left="0" w:firstLine="0"/>
      </w:pPr>
      <w:r w:rsidRPr="004648D2">
        <w:rPr>
          <w:color w:val="0000FF"/>
        </w:rPr>
        <w:t>For</w:t>
      </w:r>
      <w:r w:rsidR="007C657C" w:rsidRPr="004648D2">
        <w:rPr>
          <w:color w:val="0000FF"/>
        </w:rPr>
        <w:t xml:space="preserve"> </w:t>
      </w:r>
      <w:r w:rsidR="004648D2" w:rsidRPr="004648D2">
        <w:rPr>
          <w:color w:val="0000FF"/>
        </w:rPr>
        <w:t xml:space="preserve">information </w:t>
      </w:r>
      <w:r w:rsidR="004648D2">
        <w:rPr>
          <w:color w:val="0000FF"/>
        </w:rPr>
        <w:t xml:space="preserve">related to </w:t>
      </w:r>
      <w:r w:rsidR="007C657C" w:rsidRPr="004648D2">
        <w:rPr>
          <w:color w:val="0000FF"/>
        </w:rPr>
        <w:t>the</w:t>
      </w:r>
      <w:r w:rsidR="007C657C" w:rsidRPr="007C657C">
        <w:rPr>
          <w:color w:val="0000FF"/>
        </w:rPr>
        <w:t xml:space="preserve"> </w:t>
      </w:r>
      <w:r w:rsidR="003B28D7">
        <w:rPr>
          <w:color w:val="0000FF"/>
        </w:rPr>
        <w:t>“</w:t>
      </w:r>
      <w:r w:rsidR="007C657C" w:rsidRPr="007C657C">
        <w:rPr>
          <w:color w:val="0000FF"/>
        </w:rPr>
        <w:t>overall quality of evidence across studies</w:t>
      </w:r>
      <w:r w:rsidR="003B28D7">
        <w:rPr>
          <w:color w:val="0000FF"/>
        </w:rPr>
        <w:t>”</w:t>
      </w:r>
      <w:r w:rsidRPr="001D0B6F">
        <w:rPr>
          <w:color w:val="0000FF"/>
        </w:rPr>
        <w:t xml:space="preserve">, see </w:t>
      </w:r>
      <w:r w:rsidR="005751EB">
        <w:rPr>
          <w:color w:val="0000FF"/>
        </w:rPr>
        <w:t xml:space="preserve">“Appendix Table 2. </w:t>
      </w:r>
      <w:r w:rsidR="005751EB" w:rsidRPr="005751EB">
        <w:rPr>
          <w:color w:val="0000FF"/>
        </w:rPr>
        <w:t>Quality of Methods Used in Studies Cited in Support of Recommendation 1 by ASCO Guidelines on the Use of WBC Growth Factors (Smith et al., 2015)</w:t>
      </w:r>
      <w:r w:rsidR="005751EB">
        <w:rPr>
          <w:color w:val="0000FF"/>
        </w:rPr>
        <w:t xml:space="preserve">” in </w:t>
      </w:r>
      <w:r w:rsidR="005751EB" w:rsidRPr="001D0B6F">
        <w:rPr>
          <w:color w:val="0000FF"/>
        </w:rPr>
        <w:t xml:space="preserve">the </w:t>
      </w:r>
      <w:r w:rsidR="005751EB">
        <w:rPr>
          <w:color w:val="0000FF"/>
        </w:rPr>
        <w:t>Appendix below</w:t>
      </w:r>
      <w:r w:rsidR="005751EB" w:rsidRPr="001D0B6F">
        <w:rPr>
          <w:color w:val="0000FF"/>
        </w:rPr>
        <w:t>.</w:t>
      </w:r>
    </w:p>
    <w:p w14:paraId="3072A3EE" w14:textId="77777777" w:rsidR="004648D2" w:rsidRPr="003B1CC5" w:rsidRDefault="004648D2" w:rsidP="002E2177">
      <w:pPr>
        <w:ind w:left="0" w:firstLine="0"/>
      </w:pPr>
    </w:p>
    <w:p w14:paraId="5208795E" w14:textId="77777777" w:rsidR="00496AF8" w:rsidRPr="003B1CC5" w:rsidRDefault="00C5180E" w:rsidP="002E2177">
      <w:pPr>
        <w:ind w:left="0" w:firstLine="0"/>
        <w:rPr>
          <w:b/>
        </w:rPr>
      </w:pPr>
      <w:r w:rsidRPr="003B1CC5">
        <w:rPr>
          <w:b/>
        </w:rPr>
        <w:t>ESTIMATES OF BENEFIT AND CONSISTENCY ACROSS STUDIES IN BODY OF EVIDENCE</w:t>
      </w:r>
    </w:p>
    <w:p w14:paraId="5208795F"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2087961" w14:textId="77777777" w:rsidR="009B5BEA" w:rsidRPr="00BD538B" w:rsidRDefault="009B5BEA" w:rsidP="002E2177">
      <w:pPr>
        <w:ind w:left="0" w:firstLine="0"/>
        <w:rPr>
          <w:color w:val="0000FF"/>
        </w:rPr>
      </w:pPr>
    </w:p>
    <w:p w14:paraId="37C72AFD" w14:textId="4FBE7609" w:rsidR="00EF5215" w:rsidRPr="001D0B6F" w:rsidRDefault="007D5939" w:rsidP="002E2177">
      <w:pPr>
        <w:ind w:left="0" w:firstLine="0"/>
        <w:rPr>
          <w:b/>
          <w:color w:val="0000FF"/>
        </w:rPr>
      </w:pPr>
      <w:r w:rsidRPr="001D0B6F">
        <w:rPr>
          <w:b/>
          <w:color w:val="0000FF"/>
        </w:rPr>
        <w:t xml:space="preserve">Excerpt from </w:t>
      </w:r>
      <w:r w:rsidR="003360E7" w:rsidRPr="001D0B6F">
        <w:rPr>
          <w:b/>
          <w:color w:val="0000FF"/>
        </w:rPr>
        <w:t xml:space="preserve">page 3203 of the </w:t>
      </w:r>
      <w:r w:rsidRPr="001D0B6F">
        <w:rPr>
          <w:rFonts w:cs="Arial"/>
          <w:b/>
          <w:color w:val="0000FF"/>
        </w:rPr>
        <w:t>2015 ASCO Clinical Practice Guideline Update (see complete citation in Section 1a.4.1 above):</w:t>
      </w:r>
    </w:p>
    <w:p w14:paraId="2E6D6543" w14:textId="09FA83AE" w:rsidR="00EF5215" w:rsidRPr="001D0B6F" w:rsidRDefault="00EF5215" w:rsidP="00EF5215">
      <w:pPr>
        <w:ind w:left="0" w:firstLine="0"/>
        <w:rPr>
          <w:color w:val="0000FF"/>
        </w:rPr>
      </w:pPr>
      <w:r w:rsidRPr="001D0B6F">
        <w:rPr>
          <w:color w:val="0000FF"/>
        </w:rPr>
        <w:t>“</w:t>
      </w:r>
      <w:r w:rsidR="003360E7" w:rsidRPr="001D0B6F">
        <w:rPr>
          <w:color w:val="0000FF"/>
        </w:rPr>
        <w:t xml:space="preserve">Of the 16 publications that addressed primary prophylaxis (eight meta-analyses, three clinical practice guidelines, three RCTs, and two systematic reviews), none prompted a change in the level of febrile neutropenia risk warranting primary prophylaxis with a CSF. … </w:t>
      </w:r>
      <w:r w:rsidR="003360E7" w:rsidRPr="00785520">
        <w:rPr>
          <w:b/>
          <w:i/>
          <w:color w:val="0000FF"/>
        </w:rPr>
        <w:t>The 20% cutoff for febrile neutropenia risk has been maintained from the 2005 guideline based on the evidence from randomized trials, especially the trial of CSFs in patients with breast cancer</w:t>
      </w:r>
      <w:r w:rsidR="00123888" w:rsidRPr="001D0B6F">
        <w:rPr>
          <w:color w:val="0000FF"/>
        </w:rPr>
        <w:t xml:space="preserve"> </w:t>
      </w:r>
      <w:r w:rsidR="006650D9">
        <w:rPr>
          <w:color w:val="0000FF"/>
        </w:rPr>
        <w:fldChar w:fldCharType="begin">
          <w:fldData xml:space="preserve">PEVuZE5vdGU+PENpdGU+PEF1dGhvcj5Wb2dlbDwvQXV0aG9yPjxZZWFyPjIwMDU8L1llYXI+PFJl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</w:fldData>
        </w:fldChar>
      </w:r>
      <w:r w:rsidR="006650D9">
        <w:rPr>
          <w:color w:val="0000FF"/>
        </w:rPr>
        <w:instrText xml:space="preserve"> ADDIN EN.CITE </w:instrText>
      </w:r>
      <w:r w:rsidR="006650D9">
        <w:rPr>
          <w:color w:val="0000FF"/>
        </w:rPr>
        <w:fldChar w:fldCharType="begin">
          <w:fldData xml:space="preserve">PEVuZE5vdGU+PENpdGU+PEF1dGhvcj5Wb2dlbDwvQXV0aG9yPjxZZWFyPjIwMDU8L1llYXI+PFJl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</w:fldData>
        </w:fldChar>
      </w:r>
      <w:r w:rsidR="006650D9">
        <w:rPr>
          <w:color w:val="0000FF"/>
        </w:rPr>
        <w:instrText xml:space="preserve"> ADDIN EN.CITE.DATA </w:instrText>
      </w:r>
      <w:r w:rsidR="006650D9">
        <w:rPr>
          <w:color w:val="0000FF"/>
        </w:rPr>
      </w:r>
      <w:r w:rsidR="006650D9">
        <w:rPr>
          <w:color w:val="0000FF"/>
        </w:rPr>
        <w:fldChar w:fldCharType="end"/>
      </w:r>
      <w:r w:rsidR="006650D9">
        <w:rPr>
          <w:color w:val="0000FF"/>
        </w:rPr>
      </w:r>
      <w:r w:rsidR="006650D9">
        <w:rPr>
          <w:color w:val="0000FF"/>
        </w:rPr>
        <w:fldChar w:fldCharType="separate"/>
      </w:r>
      <w:r w:rsidR="006650D9">
        <w:rPr>
          <w:noProof/>
          <w:color w:val="0000FF"/>
        </w:rPr>
        <w:t>(</w:t>
      </w:r>
      <w:hyperlink w:anchor="_ENREF_19" w:tooltip="Vogel, 2005 #18" w:history="1">
        <w:r w:rsidR="00EA3AF8">
          <w:rPr>
            <w:noProof/>
            <w:color w:val="0000FF"/>
          </w:rPr>
          <w:t>Vogel et al., 2005</w:t>
        </w:r>
      </w:hyperlink>
      <w:r w:rsidR="006650D9">
        <w:rPr>
          <w:noProof/>
          <w:color w:val="0000FF"/>
        </w:rPr>
        <w:t>)</w:t>
      </w:r>
      <w:r w:rsidR="006650D9">
        <w:rPr>
          <w:color w:val="0000FF"/>
        </w:rPr>
        <w:fldChar w:fldCharType="end"/>
      </w:r>
      <w:r w:rsidR="00D61F55">
        <w:rPr>
          <w:color w:val="0000FF"/>
        </w:rPr>
        <w:t>,</w:t>
      </w:r>
      <w:r w:rsidR="006650D9" w:rsidRPr="006650D9">
        <w:rPr>
          <w:color w:val="0000FF"/>
        </w:rPr>
        <w:t xml:space="preserve"> </w:t>
      </w:r>
      <w:r w:rsidR="003360E7" w:rsidRPr="001D0B6F">
        <w:rPr>
          <w:color w:val="0000FF"/>
        </w:rPr>
        <w:t xml:space="preserve">in which the baseline risk for febrile neutropenia was 17%. </w:t>
      </w:r>
      <w:r w:rsidRPr="001D0B6F">
        <w:rPr>
          <w:color w:val="0000FF"/>
        </w:rPr>
        <w:t xml:space="preserve">Independent systematic reviews of eight trials with 2,156 patients with breast cancer confirmed that CSFs reduce the risk of febrile neutropenia, with possible reductions in the </w:t>
      </w:r>
      <w:r w:rsidRPr="001D0B6F">
        <w:rPr>
          <w:color w:val="0000FF"/>
        </w:rPr>
        <w:lastRenderedPageBreak/>
        <w:t>need for hospitalization and all-cause mortality, but with no effect on infection-related mortality</w:t>
      </w:r>
      <w:r w:rsidR="00695EC0" w:rsidRPr="001D0B6F">
        <w:rPr>
          <w:color w:val="0000FF"/>
        </w:rPr>
        <w:t xml:space="preserve"> </w:t>
      </w:r>
      <w:r w:rsidR="006650D9">
        <w:rPr>
          <w:color w:val="0000FF"/>
        </w:rPr>
        <w:fldChar w:fldCharType="begin">
          <w:fldData xml:space="preserve">PEVuZE5vdGU+PENpdGU+PEF1dGhvcj5SZW5uZXI8L0F1dGhvcj48WWVhcj4yMDEyPC9ZZWFyPjxS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</w:fldData>
        </w:fldChar>
      </w:r>
      <w:r w:rsidR="006650D9">
        <w:rPr>
          <w:color w:val="0000FF"/>
        </w:rPr>
        <w:instrText xml:space="preserve"> ADDIN EN.CITE </w:instrText>
      </w:r>
      <w:r w:rsidR="006650D9">
        <w:rPr>
          <w:color w:val="0000FF"/>
        </w:rPr>
        <w:fldChar w:fldCharType="begin">
          <w:fldData xml:space="preserve">PEVuZE5vdGU+PENpdGU+PEF1dGhvcj5SZW5uZXI8L0F1dGhvcj48WWVhcj4yMDEyPC9ZZWFyPjxS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</w:fldData>
        </w:fldChar>
      </w:r>
      <w:r w:rsidR="006650D9">
        <w:rPr>
          <w:color w:val="0000FF"/>
        </w:rPr>
        <w:instrText xml:space="preserve"> ADDIN EN.CITE.DATA </w:instrText>
      </w:r>
      <w:r w:rsidR="006650D9">
        <w:rPr>
          <w:color w:val="0000FF"/>
        </w:rPr>
      </w:r>
      <w:r w:rsidR="006650D9">
        <w:rPr>
          <w:color w:val="0000FF"/>
        </w:rPr>
        <w:fldChar w:fldCharType="end"/>
      </w:r>
      <w:r w:rsidR="006650D9">
        <w:rPr>
          <w:color w:val="0000FF"/>
        </w:rPr>
      </w:r>
      <w:r w:rsidR="006650D9">
        <w:rPr>
          <w:color w:val="0000FF"/>
        </w:rPr>
        <w:fldChar w:fldCharType="separate"/>
      </w:r>
      <w:r w:rsidR="006650D9">
        <w:rPr>
          <w:noProof/>
          <w:color w:val="0000FF"/>
        </w:rPr>
        <w:t>(</w:t>
      </w:r>
      <w:hyperlink w:anchor="_ENREF_17" w:tooltip="Renner, 2012 #15" w:history="1">
        <w:r w:rsidR="00EA3AF8">
          <w:rPr>
            <w:noProof/>
            <w:color w:val="0000FF"/>
          </w:rPr>
          <w:t>Renner et al., 2012</w:t>
        </w:r>
      </w:hyperlink>
      <w:r w:rsidR="006650D9">
        <w:rPr>
          <w:noProof/>
          <w:color w:val="0000FF"/>
        </w:rPr>
        <w:t>)</w:t>
      </w:r>
      <w:r w:rsidR="006650D9">
        <w:rPr>
          <w:color w:val="0000FF"/>
        </w:rPr>
        <w:fldChar w:fldCharType="end"/>
      </w:r>
      <w:r w:rsidR="00D61F55">
        <w:rPr>
          <w:color w:val="0000FF"/>
        </w:rPr>
        <w:t>.</w:t>
      </w:r>
      <w:r w:rsidR="00695EC0" w:rsidRPr="001D0B6F">
        <w:rPr>
          <w:color w:val="0000FF"/>
        </w:rPr>
        <w:t xml:space="preserve"> </w:t>
      </w:r>
      <w:r w:rsidRPr="001D0B6F">
        <w:rPr>
          <w:color w:val="0000FF"/>
        </w:rPr>
        <w:t xml:space="preserve">Subsequent studies have shown that CSFs can reduce the risk of hospitalization for febrile neutropenia in elderly patients (age </w:t>
      </w:r>
      <w:r w:rsidR="00C238B8" w:rsidRPr="001D0B6F">
        <w:rPr>
          <w:color w:val="0000FF"/>
        </w:rPr>
        <w:t>&gt;</w:t>
      </w:r>
      <w:r w:rsidRPr="001D0B6F">
        <w:rPr>
          <w:color w:val="0000FF"/>
        </w:rPr>
        <w:t xml:space="preserve"> 65 years) with solid tumors from 9% in all cycles to 5%</w:t>
      </w:r>
      <w:r w:rsidR="008011C7" w:rsidRPr="001D0B6F">
        <w:rPr>
          <w:color w:val="0000FF"/>
        </w:rPr>
        <w:t xml:space="preserve"> </w:t>
      </w:r>
      <w:r w:rsidR="006650D9">
        <w:rPr>
          <w:color w:val="0000FF"/>
        </w:rPr>
        <w:fldChar w:fldCharType="begin"/>
      </w:r>
      <w:r w:rsidR="006650D9">
        <w:rPr>
          <w:color w:val="0000FF"/>
        </w:rPr>
        <w:instrText xml:space="preserve"> ADDIN EN.CITE &lt;EndNote&gt;&lt;Cite&gt;&lt;Author&gt;Balducci&lt;/Author&gt;&lt;Year&gt;2007&lt;/Year&gt;&lt;RecNum&gt;3&lt;/RecNum&gt;&lt;DisplayText&gt;(Balducci et al., 2007)&lt;/DisplayText&gt;&lt;record&gt;&lt;rec-number&gt;3&lt;/rec-number&gt;&lt;foreign-keys&gt;&lt;key app="EN" db-id="ztx59ewdb9xd95ezwe95spa5z9x5sze52wde" timestamp="1449180246"&gt;3&lt;/key&gt;&lt;/foreign-keys&gt;&lt;ref-type name="Journal Article"&gt;17&lt;/ref-type&gt;&lt;contributors&gt;&lt;authors&gt;&lt;author&gt;Balducci, Lodovico&lt;/author&gt;&lt;author&gt;Al-Halawani, Hafez&lt;/author&gt;&lt;author&gt;Charu, Veena&lt;/author&gt;&lt;author&gt;Tam, Jennifer&lt;/author&gt;&lt;author&gt;Shahin, Seta&lt;/author&gt;&lt;author&gt;Dreiling, Lyndah&lt;/author&gt;&lt;author&gt;Ershler, William B.&lt;/author&gt;&lt;/authors&gt;&lt;/contributors&gt;&lt;titles&gt;&lt;title&gt;Elderly Cancer Patients Receiving Chemotherapy Benefit from First-Cycle Pegfilgrastim&lt;/title&gt;&lt;secondary-title&gt;The Oncologist&lt;/secondary-title&gt;&lt;/titles&gt;&lt;periodical&gt;&lt;full-title&gt;The Oncologist&lt;/full-title&gt;&lt;/periodical&gt;&lt;pages&gt;1416-1424&lt;/pages&gt;&lt;volume&gt;12&lt;/volume&gt;&lt;number&gt;12&lt;/number&gt;&lt;dates&gt;&lt;year&gt;2007&lt;/year&gt;&lt;pub-dates&gt;&lt;date&gt;December 1, 2007&lt;/date&gt;&lt;/pub-dates&gt;&lt;/dates&gt;&lt;urls&gt;&lt;related-urls&gt;&lt;url&gt;http://theoncologist.alphamedpress.org/content/12/12/1416.abstract&lt;/url&gt;&lt;url&gt;http://theoncologist.alphamedpress.org/content/12/12/1416.full.pdf&lt;/url&gt;&lt;/related-urls&gt;&lt;/urls&gt;&lt;electronic-resource-num&gt;10.1634/theoncologist.12-12-1416&lt;/electronic-resource-num&gt;&lt;/record&gt;&lt;/Cite&gt;&lt;/EndNote&gt;</w:instrText>
      </w:r>
      <w:r w:rsidR="006650D9">
        <w:rPr>
          <w:color w:val="0000FF"/>
        </w:rPr>
        <w:fldChar w:fldCharType="separate"/>
      </w:r>
      <w:r w:rsidR="006650D9">
        <w:rPr>
          <w:noProof/>
          <w:color w:val="0000FF"/>
        </w:rPr>
        <w:t>(</w:t>
      </w:r>
      <w:hyperlink w:anchor="_ENREF_1" w:tooltip="Balducci, 2007 #3" w:history="1">
        <w:r w:rsidR="00EA3AF8">
          <w:rPr>
            <w:noProof/>
            <w:color w:val="0000FF"/>
          </w:rPr>
          <w:t>Balducci et al., 2007</w:t>
        </w:r>
      </w:hyperlink>
      <w:r w:rsidR="006650D9">
        <w:rPr>
          <w:noProof/>
          <w:color w:val="0000FF"/>
        </w:rPr>
        <w:t>)</w:t>
      </w:r>
      <w:r w:rsidR="006650D9">
        <w:rPr>
          <w:color w:val="0000FF"/>
        </w:rPr>
        <w:fldChar w:fldCharType="end"/>
      </w:r>
      <w:r w:rsidR="00D61F55">
        <w:rPr>
          <w:color w:val="0000FF"/>
        </w:rPr>
        <w:t>,</w:t>
      </w:r>
      <w:r w:rsidRPr="001D0B6F">
        <w:rPr>
          <w:color w:val="0000FF"/>
        </w:rPr>
        <w:t xml:space="preserve"> </w:t>
      </w:r>
      <w:r w:rsidR="00FA2EAE" w:rsidRPr="001D0B6F">
        <w:rPr>
          <w:color w:val="0000FF"/>
        </w:rPr>
        <w:t xml:space="preserve">but </w:t>
      </w:r>
      <w:r w:rsidR="00FA2EAE" w:rsidRPr="00770B92">
        <w:rPr>
          <w:b/>
          <w:i/>
          <w:color w:val="0000FF"/>
        </w:rPr>
        <w:t>no other differences, such as in mortality, have been reported to justify treating a large number of patients who would not benefit and would experience potential toxicities and costs</w:t>
      </w:r>
      <w:r w:rsidRPr="0072592D">
        <w:rPr>
          <w:color w:val="0000FF"/>
        </w:rPr>
        <w:t>.”</w:t>
      </w:r>
      <w:r w:rsidR="00372D97" w:rsidRPr="001D0B6F">
        <w:rPr>
          <w:color w:val="0000FF"/>
        </w:rPr>
        <w:t xml:space="preserve"> </w:t>
      </w:r>
      <w:r w:rsidR="00785520" w:rsidRPr="0048235E">
        <w:rPr>
          <w:rFonts w:cs="Arial"/>
          <w:color w:val="0000FF"/>
        </w:rPr>
        <w:t>(</w:t>
      </w:r>
      <w:r w:rsidR="00461DE3">
        <w:rPr>
          <w:rFonts w:cs="Arial"/>
          <w:color w:val="0000FF"/>
        </w:rPr>
        <w:t>Emphasis added</w:t>
      </w:r>
      <w:r w:rsidR="00785520" w:rsidRPr="0048235E">
        <w:rPr>
          <w:rFonts w:cs="Arial"/>
          <w:color w:val="0000FF"/>
        </w:rPr>
        <w:t>.)</w:t>
      </w:r>
    </w:p>
    <w:p w14:paraId="0E7EE1C9" w14:textId="77777777" w:rsidR="00EF5215" w:rsidRPr="001D0B6F" w:rsidRDefault="00EF5215" w:rsidP="00EF5215">
      <w:pPr>
        <w:ind w:left="0" w:firstLine="0"/>
        <w:rPr>
          <w:color w:val="0000FF"/>
        </w:rPr>
      </w:pPr>
    </w:p>
    <w:p w14:paraId="36E0407F" w14:textId="012FEA58" w:rsidR="008011C7" w:rsidRPr="001D0B6F" w:rsidRDefault="008011C7" w:rsidP="008011C7">
      <w:pPr>
        <w:ind w:left="0" w:firstLine="0"/>
        <w:rPr>
          <w:color w:val="0000FF"/>
        </w:rPr>
      </w:pPr>
      <w:r w:rsidRPr="001D0B6F">
        <w:rPr>
          <w:color w:val="0000FF"/>
        </w:rPr>
        <w:t xml:space="preserve">“However, recent publications have provided additional information about the likely benefits of primary prophylaxis. Meta-analyses of RCTs conducted in varying patient populations have confirmed that primary prophylaxis with a CSF reduces the risk of febrile neutropenia during chemotherapy for a solid tumor or </w:t>
      </w:r>
      <w:r w:rsidRPr="00D61F55">
        <w:rPr>
          <w:color w:val="0000FF"/>
        </w:rPr>
        <w:t>lymphoma</w:t>
      </w:r>
      <w:r w:rsidR="006650D9" w:rsidRPr="00D61F55">
        <w:t xml:space="preserve"> </w:t>
      </w:r>
      <w:r w:rsidR="006650D9" w:rsidRPr="00D61F55">
        <w:rPr>
          <w:color w:val="0000FF"/>
        </w:rPr>
        <w:fldChar w:fldCharType="begin">
          <w:fldData xml:space="preserve">PEVuZE5vdGU+PENpdGU+PEF1dGhvcj5Cb2hsaXVzPC9BdXRob3I+PFllYXI+MjAwODwvWWVhcj48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==
</w:fldData>
        </w:fldChar>
      </w:r>
      <w:r w:rsidR="00EA3AF8">
        <w:rPr>
          <w:color w:val="0000FF"/>
        </w:rPr>
        <w:instrText xml:space="preserve"> ADDIN EN.CITE </w:instrText>
      </w:r>
      <w:r w:rsidR="00EA3AF8">
        <w:rPr>
          <w:color w:val="0000FF"/>
        </w:rPr>
        <w:fldChar w:fldCharType="begin">
          <w:fldData xml:space="preserve">PEVuZE5vdGU+PENpdGU+PEF1dGhvcj5Cb2hsaXVzPC9BdXRob3I+PFllYXI+MjAwODwvWWVhcj48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==
</w:fldData>
        </w:fldChar>
      </w:r>
      <w:r w:rsidR="00EA3AF8">
        <w:rPr>
          <w:color w:val="0000FF"/>
        </w:rPr>
        <w:instrText xml:space="preserve"> ADDIN EN.CITE.DATA </w:instrText>
      </w:r>
      <w:r w:rsidR="00EA3AF8">
        <w:rPr>
          <w:color w:val="0000FF"/>
        </w:rPr>
      </w:r>
      <w:r w:rsidR="00EA3AF8">
        <w:rPr>
          <w:color w:val="0000FF"/>
        </w:rPr>
        <w:fldChar w:fldCharType="end"/>
      </w:r>
      <w:r w:rsidR="006650D9" w:rsidRPr="00D61F55">
        <w:rPr>
          <w:color w:val="0000FF"/>
        </w:rPr>
      </w:r>
      <w:r w:rsidR="006650D9" w:rsidRPr="00D61F55">
        <w:rPr>
          <w:color w:val="0000FF"/>
        </w:rPr>
        <w:fldChar w:fldCharType="separate"/>
      </w:r>
      <w:r w:rsidR="00EA3AF8">
        <w:rPr>
          <w:noProof/>
          <w:color w:val="0000FF"/>
        </w:rPr>
        <w:t>(</w:t>
      </w:r>
      <w:hyperlink w:anchor="_ENREF_2" w:tooltip="Bohlius, 2008 #16" w:history="1">
        <w:r w:rsidR="00EA3AF8">
          <w:rPr>
            <w:noProof/>
            <w:color w:val="0000FF"/>
          </w:rPr>
          <w:t>Bohlius, Herbst, Reiser, Schwarzer, &amp; Engert, 2008</w:t>
        </w:r>
      </w:hyperlink>
      <w:r w:rsidR="006650D9" w:rsidRPr="00D61F55">
        <w:rPr>
          <w:color w:val="0000FF"/>
        </w:rPr>
        <w:fldChar w:fldCharType="end"/>
      </w:r>
      <w:r w:rsidR="00AB0819">
        <w:rPr>
          <w:color w:val="0000FF"/>
        </w:rPr>
        <w:t>;</w:t>
      </w:r>
      <w:r w:rsidR="006650D9" w:rsidRPr="00D61F55">
        <w:t xml:space="preserve"> </w:t>
      </w:r>
      <w:r w:rsidR="006650D9" w:rsidRPr="00D61F55">
        <w:rPr>
          <w:color w:val="0000FF"/>
        </w:rPr>
        <w:fldChar w:fldCharType="begin"/>
      </w:r>
      <w:r w:rsidR="00EA3AF8">
        <w:rPr>
          <w:color w:val="0000FF"/>
        </w:rPr>
        <w:instrText xml:space="preserve"> ADDIN EN.CITE &lt;EndNote&gt;&lt;Cite&gt;&lt;Author&gt;Cooper&lt;/Author&gt;&lt;Year&gt;2011&lt;/Year&gt;&lt;RecNum&gt;4&lt;/RecNum&gt;&lt;DisplayText&gt;(Cooper, Madan, Whyte, Stevenson, &amp;amp; Akehurst, 2011)&lt;/DisplayText&gt;&lt;record&gt;&lt;rec-number&gt;4&lt;/rec-number&gt;&lt;foreign-keys&gt;&lt;key app="EN" db-id="ztx59ewdb9xd95ezwe95spa5z9x5sze52wde" timestamp="1449180280"&gt;4&lt;/key&gt;&lt;/foreign-keys&gt;&lt;ref-type name="Journal Article"&gt;17&lt;/ref-type&gt;&lt;contributors&gt;&lt;authors&gt;&lt;author&gt;Cooper, Katy&lt;/author&gt;&lt;author&gt;Madan, Jason&lt;/author&gt;&lt;author&gt;Whyte, Sophie&lt;/author&gt;&lt;author&gt;Stevenson, Matt&lt;/author&gt;&lt;author&gt;Akehurst, Ron&lt;/author&gt;&lt;/authors&gt;&lt;/contributors&gt;&lt;titles&gt;&lt;title&gt;Granulocyte colony-stimulating factors for febrile neutropenia prophylaxis following chemotherapy: systematic review and meta-analysis&lt;/title&gt;&lt;secondary-title&gt;BMC Cancer&lt;/secondary-title&gt;&lt;/titles&gt;&lt;periodical&gt;&lt;full-title&gt;BMC Cancer&lt;/full-title&gt;&lt;/periodical&gt;&lt;pages&gt;404&lt;/pages&gt;&lt;volume&gt;11&lt;/volume&gt;&lt;number&gt;1&lt;/number&gt;&lt;dates&gt;&lt;year&gt;2011&lt;/year&gt;&lt;/dates&gt;&lt;isbn&gt;1471-2407&lt;/isbn&gt;&lt;accession-num&gt;doi:10.1186/1471-2407-11-404&lt;/accession-num&gt;&lt;urls&gt;&lt;related-urls&gt;&lt;url&gt;http://www.biomedcentral.com/1471-2407/11/404&lt;/url&gt;&lt;/related-urls&gt;&lt;/urls&gt;&lt;/record&gt;&lt;/Cite&gt;&lt;/EndNote&gt;</w:instrText>
      </w:r>
      <w:r w:rsidR="006650D9" w:rsidRPr="00D61F55">
        <w:rPr>
          <w:color w:val="0000FF"/>
        </w:rPr>
        <w:fldChar w:fldCharType="separate"/>
      </w:r>
      <w:hyperlink w:anchor="_ENREF_3" w:tooltip="Cooper, 2011 #4" w:history="1">
        <w:r w:rsidR="00EA3AF8">
          <w:rPr>
            <w:noProof/>
            <w:color w:val="0000FF"/>
          </w:rPr>
          <w:t>Cooper, Madan, Whyte, Stevenson, &amp; Akehurst, 2011</w:t>
        </w:r>
      </w:hyperlink>
      <w:r w:rsidR="006650D9" w:rsidRPr="00D61F55">
        <w:rPr>
          <w:color w:val="0000FF"/>
        </w:rPr>
        <w:fldChar w:fldCharType="end"/>
      </w:r>
      <w:r w:rsidR="00AB0819">
        <w:rPr>
          <w:color w:val="0000FF"/>
        </w:rPr>
        <w:t>;</w:t>
      </w:r>
      <w:r w:rsidR="009C0974">
        <w:rPr>
          <w:color w:val="0000FF"/>
        </w:rPr>
        <w:t xml:space="preserve"> </w:t>
      </w:r>
      <w:r w:rsidR="006650D9" w:rsidRPr="00D61F55">
        <w:rPr>
          <w:color w:val="0000FF"/>
        </w:rPr>
        <w:fldChar w:fldCharType="begin"/>
      </w:r>
      <w:r w:rsidR="00EA3AF8">
        <w:rPr>
          <w:color w:val="0000FF"/>
        </w:rPr>
        <w:instrText xml:space="preserve"> ADDIN EN.CITE &lt;EndNote&gt;&lt;Cite&gt;&lt;Author&gt;Kuderer&lt;/Author&gt;&lt;Year&gt;2011&lt;/Year&gt;&lt;RecNum&gt;19&lt;/RecNum&gt;&lt;DisplayText&gt;(Nichole M. Kuderer, 2011)&lt;/DisplayText&gt;&lt;record&gt;&lt;rec-number&gt;19&lt;/rec-number&gt;&lt;foreign-keys&gt;&lt;key app="EN" db-id="ztx59ewdb9xd95ezwe95spa5z9x5sze52wde" timestamp="1455114755"&gt;19&lt;/key&gt;&lt;/foreign-keys&gt;&lt;ref-type name="Journal Article"&gt;17&lt;/ref-type&gt;&lt;contributors&gt;&lt;authors&gt;&lt;author&gt;Kuderer, Nichole M.&lt;/author&gt;&lt;/authors&gt;&lt;/contributors&gt;&lt;titles&gt;&lt;title&gt;Meta-analysis of randomized controlled trials of granulocyte colony-stimulating factor prophylaxis in adult cancer patients receiving chemotherapy&lt;/title&gt;&lt;secondary-title&gt;Cancer Treatment and Research&lt;/secondary-title&gt;&lt;/titles&gt;&lt;periodical&gt;&lt;full-title&gt;Cancer Treatment and Research&lt;/full-title&gt;&lt;/periodical&gt;&lt;pages&gt;127-143&lt;/pages&gt;&lt;volume&gt;157&lt;/volume&gt;&lt;dates&gt;&lt;year&gt;2011&lt;/year&gt;&lt;pub-dates&gt;&lt;date&gt;December 2013&lt;/date&gt;&lt;/pub-dates&gt;&lt;/dates&gt;&lt;urls&gt;&lt;/urls&gt;&lt;electronic-resource-num&gt;10.1007/978-1-4419-7073-2_8&lt;/electronic-resource-num&gt;&lt;/record&gt;&lt;/Cite&gt;&lt;/EndNote&gt;</w:instrText>
      </w:r>
      <w:r w:rsidR="006650D9" w:rsidRPr="00D61F55">
        <w:rPr>
          <w:color w:val="0000FF"/>
        </w:rPr>
        <w:fldChar w:fldCharType="separate"/>
      </w:r>
      <w:hyperlink w:anchor="_ENREF_9" w:tooltip="Kuderer, 2011 #19" w:history="1">
        <w:r w:rsidR="00EA3AF8">
          <w:rPr>
            <w:noProof/>
            <w:color w:val="0000FF"/>
          </w:rPr>
          <w:t>Kuderer, 2011</w:t>
        </w:r>
      </w:hyperlink>
      <w:r w:rsidR="006650D9" w:rsidRPr="00D61F55">
        <w:rPr>
          <w:color w:val="0000FF"/>
        </w:rPr>
        <w:fldChar w:fldCharType="end"/>
      </w:r>
      <w:r w:rsidR="00AB0819">
        <w:rPr>
          <w:color w:val="0000FF"/>
        </w:rPr>
        <w:t>;</w:t>
      </w:r>
      <w:r w:rsidR="006650D9" w:rsidRPr="00D61F55">
        <w:rPr>
          <w:color w:val="0000FF"/>
        </w:rPr>
        <w:fldChar w:fldCharType="begin"/>
      </w:r>
      <w:r w:rsidR="00EA3AF8">
        <w:rPr>
          <w:color w:val="0000FF"/>
        </w:rPr>
        <w:instrText xml:space="preserve"> ADDIN EN.CITE &lt;EndNote&gt;&lt;Cite&gt;&lt;Author&gt;Kuderer&lt;/Author&gt;&lt;Year&gt;2007&lt;/Year&gt;&lt;RecNum&gt;8&lt;/RecNum&gt;&lt;DisplayText&gt;(Nicole M. Kuderer, Dale, Crawford, &amp;amp; Lyman, 2007)&lt;/DisplayText&gt;&lt;record&gt;&lt;rec-number&gt;8&lt;/rec-number&gt;&lt;foreign-keys&gt;&lt;key app="EN" db-id="ztx59ewdb9xd95ezwe95spa5z9x5sze52wde" timestamp="1449186949"&gt;8&lt;/key&gt;&lt;/foreign-keys&gt;&lt;ref-type name="Journal Article"&gt;17&lt;/ref-type&gt;&lt;contributors&gt;&lt;authors&gt;&lt;author&gt;Kuderer, Nicole M.&lt;/author&gt;&lt;author&gt;Dale, David C.&lt;/author&gt;&lt;author&gt;Crawford, Jeffrey&lt;/author&gt;&lt;author&gt;Lyman, Gary H.&lt;/author&gt;&lt;/authors&gt;&lt;/contributors&gt;&lt;titles&gt;&lt;title&gt;Impact of Primary Prophylaxis With Granulocyte Colony-Stimulating Factor on Febrile Neutropenia and Mortality in Adult Cancer Patients Receiving Chemotherapy: A Systematic Review&lt;/title&gt;&lt;secondary-title&gt;Journal of Clinical Oncology&lt;/secondary-title&gt;&lt;/titles&gt;&lt;periodical&gt;&lt;full-title&gt;Journal of Clinical Oncology&lt;/full-title&gt;&lt;/periodical&gt;&lt;pages&gt;3158-3167&lt;/pages&gt;&lt;volume&gt;25&lt;/volume&gt;&lt;number&gt;21&lt;/number&gt;&lt;dates&gt;&lt;year&gt;2007&lt;/year&gt;&lt;pub-dates&gt;&lt;date&gt;July 20, 2007&lt;/date&gt;&lt;/pub-dates&gt;&lt;/dates&gt;&lt;urls&gt;&lt;related-urls&gt;&lt;url&gt;http://jco.ascopubs.org/content/25/21/3158.abstract&lt;/url&gt;&lt;url&gt;http://jco.ascopubs.org/content/25/21/3158.long&lt;/url&gt;&lt;/related-urls&gt;&lt;/urls&gt;&lt;electronic-resource-num&gt;10.1200/jco.2006.08.8823&lt;/electronic-resource-num&gt;&lt;/record&gt;&lt;/Cite&gt;&lt;/EndNote&gt;</w:instrText>
      </w:r>
      <w:r w:rsidR="006650D9" w:rsidRPr="00D61F55">
        <w:rPr>
          <w:color w:val="0000FF"/>
        </w:rPr>
        <w:fldChar w:fldCharType="separate"/>
      </w:r>
      <w:hyperlink w:anchor="_ENREF_10" w:tooltip="Kuderer, 2007 #8" w:history="1">
        <w:r w:rsidR="00EA3AF8">
          <w:rPr>
            <w:noProof/>
            <w:color w:val="0000FF"/>
          </w:rPr>
          <w:t xml:space="preserve"> Kuderer, Dale, Crawford, &amp; Lyman, 2007</w:t>
        </w:r>
      </w:hyperlink>
      <w:r w:rsidR="006650D9" w:rsidRPr="00D61F55">
        <w:rPr>
          <w:color w:val="0000FF"/>
        </w:rPr>
        <w:fldChar w:fldCharType="end"/>
      </w:r>
      <w:r w:rsidR="00175B74">
        <w:rPr>
          <w:color w:val="0000FF"/>
        </w:rPr>
        <w:t>;</w:t>
      </w:r>
      <w:r w:rsidR="006650D9" w:rsidRPr="00D61F55">
        <w:t xml:space="preserve"> </w:t>
      </w:r>
      <w:r w:rsidR="006650D9" w:rsidRPr="00D61F55">
        <w:rPr>
          <w:color w:val="0000FF"/>
        </w:rPr>
        <w:fldChar w:fldCharType="begin">
          <w:fldData xml:space="preserve">PEVuZE5vdGU+PENpdGU+PEF1dGhvcj5SZW5uZXI8L0F1dGhvcj48WWVhcj4yMDEyPC9ZZWFyPjxS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</w:fldData>
        </w:fldChar>
      </w:r>
      <w:r w:rsidR="00EA3AF8">
        <w:rPr>
          <w:color w:val="0000FF"/>
        </w:rPr>
        <w:instrText xml:space="preserve"> ADDIN EN.CITE </w:instrText>
      </w:r>
      <w:r w:rsidR="00EA3AF8">
        <w:rPr>
          <w:color w:val="0000FF"/>
        </w:rPr>
        <w:fldChar w:fldCharType="begin">
          <w:fldData xml:space="preserve">PEVuZE5vdGU+PENpdGU+PEF1dGhvcj5SZW5uZXI8L0F1dGhvcj48WWVhcj4yMDEyPC9ZZWFyPjxS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</w:fldData>
        </w:fldChar>
      </w:r>
      <w:r w:rsidR="00EA3AF8">
        <w:rPr>
          <w:color w:val="0000FF"/>
        </w:rPr>
        <w:instrText xml:space="preserve"> ADDIN EN.CITE.DATA </w:instrText>
      </w:r>
      <w:r w:rsidR="00EA3AF8">
        <w:rPr>
          <w:color w:val="0000FF"/>
        </w:rPr>
      </w:r>
      <w:r w:rsidR="00EA3AF8">
        <w:rPr>
          <w:color w:val="0000FF"/>
        </w:rPr>
        <w:fldChar w:fldCharType="end"/>
      </w:r>
      <w:r w:rsidR="006650D9" w:rsidRPr="00D61F55">
        <w:rPr>
          <w:color w:val="0000FF"/>
        </w:rPr>
      </w:r>
      <w:r w:rsidR="006650D9" w:rsidRPr="00D61F55">
        <w:rPr>
          <w:color w:val="0000FF"/>
        </w:rPr>
        <w:fldChar w:fldCharType="separate"/>
      </w:r>
      <w:hyperlink w:anchor="_ENREF_17" w:tooltip="Renner, 2012 #15" w:history="1">
        <w:r w:rsidR="00EA3AF8">
          <w:rPr>
            <w:noProof/>
            <w:color w:val="0000FF"/>
          </w:rPr>
          <w:t>Renner et al., 2012</w:t>
        </w:r>
      </w:hyperlink>
      <w:r w:rsidR="006650D9" w:rsidRPr="00D61F55">
        <w:rPr>
          <w:color w:val="0000FF"/>
        </w:rPr>
        <w:fldChar w:fldCharType="end"/>
      </w:r>
      <w:r w:rsidR="00175B74">
        <w:rPr>
          <w:color w:val="0000FF"/>
        </w:rPr>
        <w:t>;</w:t>
      </w:r>
      <w:r w:rsidR="006650D9" w:rsidRPr="00D61F55">
        <w:t xml:space="preserve"> </w:t>
      </w:r>
      <w:r w:rsidR="006650D9" w:rsidRPr="00D61F55">
        <w:rPr>
          <w:color w:val="0000FF"/>
        </w:rPr>
        <w:fldChar w:fldCharType="begin"/>
      </w:r>
      <w:r w:rsidR="00EA3AF8">
        <w:rPr>
          <w:color w:val="0000FF"/>
        </w:rPr>
        <w:instrText xml:space="preserve"> ADDIN EN.CITE &lt;EndNote&gt;&lt;Cite&gt;&lt;Author&gt;Sung&lt;/Author&gt;&lt;Year&gt;2007&lt;/Year&gt;&lt;RecNum&gt;12&lt;/RecNum&gt;&lt;DisplayText&gt;(Sung, Nathan, Alibhai, Tomlinson, &amp;amp; Beyene, 2007)&lt;/DisplayText&gt;&lt;record&gt;&lt;rec-number&gt;12&lt;/rec-number&gt;&lt;foreign-keys&gt;&lt;key app="EN" db-id="ztx59ewdb9xd95ezwe95spa5z9x5sze52wde" timestamp="1449187246"&gt;12&lt;/key&gt;&lt;/foreign-keys&gt;&lt;ref-type name="Journal Article"&gt;17&lt;/ref-type&gt;&lt;contributors&gt;&lt;authors&gt;&lt;author&gt;Sung, Lillian&lt;/author&gt;&lt;author&gt;Nathan, Paul C.&lt;/author&gt;&lt;author&gt;Alibhai, Shabbir M. H.&lt;/author&gt;&lt;author&gt;Tomlinson, George A.&lt;/author&gt;&lt;author&gt;Beyene, Joseph&lt;/author&gt;&lt;/authors&gt;&lt;/contributors&gt;&lt;titles&gt;&lt;title&gt;Meta-analysis: Effect of Prophylactic Hematopoietic Colony-Stimulating Factors on Mortality and Outcomes of Infection&lt;/title&gt;&lt;secondary-title&gt;Annals of Internal Medicine&lt;/secondary-title&gt;&lt;/titles&gt;&lt;periodical&gt;&lt;full-title&gt;Annals of Internal Medicine&lt;/full-title&gt;&lt;/periodical&gt;&lt;pages&gt;400-411&lt;/pages&gt;&lt;volume&gt;147&lt;/volume&gt;&lt;number&gt;6&lt;/number&gt;&lt;dates&gt;&lt;year&gt;2007&lt;/year&gt;&lt;/dates&gt;&lt;isbn&gt;0003-4819&lt;/isbn&gt;&lt;urls&gt;&lt;related-urls&gt;&lt;url&gt;http://dx.doi.org/10.7326/0003-4819-147-6-200709180-00010&lt;/url&gt;&lt;url&gt;http://annals.org/data/Journals/AIM/20144/0000605-200709180-00010.pdf&lt;/url&gt;&lt;/related-urls&gt;&lt;/urls&gt;&lt;electronic-resource-num&gt;10.7326/0003-4819-147-6-200709180-00010&lt;/electronic-resource-num&gt;&lt;/record&gt;&lt;/Cite&gt;&lt;/EndNote&gt;</w:instrText>
      </w:r>
      <w:r w:rsidR="006650D9" w:rsidRPr="00D61F55">
        <w:rPr>
          <w:color w:val="0000FF"/>
        </w:rPr>
        <w:fldChar w:fldCharType="separate"/>
      </w:r>
      <w:hyperlink w:anchor="_ENREF_18" w:tooltip="Sung, 2007 #12" w:history="1">
        <w:r w:rsidR="00EA3AF8">
          <w:rPr>
            <w:noProof/>
            <w:color w:val="0000FF"/>
          </w:rPr>
          <w:t>Sung, Nathan, Alibhai, Tomlinson, &amp; Beyene, 2007</w:t>
        </w:r>
      </w:hyperlink>
      <w:r w:rsidR="00EA3AF8">
        <w:rPr>
          <w:noProof/>
          <w:color w:val="0000FF"/>
        </w:rPr>
        <w:t>)</w:t>
      </w:r>
      <w:r w:rsidR="006650D9" w:rsidRPr="00D61F55">
        <w:rPr>
          <w:color w:val="0000FF"/>
        </w:rPr>
        <w:fldChar w:fldCharType="end"/>
      </w:r>
      <w:r w:rsidR="00D61F55">
        <w:rPr>
          <w:color w:val="0000FF"/>
        </w:rPr>
        <w:t>.</w:t>
      </w:r>
      <w:r w:rsidR="006650D9" w:rsidRPr="00D61F55">
        <w:rPr>
          <w:color w:val="0000FF"/>
        </w:rPr>
        <w:t xml:space="preserve"> </w:t>
      </w:r>
      <w:r w:rsidRPr="00D61F55">
        <w:rPr>
          <w:color w:val="0000FF"/>
        </w:rPr>
        <w:t>Primary prophylaxis may also reduce the risk of hospitalization</w:t>
      </w:r>
      <w:r w:rsidR="002A31ED" w:rsidRPr="00D61F55">
        <w:rPr>
          <w:color w:val="0000FF"/>
        </w:rPr>
        <w:t xml:space="preserve"> </w:t>
      </w:r>
      <w:r w:rsidR="006650D9" w:rsidRPr="00D61F55">
        <w:rPr>
          <w:color w:val="0000FF"/>
        </w:rPr>
        <w:fldChar w:fldCharType="begin">
          <w:fldData xml:space="preserve">PEVuZE5vdGU+PENpdGU+PEF1dGhvcj5SZW5uZXI8L0F1dGhvcj48WWVhcj4yMDEyPC9ZZWFyPjxS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</w:fldData>
        </w:fldChar>
      </w:r>
      <w:r w:rsidR="006650D9" w:rsidRPr="00D61F55">
        <w:rPr>
          <w:color w:val="0000FF"/>
        </w:rPr>
        <w:instrText xml:space="preserve"> ADDIN EN.CITE </w:instrText>
      </w:r>
      <w:r w:rsidR="006650D9" w:rsidRPr="00D61F55">
        <w:rPr>
          <w:color w:val="0000FF"/>
        </w:rPr>
        <w:fldChar w:fldCharType="begin">
          <w:fldData xml:space="preserve">PEVuZE5vdGU+PENpdGU+PEF1dGhvcj5SZW5uZXI8L0F1dGhvcj48WWVhcj4yMDEyPC9ZZWFyPjxS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</w:fldData>
        </w:fldChar>
      </w:r>
      <w:r w:rsidR="006650D9" w:rsidRPr="00D61F55">
        <w:rPr>
          <w:color w:val="0000FF"/>
        </w:rPr>
        <w:instrText xml:space="preserve"> ADDIN EN.CITE.DATA </w:instrText>
      </w:r>
      <w:r w:rsidR="006650D9" w:rsidRPr="00D61F55">
        <w:rPr>
          <w:color w:val="0000FF"/>
        </w:rPr>
      </w:r>
      <w:r w:rsidR="006650D9" w:rsidRPr="00D61F55">
        <w:rPr>
          <w:color w:val="0000FF"/>
        </w:rPr>
        <w:fldChar w:fldCharType="end"/>
      </w:r>
      <w:r w:rsidR="006650D9" w:rsidRPr="00D61F55">
        <w:rPr>
          <w:color w:val="0000FF"/>
        </w:rPr>
      </w:r>
      <w:r w:rsidR="006650D9" w:rsidRPr="00D61F55">
        <w:rPr>
          <w:color w:val="0000FF"/>
        </w:rPr>
        <w:fldChar w:fldCharType="separate"/>
      </w:r>
      <w:r w:rsidR="006650D9" w:rsidRPr="00D61F55">
        <w:rPr>
          <w:noProof/>
          <w:color w:val="0000FF"/>
        </w:rPr>
        <w:t>(</w:t>
      </w:r>
      <w:hyperlink w:anchor="_ENREF_17" w:tooltip="Renner, 2012 #15" w:history="1">
        <w:r w:rsidR="00EA3AF8" w:rsidRPr="00D61F55">
          <w:rPr>
            <w:noProof/>
            <w:color w:val="0000FF"/>
          </w:rPr>
          <w:t>Renner et al., 2012</w:t>
        </w:r>
      </w:hyperlink>
      <w:r w:rsidR="006650D9" w:rsidRPr="00D61F55">
        <w:rPr>
          <w:noProof/>
          <w:color w:val="0000FF"/>
        </w:rPr>
        <w:t>)</w:t>
      </w:r>
      <w:r w:rsidR="006650D9" w:rsidRPr="00D61F55">
        <w:rPr>
          <w:color w:val="0000FF"/>
        </w:rPr>
        <w:fldChar w:fldCharType="end"/>
      </w:r>
      <w:r w:rsidR="006650D9" w:rsidRPr="00D61F55">
        <w:rPr>
          <w:color w:val="0000FF"/>
        </w:rPr>
        <w:t xml:space="preserve"> </w:t>
      </w:r>
      <w:r w:rsidRPr="00D61F55">
        <w:rPr>
          <w:color w:val="0000FF"/>
        </w:rPr>
        <w:t>and infection</w:t>
      </w:r>
      <w:r w:rsidR="006650D9" w:rsidRPr="00D61F55">
        <w:t xml:space="preserve"> </w:t>
      </w:r>
      <w:r w:rsidR="006650D9" w:rsidRPr="00D61F55">
        <w:rPr>
          <w:color w:val="0000FF"/>
        </w:rPr>
        <w:fldChar w:fldCharType="begin">
          <w:fldData xml:space="preserve">PEVuZE5vdGU+PENpdGU+PEF1dGhvcj5Cb2hsaXVzPC9BdXRob3I+PFllYXI+MjAwODwvWWVhcj48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</w:fldData>
        </w:fldChar>
      </w:r>
      <w:r w:rsidR="00EA3AF8">
        <w:rPr>
          <w:color w:val="0000FF"/>
        </w:rPr>
        <w:instrText xml:space="preserve"> ADDIN EN.CITE </w:instrText>
      </w:r>
      <w:r w:rsidR="00EA3AF8">
        <w:rPr>
          <w:color w:val="0000FF"/>
        </w:rPr>
        <w:fldChar w:fldCharType="begin">
          <w:fldData xml:space="preserve">PEVuZE5vdGU+PENpdGU+PEF1dGhvcj5Cb2hsaXVzPC9BdXRob3I+PFllYXI+MjAwODwvWWVhcj48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</w:fldData>
        </w:fldChar>
      </w:r>
      <w:r w:rsidR="00EA3AF8">
        <w:rPr>
          <w:color w:val="0000FF"/>
        </w:rPr>
        <w:instrText xml:space="preserve"> ADDIN EN.CITE.DATA </w:instrText>
      </w:r>
      <w:r w:rsidR="00EA3AF8">
        <w:rPr>
          <w:color w:val="0000FF"/>
        </w:rPr>
      </w:r>
      <w:r w:rsidR="00EA3AF8">
        <w:rPr>
          <w:color w:val="0000FF"/>
        </w:rPr>
        <w:fldChar w:fldCharType="end"/>
      </w:r>
      <w:r w:rsidR="006650D9" w:rsidRPr="00D61F55">
        <w:rPr>
          <w:color w:val="0000FF"/>
        </w:rPr>
      </w:r>
      <w:r w:rsidR="006650D9" w:rsidRPr="00D61F55">
        <w:rPr>
          <w:color w:val="0000FF"/>
        </w:rPr>
        <w:fldChar w:fldCharType="separate"/>
      </w:r>
      <w:r w:rsidR="00EA3AF8">
        <w:rPr>
          <w:noProof/>
          <w:color w:val="0000FF"/>
        </w:rPr>
        <w:t>(</w:t>
      </w:r>
      <w:hyperlink w:anchor="_ENREF_2" w:tooltip="Bohlius, 2008 #16" w:history="1">
        <w:r w:rsidR="00EA3AF8">
          <w:rPr>
            <w:noProof/>
            <w:color w:val="0000FF"/>
          </w:rPr>
          <w:t>Bohlius et al., 2008</w:t>
        </w:r>
      </w:hyperlink>
      <w:r w:rsidR="006650D9" w:rsidRPr="00D61F55">
        <w:rPr>
          <w:color w:val="0000FF"/>
        </w:rPr>
        <w:fldChar w:fldCharType="end"/>
      </w:r>
      <w:r w:rsidR="00AB0819">
        <w:rPr>
          <w:color w:val="0000FF"/>
        </w:rPr>
        <w:t>;</w:t>
      </w:r>
      <w:r w:rsidR="006650D9" w:rsidRPr="00D61F55">
        <w:t xml:space="preserve"> </w:t>
      </w:r>
      <w:r w:rsidR="006650D9" w:rsidRPr="00D61F55">
        <w:rPr>
          <w:color w:val="0000FF"/>
        </w:rPr>
        <w:fldChar w:fldCharType="begin"/>
      </w:r>
      <w:r w:rsidR="00EA3AF8">
        <w:rPr>
          <w:color w:val="0000FF"/>
        </w:rPr>
        <w:instrText xml:space="preserve"> ADDIN EN.CITE &lt;EndNote&gt;&lt;Cite&gt;&lt;Author&gt;Sung&lt;/Author&gt;&lt;Year&gt;2007&lt;/Year&gt;&lt;RecNum&gt;12&lt;/RecNum&gt;&lt;DisplayText&gt;(Sung et al., 2007)&lt;/DisplayText&gt;&lt;record&gt;&lt;rec-number&gt;12&lt;/rec-number&gt;&lt;foreign-keys&gt;&lt;key app="EN" db-id="ztx59ewdb9xd95ezwe95spa5z9x5sze52wde" timestamp="1449187246"&gt;12&lt;/key&gt;&lt;/foreign-keys&gt;&lt;ref-type name="Journal Article"&gt;17&lt;/ref-type&gt;&lt;contributors&gt;&lt;authors&gt;&lt;author&gt;Sung, Lillian&lt;/author&gt;&lt;author&gt;Nathan, Paul C.&lt;/author&gt;&lt;author&gt;Alibhai, Shabbir M. H.&lt;/author&gt;&lt;author&gt;Tomlinson, George A.&lt;/author&gt;&lt;author&gt;Beyene, Joseph&lt;/author&gt;&lt;/authors&gt;&lt;/contributors&gt;&lt;titles&gt;&lt;title&gt;Meta-analysis: Effect of Prophylactic Hematopoietic Colony-Stimulating Factors on Mortality and Outcomes of Infection&lt;/title&gt;&lt;secondary-title&gt;Annals of Internal Medicine&lt;/secondary-title&gt;&lt;/titles&gt;&lt;periodical&gt;&lt;full-title&gt;Annals of Internal Medicine&lt;/full-title&gt;&lt;/periodical&gt;&lt;pages&gt;400-411&lt;/pages&gt;&lt;volume&gt;147&lt;/volume&gt;&lt;number&gt;6&lt;/number&gt;&lt;dates&gt;&lt;year&gt;2007&lt;/year&gt;&lt;/dates&gt;&lt;isbn&gt;0003-4819&lt;/isbn&gt;&lt;urls&gt;&lt;related-urls&gt;&lt;url&gt;http://dx.doi.org/10.7326/0003-4819-147-6-200709180-00010&lt;/url&gt;&lt;url&gt;http://annals.org/data/Journals/AIM/20144/0000605-200709180-00010.pdf&lt;/url&gt;&lt;/related-urls&gt;&lt;/urls&gt;&lt;electronic-resource-num&gt;10.7326/0003-4819-147-6-200709180-00010&lt;/electronic-resource-num&gt;&lt;/record&gt;&lt;/Cite&gt;&lt;/EndNote&gt;</w:instrText>
      </w:r>
      <w:r w:rsidR="006650D9" w:rsidRPr="00D61F55">
        <w:rPr>
          <w:color w:val="0000FF"/>
        </w:rPr>
        <w:fldChar w:fldCharType="separate"/>
      </w:r>
      <w:hyperlink w:anchor="_ENREF_18" w:tooltip="Sung, 2007 #12" w:history="1">
        <w:r w:rsidR="00EA3AF8">
          <w:rPr>
            <w:noProof/>
            <w:color w:val="0000FF"/>
          </w:rPr>
          <w:t>Sung et al., 2007</w:t>
        </w:r>
      </w:hyperlink>
      <w:r w:rsidR="00EA3AF8">
        <w:rPr>
          <w:noProof/>
          <w:color w:val="0000FF"/>
        </w:rPr>
        <w:t>)</w:t>
      </w:r>
      <w:r w:rsidR="006650D9" w:rsidRPr="00D61F55">
        <w:rPr>
          <w:color w:val="0000FF"/>
        </w:rPr>
        <w:fldChar w:fldCharType="end"/>
      </w:r>
      <w:r w:rsidR="00D61F55">
        <w:rPr>
          <w:color w:val="0000FF"/>
        </w:rPr>
        <w:t>.</w:t>
      </w:r>
      <w:r w:rsidR="006650D9" w:rsidRPr="00D61F55">
        <w:rPr>
          <w:color w:val="0000FF"/>
        </w:rPr>
        <w:t xml:space="preserve"> </w:t>
      </w:r>
      <w:r w:rsidRPr="00D61F55">
        <w:rPr>
          <w:color w:val="0000FF"/>
        </w:rPr>
        <w:t>Results for all</w:t>
      </w:r>
      <w:r w:rsidRPr="001D0B6F">
        <w:rPr>
          <w:color w:val="0000FF"/>
        </w:rPr>
        <w:t>-cause or infection-related mortality are less consistent. A meta-analysis of 59 RCTs among patients with solid tumors or lymphoma reported that primary prophylaxis with a G-CSF was associated with a modest reduction in all-cause mortality compared with no primary prophylaxis (risk ratio [RR], 0.93;</w:t>
      </w:r>
      <w:r w:rsidR="002A31ED" w:rsidRPr="001D0B6F">
        <w:rPr>
          <w:color w:val="0000FF"/>
        </w:rPr>
        <w:t xml:space="preserve"> </w:t>
      </w:r>
      <w:r w:rsidRPr="001D0B6F">
        <w:rPr>
          <w:color w:val="0000FF"/>
        </w:rPr>
        <w:t xml:space="preserve">95%CI, 0.90 to 0.96; absolute risk difference, </w:t>
      </w:r>
      <w:r w:rsidR="0067168F" w:rsidRPr="001D0B6F">
        <w:rPr>
          <w:color w:val="0000FF"/>
        </w:rPr>
        <w:t>-</w:t>
      </w:r>
      <w:r w:rsidRPr="001D0B6F">
        <w:rPr>
          <w:color w:val="0000FF"/>
        </w:rPr>
        <w:t xml:space="preserve">3.2%; 95% CI, </w:t>
      </w:r>
      <w:r w:rsidR="0067168F" w:rsidRPr="001D0B6F">
        <w:rPr>
          <w:color w:val="0000FF"/>
        </w:rPr>
        <w:t>-</w:t>
      </w:r>
      <w:r w:rsidRPr="001D0B6F">
        <w:rPr>
          <w:color w:val="0000FF"/>
        </w:rPr>
        <w:t xml:space="preserve">2.1% to </w:t>
      </w:r>
      <w:r w:rsidR="0067168F" w:rsidRPr="001D0B6F">
        <w:rPr>
          <w:color w:val="0000FF"/>
        </w:rPr>
        <w:t>-</w:t>
      </w:r>
      <w:r w:rsidRPr="001D0B6F">
        <w:rPr>
          <w:color w:val="0000FF"/>
        </w:rPr>
        <w:t>4.2</w:t>
      </w:r>
      <w:r w:rsidRPr="00D61F55">
        <w:rPr>
          <w:color w:val="0000FF"/>
        </w:rPr>
        <w:t>%)</w:t>
      </w:r>
      <w:r w:rsidR="006650D9" w:rsidRPr="00D61F55">
        <w:t xml:space="preserve"> </w:t>
      </w:r>
      <w:r w:rsidR="006650D9" w:rsidRPr="00D61F55">
        <w:rPr>
          <w:color w:val="0000FF"/>
        </w:rPr>
        <w:fldChar w:fldCharType="begin"/>
      </w:r>
      <w:r w:rsidR="00EA3AF8">
        <w:rPr>
          <w:color w:val="0000FF"/>
        </w:rPr>
        <w:instrText xml:space="preserve"> ADDIN EN.CITE &lt;EndNote&gt;&lt;Cite&gt;&lt;Author&gt;Lyman&lt;/Author&gt;&lt;Year&gt;2013&lt;/Year&gt;&lt;RecNum&gt;9&lt;/RecNum&gt;&lt;DisplayText&gt;(G. H. Lyman et al., 2013)&lt;/DisplayText&gt;&lt;record&gt;&lt;rec-number&gt;9&lt;/rec-number&gt;&lt;foreign-keys&gt;&lt;key app="EN" db-id="ztx59ewdb9xd95ezwe95spa5z9x5sze52wde" timestamp="1449186985"&gt;9&lt;/key&gt;&lt;/foreign-keys&gt;&lt;ref-type name="Journal Article"&gt;17&lt;/ref-type&gt;&lt;contributors&gt;&lt;authors&gt;&lt;author&gt;Lyman, G. H.&lt;/author&gt;&lt;author&gt;Dale, D. C.&lt;/author&gt;&lt;author&gt;Culakova, E.&lt;/author&gt;&lt;author&gt;Poniewierski, M. S.&lt;/author&gt;&lt;author&gt;Wolff, D. A.&lt;/author&gt;&lt;author&gt;Kuderer, N. M.&lt;/author&gt;&lt;author&gt;Huang, M.&lt;/author&gt;&lt;author&gt;Crawford, J.&lt;/author&gt;&lt;/authors&gt;&lt;/contributors&gt;&lt;titles&gt;&lt;title&gt;The impact of the granulocyte colony-stimulating factor on chemotherapy dose intensity and cancer survival: a systematic review and meta-analysis of randomized controlled trials&lt;/title&gt;&lt;secondary-title&gt;Annals of Oncology&lt;/secondary-title&gt;&lt;/titles&gt;&lt;periodical&gt;&lt;full-title&gt;Annals of Oncology&lt;/full-title&gt;&lt;/periodical&gt;&lt;pages&gt;2475-2484&lt;/pages&gt;&lt;volume&gt;24&lt;/volume&gt;&lt;number&gt;10&lt;/number&gt;&lt;dates&gt;&lt;year&gt;2013&lt;/year&gt;&lt;pub-dates&gt;&lt;date&gt;October 1, 2013&lt;/date&gt;&lt;/pub-dates&gt;&lt;/dates&gt;&lt;urls&gt;&lt;related-urls&gt;&lt;url&gt;http://annonc.oxfordjournals.org/content/24/10/2475.abstract&lt;/url&gt;&lt;url&gt;http://www.ncbi.nlm.nih.gov/pmc/articles/PMC3841419/pdf/annonc-24-2475.pdf&lt;/url&gt;&lt;/related-urls&gt;&lt;/urls&gt;&lt;electronic-resource-num&gt;10.1093/annonc/mdt226&lt;/electronic-resource-num&gt;&lt;/record&gt;&lt;/Cite&gt;&lt;/EndNote&gt;</w:instrText>
      </w:r>
      <w:r w:rsidR="006650D9" w:rsidRPr="00D61F55">
        <w:rPr>
          <w:color w:val="0000FF"/>
        </w:rPr>
        <w:fldChar w:fldCharType="separate"/>
      </w:r>
      <w:r w:rsidR="00EA3AF8">
        <w:rPr>
          <w:noProof/>
          <w:color w:val="0000FF"/>
        </w:rPr>
        <w:t>(</w:t>
      </w:r>
      <w:hyperlink w:anchor="_ENREF_11" w:tooltip="Lyman, 2013 #9" w:history="1">
        <w:r w:rsidR="00EA3AF8">
          <w:rPr>
            <w:noProof/>
            <w:color w:val="0000FF"/>
          </w:rPr>
          <w:t>Lyman et al., 2013</w:t>
        </w:r>
      </w:hyperlink>
      <w:r w:rsidR="00EA3AF8">
        <w:rPr>
          <w:noProof/>
          <w:color w:val="0000FF"/>
        </w:rPr>
        <w:t>)</w:t>
      </w:r>
      <w:r w:rsidR="006650D9" w:rsidRPr="00D61F55">
        <w:rPr>
          <w:color w:val="0000FF"/>
        </w:rPr>
        <w:fldChar w:fldCharType="end"/>
      </w:r>
      <w:r w:rsidR="00D61F55" w:rsidRPr="00D61F55">
        <w:rPr>
          <w:color w:val="0000FF"/>
        </w:rPr>
        <w:t>.</w:t>
      </w:r>
      <w:r w:rsidR="006650D9" w:rsidRPr="00D61F55">
        <w:rPr>
          <w:color w:val="0000FF"/>
        </w:rPr>
        <w:t xml:space="preserve"> </w:t>
      </w:r>
      <w:r w:rsidRPr="00D61F55">
        <w:rPr>
          <w:color w:val="0000FF"/>
        </w:rPr>
        <w:t xml:space="preserve">The greatest benefit was observed among patients who received dose-dense chemotherapy. In studies that evaluated the same dose and schedule of chemotherapy in different treatment arms, primary prophylaxis did not have a statistically significant effect on mortality. </w:t>
      </w:r>
      <w:r w:rsidR="006650D9" w:rsidRPr="00D61F55">
        <w:rPr>
          <w:color w:val="0000FF"/>
        </w:rPr>
        <w:fldChar w:fldCharType="begin"/>
      </w:r>
      <w:r w:rsidR="00EA3AF8">
        <w:rPr>
          <w:color w:val="0000FF"/>
        </w:rPr>
        <w:instrText xml:space="preserve"> ADDIN EN.CITE &lt;EndNote&gt;&lt;Cite&gt;&lt;Author&gt;Lyman&lt;/Author&gt;&lt;Year&gt;2013&lt;/Year&gt;&lt;RecNum&gt;9&lt;/RecNum&gt;&lt;DisplayText&gt;(G. H. Lyman et al., 2013)&lt;/DisplayText&gt;&lt;record&gt;&lt;rec-number&gt;9&lt;/rec-number&gt;&lt;foreign-keys&gt;&lt;key app="EN" db-id="ztx59ewdb9xd95ezwe95spa5z9x5sze52wde" timestamp="1449186985"&gt;9&lt;/key&gt;&lt;/foreign-keys&gt;&lt;ref-type name="Journal Article"&gt;17&lt;/ref-type&gt;&lt;contributors&gt;&lt;authors&gt;&lt;author&gt;Lyman, G. H.&lt;/author&gt;&lt;author&gt;Dale, D. C.&lt;/author&gt;&lt;author&gt;Culakova, E.&lt;/author&gt;&lt;author&gt;Poniewierski, M. S.&lt;/author&gt;&lt;author&gt;Wolff, D. A.&lt;/author&gt;&lt;author&gt;Kuderer, N. M.&lt;/author&gt;&lt;author&gt;Huang, M.&lt;/author&gt;&lt;author&gt;Crawford, J.&lt;/author&gt;&lt;/authors&gt;&lt;/contributors&gt;&lt;titles&gt;&lt;title&gt;The impact of the granulocyte colony-stimulating factor on chemotherapy dose intensity and cancer survival: a systematic review and meta-analysis of randomized controlled trials&lt;/title&gt;&lt;secondary-title&gt;Annals of Oncology&lt;/secondary-title&gt;&lt;/titles&gt;&lt;periodical&gt;&lt;full-title&gt;Annals of Oncology&lt;/full-title&gt;&lt;/periodical&gt;&lt;pages&gt;2475-2484&lt;/pages&gt;&lt;volume&gt;24&lt;/volume&gt;&lt;number&gt;10&lt;/number&gt;&lt;dates&gt;&lt;year&gt;2013&lt;/year&gt;&lt;pub-dates&gt;&lt;date&gt;October 1, 2013&lt;/date&gt;&lt;/pub-dates&gt;&lt;/dates&gt;&lt;urls&gt;&lt;related-urls&gt;&lt;url&gt;http://annonc.oxfordjournals.org/content/24/10/2475.abstract&lt;/url&gt;&lt;url&gt;http://www.ncbi.nlm.nih.gov/pmc/articles/PMC3841419/pdf/annonc-24-2475.pdf&lt;/url&gt;&lt;/related-urls&gt;&lt;/urls&gt;&lt;electronic-resource-num&gt;10.1093/annonc/mdt226&lt;/electronic-resource-num&gt;&lt;/record&gt;&lt;/Cite&gt;&lt;/EndNote&gt;</w:instrText>
      </w:r>
      <w:r w:rsidR="006650D9" w:rsidRPr="00D61F55">
        <w:rPr>
          <w:color w:val="0000FF"/>
        </w:rPr>
        <w:fldChar w:fldCharType="separate"/>
      </w:r>
      <w:r w:rsidR="00EA3AF8">
        <w:rPr>
          <w:noProof/>
          <w:color w:val="0000FF"/>
        </w:rPr>
        <w:t>(</w:t>
      </w:r>
      <w:hyperlink w:anchor="_ENREF_11" w:tooltip="Lyman, 2013 #9" w:history="1">
        <w:r w:rsidR="00EA3AF8">
          <w:rPr>
            <w:noProof/>
            <w:color w:val="0000FF"/>
          </w:rPr>
          <w:t>Lyman et al., 2013</w:t>
        </w:r>
      </w:hyperlink>
      <w:r w:rsidR="00EA3AF8">
        <w:rPr>
          <w:noProof/>
          <w:color w:val="0000FF"/>
        </w:rPr>
        <w:t>)</w:t>
      </w:r>
      <w:r w:rsidR="006650D9" w:rsidRPr="00D61F55">
        <w:rPr>
          <w:color w:val="0000FF"/>
        </w:rPr>
        <w:fldChar w:fldCharType="end"/>
      </w:r>
      <w:r w:rsidR="00D61F55" w:rsidRPr="00D61F55">
        <w:rPr>
          <w:color w:val="0000FF"/>
        </w:rPr>
        <w:t>.</w:t>
      </w:r>
      <w:r w:rsidR="006650D9" w:rsidRPr="00D61F55">
        <w:rPr>
          <w:color w:val="0000FF"/>
        </w:rPr>
        <w:t xml:space="preserve"> </w:t>
      </w:r>
      <w:r w:rsidRPr="00D61F55">
        <w:rPr>
          <w:color w:val="0000FF"/>
        </w:rPr>
        <w:t>Another large meta-analysis considered 148 RCTs of primary prophylaxis in children or adults who were receiving cancer chemotherapy or undergoing stem-cell transplantation (SCT)</w:t>
      </w:r>
      <w:r w:rsidR="006650D9" w:rsidRPr="00D61F55">
        <w:t xml:space="preserve"> </w:t>
      </w:r>
      <w:r w:rsidR="006650D9" w:rsidRPr="00D61F55">
        <w:rPr>
          <w:color w:val="0000FF"/>
        </w:rPr>
        <w:fldChar w:fldCharType="begin"/>
      </w:r>
      <w:r w:rsidR="006650D9" w:rsidRPr="00D61F55">
        <w:rPr>
          <w:color w:val="0000FF"/>
        </w:rPr>
        <w:instrText xml:space="preserve"> ADDIN EN.CITE &lt;EndNote&gt;&lt;Cite&gt;&lt;Author&gt;Sung&lt;/Author&gt;&lt;Year&gt;2007&lt;/Year&gt;&lt;RecNum&gt;12&lt;/RecNum&gt;&lt;DisplayText&gt;(Sung et al., 2007)&lt;/DisplayText&gt;&lt;record&gt;&lt;rec-number&gt;12&lt;/rec-number&gt;&lt;foreign-keys&gt;&lt;key app="EN" db-id="ztx59ewdb9xd95ezwe95spa5z9x5sze52wde" timestamp="1449187246"&gt;12&lt;/key&gt;&lt;/foreign-keys&gt;&lt;ref-type name="Journal Article"&gt;17&lt;/ref-type&gt;&lt;contributors&gt;&lt;authors&gt;&lt;author&gt;Sung, Lillian&lt;/author&gt;&lt;author&gt;Nathan, Paul C.&lt;/author&gt;&lt;author&gt;Alibhai, Shabbir M. H.&lt;/author&gt;&lt;author&gt;Tomlinson, George A.&lt;/author&gt;&lt;author&gt;Beyene, Joseph&lt;/author&gt;&lt;/authors&gt;&lt;/contributors&gt;&lt;titles&gt;&lt;title&gt;Meta-analysis: Effect of Prophylactic Hematopoietic Colony-Stimulating Factors on Mortality and Outcomes of Infection&lt;/title&gt;&lt;secondary-title&gt;Annals of Internal Medicine&lt;/secondary-title&gt;&lt;/titles&gt;&lt;periodical&gt;&lt;full-title&gt;Annals of Internal Medicine&lt;/full-title&gt;&lt;/periodical&gt;&lt;pages&gt;400-411&lt;/pages&gt;&lt;volume&gt;147&lt;/volume&gt;&lt;number&gt;6&lt;/number&gt;&lt;dates&gt;&lt;year&gt;2007&lt;/year&gt;&lt;/dates&gt;&lt;isbn&gt;0003-4819&lt;/isbn&gt;&lt;urls&gt;&lt;related-urls&gt;&lt;url&gt;http://dx.doi.org/10.7326/0003-4819-147-6-200709180-00010&lt;/url&gt;&lt;url&gt;http://annals.org/data/Journals/AIM/20144/0000605-200709180-00010.pdf&lt;/url&gt;&lt;/related-urls&gt;&lt;/urls&gt;&lt;electronic-resource-num&gt;10.7326/0003-4819-147-6-200709180-00010&lt;/electronic-resource-num&gt;&lt;/record&gt;&lt;/Cite&gt;&lt;/EndNote&gt;</w:instrText>
      </w:r>
      <w:r w:rsidR="006650D9" w:rsidRPr="00D61F55">
        <w:rPr>
          <w:color w:val="0000FF"/>
        </w:rPr>
        <w:fldChar w:fldCharType="separate"/>
      </w:r>
      <w:r w:rsidR="006650D9" w:rsidRPr="00D61F55">
        <w:rPr>
          <w:noProof/>
          <w:color w:val="0000FF"/>
        </w:rPr>
        <w:t>(</w:t>
      </w:r>
      <w:hyperlink w:anchor="_ENREF_18" w:tooltip="Sung, 2007 #12" w:history="1">
        <w:r w:rsidR="00EA3AF8" w:rsidRPr="00D61F55">
          <w:rPr>
            <w:noProof/>
            <w:color w:val="0000FF"/>
          </w:rPr>
          <w:t>Sung et al., 2007</w:t>
        </w:r>
      </w:hyperlink>
      <w:r w:rsidR="006650D9" w:rsidRPr="00D61F55">
        <w:rPr>
          <w:noProof/>
          <w:color w:val="0000FF"/>
        </w:rPr>
        <w:t>)</w:t>
      </w:r>
      <w:r w:rsidR="006650D9" w:rsidRPr="00D61F55">
        <w:rPr>
          <w:color w:val="0000FF"/>
        </w:rPr>
        <w:fldChar w:fldCharType="end"/>
      </w:r>
      <w:r w:rsidR="00D61F55" w:rsidRPr="00D61F55">
        <w:rPr>
          <w:color w:val="0000FF"/>
        </w:rPr>
        <w:t>.</w:t>
      </w:r>
      <w:r w:rsidR="006650D9" w:rsidRPr="00D61F55">
        <w:rPr>
          <w:color w:val="0000FF"/>
        </w:rPr>
        <w:t xml:space="preserve"> </w:t>
      </w:r>
      <w:r w:rsidRPr="00D61F55">
        <w:rPr>
          <w:color w:val="0000FF"/>
        </w:rPr>
        <w:t>Only RCTs in which all study arms received the same chemotherapy or SCT conditioning regimen were included. On the basis of the 80 trials with all-cause mortality results, short-term all-cause mortality was 7.6% with primary prophylaxis and</w:t>
      </w:r>
      <w:r w:rsidR="00683C4F" w:rsidRPr="00D61F55">
        <w:rPr>
          <w:color w:val="0000FF"/>
        </w:rPr>
        <w:t xml:space="preserve"> </w:t>
      </w:r>
      <w:r w:rsidRPr="00D61F55">
        <w:rPr>
          <w:color w:val="0000FF"/>
        </w:rPr>
        <w:t>8.0%</w:t>
      </w:r>
      <w:r w:rsidR="009C0974">
        <w:rPr>
          <w:color w:val="0000FF"/>
        </w:rPr>
        <w:t xml:space="preserve"> </w:t>
      </w:r>
      <w:r w:rsidRPr="00D61F55">
        <w:rPr>
          <w:color w:val="0000FF"/>
        </w:rPr>
        <w:t>without primary prophylaxis (RR, 0.95; 95% CI, 0.84 to 1.08). Results for infection-related mortality were also null (RR, 0.82; 95% CI, 0.66 to 1.02)</w:t>
      </w:r>
      <w:r w:rsidR="006650D9" w:rsidRPr="00D61F55">
        <w:t xml:space="preserve"> </w:t>
      </w:r>
      <w:r w:rsidR="006650D9" w:rsidRPr="00D61F55">
        <w:rPr>
          <w:color w:val="0000FF"/>
        </w:rPr>
        <w:fldChar w:fldCharType="begin"/>
      </w:r>
      <w:r w:rsidR="006650D9" w:rsidRPr="00D61F55">
        <w:rPr>
          <w:color w:val="0000FF"/>
        </w:rPr>
        <w:instrText xml:space="preserve"> ADDIN EN.CITE &lt;EndNote&gt;&lt;Cite&gt;&lt;Author&gt;Sung&lt;/Author&gt;&lt;Year&gt;2007&lt;/Year&gt;&lt;RecNum&gt;12&lt;/RecNum&gt;&lt;DisplayText&gt;(Sung et al., 2007)&lt;/DisplayText&gt;&lt;record&gt;&lt;rec-number&gt;12&lt;/rec-number&gt;&lt;foreign-keys&gt;&lt;key app="EN" db-id="ztx59ewdb9xd95ezwe95spa5z9x5sze52wde" timestamp="1449187246"&gt;12&lt;/key&gt;&lt;/foreign-keys&gt;&lt;ref-type name="Journal Article"&gt;17&lt;/ref-type&gt;&lt;contributors&gt;&lt;authors&gt;&lt;author&gt;Sung, Lillian&lt;/author&gt;&lt;author&gt;Nathan, Paul C.&lt;/author&gt;&lt;author&gt;Alibhai, Shabbir M. H.&lt;/author&gt;&lt;author&gt;Tomlinson, George A.&lt;/author&gt;&lt;author&gt;Beyene, Joseph&lt;/author&gt;&lt;/authors&gt;&lt;/contributors&gt;&lt;titles&gt;&lt;title&gt;Meta-analysis: Effect of Prophylactic Hematopoietic Colony-Stimulating Factors on Mortality and Outcomes of Infection&lt;/title&gt;&lt;secondary-title&gt;Annals of Internal Medicine&lt;/secondary-title&gt;&lt;/titles&gt;&lt;periodical&gt;&lt;full-title&gt;Annals of Internal Medicine&lt;/full-title&gt;&lt;/periodical&gt;&lt;pages&gt;400-411&lt;/pages&gt;&lt;volume&gt;147&lt;/volume&gt;&lt;number&gt;6&lt;/number&gt;&lt;dates&gt;&lt;year&gt;2007&lt;/year&gt;&lt;/dates&gt;&lt;isbn&gt;0003-4819&lt;/isbn&gt;&lt;urls&gt;&lt;related-urls&gt;&lt;url&gt;http://dx.doi.org/10.7326/0003-4819-147-6-200709180-00010&lt;/url&gt;&lt;url&gt;http://annals.org/data/Journals/AIM/20144/0000605-200709180-00010.pdf&lt;/url&gt;&lt;/related-urls&gt;&lt;/urls&gt;&lt;electronic-resource-num&gt;10.7326/0003-4819-147-6-200709180-00010&lt;/electronic-resource-num&gt;&lt;/record&gt;&lt;/Cite&gt;&lt;/EndNote&gt;</w:instrText>
      </w:r>
      <w:r w:rsidR="006650D9" w:rsidRPr="00D61F55">
        <w:rPr>
          <w:color w:val="0000FF"/>
        </w:rPr>
        <w:fldChar w:fldCharType="separate"/>
      </w:r>
      <w:r w:rsidR="006650D9" w:rsidRPr="00D61F55">
        <w:rPr>
          <w:noProof/>
          <w:color w:val="0000FF"/>
        </w:rPr>
        <w:t>(</w:t>
      </w:r>
      <w:hyperlink w:anchor="_ENREF_18" w:tooltip="Sung, 2007 #12" w:history="1">
        <w:r w:rsidR="00EA3AF8" w:rsidRPr="00D61F55">
          <w:rPr>
            <w:noProof/>
            <w:color w:val="0000FF"/>
          </w:rPr>
          <w:t>Sung et al., 2007</w:t>
        </w:r>
      </w:hyperlink>
      <w:r w:rsidR="006650D9" w:rsidRPr="00D61F55">
        <w:rPr>
          <w:noProof/>
          <w:color w:val="0000FF"/>
        </w:rPr>
        <w:t>)</w:t>
      </w:r>
      <w:r w:rsidR="006650D9" w:rsidRPr="00D61F55">
        <w:rPr>
          <w:color w:val="0000FF"/>
        </w:rPr>
        <w:fldChar w:fldCharType="end"/>
      </w:r>
      <w:r w:rsidR="00D61F55" w:rsidRPr="00D61F55">
        <w:rPr>
          <w:color w:val="0000FF"/>
        </w:rPr>
        <w:t>.</w:t>
      </w:r>
      <w:r w:rsidR="006650D9" w:rsidRPr="00D61F55">
        <w:rPr>
          <w:color w:val="0000FF"/>
        </w:rPr>
        <w:t xml:space="preserve"> </w:t>
      </w:r>
      <w:r w:rsidRPr="00D61F55">
        <w:rPr>
          <w:color w:val="0000FF"/>
        </w:rPr>
        <w:t>In contrast</w:t>
      </w:r>
      <w:r w:rsidRPr="001D0B6F">
        <w:rPr>
          <w:color w:val="0000FF"/>
        </w:rPr>
        <w:t>, the addition of a G-CSF was associated with a statistically significant reduction in infection-related mortality in a 2011 meta-analysis of 12 RCTs in adults with a solid tumor or lymphoma; risk was 1.5% among patients who received primary prophylaxis with a CSF, compared with 2.8% among patients who did not receive primary prophylaxis (RR, 0.55; 95% CI, 0.34 to 0.90)</w:t>
      </w:r>
      <w:r w:rsidR="006650D9" w:rsidRPr="006650D9">
        <w:t xml:space="preserve"> </w:t>
      </w:r>
      <w:r w:rsidR="006650D9">
        <w:rPr>
          <w:color w:val="0000FF"/>
        </w:rPr>
        <w:fldChar w:fldCharType="begin"/>
      </w:r>
      <w:r w:rsidR="00EA3AF8">
        <w:rPr>
          <w:color w:val="0000FF"/>
        </w:rPr>
        <w:instrText xml:space="preserve"> ADDIN EN.CITE &lt;EndNote&gt;&lt;Cite&gt;&lt;Author&gt;Kuderer&lt;/Author&gt;&lt;Year&gt;2011&lt;/Year&gt;&lt;RecNum&gt;19&lt;/RecNum&gt;&lt;DisplayText&gt;(Nichole M. Kuderer, 2011)&lt;/DisplayText&gt;&lt;record&gt;&lt;rec-number&gt;19&lt;/rec-number&gt;&lt;foreign-keys&gt;&lt;key app="EN" db-id="ztx59ewdb9xd95ezwe95spa5z9x5sze52wde" timestamp="1455114755"&gt;19&lt;/key&gt;&lt;/foreign-keys&gt;&lt;ref-type name="Journal Article"&gt;17&lt;/ref-type&gt;&lt;contributors&gt;&lt;authors&gt;&lt;author&gt;Kuderer, Nichole M.&lt;/author&gt;&lt;/authors&gt;&lt;/contributors&gt;&lt;titles&gt;&lt;title&gt;Meta-analysis of randomized controlled trials of granulocyte colony-stimulating factor prophylaxis in adult cancer patients receiving chemotherapy&lt;/title&gt;&lt;secondary-title&gt;Cancer Treatment and Research&lt;/secondary-title&gt;&lt;/titles&gt;&lt;periodical&gt;&lt;full-title&gt;Cancer Treatment and Research&lt;/full-title&gt;&lt;/periodical&gt;&lt;pages&gt;127-143&lt;/pages&gt;&lt;volume&gt;157&lt;/volume&gt;&lt;dates&gt;&lt;year&gt;2011&lt;/year&gt;&lt;pub-dates&gt;&lt;date&gt;December 2013&lt;/date&gt;&lt;/pub-dates&gt;&lt;/dates&gt;&lt;urls&gt;&lt;/urls&gt;&lt;electronic-resource-num&gt;10.1007/978-1-4419-7073-2_8&lt;/electronic-resource-num&gt;&lt;/record&gt;&lt;/Cite&gt;&lt;/EndNote&gt;</w:instrText>
      </w:r>
      <w:r w:rsidR="006650D9">
        <w:rPr>
          <w:color w:val="0000FF"/>
        </w:rPr>
        <w:fldChar w:fldCharType="separate"/>
      </w:r>
      <w:r w:rsidR="00EA3AF8">
        <w:rPr>
          <w:noProof/>
          <w:color w:val="0000FF"/>
        </w:rPr>
        <w:t>(</w:t>
      </w:r>
      <w:hyperlink w:anchor="_ENREF_9" w:tooltip="Kuderer, 2011 #19" w:history="1">
        <w:r w:rsidR="00EA3AF8">
          <w:rPr>
            <w:noProof/>
            <w:color w:val="0000FF"/>
          </w:rPr>
          <w:t>Kuderer, 2011</w:t>
        </w:r>
      </w:hyperlink>
      <w:r w:rsidR="00EA3AF8">
        <w:rPr>
          <w:noProof/>
          <w:color w:val="0000FF"/>
        </w:rPr>
        <w:t>)</w:t>
      </w:r>
      <w:r w:rsidR="006650D9">
        <w:rPr>
          <w:color w:val="0000FF"/>
        </w:rPr>
        <w:fldChar w:fldCharType="end"/>
      </w:r>
      <w:r w:rsidR="00D61F55">
        <w:rPr>
          <w:color w:val="0000FF"/>
        </w:rPr>
        <w:t>.</w:t>
      </w:r>
      <w:r w:rsidR="002A31ED" w:rsidRPr="001D0B6F">
        <w:rPr>
          <w:color w:val="0000FF"/>
        </w:rPr>
        <w:t>”</w:t>
      </w:r>
    </w:p>
    <w:p w14:paraId="541717C9" w14:textId="77777777" w:rsidR="008011C7" w:rsidRPr="001D0B6F" w:rsidRDefault="008011C7" w:rsidP="00EF5215">
      <w:pPr>
        <w:ind w:left="0" w:firstLine="0"/>
        <w:rPr>
          <w:color w:val="0000FF"/>
        </w:rPr>
      </w:pPr>
    </w:p>
    <w:p w14:paraId="75652A2A" w14:textId="7DC44749" w:rsidR="00324779" w:rsidRPr="001D0B6F" w:rsidRDefault="0037775D" w:rsidP="002E2177">
      <w:pPr>
        <w:ind w:left="0" w:firstLine="0"/>
        <w:rPr>
          <w:color w:val="0000FF"/>
        </w:rPr>
      </w:pPr>
      <w:r w:rsidRPr="001D0B6F">
        <w:rPr>
          <w:color w:val="0000FF"/>
        </w:rPr>
        <w:t xml:space="preserve">Here we list </w:t>
      </w:r>
      <w:r w:rsidR="00EE41E7" w:rsidRPr="001D0B6F">
        <w:rPr>
          <w:color w:val="0000FF"/>
        </w:rPr>
        <w:t>s</w:t>
      </w:r>
      <w:r w:rsidR="00EF5215" w:rsidRPr="001D0B6F">
        <w:rPr>
          <w:color w:val="0000FF"/>
        </w:rPr>
        <w:t xml:space="preserve">tudies </w:t>
      </w:r>
      <w:r w:rsidRPr="001D0B6F">
        <w:rPr>
          <w:color w:val="0000FF"/>
        </w:rPr>
        <w:t xml:space="preserve">published from 2006-2012 that were cited </w:t>
      </w:r>
      <w:r w:rsidR="00BD330D" w:rsidRPr="001D0B6F">
        <w:rPr>
          <w:color w:val="0000FF"/>
        </w:rPr>
        <w:t xml:space="preserve">in the </w:t>
      </w:r>
      <w:r w:rsidRPr="001D0B6F">
        <w:rPr>
          <w:rFonts w:cs="Arial"/>
          <w:color w:val="0000FF"/>
        </w:rPr>
        <w:t xml:space="preserve">2015 ASCO Clinical Practice Guideline Update </w:t>
      </w:r>
      <w:r w:rsidRPr="001D0B6F">
        <w:rPr>
          <w:color w:val="0000FF"/>
        </w:rPr>
        <w:t>and</w:t>
      </w:r>
      <w:r w:rsidR="00EE41E7" w:rsidRPr="001D0B6F">
        <w:rPr>
          <w:color w:val="0000FF"/>
        </w:rPr>
        <w:t xml:space="preserve"> </w:t>
      </w:r>
      <w:r w:rsidR="00EF5215" w:rsidRPr="001D0B6F">
        <w:rPr>
          <w:color w:val="0000FF"/>
        </w:rPr>
        <w:t>report</w:t>
      </w:r>
      <w:r w:rsidR="00EE41E7" w:rsidRPr="001D0B6F">
        <w:rPr>
          <w:color w:val="0000FF"/>
        </w:rPr>
        <w:t>ed</w:t>
      </w:r>
      <w:r w:rsidR="00EF5215" w:rsidRPr="001D0B6F">
        <w:rPr>
          <w:color w:val="0000FF"/>
        </w:rPr>
        <w:t xml:space="preserve"> </w:t>
      </w:r>
      <w:r w:rsidR="0072592D">
        <w:rPr>
          <w:color w:val="0000FF"/>
        </w:rPr>
        <w:t xml:space="preserve">on the </w:t>
      </w:r>
      <w:r w:rsidR="00B51BB1" w:rsidRPr="001D0B6F">
        <w:rPr>
          <w:color w:val="0000FF"/>
        </w:rPr>
        <w:t>effects</w:t>
      </w:r>
      <w:r w:rsidRPr="001D0B6F">
        <w:rPr>
          <w:color w:val="0000FF"/>
        </w:rPr>
        <w:t xml:space="preserve"> of CSF on outcomes for adults with solid tumors</w:t>
      </w:r>
      <w:r w:rsidR="00B51BB1" w:rsidRPr="001D0B6F">
        <w:rPr>
          <w:color w:val="0000FF"/>
        </w:rPr>
        <w:t>:</w:t>
      </w:r>
    </w:p>
    <w:p w14:paraId="1BBD6F13" w14:textId="0B96C41E" w:rsidR="00C757EB" w:rsidRPr="001D0B6F" w:rsidRDefault="00C757EB" w:rsidP="00C757EB">
      <w:pPr>
        <w:pStyle w:val="ListParagraph"/>
        <w:numPr>
          <w:ilvl w:val="0"/>
          <w:numId w:val="12"/>
        </w:numPr>
        <w:rPr>
          <w:color w:val="0000FF"/>
        </w:rPr>
      </w:pPr>
      <w:r w:rsidRPr="001D0B6F">
        <w:rPr>
          <w:color w:val="0000FF"/>
        </w:rPr>
        <w:t xml:space="preserve">Febrile neutropenia (Renner et al., 2012; </w:t>
      </w:r>
      <w:proofErr w:type="spellStart"/>
      <w:r w:rsidRPr="001D0B6F">
        <w:rPr>
          <w:color w:val="0000FF"/>
        </w:rPr>
        <w:t>Balducci</w:t>
      </w:r>
      <w:proofErr w:type="spellEnd"/>
      <w:r w:rsidRPr="001D0B6F">
        <w:rPr>
          <w:color w:val="0000FF"/>
        </w:rPr>
        <w:t xml:space="preserve"> et al., 2007; </w:t>
      </w:r>
      <w:proofErr w:type="spellStart"/>
      <w:r w:rsidRPr="001D0B6F">
        <w:rPr>
          <w:color w:val="0000FF"/>
        </w:rPr>
        <w:t>Kuderer</w:t>
      </w:r>
      <w:proofErr w:type="spellEnd"/>
      <w:r w:rsidRPr="001D0B6F">
        <w:rPr>
          <w:color w:val="0000FF"/>
        </w:rPr>
        <w:t xml:space="preserve"> et al., 2007; Sung et al., 2007</w:t>
      </w:r>
      <w:r w:rsidR="0046503F" w:rsidRPr="001D0B6F">
        <w:rPr>
          <w:color w:val="0000FF"/>
        </w:rPr>
        <w:t>)</w:t>
      </w:r>
    </w:p>
    <w:p w14:paraId="31BD1994" w14:textId="296DF548" w:rsidR="00324779" w:rsidRPr="001D0B6F" w:rsidRDefault="00324779" w:rsidP="00AF7EDF">
      <w:pPr>
        <w:pStyle w:val="ListParagraph"/>
        <w:numPr>
          <w:ilvl w:val="0"/>
          <w:numId w:val="12"/>
        </w:numPr>
        <w:rPr>
          <w:color w:val="0000FF"/>
        </w:rPr>
      </w:pPr>
      <w:r w:rsidRPr="001D0B6F">
        <w:rPr>
          <w:color w:val="0000FF"/>
        </w:rPr>
        <w:t>All-cause mortality</w:t>
      </w:r>
      <w:r w:rsidR="00074502" w:rsidRPr="001D0B6F">
        <w:rPr>
          <w:color w:val="0000FF"/>
        </w:rPr>
        <w:t xml:space="preserve"> (Lyman </w:t>
      </w:r>
      <w:r w:rsidR="00AF7EDF" w:rsidRPr="001D0B6F">
        <w:rPr>
          <w:color w:val="0000FF"/>
        </w:rPr>
        <w:t xml:space="preserve">et al., </w:t>
      </w:r>
      <w:r w:rsidR="00074502" w:rsidRPr="001D0B6F">
        <w:rPr>
          <w:color w:val="0000FF"/>
        </w:rPr>
        <w:t>2013</w:t>
      </w:r>
      <w:r w:rsidR="00AF7EDF" w:rsidRPr="001D0B6F">
        <w:rPr>
          <w:color w:val="0000FF"/>
        </w:rPr>
        <w:t xml:space="preserve">; </w:t>
      </w:r>
      <w:r w:rsidR="008A66AE">
        <w:rPr>
          <w:color w:val="0000FF"/>
        </w:rPr>
        <w:fldChar w:fldCharType="begin"/>
      </w:r>
      <w:r w:rsidR="00EA3AF8">
        <w:rPr>
          <w:color w:val="0000FF"/>
        </w:rPr>
        <w:instrText xml:space="preserve"> ADDIN EN.CITE &lt;EndNote&gt;&lt;Cite&gt;&lt;Author&gt;Lyman&lt;/Author&gt;&lt;Year&gt;2010&lt;/Year&gt;&lt;RecNum&gt;10&lt;/RecNum&gt;&lt;DisplayText&gt;(Gary H. Lyman et al., 2010)&lt;/DisplayText&gt;&lt;record&gt;&lt;rec-number&gt;10&lt;/rec-number&gt;&lt;foreign-keys&gt;&lt;key app="EN" db-id="ztx59ewdb9xd95ezwe95spa5z9x5sze52wde" timestamp="1449186995"&gt;10&lt;/key&gt;&lt;/foreign-keys&gt;&lt;ref-type name="Journal Article"&gt;17&lt;/ref-type&gt;&lt;contributors&gt;&lt;authors&gt;&lt;author&gt;Lyman, Gary H.&lt;/author&gt;&lt;author&gt;Dale, David C.&lt;/author&gt;&lt;author&gt;Wolff, Debra A.&lt;/author&gt;&lt;author&gt;Culakova, Eva&lt;/author&gt;&lt;author&gt;Poniewierski, Marek S.&lt;/author&gt;&lt;author&gt;Kuderer, Nicole M.&lt;/author&gt;&lt;author&gt;Crawford, Jeffrey&lt;/author&gt;&lt;/authors&gt;&lt;/contributors&gt;&lt;titles&gt;&lt;title&gt;Acute Myeloid Leukemia or Myelodysplastic Syndrome in Randomized Controlled Clinical Trials of Cancer Chemotherapy With Granulocyte Colony-Stimulating Factor: A Systematic Review&lt;/title&gt;&lt;secondary-title&gt;Journal of Clinical Oncology&lt;/secondary-title&gt;&lt;/titles&gt;&lt;periodical&gt;&lt;full-title&gt;Journal of Clinical Oncology&lt;/full-title&gt;&lt;/periodical&gt;&lt;pages&gt;2914-2924&lt;/pages&gt;&lt;volume&gt;28&lt;/volume&gt;&lt;number&gt;17&lt;/number&gt;&lt;dates&gt;&lt;year&gt;2010&lt;/year&gt;&lt;pub-dates&gt;&lt;date&gt;June 10, 2010&lt;/date&gt;&lt;/pub-dates&gt;&lt;/dates&gt;&lt;urls&gt;&lt;related-urls&gt;&lt;url&gt;http://jco.ascopubs.org/content/28/17/2914.abstract&lt;/url&gt;&lt;url&gt;http://jco.ascopubs.org/content/28/17/2914.long&lt;/url&gt;&lt;/related-urls&gt;&lt;/urls&gt;&lt;electronic-resource-num&gt;10.1200/jco.2009.25.8723&lt;/electronic-resource-num&gt;&lt;/record&gt;&lt;/Cite&gt;&lt;/EndNote&gt;</w:instrText>
      </w:r>
      <w:r w:rsidR="008A66AE">
        <w:rPr>
          <w:color w:val="0000FF"/>
        </w:rPr>
        <w:fldChar w:fldCharType="separate"/>
      </w:r>
      <w:hyperlink w:anchor="_ENREF_12" w:tooltip="Lyman, 2010 #10" w:history="1">
        <w:r w:rsidR="00EA3AF8">
          <w:rPr>
            <w:noProof/>
            <w:color w:val="0000FF"/>
          </w:rPr>
          <w:t>Lyman et al., 2010</w:t>
        </w:r>
      </w:hyperlink>
      <w:r w:rsidR="008A66AE">
        <w:rPr>
          <w:color w:val="0000FF"/>
        </w:rPr>
        <w:fldChar w:fldCharType="end"/>
      </w:r>
      <w:r w:rsidR="00AF7EDF" w:rsidRPr="001D0B6F">
        <w:rPr>
          <w:color w:val="0000FF"/>
        </w:rPr>
        <w:t xml:space="preserve">; </w:t>
      </w:r>
      <w:proofErr w:type="spellStart"/>
      <w:r w:rsidR="009C0974">
        <w:rPr>
          <w:color w:val="0000FF"/>
        </w:rPr>
        <w:t>Bohlius</w:t>
      </w:r>
      <w:proofErr w:type="spellEnd"/>
      <w:r w:rsidR="009C0974">
        <w:rPr>
          <w:color w:val="0000FF"/>
        </w:rPr>
        <w:t xml:space="preserve"> et al., 2008; </w:t>
      </w:r>
      <w:r w:rsidR="00AF7EDF" w:rsidRPr="001D0B6F">
        <w:rPr>
          <w:color w:val="0000FF"/>
        </w:rPr>
        <w:t xml:space="preserve">Sung </w:t>
      </w:r>
      <w:r w:rsidR="00C757EB" w:rsidRPr="001D0B6F">
        <w:rPr>
          <w:color w:val="0000FF"/>
        </w:rPr>
        <w:t xml:space="preserve">et al., </w:t>
      </w:r>
      <w:r w:rsidR="00AF7EDF" w:rsidRPr="001D0B6F">
        <w:rPr>
          <w:color w:val="0000FF"/>
        </w:rPr>
        <w:t>2007)</w:t>
      </w:r>
    </w:p>
    <w:p w14:paraId="11E5A0FA" w14:textId="47B5256E" w:rsidR="00544A7A" w:rsidRPr="001D0B6F" w:rsidRDefault="00324779" w:rsidP="00631A88">
      <w:pPr>
        <w:pStyle w:val="ListParagraph"/>
        <w:numPr>
          <w:ilvl w:val="0"/>
          <w:numId w:val="12"/>
        </w:numPr>
        <w:rPr>
          <w:color w:val="0000FF"/>
        </w:rPr>
      </w:pPr>
      <w:r w:rsidRPr="001D0B6F">
        <w:rPr>
          <w:color w:val="0000FF"/>
        </w:rPr>
        <w:t>Infection-related mortality</w:t>
      </w:r>
      <w:r w:rsidR="00DF6975" w:rsidRPr="001D0B6F">
        <w:rPr>
          <w:color w:val="0000FF"/>
        </w:rPr>
        <w:t xml:space="preserve"> (Renner</w:t>
      </w:r>
      <w:r w:rsidR="00565C47">
        <w:rPr>
          <w:color w:val="0000FF"/>
        </w:rPr>
        <w:t xml:space="preserve"> et al.,</w:t>
      </w:r>
      <w:r w:rsidR="00DF6975" w:rsidRPr="001D0B6F">
        <w:rPr>
          <w:color w:val="0000FF"/>
        </w:rPr>
        <w:t xml:space="preserve"> 2012; </w:t>
      </w:r>
      <w:proofErr w:type="spellStart"/>
      <w:r w:rsidR="009C0974">
        <w:rPr>
          <w:color w:val="0000FF"/>
        </w:rPr>
        <w:t>Bohlius</w:t>
      </w:r>
      <w:proofErr w:type="spellEnd"/>
      <w:r w:rsidR="009C0974">
        <w:rPr>
          <w:color w:val="0000FF"/>
        </w:rPr>
        <w:t xml:space="preserve"> et al., 2008; </w:t>
      </w:r>
      <w:proofErr w:type="spellStart"/>
      <w:r w:rsidR="00DF6975" w:rsidRPr="001D0B6F">
        <w:rPr>
          <w:color w:val="0000FF"/>
        </w:rPr>
        <w:t>Kuderer</w:t>
      </w:r>
      <w:proofErr w:type="spellEnd"/>
      <w:r w:rsidR="00DF6975" w:rsidRPr="001D0B6F">
        <w:rPr>
          <w:color w:val="0000FF"/>
        </w:rPr>
        <w:t xml:space="preserve"> et al., 2007</w:t>
      </w:r>
      <w:r w:rsidR="00631A88" w:rsidRPr="001D0B6F">
        <w:rPr>
          <w:color w:val="0000FF"/>
        </w:rPr>
        <w:t xml:space="preserve">; Sung </w:t>
      </w:r>
      <w:r w:rsidR="00B51BB1" w:rsidRPr="001D0B6F">
        <w:rPr>
          <w:color w:val="0000FF"/>
        </w:rPr>
        <w:t>et al., 2007)</w:t>
      </w:r>
    </w:p>
    <w:p w14:paraId="75556EBE" w14:textId="248943A4" w:rsidR="00324779" w:rsidRPr="001D0B6F" w:rsidRDefault="00324779" w:rsidP="00074502">
      <w:pPr>
        <w:pStyle w:val="ListParagraph"/>
        <w:numPr>
          <w:ilvl w:val="0"/>
          <w:numId w:val="12"/>
        </w:numPr>
        <w:rPr>
          <w:color w:val="0000FF"/>
        </w:rPr>
      </w:pPr>
      <w:r w:rsidRPr="001D0B6F">
        <w:rPr>
          <w:color w:val="0000FF"/>
        </w:rPr>
        <w:t>Early mortality</w:t>
      </w:r>
      <w:r w:rsidR="00074502" w:rsidRPr="001D0B6F">
        <w:rPr>
          <w:color w:val="0000FF"/>
        </w:rPr>
        <w:t xml:space="preserve"> (Renner et al., 2012; </w:t>
      </w:r>
      <w:proofErr w:type="spellStart"/>
      <w:r w:rsidR="00074502" w:rsidRPr="001D0B6F">
        <w:rPr>
          <w:color w:val="0000FF"/>
        </w:rPr>
        <w:t>Kuderer</w:t>
      </w:r>
      <w:proofErr w:type="spellEnd"/>
      <w:r w:rsidR="00074502" w:rsidRPr="001D0B6F">
        <w:rPr>
          <w:color w:val="0000FF"/>
        </w:rPr>
        <w:t xml:space="preserve"> et al., 2007) </w:t>
      </w:r>
    </w:p>
    <w:p w14:paraId="4B8EE4AE" w14:textId="5CDFF60C" w:rsidR="00324779" w:rsidRPr="001D0B6F" w:rsidRDefault="00324779" w:rsidP="00B00F55">
      <w:pPr>
        <w:pStyle w:val="ListParagraph"/>
        <w:numPr>
          <w:ilvl w:val="0"/>
          <w:numId w:val="12"/>
        </w:numPr>
        <w:rPr>
          <w:color w:val="0000FF"/>
        </w:rPr>
      </w:pPr>
      <w:r w:rsidRPr="001D0B6F">
        <w:rPr>
          <w:color w:val="0000FF"/>
        </w:rPr>
        <w:t>Planned chemotherapy doses at scheduled times and doses</w:t>
      </w:r>
      <w:r w:rsidR="00B00F55" w:rsidRPr="001D0B6F">
        <w:rPr>
          <w:color w:val="0000FF"/>
        </w:rPr>
        <w:t xml:space="preserve"> (Renner et al., 2012; </w:t>
      </w:r>
      <w:r w:rsidR="008A66AE">
        <w:rPr>
          <w:color w:val="0000FF"/>
        </w:rPr>
        <w:fldChar w:fldCharType="begin"/>
      </w:r>
      <w:r w:rsidR="00EA3AF8">
        <w:rPr>
          <w:color w:val="0000FF"/>
        </w:rPr>
        <w:instrText xml:space="preserve"> ADDIN EN.CITE &lt;EndNote&gt;&lt;Cite&gt;&lt;Author&gt;Wildiers&lt;/Author&gt;&lt;Year&gt;2011&lt;/Year&gt;&lt;RecNum&gt;14&lt;/RecNum&gt;&lt;DisplayText&gt;(Wildiers &amp;amp; Reiser, 2011)&lt;/DisplayText&gt;&lt;record&gt;&lt;rec-number&gt;14&lt;/rec-number&gt;&lt;foreign-keys&gt;&lt;key app="EN" db-id="ztx59ewdb9xd95ezwe95spa5z9x5sze52wde" timestamp="1449187266"&gt;14&lt;/key&gt;&lt;/foreign-keys&gt;&lt;ref-type name="Journal Article"&gt;17&lt;/ref-type&gt;&lt;contributors&gt;&lt;authors&gt;&lt;author&gt;Wildiers, Hans&lt;/author&gt;&lt;author&gt;Reiser, Marcel&lt;/author&gt;&lt;/authors&gt;&lt;/contributors&gt;&lt;titles&gt;&lt;title&gt;Relative dose intensity of chemotherapy and its impact on outcomes in patients with early breast cancer or aggressive lymphoma&lt;/title&gt;&lt;secondary-title&gt;Critical Reviews in Oncology/Hematology&lt;/secondary-title&gt;&lt;/titles&gt;&lt;periodical&gt;&lt;full-title&gt;Critical Reviews in Oncology/Hematology&lt;/full-title&gt;&lt;/periodical&gt;&lt;pages&gt;221-240&lt;/pages&gt;&lt;volume&gt;77&lt;/volume&gt;&lt;number&gt;3&lt;/number&gt;&lt;keywords&gt;&lt;keyword&gt;Breast cancer&lt;/keyword&gt;&lt;keyword&gt;Chemotherapy&lt;/keyword&gt;&lt;keyword&gt;G-CSF&lt;/keyword&gt;&lt;keyword&gt;Non-Hodgkin&amp;apos;s lymphoma&lt;/keyword&gt;&lt;keyword&gt;Relative dose intensity&lt;/keyword&gt;&lt;keyword&gt;Survival&lt;/keyword&gt;&lt;/keywords&gt;&lt;dates&gt;&lt;year&gt;2011&lt;/year&gt;&lt;pub-dates&gt;&lt;date&gt;3//&lt;/date&gt;&lt;/pub-dates&gt;&lt;/dates&gt;&lt;isbn&gt;1040-8428&lt;/isbn&gt;&lt;urls&gt;&lt;related-urls&gt;&lt;url&gt;http://www.sciencedirect.com/science/article/pii/S1040842810000326&lt;/url&gt;&lt;url&gt;http://ac.els-cdn.com/S1040842810000326/1-s2.0-S1040842810000326-main.pdf?_tid=31193670-9a1a-11e5-a31e-00000aacb35d&amp;amp;acdnat=1449187479_d68c8ba909da1c3103cc2a2469b99a53&lt;/url&gt;&lt;/related-urls&gt;&lt;/urls&gt;&lt;electronic-resource-num&gt;http://dx.doi.org/10.1016/j.critrevonc.2010.02.002&lt;/electronic-resource-num&gt;&lt;/record&gt;&lt;/Cite&gt;&lt;/EndNote&gt;</w:instrText>
      </w:r>
      <w:r w:rsidR="008A66AE">
        <w:rPr>
          <w:color w:val="0000FF"/>
        </w:rPr>
        <w:fldChar w:fldCharType="separate"/>
      </w:r>
      <w:r w:rsidR="00EA3AF8">
        <w:rPr>
          <w:noProof/>
          <w:color w:val="0000FF"/>
        </w:rPr>
        <w:t>(</w:t>
      </w:r>
      <w:hyperlink w:anchor="_ENREF_20" w:tooltip="Wildiers, 2011 #14" w:history="1">
        <w:r w:rsidR="00EA3AF8">
          <w:rPr>
            <w:noProof/>
            <w:color w:val="0000FF"/>
          </w:rPr>
          <w:t>Wildiers &amp; Reiser, 2011</w:t>
        </w:r>
      </w:hyperlink>
      <w:r w:rsidR="00EA3AF8">
        <w:rPr>
          <w:noProof/>
          <w:color w:val="0000FF"/>
        </w:rPr>
        <w:t>)</w:t>
      </w:r>
      <w:r w:rsidR="008A66AE">
        <w:rPr>
          <w:color w:val="0000FF"/>
        </w:rPr>
        <w:fldChar w:fldCharType="end"/>
      </w:r>
      <w:r w:rsidR="000B6E51" w:rsidRPr="001D0B6F">
        <w:rPr>
          <w:color w:val="0000FF"/>
        </w:rPr>
        <w:t>;</w:t>
      </w:r>
      <w:r w:rsidR="00466FAE" w:rsidRPr="001D0B6F">
        <w:rPr>
          <w:color w:val="0000FF"/>
        </w:rPr>
        <w:t xml:space="preserve"> </w:t>
      </w:r>
      <w:proofErr w:type="spellStart"/>
      <w:r w:rsidR="00466FAE" w:rsidRPr="001D0B6F">
        <w:rPr>
          <w:color w:val="0000FF"/>
        </w:rPr>
        <w:t>Balducci</w:t>
      </w:r>
      <w:proofErr w:type="spellEnd"/>
      <w:r w:rsidR="00466FAE" w:rsidRPr="001D0B6F">
        <w:rPr>
          <w:color w:val="0000FF"/>
        </w:rPr>
        <w:t xml:space="preserve"> et al., 2007; </w:t>
      </w:r>
      <w:r w:rsidR="008A66AE">
        <w:rPr>
          <w:color w:val="0000FF"/>
        </w:rPr>
        <w:fldChar w:fldCharType="begin"/>
      </w:r>
      <w:r w:rsidR="00EA3AF8">
        <w:rPr>
          <w:color w:val="0000FF"/>
        </w:rPr>
        <w:instrText xml:space="preserve"> ADDIN EN.CITE &lt;EndNote&gt;&lt;Cite&gt;&lt;Author&gt;Papaldo&lt;/Author&gt;&lt;Year&gt;2006&lt;/Year&gt;&lt;RecNum&gt;11&lt;/RecNum&gt;&lt;DisplayText&gt;(Papaldo et al., 2006)&lt;/DisplayText&gt;&lt;record&gt;&lt;rec-number&gt;11&lt;/rec-number&gt;&lt;foreign-keys&gt;&lt;key app="EN" db-id="ztx59ewdb9xd95ezwe95spa5z9x5sze52wde" timestamp="1449187219"&gt;11&lt;/key&gt;&lt;/foreign-keys&gt;&lt;ref-type name="Journal Article"&gt;17&lt;/ref-type&gt;&lt;contributors&gt;&lt;authors&gt;&lt;author&gt;Papaldo, Paola&lt;/author&gt;&lt;author&gt;Ferretti, Gianluigi&lt;/author&gt;&lt;author&gt;Di Cosimo, Serena&lt;/author&gt;&lt;author&gt;Giannarelli, Diana&lt;/author&gt;&lt;author&gt;Marolla, Paolo&lt;/author&gt;&lt;author&gt;Lopez, Massimo&lt;/author&gt;&lt;author&gt;Cortesi, Enrico&lt;/author&gt;&lt;author&gt;Antimi, Mauro&lt;/author&gt;&lt;author&gt;Terzoli, Edmondo&lt;/author&gt;&lt;author&gt;Carlini, Paolo&lt;/author&gt;&lt;author&gt;Vici, Patrizia&lt;/author&gt;&lt;author&gt;Botti, Claudio&lt;/author&gt;&lt;author&gt;Di Lauro, Luigi&lt;/author&gt;&lt;author&gt;Naso, Giuseppe&lt;/author&gt;&lt;author&gt;Nisticò, Cecilia&lt;/author&gt;&lt;author&gt;Mottolese, Marcella&lt;/author&gt;&lt;author&gt;Di Filippo, Franco&lt;/author&gt;&lt;author&gt;Ruggeri, Enzo Maria&lt;/author&gt;&lt;author&gt;Ceribelli, Anna&lt;/author&gt;&lt;author&gt;Cognetti, Francesco&lt;/author&gt;&lt;/authors&gt;&lt;/contributors&gt;&lt;titles&gt;&lt;title&gt;Does Granulocyte Colony-Stimulating Factor Worsen Anemia in Early Breast Cancer Patients Treated With Epirubicin and Cyclophosphamide?&lt;/title&gt;&lt;secondary-title&gt;Journal of Clinical Oncology&lt;/secondary-title&gt;&lt;/titles&gt;&lt;periodical&gt;&lt;full-title&gt;Journal of Clinical Oncology&lt;/full-title&gt;&lt;/periodical&gt;&lt;pages&gt;3048-3055&lt;/pages&gt;&lt;volume&gt;24&lt;/volume&gt;&lt;number&gt;19&lt;/number&gt;&lt;dates&gt;&lt;year&gt;2006&lt;/year&gt;&lt;pub-dates&gt;&lt;date&gt;July 1, 2006&lt;/date&gt;&lt;/pub-dates&gt;&lt;/dates&gt;&lt;urls&gt;&lt;related-urls&gt;&lt;url&gt;http://jco.ascopubs.org/content/24/19/3048.abstract&lt;/url&gt;&lt;url&gt;http://jco.ascopubs.org/content/24/19/3048.full.pdf&lt;/url&gt;&lt;/related-urls&gt;&lt;/urls&gt;&lt;electronic-resource-num&gt;10.1200/jco.2005.02.9488&lt;/electronic-resource-num&gt;&lt;/record&gt;&lt;/Cite&gt;&lt;/EndNote&gt;</w:instrText>
      </w:r>
      <w:r w:rsidR="008A66AE">
        <w:rPr>
          <w:color w:val="0000FF"/>
        </w:rPr>
        <w:fldChar w:fldCharType="separate"/>
      </w:r>
      <w:r w:rsidR="00EA3AF8">
        <w:rPr>
          <w:noProof/>
          <w:color w:val="0000FF"/>
        </w:rPr>
        <w:t>(</w:t>
      </w:r>
      <w:hyperlink w:anchor="_ENREF_16" w:tooltip="Papaldo, 2006 #11" w:history="1">
        <w:r w:rsidR="00EA3AF8">
          <w:rPr>
            <w:noProof/>
            <w:color w:val="0000FF"/>
          </w:rPr>
          <w:t>Papaldo et al., 2006</w:t>
        </w:r>
      </w:hyperlink>
      <w:r w:rsidR="00EA3AF8">
        <w:rPr>
          <w:noProof/>
          <w:color w:val="0000FF"/>
        </w:rPr>
        <w:t>)</w:t>
      </w:r>
      <w:r w:rsidR="008A66AE">
        <w:rPr>
          <w:color w:val="0000FF"/>
        </w:rPr>
        <w:fldChar w:fldCharType="end"/>
      </w:r>
    </w:p>
    <w:p w14:paraId="43E7C2EC" w14:textId="052F1BF1" w:rsidR="00324779" w:rsidRPr="001D0B6F" w:rsidRDefault="00324779" w:rsidP="0046503F">
      <w:pPr>
        <w:pStyle w:val="ListParagraph"/>
        <w:numPr>
          <w:ilvl w:val="0"/>
          <w:numId w:val="12"/>
        </w:numPr>
        <w:rPr>
          <w:color w:val="0000FF"/>
        </w:rPr>
      </w:pPr>
      <w:r w:rsidRPr="001D0B6F">
        <w:rPr>
          <w:color w:val="0000FF"/>
        </w:rPr>
        <w:t>Acute myeloid leukemia/ myelodysplastic syndrome (AML/MDS)</w:t>
      </w:r>
      <w:r w:rsidR="0046503F" w:rsidRPr="001D0B6F">
        <w:rPr>
          <w:color w:val="0000FF"/>
        </w:rPr>
        <w:t xml:space="preserve"> (Lyman et al., 2010)</w:t>
      </w:r>
    </w:p>
    <w:p w14:paraId="38E5C259" w14:textId="3CB94CD8" w:rsidR="00466FAE" w:rsidRPr="001D0B6F" w:rsidRDefault="00466FAE" w:rsidP="0046503F">
      <w:pPr>
        <w:pStyle w:val="ListParagraph"/>
        <w:numPr>
          <w:ilvl w:val="0"/>
          <w:numId w:val="12"/>
        </w:numPr>
        <w:rPr>
          <w:color w:val="0000FF"/>
        </w:rPr>
      </w:pPr>
      <w:r w:rsidRPr="001D0B6F">
        <w:rPr>
          <w:color w:val="0000FF"/>
        </w:rPr>
        <w:t>Infections (</w:t>
      </w:r>
      <w:proofErr w:type="spellStart"/>
      <w:r w:rsidR="00EF0DBD">
        <w:rPr>
          <w:color w:val="0000FF"/>
        </w:rPr>
        <w:t>Bohlius</w:t>
      </w:r>
      <w:proofErr w:type="spellEnd"/>
      <w:r w:rsidR="00EF0DBD">
        <w:rPr>
          <w:color w:val="0000FF"/>
        </w:rPr>
        <w:t xml:space="preserve"> et al., 2008; </w:t>
      </w:r>
      <w:r w:rsidRPr="001D0B6F">
        <w:rPr>
          <w:color w:val="0000FF"/>
        </w:rPr>
        <w:t>Sung et al., 2007</w:t>
      </w:r>
      <w:r w:rsidR="006174C8" w:rsidRPr="001D0B6F">
        <w:rPr>
          <w:color w:val="0000FF"/>
        </w:rPr>
        <w:t>)</w:t>
      </w:r>
      <w:r w:rsidR="00182094" w:rsidRPr="001D0B6F">
        <w:rPr>
          <w:color w:val="0000FF"/>
        </w:rPr>
        <w:t xml:space="preserve"> </w:t>
      </w:r>
    </w:p>
    <w:p w14:paraId="2D2DBE2A" w14:textId="619A27B5" w:rsidR="00324779" w:rsidRPr="001D0B6F" w:rsidRDefault="00581BE2" w:rsidP="0031621E">
      <w:pPr>
        <w:ind w:left="0" w:firstLine="0"/>
        <w:rPr>
          <w:color w:val="0000FF"/>
        </w:rPr>
      </w:pPr>
      <w:r w:rsidRPr="001D0B6F">
        <w:rPr>
          <w:color w:val="0000FF"/>
        </w:rPr>
        <w:lastRenderedPageBreak/>
        <w:t>For more detail</w:t>
      </w:r>
      <w:r w:rsidR="007219CC" w:rsidRPr="001D0B6F">
        <w:rPr>
          <w:color w:val="0000FF"/>
        </w:rPr>
        <w:t xml:space="preserve"> about the results</w:t>
      </w:r>
      <w:r w:rsidR="00027F8B">
        <w:rPr>
          <w:color w:val="0000FF"/>
        </w:rPr>
        <w:t xml:space="preserve"> from these studies</w:t>
      </w:r>
      <w:r w:rsidRPr="001D0B6F">
        <w:rPr>
          <w:color w:val="0000FF"/>
        </w:rPr>
        <w:t xml:space="preserve">, see </w:t>
      </w:r>
      <w:r w:rsidR="0031621E">
        <w:rPr>
          <w:color w:val="0000FF"/>
        </w:rPr>
        <w:t xml:space="preserve">“Appendix </w:t>
      </w:r>
      <w:r w:rsidR="0072592D">
        <w:rPr>
          <w:color w:val="0000FF"/>
        </w:rPr>
        <w:t>Table 1</w:t>
      </w:r>
      <w:r w:rsidR="0031621E">
        <w:rPr>
          <w:color w:val="0000FF"/>
        </w:rPr>
        <w:t>.</w:t>
      </w:r>
      <w:r w:rsidR="0072592D">
        <w:rPr>
          <w:color w:val="0000FF"/>
        </w:rPr>
        <w:t xml:space="preserve"> </w:t>
      </w:r>
      <w:r w:rsidR="0031621E" w:rsidRPr="0031621E">
        <w:rPr>
          <w:color w:val="0000FF"/>
        </w:rPr>
        <w:t>Summary of Studies Cited in Support of Recommendation 1 by ASCO Guidelines on the Use of WBC Growth Factors (Smith et al., 2015)</w:t>
      </w:r>
      <w:r w:rsidR="00471F66">
        <w:rPr>
          <w:color w:val="0000FF"/>
        </w:rPr>
        <w:t>”</w:t>
      </w:r>
      <w:r w:rsidR="0031621E">
        <w:rPr>
          <w:color w:val="0000FF"/>
        </w:rPr>
        <w:t xml:space="preserve"> </w:t>
      </w:r>
      <w:r w:rsidR="0072592D">
        <w:rPr>
          <w:color w:val="0000FF"/>
        </w:rPr>
        <w:t xml:space="preserve">in </w:t>
      </w:r>
      <w:r w:rsidR="00234D20" w:rsidRPr="001D0B6F">
        <w:rPr>
          <w:color w:val="0000FF"/>
        </w:rPr>
        <w:t xml:space="preserve">the </w:t>
      </w:r>
      <w:r w:rsidR="0031621E">
        <w:rPr>
          <w:color w:val="0000FF"/>
        </w:rPr>
        <w:t>Appendix below</w:t>
      </w:r>
      <w:r w:rsidR="0072592D">
        <w:rPr>
          <w:color w:val="0000FF"/>
        </w:rPr>
        <w:t xml:space="preserve"> </w:t>
      </w:r>
      <w:r w:rsidR="00144E54">
        <w:rPr>
          <w:color w:val="0000FF"/>
        </w:rPr>
        <w:t>under</w:t>
      </w:r>
      <w:r w:rsidR="00144E54" w:rsidRPr="001D0B6F">
        <w:rPr>
          <w:color w:val="0000FF"/>
        </w:rPr>
        <w:t xml:space="preserve"> </w:t>
      </w:r>
      <w:r w:rsidR="00754355" w:rsidRPr="001D0B6F">
        <w:rPr>
          <w:color w:val="0000FF"/>
        </w:rPr>
        <w:t xml:space="preserve">the </w:t>
      </w:r>
      <w:r w:rsidR="00144E54">
        <w:rPr>
          <w:color w:val="0000FF"/>
        </w:rPr>
        <w:t xml:space="preserve">column </w:t>
      </w:r>
      <w:r w:rsidR="00754355" w:rsidRPr="001D0B6F">
        <w:rPr>
          <w:color w:val="0000FF"/>
        </w:rPr>
        <w:t xml:space="preserve">heading </w:t>
      </w:r>
      <w:r w:rsidR="00DF4F33" w:rsidRPr="001D0B6F">
        <w:rPr>
          <w:color w:val="0000FF"/>
        </w:rPr>
        <w:t xml:space="preserve">“Benefit of </w:t>
      </w:r>
      <w:r w:rsidR="00F5681C">
        <w:rPr>
          <w:color w:val="0000FF"/>
        </w:rPr>
        <w:t>P</w:t>
      </w:r>
      <w:r w:rsidR="007D086C">
        <w:rPr>
          <w:color w:val="0000FF"/>
        </w:rPr>
        <w:t>rophylaxis</w:t>
      </w:r>
      <w:r w:rsidR="00FA2EAE" w:rsidRPr="001D0B6F">
        <w:rPr>
          <w:color w:val="0000FF"/>
        </w:rPr>
        <w:t xml:space="preserve"> </w:t>
      </w:r>
      <w:r w:rsidR="00DF4F33" w:rsidRPr="001D0B6F">
        <w:rPr>
          <w:color w:val="0000FF"/>
        </w:rPr>
        <w:t>with CSF</w:t>
      </w:r>
      <w:r w:rsidR="00234D20" w:rsidRPr="001D0B6F">
        <w:rPr>
          <w:color w:val="0000FF"/>
        </w:rPr>
        <w:t>.</w:t>
      </w:r>
      <w:r w:rsidR="00DF4F33" w:rsidRPr="001D0B6F">
        <w:rPr>
          <w:color w:val="0000FF"/>
        </w:rPr>
        <w:t>”</w:t>
      </w:r>
    </w:p>
    <w:p w14:paraId="53BB17DA" w14:textId="77777777" w:rsidR="00324779" w:rsidRPr="003B1CC5" w:rsidRDefault="00324779" w:rsidP="002E2177">
      <w:pPr>
        <w:ind w:left="0" w:firstLine="0"/>
      </w:pPr>
    </w:p>
    <w:p w14:paraId="52087962"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315D46ED" w14:textId="77777777" w:rsidR="00544A7A" w:rsidRDefault="00544A7A" w:rsidP="002E2177">
      <w:pPr>
        <w:ind w:left="0" w:firstLine="0"/>
        <w:rPr>
          <w:color w:val="0000FF"/>
          <w:highlight w:val="yellow"/>
        </w:rPr>
      </w:pPr>
    </w:p>
    <w:p w14:paraId="30EDAA7E" w14:textId="79097F2C" w:rsidR="008D038A" w:rsidRPr="00087D02" w:rsidRDefault="00FA2EAE" w:rsidP="008D038A">
      <w:pPr>
        <w:ind w:left="0" w:firstLine="0"/>
        <w:rPr>
          <w:b/>
          <w:color w:val="0000FF"/>
        </w:rPr>
      </w:pPr>
      <w:r w:rsidRPr="00087D02">
        <w:rPr>
          <w:b/>
          <w:color w:val="0000FF"/>
        </w:rPr>
        <w:t xml:space="preserve">Excerpt </w:t>
      </w:r>
      <w:r w:rsidR="008D038A" w:rsidRPr="00087D02">
        <w:rPr>
          <w:b/>
          <w:color w:val="0000FF"/>
        </w:rPr>
        <w:t xml:space="preserve">from </w:t>
      </w:r>
      <w:r w:rsidR="001E2A6A" w:rsidRPr="00087D02">
        <w:rPr>
          <w:b/>
          <w:color w:val="0000FF"/>
        </w:rPr>
        <w:t xml:space="preserve">page 3203 of the </w:t>
      </w:r>
      <w:r w:rsidR="008D038A" w:rsidRPr="00087D02">
        <w:rPr>
          <w:rFonts w:cs="Arial"/>
          <w:b/>
          <w:color w:val="0000FF"/>
        </w:rPr>
        <w:t>2015 ASCO Clinical Practice Guideline Update (see complete citation in Section 1a.4.1 above):</w:t>
      </w:r>
    </w:p>
    <w:p w14:paraId="6728DC7D" w14:textId="77777777" w:rsidR="002C0FC6" w:rsidRDefault="008D038A" w:rsidP="00DF4F33">
      <w:pPr>
        <w:ind w:left="0" w:firstLine="0"/>
        <w:rPr>
          <w:color w:val="0000FF"/>
        </w:rPr>
      </w:pPr>
      <w:r>
        <w:rPr>
          <w:color w:val="0000FF"/>
        </w:rPr>
        <w:t>“</w:t>
      </w:r>
      <w:r w:rsidRPr="008D038A">
        <w:rPr>
          <w:color w:val="0000FF"/>
        </w:rPr>
        <w:t>Adverse effects of CSFs include bone pain, but a randomized trial</w:t>
      </w:r>
      <w:r>
        <w:rPr>
          <w:color w:val="0000FF"/>
        </w:rPr>
        <w:t xml:space="preserve"> </w:t>
      </w:r>
      <w:r w:rsidRPr="008D038A">
        <w:rPr>
          <w:color w:val="0000FF"/>
        </w:rPr>
        <w:t xml:space="preserve">of naproxen versus placebo suggested that nonsteroidal </w:t>
      </w:r>
      <w:r>
        <w:rPr>
          <w:color w:val="0000FF"/>
        </w:rPr>
        <w:t xml:space="preserve">anti-inflammatory </w:t>
      </w:r>
      <w:r w:rsidRPr="008D038A">
        <w:rPr>
          <w:color w:val="0000FF"/>
        </w:rPr>
        <w:t>drugs may reduce the incidence, duration, and severity</w:t>
      </w:r>
      <w:r>
        <w:rPr>
          <w:color w:val="0000FF"/>
        </w:rPr>
        <w:t xml:space="preserve"> </w:t>
      </w:r>
      <w:r w:rsidRPr="008D038A">
        <w:rPr>
          <w:color w:val="0000FF"/>
        </w:rPr>
        <w:t>of bone pain among CSF-treated patients.</w:t>
      </w:r>
      <w:r w:rsidR="006650D9" w:rsidRPr="006650D9">
        <w:t xml:space="preserve"> </w:t>
      </w:r>
      <w:r w:rsidR="006650D9">
        <w:rPr>
          <w:color w:val="0000FF"/>
        </w:rPr>
        <w:fldChar w:fldCharType="begin"/>
      </w:r>
      <w:r w:rsidR="006650D9">
        <w:rPr>
          <w:color w:val="0000FF"/>
        </w:rPr>
        <w:instrText xml:space="preserve"> ADDIN EN.CITE &lt;EndNote&gt;&lt;Cite&gt;&lt;Author&gt;Kirshner&lt;/Author&gt;&lt;Year&gt;2012&lt;/Year&gt;&lt;RecNum&gt;6&lt;/RecNum&gt;&lt;DisplayText&gt;(Kirshner et al., 2012)&lt;/DisplayText&gt;&lt;record&gt;&lt;rec-number&gt;6&lt;/rec-number&gt;&lt;foreign-keys&gt;&lt;key app="EN" db-id="ztx59ewdb9xd95ezwe95spa5z9x5sze52wde" timestamp="1449186883"&gt;6&lt;/key&gt;&lt;/foreign-keys&gt;&lt;ref-type name="Journal Article"&gt;17&lt;/ref-type&gt;&lt;contributors&gt;&lt;authors&gt;&lt;author&gt;Kirshner, Jeffrey J.&lt;/author&gt;&lt;author&gt;Heckler, Charles E.&lt;/author&gt;&lt;author&gt;Janelsins, Michelle C.&lt;/author&gt;&lt;author&gt;Dakhil, Shaker R.&lt;/author&gt;&lt;author&gt;Hopkins, Judith O.&lt;/author&gt;&lt;author&gt;Coles, Charlotte&lt;/author&gt;&lt;author&gt;Morrow, Gary R.&lt;/author&gt;&lt;/authors&gt;&lt;/contributors&gt;&lt;titles&gt;&lt;title&gt;Prevention of Pegfilgrastim-Induced Bone Pain: A Phase III Double-Blind Placebo-Controlled Randomized Clinical Trial of the University of Rochester Cancer Center Clinical Community Oncology Program Research Base&lt;/title&gt;&lt;secondary-title&gt;Journal of Clinical Oncology&lt;/secondary-title&gt;&lt;/titles&gt;&lt;periodical&gt;&lt;full-title&gt;Journal of Clinical Oncology&lt;/full-title&gt;&lt;/periodical&gt;&lt;pages&gt;1974-1979&lt;/pages&gt;&lt;volume&gt;30&lt;/volume&gt;&lt;number&gt;16&lt;/number&gt;&lt;dates&gt;&lt;year&gt;2012&lt;/year&gt;&lt;pub-dates&gt;&lt;date&gt;June 1, 2012&lt;/date&gt;&lt;/pub-dates&gt;&lt;/dates&gt;&lt;urls&gt;&lt;related-urls&gt;&lt;url&gt;http://jco.ascopubs.org/content/30/16/1974.abstract&lt;/url&gt;&lt;url&gt;http://www.ncbi.nlm.nih.gov/pmc/articles/PMC3383174/pdf/zlj1974.pdf&lt;/url&gt;&lt;/related-urls&gt;&lt;/urls&gt;&lt;electronic-resource-num&gt;10.1200/jco.2011.37.8364&lt;/electronic-resource-num&gt;&lt;/record&gt;&lt;/Cite&gt;&lt;/EndNote&gt;</w:instrText>
      </w:r>
      <w:r w:rsidR="006650D9">
        <w:rPr>
          <w:color w:val="0000FF"/>
        </w:rPr>
        <w:fldChar w:fldCharType="separate"/>
      </w:r>
      <w:r w:rsidR="006650D9">
        <w:rPr>
          <w:noProof/>
          <w:color w:val="0000FF"/>
        </w:rPr>
        <w:t>(</w:t>
      </w:r>
      <w:hyperlink w:anchor="_ENREF_7" w:tooltip="Kirshner, 2012 #6" w:history="1">
        <w:r w:rsidR="00EA3AF8">
          <w:rPr>
            <w:noProof/>
            <w:color w:val="0000FF"/>
          </w:rPr>
          <w:t>Kirshner et al., 2012</w:t>
        </w:r>
      </w:hyperlink>
      <w:r w:rsidR="006650D9">
        <w:rPr>
          <w:noProof/>
          <w:color w:val="0000FF"/>
        </w:rPr>
        <w:t>)</w:t>
      </w:r>
      <w:r w:rsidR="006650D9">
        <w:rPr>
          <w:color w:val="0000FF"/>
        </w:rPr>
        <w:fldChar w:fldCharType="end"/>
      </w:r>
      <w:r w:rsidR="00D61F55">
        <w:rPr>
          <w:color w:val="0000FF"/>
        </w:rPr>
        <w:t>.</w:t>
      </w:r>
      <w:r w:rsidR="006650D9" w:rsidRPr="006650D9">
        <w:rPr>
          <w:color w:val="0000FF"/>
        </w:rPr>
        <w:t xml:space="preserve"> </w:t>
      </w:r>
      <w:r w:rsidRPr="008D038A">
        <w:rPr>
          <w:color w:val="0000FF"/>
        </w:rPr>
        <w:t>Naproxen was administered</w:t>
      </w:r>
      <w:r>
        <w:rPr>
          <w:color w:val="0000FF"/>
        </w:rPr>
        <w:t xml:space="preserve"> </w:t>
      </w:r>
      <w:r w:rsidRPr="008D038A">
        <w:rPr>
          <w:color w:val="0000FF"/>
        </w:rPr>
        <w:t xml:space="preserve">at a dose of 500 mg twice per day starting on the day of </w:t>
      </w:r>
      <w:proofErr w:type="spellStart"/>
      <w:r w:rsidRPr="008D038A">
        <w:rPr>
          <w:color w:val="0000FF"/>
        </w:rPr>
        <w:t>pegfilgrastim</w:t>
      </w:r>
      <w:proofErr w:type="spellEnd"/>
      <w:r>
        <w:rPr>
          <w:color w:val="0000FF"/>
        </w:rPr>
        <w:t xml:space="preserve"> </w:t>
      </w:r>
      <w:r w:rsidRPr="008D038A">
        <w:rPr>
          <w:color w:val="0000FF"/>
        </w:rPr>
        <w:t>administration and continuing for 5 to 8 days.</w:t>
      </w:r>
      <w:r>
        <w:rPr>
          <w:color w:val="0000FF"/>
        </w:rPr>
        <w:t>”</w:t>
      </w:r>
      <w:r w:rsidR="00027F8B">
        <w:rPr>
          <w:color w:val="0000FF"/>
        </w:rPr>
        <w:t xml:space="preserve"> </w:t>
      </w:r>
    </w:p>
    <w:p w14:paraId="77D17082" w14:textId="77777777" w:rsidR="002C0FC6" w:rsidRDefault="002C0FC6" w:rsidP="00DF4F33">
      <w:pPr>
        <w:ind w:left="0" w:firstLine="0"/>
        <w:rPr>
          <w:color w:val="0000FF"/>
        </w:rPr>
      </w:pPr>
    </w:p>
    <w:p w14:paraId="02931781" w14:textId="59CFEA34" w:rsidR="00E52F68" w:rsidRDefault="001E2A6A" w:rsidP="00DF4F33">
      <w:pPr>
        <w:ind w:left="0" w:firstLine="0"/>
        <w:rPr>
          <w:color w:val="0000FF"/>
        </w:rPr>
      </w:pPr>
      <w:r w:rsidRPr="001E2A6A">
        <w:rPr>
          <w:color w:val="0000FF"/>
        </w:rPr>
        <w:t>O</w:t>
      </w:r>
      <w:r w:rsidR="008D038A" w:rsidRPr="001E2A6A">
        <w:rPr>
          <w:color w:val="0000FF"/>
        </w:rPr>
        <w:t xml:space="preserve">ther </w:t>
      </w:r>
      <w:r w:rsidR="00D25DB1" w:rsidRPr="001E2A6A">
        <w:rPr>
          <w:color w:val="0000FF"/>
        </w:rPr>
        <w:t xml:space="preserve">“harms” </w:t>
      </w:r>
      <w:r w:rsidR="0037775D">
        <w:rPr>
          <w:color w:val="0000FF"/>
        </w:rPr>
        <w:t>of</w:t>
      </w:r>
      <w:r w:rsidR="00D25DB1" w:rsidRPr="001E2A6A">
        <w:rPr>
          <w:color w:val="0000FF"/>
        </w:rPr>
        <w:t xml:space="preserve"> </w:t>
      </w:r>
      <w:r w:rsidR="00387FF1">
        <w:rPr>
          <w:color w:val="0000FF"/>
        </w:rPr>
        <w:t>prophylaxis</w:t>
      </w:r>
      <w:r w:rsidR="00387FF1" w:rsidRPr="001E2A6A">
        <w:rPr>
          <w:color w:val="0000FF"/>
        </w:rPr>
        <w:t xml:space="preserve"> </w:t>
      </w:r>
      <w:r w:rsidR="00D25DB1" w:rsidRPr="001E2A6A">
        <w:rPr>
          <w:color w:val="0000FF"/>
        </w:rPr>
        <w:t>with CSF</w:t>
      </w:r>
      <w:r w:rsidR="0037775D">
        <w:rPr>
          <w:color w:val="0000FF"/>
        </w:rPr>
        <w:t xml:space="preserve"> were reported in </w:t>
      </w:r>
      <w:r w:rsidR="00A10DF1">
        <w:rPr>
          <w:color w:val="0000FF"/>
        </w:rPr>
        <w:t xml:space="preserve">studies cited by </w:t>
      </w:r>
      <w:r w:rsidR="0037775D" w:rsidRPr="0037775D">
        <w:rPr>
          <w:color w:val="0000FF"/>
        </w:rPr>
        <w:t>the 2015 ASCO Clinical Practice Guideline Update</w:t>
      </w:r>
      <w:r w:rsidR="00094EF5">
        <w:rPr>
          <w:color w:val="0000FF"/>
        </w:rPr>
        <w:t>, including</w:t>
      </w:r>
      <w:r w:rsidRPr="001E2A6A">
        <w:rPr>
          <w:color w:val="0000FF"/>
        </w:rPr>
        <w:t xml:space="preserve"> i</w:t>
      </w:r>
      <w:r w:rsidR="00544A7A" w:rsidRPr="001E2A6A">
        <w:rPr>
          <w:color w:val="0000FF"/>
        </w:rPr>
        <w:t>njection-site reactions</w:t>
      </w:r>
      <w:r w:rsidRPr="001E2A6A">
        <w:rPr>
          <w:color w:val="0000FF"/>
        </w:rPr>
        <w:t>, a</w:t>
      </w:r>
      <w:r w:rsidR="00F40187" w:rsidRPr="001E2A6A">
        <w:rPr>
          <w:color w:val="0000FF"/>
        </w:rPr>
        <w:t>rthralgia</w:t>
      </w:r>
      <w:r w:rsidRPr="001E2A6A">
        <w:rPr>
          <w:color w:val="0000FF"/>
        </w:rPr>
        <w:t>, and a</w:t>
      </w:r>
      <w:r w:rsidR="00F40187" w:rsidRPr="001E2A6A">
        <w:rPr>
          <w:color w:val="0000FF"/>
        </w:rPr>
        <w:t>nemia</w:t>
      </w:r>
      <w:r w:rsidRPr="001E2A6A">
        <w:rPr>
          <w:color w:val="0000FF"/>
        </w:rPr>
        <w:t>.</w:t>
      </w:r>
      <w:r w:rsidR="0037775D">
        <w:rPr>
          <w:color w:val="0000FF"/>
        </w:rPr>
        <w:t xml:space="preserve"> </w:t>
      </w:r>
      <w:r w:rsidR="005F26C5">
        <w:rPr>
          <w:color w:val="0000FF"/>
        </w:rPr>
        <w:t>For more detail</w:t>
      </w:r>
      <w:r>
        <w:rPr>
          <w:color w:val="0000FF"/>
        </w:rPr>
        <w:t xml:space="preserve"> on bone pain and </w:t>
      </w:r>
      <w:r w:rsidR="00565C47">
        <w:rPr>
          <w:color w:val="0000FF"/>
        </w:rPr>
        <w:t xml:space="preserve">the other </w:t>
      </w:r>
      <w:r>
        <w:rPr>
          <w:color w:val="0000FF"/>
        </w:rPr>
        <w:t>condition</w:t>
      </w:r>
      <w:r w:rsidR="00094EF5">
        <w:rPr>
          <w:color w:val="0000FF"/>
        </w:rPr>
        <w:t>s</w:t>
      </w:r>
      <w:r w:rsidR="005F26C5">
        <w:rPr>
          <w:color w:val="0000FF"/>
        </w:rPr>
        <w:t xml:space="preserve">, </w:t>
      </w:r>
      <w:r w:rsidR="00E52F68" w:rsidRPr="001D0B6F">
        <w:rPr>
          <w:color w:val="0000FF"/>
        </w:rPr>
        <w:t xml:space="preserve">see </w:t>
      </w:r>
      <w:r w:rsidR="00D24D95">
        <w:rPr>
          <w:color w:val="0000FF"/>
        </w:rPr>
        <w:t xml:space="preserve">“Appendix Table 1. </w:t>
      </w:r>
      <w:r w:rsidR="00D24D95" w:rsidRPr="0031621E">
        <w:rPr>
          <w:color w:val="0000FF"/>
        </w:rPr>
        <w:t>Summary of Studies Cited in Support of Recommendation 1 by ASCO Guidelines on the Use of WBC Growth Factors (Smith et al., 2015)</w:t>
      </w:r>
      <w:r w:rsidR="00D24D95">
        <w:rPr>
          <w:color w:val="0000FF"/>
        </w:rPr>
        <w:t xml:space="preserve">” in </w:t>
      </w:r>
      <w:r w:rsidR="00D24D95" w:rsidRPr="001D0B6F">
        <w:rPr>
          <w:color w:val="0000FF"/>
        </w:rPr>
        <w:t xml:space="preserve">the </w:t>
      </w:r>
      <w:r w:rsidR="00D24D95">
        <w:rPr>
          <w:color w:val="0000FF"/>
        </w:rPr>
        <w:t xml:space="preserve">Appendix below </w:t>
      </w:r>
      <w:r w:rsidR="00E52F68">
        <w:rPr>
          <w:color w:val="0000FF"/>
        </w:rPr>
        <w:t>under</w:t>
      </w:r>
      <w:r w:rsidR="00E52F68" w:rsidRPr="001D0B6F">
        <w:rPr>
          <w:color w:val="0000FF"/>
        </w:rPr>
        <w:t xml:space="preserve"> the </w:t>
      </w:r>
      <w:r w:rsidR="00E52F68">
        <w:rPr>
          <w:color w:val="0000FF"/>
        </w:rPr>
        <w:t xml:space="preserve">column </w:t>
      </w:r>
      <w:r w:rsidR="00E52F68" w:rsidRPr="001D0B6F">
        <w:rPr>
          <w:color w:val="0000FF"/>
        </w:rPr>
        <w:t>heading “</w:t>
      </w:r>
      <w:r w:rsidR="00E52F68" w:rsidRPr="00F5681C">
        <w:rPr>
          <w:color w:val="0000FF"/>
        </w:rPr>
        <w:t>Adverse Events Associated with CSF Prophylaxis</w:t>
      </w:r>
      <w:r w:rsidR="00E52F68" w:rsidRPr="001D0B6F">
        <w:rPr>
          <w:color w:val="0000FF"/>
        </w:rPr>
        <w:t>.”</w:t>
      </w:r>
    </w:p>
    <w:p w14:paraId="52087964" w14:textId="77777777" w:rsidR="00496AF8" w:rsidRPr="003B1CC5" w:rsidRDefault="00496AF8" w:rsidP="002E2177">
      <w:pPr>
        <w:ind w:left="0" w:firstLine="0"/>
      </w:pP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24DB415D" w14:textId="77777777" w:rsidR="00BF414F" w:rsidRDefault="00BF414F" w:rsidP="002E2177">
      <w:pPr>
        <w:ind w:left="0" w:firstLine="0"/>
        <w:rPr>
          <w:color w:val="0000FF"/>
          <w:highlight w:val="yellow"/>
        </w:rPr>
      </w:pPr>
    </w:p>
    <w:p w14:paraId="52087967" w14:textId="040AB87E" w:rsidR="00837121" w:rsidRPr="003121F1" w:rsidRDefault="001F17B7" w:rsidP="002E2177">
      <w:pPr>
        <w:ind w:left="0" w:firstLine="0"/>
        <w:rPr>
          <w:color w:val="0000FF"/>
        </w:rPr>
      </w:pPr>
      <w:r>
        <w:rPr>
          <w:color w:val="0000FF"/>
        </w:rPr>
        <w:t>Not applicable.</w:t>
      </w:r>
    </w:p>
    <w:p w14:paraId="52087968" w14:textId="77777777" w:rsidR="0094689F" w:rsidRPr="003B1CC5" w:rsidRDefault="00925F11" w:rsidP="002E2177">
      <w:pPr>
        <w:ind w:left="0" w:firstLine="0"/>
        <w:rPr>
          <w:b/>
          <w:color w:val="0070C0"/>
        </w:rPr>
      </w:pPr>
      <w:r w:rsidRPr="003B1CC5">
        <w:rPr>
          <w:b/>
          <w:iCs/>
          <w:caps/>
        </w:rPr>
        <w:t>_________________________</w:t>
      </w:r>
    </w:p>
    <w:p w14:paraId="52087969" w14:textId="77777777"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14:paraId="5208796A"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208796B" w14:textId="77777777" w:rsidR="00837121" w:rsidRPr="003B1CC5" w:rsidRDefault="00837121" w:rsidP="002E2177">
      <w:pPr>
        <w:ind w:left="0" w:firstLine="0"/>
      </w:pPr>
    </w:p>
    <w:p w14:paraId="5208796C" w14:textId="77777777" w:rsidR="00837121" w:rsidRDefault="00837121" w:rsidP="002E2177">
      <w:pPr>
        <w:ind w:left="0" w:firstLine="0"/>
        <w:rPr>
          <w:b/>
        </w:rPr>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1C1652BD" w14:textId="4D01A282" w:rsidR="00DF1125" w:rsidRDefault="00DF1125" w:rsidP="002E2177">
      <w:pPr>
        <w:ind w:left="0" w:firstLine="0"/>
      </w:pPr>
    </w:p>
    <w:p w14:paraId="02585921" w14:textId="7AF47750" w:rsidR="001D0B6F" w:rsidRPr="00632114" w:rsidRDefault="00297DAB" w:rsidP="002E2177">
      <w:pPr>
        <w:ind w:left="0" w:firstLine="0"/>
        <w:rPr>
          <w:color w:val="0000FF"/>
        </w:rPr>
      </w:pPr>
      <w:r>
        <w:rPr>
          <w:color w:val="0000FF"/>
        </w:rPr>
        <w:t xml:space="preserve">The </w:t>
      </w:r>
      <w:r w:rsidR="003B6B61">
        <w:rPr>
          <w:color w:val="0000FF"/>
        </w:rPr>
        <w:t xml:space="preserve">study </w:t>
      </w:r>
      <w:r>
        <w:rPr>
          <w:color w:val="0000FF"/>
        </w:rPr>
        <w:t xml:space="preserve">by O’Brien et al. (2014) </w:t>
      </w:r>
      <w:r w:rsidR="003B6B61">
        <w:rPr>
          <w:color w:val="0000FF"/>
        </w:rPr>
        <w:t>was identified</w:t>
      </w:r>
      <w:r w:rsidR="00632114" w:rsidRPr="00632114">
        <w:rPr>
          <w:color w:val="0000FF"/>
        </w:rPr>
        <w:t xml:space="preserve"> by an o</w:t>
      </w:r>
      <w:r w:rsidR="00226D99" w:rsidRPr="00632114">
        <w:rPr>
          <w:color w:val="0000FF"/>
        </w:rPr>
        <w:t>ncologist</w:t>
      </w:r>
      <w:r w:rsidR="00632114">
        <w:rPr>
          <w:color w:val="0000FF"/>
        </w:rPr>
        <w:t xml:space="preserve"> on the research team</w:t>
      </w:r>
      <w:r w:rsidR="00632114" w:rsidRPr="00632114">
        <w:rPr>
          <w:color w:val="0000FF"/>
        </w:rPr>
        <w:t>.</w:t>
      </w:r>
      <w:r>
        <w:rPr>
          <w:color w:val="0000FF"/>
        </w:rPr>
        <w:t xml:space="preserve"> The other articles were identified by a citation search on the </w:t>
      </w:r>
      <w:r w:rsidR="0014080C" w:rsidRPr="0014080C">
        <w:rPr>
          <w:color w:val="0000FF"/>
        </w:rPr>
        <w:t xml:space="preserve">O’Brien et al. </w:t>
      </w:r>
      <w:r w:rsidR="00CC3204">
        <w:rPr>
          <w:color w:val="0000FF"/>
        </w:rPr>
        <w:t xml:space="preserve">(2014) </w:t>
      </w:r>
      <w:r>
        <w:rPr>
          <w:color w:val="0000FF"/>
        </w:rPr>
        <w:t xml:space="preserve">article and </w:t>
      </w:r>
      <w:r w:rsidR="0014080C">
        <w:rPr>
          <w:color w:val="0000FF"/>
        </w:rPr>
        <w:t xml:space="preserve">by </w:t>
      </w:r>
      <w:r>
        <w:rPr>
          <w:color w:val="0000FF"/>
        </w:rPr>
        <w:t xml:space="preserve">a manual search of </w:t>
      </w:r>
      <w:r w:rsidR="00A34102">
        <w:rPr>
          <w:color w:val="0000FF"/>
        </w:rPr>
        <w:t xml:space="preserve">cited references </w:t>
      </w:r>
      <w:r>
        <w:rPr>
          <w:color w:val="0000FF"/>
        </w:rPr>
        <w:t xml:space="preserve">in </w:t>
      </w:r>
      <w:r w:rsidR="00B37C66">
        <w:rPr>
          <w:color w:val="0000FF"/>
        </w:rPr>
        <w:t>various</w:t>
      </w:r>
      <w:r>
        <w:rPr>
          <w:color w:val="0000FF"/>
        </w:rPr>
        <w:t xml:space="preserve"> articles.</w:t>
      </w:r>
    </w:p>
    <w:p w14:paraId="5208796D" w14:textId="77777777" w:rsidR="00837121" w:rsidRPr="003B1CC5" w:rsidRDefault="00837121" w:rsidP="002E2177">
      <w:pPr>
        <w:ind w:left="0" w:firstLine="0"/>
      </w:pPr>
    </w:p>
    <w:p w14:paraId="5208796E"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468319A9" w14:textId="52C44492" w:rsidR="00DF1125" w:rsidRDefault="00DF1125" w:rsidP="002E2177">
      <w:pPr>
        <w:ind w:left="0" w:firstLine="0"/>
      </w:pPr>
    </w:p>
    <w:p w14:paraId="71133B71" w14:textId="7987BF50" w:rsidR="0034178A" w:rsidRPr="00360AE0" w:rsidRDefault="00C70B1F" w:rsidP="002E2177">
      <w:pPr>
        <w:ind w:left="0" w:firstLine="0"/>
        <w:rPr>
          <w:color w:val="0000FF"/>
        </w:rPr>
      </w:pPr>
      <w:r w:rsidRPr="00360AE0">
        <w:rPr>
          <w:color w:val="0000FF"/>
        </w:rPr>
        <w:t xml:space="preserve">Seven </w:t>
      </w:r>
      <w:r w:rsidR="00483103" w:rsidRPr="00360AE0">
        <w:rPr>
          <w:color w:val="0000FF"/>
        </w:rPr>
        <w:t xml:space="preserve">articles </w:t>
      </w:r>
      <w:r w:rsidR="004D4DF5" w:rsidRPr="00360AE0">
        <w:rPr>
          <w:color w:val="0000FF"/>
        </w:rPr>
        <w:t xml:space="preserve">published from </w:t>
      </w:r>
      <w:r w:rsidR="00360AE0" w:rsidRPr="00360AE0">
        <w:rPr>
          <w:color w:val="0000FF"/>
        </w:rPr>
        <w:t xml:space="preserve">2006 </w:t>
      </w:r>
      <w:r w:rsidR="004D4DF5" w:rsidRPr="00360AE0">
        <w:rPr>
          <w:color w:val="0000FF"/>
        </w:rPr>
        <w:t xml:space="preserve">to 2016 </w:t>
      </w:r>
      <w:r w:rsidR="00196C87" w:rsidRPr="00360AE0">
        <w:rPr>
          <w:color w:val="0000FF"/>
        </w:rPr>
        <w:t>provide</w:t>
      </w:r>
      <w:r w:rsidR="00DF0A23" w:rsidRPr="00360AE0">
        <w:rPr>
          <w:color w:val="0000FF"/>
        </w:rPr>
        <w:t xml:space="preserve"> </w:t>
      </w:r>
      <w:r w:rsidR="00196C87" w:rsidRPr="00360AE0">
        <w:rPr>
          <w:color w:val="0000FF"/>
        </w:rPr>
        <w:t>insight</w:t>
      </w:r>
      <w:r w:rsidR="00DF0A23" w:rsidRPr="00360AE0">
        <w:rPr>
          <w:color w:val="0000FF"/>
        </w:rPr>
        <w:t>s</w:t>
      </w:r>
      <w:r w:rsidR="00196C87" w:rsidRPr="00360AE0">
        <w:rPr>
          <w:color w:val="0000FF"/>
        </w:rPr>
        <w:t xml:space="preserve"> into </w:t>
      </w:r>
      <w:r w:rsidR="00DF0A23" w:rsidRPr="00360AE0">
        <w:rPr>
          <w:color w:val="0000FF"/>
        </w:rPr>
        <w:t xml:space="preserve">the </w:t>
      </w:r>
      <w:r w:rsidR="00461DE3" w:rsidRPr="00360AE0">
        <w:rPr>
          <w:color w:val="0000FF"/>
        </w:rPr>
        <w:t xml:space="preserve">benefits </w:t>
      </w:r>
      <w:r w:rsidR="00DF0A23" w:rsidRPr="00360AE0">
        <w:rPr>
          <w:color w:val="0000FF"/>
        </w:rPr>
        <w:t>of</w:t>
      </w:r>
      <w:r w:rsidR="00196C87" w:rsidRPr="00360AE0">
        <w:rPr>
          <w:color w:val="0000FF"/>
        </w:rPr>
        <w:t xml:space="preserve"> FN risk assessment</w:t>
      </w:r>
      <w:r w:rsidR="00DF0A23" w:rsidRPr="00360AE0">
        <w:rPr>
          <w:color w:val="0000FF"/>
        </w:rPr>
        <w:t>:</w:t>
      </w:r>
    </w:p>
    <w:p w14:paraId="6D5D372C" w14:textId="0F73EAE8" w:rsidR="00360AE0" w:rsidRPr="00360AE0" w:rsidRDefault="00360AE0" w:rsidP="00360AE0">
      <w:pPr>
        <w:pStyle w:val="ListParagraph"/>
        <w:numPr>
          <w:ilvl w:val="0"/>
          <w:numId w:val="15"/>
        </w:numPr>
        <w:rPr>
          <w:color w:val="0000FF"/>
        </w:rPr>
      </w:pPr>
      <w:r w:rsidRPr="00360AE0">
        <w:rPr>
          <w:color w:val="0000FF"/>
        </w:rPr>
        <w:t xml:space="preserve">Donohue (2006): Among patients receiving chemotherapy, the rates CSF </w:t>
      </w:r>
      <w:r>
        <w:rPr>
          <w:color w:val="0000FF"/>
        </w:rPr>
        <w:t>prophylaxis</w:t>
      </w:r>
      <w:r w:rsidRPr="00360AE0">
        <w:rPr>
          <w:color w:val="0000FF"/>
        </w:rPr>
        <w:t xml:space="preserve"> were higher in those who were managed with a Risk Assessment Tool, than those in a “control group” that received care without use of the tool in an earlier time period (72% </w:t>
      </w:r>
      <w:r w:rsidR="009B6DAC">
        <w:rPr>
          <w:color w:val="0000FF"/>
        </w:rPr>
        <w:t>versus</w:t>
      </w:r>
      <w:r w:rsidRPr="00360AE0">
        <w:rPr>
          <w:color w:val="0000FF"/>
        </w:rPr>
        <w:t xml:space="preserve"> 28%, respectively, p&lt;0.001). </w:t>
      </w:r>
      <w:r w:rsidR="00446295">
        <w:rPr>
          <w:color w:val="0000FF"/>
        </w:rPr>
        <w:t>Conversely, t</w:t>
      </w:r>
      <w:r w:rsidRPr="00360AE0">
        <w:rPr>
          <w:color w:val="0000FF"/>
        </w:rPr>
        <w:t xml:space="preserve">he rates of </w:t>
      </w:r>
      <w:r>
        <w:rPr>
          <w:color w:val="0000FF"/>
        </w:rPr>
        <w:t>adverse</w:t>
      </w:r>
      <w:r w:rsidRPr="00360AE0">
        <w:rPr>
          <w:color w:val="0000FF"/>
        </w:rPr>
        <w:t xml:space="preserve"> outcomes were </w:t>
      </w:r>
      <w:r w:rsidR="00446295">
        <w:rPr>
          <w:color w:val="0000FF"/>
        </w:rPr>
        <w:t>high</w:t>
      </w:r>
      <w:r w:rsidRPr="00360AE0">
        <w:rPr>
          <w:color w:val="0000FF"/>
        </w:rPr>
        <w:t>er</w:t>
      </w:r>
      <w:r w:rsidR="00446295" w:rsidRPr="00446295">
        <w:rPr>
          <w:color w:val="0000FF"/>
        </w:rPr>
        <w:t xml:space="preserve"> </w:t>
      </w:r>
      <w:r w:rsidR="00446295">
        <w:rPr>
          <w:color w:val="0000FF"/>
        </w:rPr>
        <w:t>i</w:t>
      </w:r>
      <w:r w:rsidR="00446295" w:rsidRPr="00360AE0">
        <w:rPr>
          <w:color w:val="0000FF"/>
        </w:rPr>
        <w:t xml:space="preserve">n the control group </w:t>
      </w:r>
      <w:r w:rsidR="00446295">
        <w:rPr>
          <w:color w:val="0000FF"/>
        </w:rPr>
        <w:t>than in</w:t>
      </w:r>
      <w:r w:rsidR="00446295" w:rsidRPr="00360AE0">
        <w:rPr>
          <w:color w:val="0000FF"/>
        </w:rPr>
        <w:t xml:space="preserve"> the Risk Assessment Tool Group,</w:t>
      </w:r>
      <w:r w:rsidRPr="00360AE0">
        <w:rPr>
          <w:color w:val="0000FF"/>
        </w:rPr>
        <w:t xml:space="preserve"> but not statistically significant: febrile neutropenia (14% </w:t>
      </w:r>
      <w:r w:rsidR="009B6DAC">
        <w:rPr>
          <w:color w:val="0000FF"/>
        </w:rPr>
        <w:t>versus</w:t>
      </w:r>
      <w:r w:rsidRPr="00360AE0">
        <w:rPr>
          <w:color w:val="0000FF"/>
        </w:rPr>
        <w:t xml:space="preserve"> 11%</w:t>
      </w:r>
      <w:r w:rsidR="00446295">
        <w:rPr>
          <w:color w:val="0000FF"/>
        </w:rPr>
        <w:t>, respectively</w:t>
      </w:r>
      <w:r w:rsidRPr="00360AE0">
        <w:rPr>
          <w:color w:val="0000FF"/>
        </w:rPr>
        <w:t xml:space="preserve">), treatment with IV antibiotics (28% </w:t>
      </w:r>
      <w:r w:rsidR="009B6DAC">
        <w:rPr>
          <w:color w:val="0000FF"/>
        </w:rPr>
        <w:t>versus</w:t>
      </w:r>
      <w:r w:rsidRPr="00360AE0">
        <w:rPr>
          <w:color w:val="0000FF"/>
        </w:rPr>
        <w:t xml:space="preserve"> 14%), hospitalizations secondary to febrile neutropenia (16% </w:t>
      </w:r>
      <w:r w:rsidR="009B6DAC">
        <w:rPr>
          <w:color w:val="0000FF"/>
        </w:rPr>
        <w:t>versus</w:t>
      </w:r>
      <w:r w:rsidRPr="00360AE0">
        <w:rPr>
          <w:color w:val="0000FF"/>
        </w:rPr>
        <w:t xml:space="preserve"> 11%), and chemotherapy dose reductions (10% </w:t>
      </w:r>
      <w:r w:rsidR="009B6DAC">
        <w:rPr>
          <w:color w:val="0000FF"/>
        </w:rPr>
        <w:t>versus</w:t>
      </w:r>
      <w:r w:rsidRPr="00360AE0">
        <w:rPr>
          <w:color w:val="0000FF"/>
        </w:rPr>
        <w:t xml:space="preserve"> 3%). </w:t>
      </w:r>
    </w:p>
    <w:p w14:paraId="2C1A84E0" w14:textId="4E677F70" w:rsidR="00360AE0" w:rsidRPr="00360AE0" w:rsidRDefault="00360AE0" w:rsidP="00360AE0">
      <w:pPr>
        <w:pStyle w:val="ListParagraph"/>
        <w:numPr>
          <w:ilvl w:val="0"/>
          <w:numId w:val="15"/>
        </w:numPr>
        <w:rPr>
          <w:color w:val="0000FF"/>
        </w:rPr>
      </w:pPr>
      <w:r w:rsidRPr="00360AE0">
        <w:rPr>
          <w:color w:val="0000FF"/>
        </w:rPr>
        <w:lastRenderedPageBreak/>
        <w:t xml:space="preserve">Doyle (2006): In a pre-post intervention study of patients initiating chemotherapy or a new regimen, use of tool for assessing patient risk of FN lowered the rate of FN-related hospitalization by 78%, from 9.7% among 155 patients in FY04 to 2.1% among 189 patients in FY05 (P = </w:t>
      </w:r>
      <w:r w:rsidR="00446295">
        <w:rPr>
          <w:color w:val="0000FF"/>
        </w:rPr>
        <w:t>0</w:t>
      </w:r>
      <w:r w:rsidRPr="00360AE0">
        <w:rPr>
          <w:color w:val="0000FF"/>
        </w:rPr>
        <w:t>.003).</w:t>
      </w:r>
    </w:p>
    <w:p w14:paraId="106862D0" w14:textId="77777777" w:rsidR="00360AE0" w:rsidRPr="00360AE0" w:rsidRDefault="00360AE0" w:rsidP="00360AE0">
      <w:pPr>
        <w:pStyle w:val="ListParagraph"/>
        <w:numPr>
          <w:ilvl w:val="0"/>
          <w:numId w:val="15"/>
        </w:numPr>
        <w:rPr>
          <w:color w:val="0000FF"/>
        </w:rPr>
      </w:pPr>
      <w:r w:rsidRPr="00360AE0">
        <w:rPr>
          <w:color w:val="0000FF"/>
        </w:rPr>
        <w:t>Miller (2006): In a study of an intervention with a computer-based risk assessment tool (CBRAT), the rate of documenting performance of an FN risk assessment was 13% before use of the CBRAT and 100% after its introduction (p&lt;0.001).</w:t>
      </w:r>
    </w:p>
    <w:p w14:paraId="174882D6" w14:textId="55C7B1F6" w:rsidR="00DF0A23" w:rsidRPr="00360AE0" w:rsidRDefault="00DF0A23" w:rsidP="00F25D90">
      <w:pPr>
        <w:pStyle w:val="ListParagraph"/>
        <w:numPr>
          <w:ilvl w:val="0"/>
          <w:numId w:val="15"/>
        </w:numPr>
        <w:rPr>
          <w:color w:val="0000FF"/>
        </w:rPr>
      </w:pPr>
      <w:r w:rsidRPr="00360AE0">
        <w:rPr>
          <w:color w:val="0000FF"/>
        </w:rPr>
        <w:t xml:space="preserve">O’Brien et al. (2014): </w:t>
      </w:r>
      <w:r w:rsidR="00F25D90" w:rsidRPr="00360AE0">
        <w:rPr>
          <w:color w:val="0000FF"/>
        </w:rPr>
        <w:t>A</w:t>
      </w:r>
      <w:r w:rsidRPr="00360AE0">
        <w:rPr>
          <w:color w:val="0000FF"/>
        </w:rPr>
        <w:t xml:space="preserve">n intervention study </w:t>
      </w:r>
      <w:r w:rsidR="00F25D90" w:rsidRPr="00360AE0">
        <w:rPr>
          <w:color w:val="0000FF"/>
        </w:rPr>
        <w:t xml:space="preserve">in a hospital-based oncology unit </w:t>
      </w:r>
      <w:r w:rsidRPr="00360AE0">
        <w:rPr>
          <w:color w:val="0000FF"/>
        </w:rPr>
        <w:t>used</w:t>
      </w:r>
      <w:r w:rsidR="00F25D90" w:rsidRPr="00360AE0">
        <w:rPr>
          <w:color w:val="0000FF"/>
        </w:rPr>
        <w:t xml:space="preserve"> an FN risk assessment tool to decide which patients receiving chemotherapy to treat with CSF. Comparing the time periods before</w:t>
      </w:r>
      <w:r w:rsidR="0004168D" w:rsidRPr="00360AE0">
        <w:rPr>
          <w:color w:val="0000FF"/>
        </w:rPr>
        <w:t xml:space="preserve"> (N=233 patients)</w:t>
      </w:r>
      <w:r w:rsidR="00F25D90" w:rsidRPr="00360AE0">
        <w:rPr>
          <w:color w:val="0000FF"/>
        </w:rPr>
        <w:t xml:space="preserve"> and after </w:t>
      </w:r>
      <w:r w:rsidR="0004168D" w:rsidRPr="00360AE0">
        <w:rPr>
          <w:color w:val="0000FF"/>
        </w:rPr>
        <w:t xml:space="preserve">(N=226 patients) </w:t>
      </w:r>
      <w:r w:rsidR="00F25D90" w:rsidRPr="00360AE0">
        <w:rPr>
          <w:color w:val="0000FF"/>
        </w:rPr>
        <w:t xml:space="preserve">the tool was used, the incidence of FN was reduced by 52% (p=0.02).  </w:t>
      </w:r>
    </w:p>
    <w:p w14:paraId="5D96C542" w14:textId="33E407E7" w:rsidR="00DF0A23" w:rsidRPr="00360AE0" w:rsidRDefault="00DF0A23" w:rsidP="001B57A4">
      <w:pPr>
        <w:pStyle w:val="ListParagraph"/>
        <w:numPr>
          <w:ilvl w:val="0"/>
          <w:numId w:val="15"/>
        </w:numPr>
        <w:rPr>
          <w:color w:val="0000FF"/>
        </w:rPr>
      </w:pPr>
      <w:proofErr w:type="spellStart"/>
      <w:r w:rsidRPr="00360AE0">
        <w:rPr>
          <w:color w:val="0000FF"/>
        </w:rPr>
        <w:t>Krzemieniecki</w:t>
      </w:r>
      <w:proofErr w:type="spellEnd"/>
      <w:r w:rsidRPr="00360AE0">
        <w:rPr>
          <w:color w:val="0000FF"/>
        </w:rPr>
        <w:t xml:space="preserve"> et al. (2014):</w:t>
      </w:r>
      <w:r w:rsidR="007C5471" w:rsidRPr="00360AE0">
        <w:rPr>
          <w:color w:val="0000FF"/>
        </w:rPr>
        <w:t xml:space="preserve"> </w:t>
      </w:r>
      <w:r w:rsidR="00A6269E" w:rsidRPr="00360AE0">
        <w:rPr>
          <w:color w:val="0000FF"/>
        </w:rPr>
        <w:t>A total of 1,347 p</w:t>
      </w:r>
      <w:r w:rsidR="007C5471" w:rsidRPr="00360AE0">
        <w:rPr>
          <w:color w:val="0000FF"/>
        </w:rPr>
        <w:t xml:space="preserve">atients with solid tumors were eligible for the study </w:t>
      </w:r>
      <w:r w:rsidR="00A6269E" w:rsidRPr="00360AE0">
        <w:rPr>
          <w:color w:val="0000FF"/>
        </w:rPr>
        <w:t>based on being</w:t>
      </w:r>
      <w:r w:rsidR="007C5471" w:rsidRPr="00360AE0">
        <w:rPr>
          <w:color w:val="0000FF"/>
        </w:rPr>
        <w:t xml:space="preserve"> scheduled for </w:t>
      </w:r>
      <w:r w:rsidR="001B57A4" w:rsidRPr="00360AE0">
        <w:rPr>
          <w:color w:val="0000FF"/>
        </w:rPr>
        <w:t>“</w:t>
      </w:r>
      <w:proofErr w:type="spellStart"/>
      <w:r w:rsidR="001B57A4" w:rsidRPr="00360AE0">
        <w:rPr>
          <w:color w:val="0000FF"/>
        </w:rPr>
        <w:t>myelotoxic</w:t>
      </w:r>
      <w:proofErr w:type="spellEnd"/>
      <w:r w:rsidR="001B57A4" w:rsidRPr="00360AE0">
        <w:rPr>
          <w:color w:val="0000FF"/>
        </w:rPr>
        <w:t xml:space="preserve">” </w:t>
      </w:r>
      <w:r w:rsidR="007C5471" w:rsidRPr="00360AE0">
        <w:rPr>
          <w:color w:val="0000FF"/>
        </w:rPr>
        <w:t>chemotherapy and ha</w:t>
      </w:r>
      <w:r w:rsidR="00A6269E" w:rsidRPr="00360AE0">
        <w:rPr>
          <w:color w:val="0000FF"/>
        </w:rPr>
        <w:t>ving</w:t>
      </w:r>
      <w:r w:rsidR="007C5471" w:rsidRPr="00360AE0">
        <w:rPr>
          <w:color w:val="0000FF"/>
        </w:rPr>
        <w:t xml:space="preserve"> an “investigator-assessed FN risk” of ≥ 20%. </w:t>
      </w:r>
      <w:r w:rsidR="001B57A4" w:rsidRPr="00360AE0">
        <w:rPr>
          <w:color w:val="0000FF"/>
        </w:rPr>
        <w:t>The study found 45-80%</w:t>
      </w:r>
      <w:r w:rsidR="00A6269E" w:rsidRPr="00360AE0">
        <w:rPr>
          <w:color w:val="0000FF"/>
        </w:rPr>
        <w:t xml:space="preserve"> of these patients</w:t>
      </w:r>
      <w:r w:rsidR="001B57A4" w:rsidRPr="00360AE0">
        <w:rPr>
          <w:color w:val="0000FF"/>
        </w:rPr>
        <w:t xml:space="preserve">, depending on </w:t>
      </w:r>
      <w:r w:rsidR="00360AE0">
        <w:rPr>
          <w:color w:val="0000FF"/>
        </w:rPr>
        <w:t xml:space="preserve">the </w:t>
      </w:r>
      <w:r w:rsidR="001B57A4" w:rsidRPr="00360AE0">
        <w:rPr>
          <w:color w:val="0000FF"/>
        </w:rPr>
        <w:t xml:space="preserve">tumor site, did not receive G-CSF that was indicated by results of the FN risk assessment by the investigator and guideline recommendations. </w:t>
      </w:r>
    </w:p>
    <w:p w14:paraId="322BB04A" w14:textId="0B7A89DC" w:rsidR="00DF0A23" w:rsidRPr="00360AE0" w:rsidRDefault="00DF0A23" w:rsidP="00E76C8A">
      <w:pPr>
        <w:pStyle w:val="ListParagraph"/>
        <w:numPr>
          <w:ilvl w:val="0"/>
          <w:numId w:val="15"/>
        </w:numPr>
        <w:rPr>
          <w:color w:val="0000FF"/>
        </w:rPr>
      </w:pPr>
      <w:proofErr w:type="spellStart"/>
      <w:r w:rsidRPr="00360AE0">
        <w:rPr>
          <w:color w:val="0000FF"/>
        </w:rPr>
        <w:t>Freyer</w:t>
      </w:r>
      <w:proofErr w:type="spellEnd"/>
      <w:r w:rsidRPr="00360AE0">
        <w:rPr>
          <w:color w:val="0000FF"/>
        </w:rPr>
        <w:t xml:space="preserve"> et al. (2015):</w:t>
      </w:r>
      <w:r w:rsidR="00E76C8A" w:rsidRPr="00360AE0">
        <w:rPr>
          <w:color w:val="0000FF"/>
        </w:rPr>
        <w:t xml:space="preserve"> In a study of 165 physicians and 944 patients, each physician rated FN risk for their own patients using factors they selected. Only 82%</w:t>
      </w:r>
      <w:r w:rsidR="00367378">
        <w:rPr>
          <w:color w:val="0000FF"/>
        </w:rPr>
        <w:t xml:space="preserve"> </w:t>
      </w:r>
      <w:r w:rsidR="00E76C8A" w:rsidRPr="00360AE0">
        <w:rPr>
          <w:color w:val="0000FF"/>
        </w:rPr>
        <w:t>of patients with an FN risk at or above 20% based on the physician-assessed FN risk were scheduled to receive CSF indicating almost one of five pat</w:t>
      </w:r>
      <w:r w:rsidR="003D0774" w:rsidRPr="00360AE0">
        <w:rPr>
          <w:color w:val="0000FF"/>
        </w:rPr>
        <w:t>ients</w:t>
      </w:r>
      <w:r w:rsidR="00E76C8A" w:rsidRPr="00360AE0">
        <w:rPr>
          <w:color w:val="0000FF"/>
        </w:rPr>
        <w:t xml:space="preserve"> would not receive G-CSF PP</w:t>
      </w:r>
      <w:r w:rsidR="00FE4315" w:rsidRPr="00360AE0">
        <w:rPr>
          <w:color w:val="0000FF"/>
        </w:rPr>
        <w:t xml:space="preserve"> even though the patient’s risk was rated higher than the threshold of 20%</w:t>
      </w:r>
      <w:r w:rsidR="00E76C8A" w:rsidRPr="00360AE0">
        <w:rPr>
          <w:color w:val="0000FF"/>
        </w:rPr>
        <w:t>.</w:t>
      </w:r>
    </w:p>
    <w:p w14:paraId="02C7F293" w14:textId="1F57BDA6" w:rsidR="00FE4315" w:rsidRPr="00360AE0" w:rsidRDefault="00FE4315" w:rsidP="00FE4315">
      <w:pPr>
        <w:pStyle w:val="ListParagraph"/>
        <w:numPr>
          <w:ilvl w:val="0"/>
          <w:numId w:val="15"/>
        </w:numPr>
        <w:rPr>
          <w:color w:val="0000FF"/>
        </w:rPr>
      </w:pPr>
      <w:proofErr w:type="spellStart"/>
      <w:r w:rsidRPr="00360AE0">
        <w:rPr>
          <w:color w:val="0000FF"/>
        </w:rPr>
        <w:t>Mäenpää</w:t>
      </w:r>
      <w:proofErr w:type="spellEnd"/>
      <w:r w:rsidRPr="00360AE0">
        <w:rPr>
          <w:color w:val="0000FF"/>
        </w:rPr>
        <w:t xml:space="preserve"> et al. (2016): In a study of 690 breast cancer patients (stages I-III) receiving chemotherapy, a higher proportion of those with a high-risk regimen were given G-CSF primary prophylaxis than those with a lower-risk regimen (48% v</w:t>
      </w:r>
      <w:r w:rsidR="009B6DAC">
        <w:rPr>
          <w:color w:val="0000FF"/>
        </w:rPr>
        <w:t>ersu</w:t>
      </w:r>
      <w:r w:rsidRPr="00360AE0">
        <w:rPr>
          <w:color w:val="0000FF"/>
        </w:rPr>
        <w:t>s 22%). However, these results indicate that less than half of patients on a high-risk regimen received appropriate treatment with G-CSF.</w:t>
      </w:r>
    </w:p>
    <w:p w14:paraId="09DC63E0" w14:textId="077D02E0" w:rsidR="0034178A" w:rsidRPr="0070064D" w:rsidRDefault="0070064D" w:rsidP="002E2177">
      <w:pPr>
        <w:ind w:left="0" w:firstLine="0"/>
        <w:rPr>
          <w:color w:val="0000FF"/>
        </w:rPr>
      </w:pPr>
      <w:r w:rsidRPr="0070064D">
        <w:rPr>
          <w:color w:val="0000FF"/>
        </w:rPr>
        <w:t>The full abstracts for these articles are provided below</w:t>
      </w:r>
      <w:r>
        <w:rPr>
          <w:color w:val="0000FF"/>
        </w:rPr>
        <w:t>:</w:t>
      </w:r>
    </w:p>
    <w:p w14:paraId="0F6188CF" w14:textId="295CFB77" w:rsidR="0070064D" w:rsidRDefault="0070064D" w:rsidP="002E2177">
      <w:pPr>
        <w:ind w:left="0" w:firstLine="0"/>
      </w:pPr>
    </w:p>
    <w:p w14:paraId="7FF98C88" w14:textId="1671ADCB" w:rsidR="00360AE0" w:rsidRPr="00D363D0" w:rsidRDefault="00360AE0" w:rsidP="00360AE0">
      <w:pPr>
        <w:ind w:left="0" w:firstLine="0"/>
        <w:rPr>
          <w:color w:val="0000FF"/>
        </w:rPr>
      </w:pPr>
      <w:r w:rsidRPr="00D363D0">
        <w:rPr>
          <w:color w:val="0000FF"/>
          <w:u w:val="single"/>
        </w:rPr>
        <w:t xml:space="preserve">Citation: </w:t>
      </w:r>
      <w:r w:rsidRPr="00D363D0">
        <w:rPr>
          <w:color w:val="0000FF"/>
        </w:rPr>
        <w:t>Donohue RB</w:t>
      </w:r>
      <w:r>
        <w:rPr>
          <w:color w:val="0000FF"/>
        </w:rPr>
        <w:t xml:space="preserve">. </w:t>
      </w:r>
      <w:r w:rsidRPr="00BB12C9">
        <w:rPr>
          <w:color w:val="0000FF"/>
        </w:rPr>
        <w:t>(2006)</w:t>
      </w:r>
      <w:r>
        <w:rPr>
          <w:color w:val="0000FF"/>
        </w:rPr>
        <w:t>.</w:t>
      </w:r>
      <w:r w:rsidRPr="00D363D0">
        <w:rPr>
          <w:color w:val="0000FF"/>
        </w:rPr>
        <w:t xml:space="preserve"> </w:t>
      </w:r>
      <w:r w:rsidRPr="00D363D0">
        <w:rPr>
          <w:bCs/>
          <w:color w:val="0000FF"/>
        </w:rPr>
        <w:t>Development and Implementation of a Risk Assessment Tool for Chemotherapy-Induced Neutropenia ONCOLOGY NURSING FORUM –33(2), 347-352</w:t>
      </w:r>
      <w:r w:rsidR="00EA3AF8">
        <w:rPr>
          <w:bCs/>
          <w:color w:val="0000FF"/>
        </w:rPr>
        <w:t>.</w:t>
      </w:r>
    </w:p>
    <w:p w14:paraId="23913A64" w14:textId="3359E94A" w:rsidR="00360AE0" w:rsidRDefault="00EA3AF8" w:rsidP="00360AE0">
      <w:pPr>
        <w:rPr>
          <w:color w:val="0000FF"/>
        </w:rPr>
      </w:pPr>
      <w:r>
        <w:rPr>
          <w:color w:val="0000FF"/>
        </w:rPr>
        <w:fldChar w:fldCharType="begin"/>
      </w:r>
      <w:r>
        <w:rPr>
          <w:color w:val="0000FF"/>
        </w:rPr>
        <w:instrText xml:space="preserve"> ADDIN EN.CITE &lt;EndNote&gt;&lt;Cite Hidden="1"&gt;&lt;Author&gt;Donohue&lt;/Author&gt;&lt;Year&gt;2006&lt;/Year&gt;&lt;RecNum&gt;30&lt;/RecNum&gt;&lt;record&gt;&lt;rec-number&gt;30&lt;/rec-number&gt;&lt;foreign-keys&gt;&lt;key app="EN" db-id="ztx59ewdb9xd95ezwe95spa5z9x5sze52wde" timestamp="1456177228"&gt;30&lt;/key&gt;&lt;/foreign-keys&gt;&lt;ref-type name="Journal Article"&gt;17&lt;/ref-type&gt;&lt;contributors&gt;&lt;authors&gt;&lt;author&gt;Donohue, R.&lt;/author&gt;&lt;/authors&gt;&lt;/contributors&gt;&lt;auth-address&gt;Acadiana Medical Oncology, Lafayette, LA, USA. rbdnpaocn@aol.com&lt;/auth-address&gt;&lt;titles&gt;&lt;title&gt;Development and implementation of a risk assessment tool for chemotherapy-induced neutropenia&lt;/title&gt;&lt;secondary-title&gt;Oncol Nurs Forum&lt;/secondary-title&gt;&lt;alt-title&gt;Oncology nursing forum&lt;/alt-title&gt;&lt;/titles&gt;&lt;periodical&gt;&lt;full-title&gt;Oncol Nurs Forum&lt;/full-title&gt;&lt;abbr-1&gt;Oncology nursing forum&lt;/abbr-1&gt;&lt;/periodical&gt;&lt;alt-periodical&gt;&lt;full-title&gt;Oncol Nurs Forum&lt;/full-title&gt;&lt;abbr-1&gt;Oncology nursing forum&lt;/abbr-1&gt;&lt;/alt-periodical&gt;&lt;pages&gt;347-52&lt;/pages&gt;&lt;volume&gt;33&lt;/volume&gt;&lt;number&gt;2&lt;/number&gt;&lt;edition&gt;2006/03/07&lt;/edition&gt;&lt;keywords&gt;&lt;keyword&gt;Anti-Bacterial Agents/therapeutic use&lt;/keyword&gt;&lt;keyword&gt;Antineoplastic Agents/administration &amp;amp; dosage/*adverse effects&lt;/keyword&gt;&lt;keyword&gt;Dose-Response Relationship, Drug&lt;/keyword&gt;&lt;keyword&gt;Female&lt;/keyword&gt;&lt;keyword&gt;Fever/etiology&lt;/keyword&gt;&lt;keyword&gt;Hospitalization&lt;/keyword&gt;&lt;keyword&gt;Humans&lt;/keyword&gt;&lt;keyword&gt;Male&lt;/keyword&gt;&lt;keyword&gt;Medical Oncology/*instrumentation&lt;/keyword&gt;&lt;keyword&gt;Middle Aged&lt;/keyword&gt;&lt;keyword&gt;Neoplasms/*drug therapy&lt;/keyword&gt;&lt;keyword&gt;Neutropenia/*chemically induced/complications/*diagnosis/therapy&lt;/keyword&gt;&lt;keyword&gt;Outcome and Process Assessment (Health Care)&lt;/keyword&gt;&lt;keyword&gt;Retrospective Studies&lt;/keyword&gt;&lt;keyword&gt;Risk Assessment/methods&lt;/keyword&gt;&lt;keyword&gt;Risk Factors&lt;/keyword&gt;&lt;/keywords&gt;&lt;dates&gt;&lt;year&gt;2006&lt;/year&gt;&lt;pub-dates&gt;&lt;date&gt;Mar&lt;/date&gt;&lt;/pub-dates&gt;&lt;/dates&gt;&lt;isbn&gt;0190-535x&lt;/isbn&gt;&lt;accession-num&gt;16518450&lt;/accession-num&gt;&lt;urls&gt;&lt;/urls&gt;&lt;electronic-resource-num&gt;10.1188/06.onf.347-352&lt;/electronic-resource-num&gt;&lt;remote-database-provider&gt;NLM&lt;/remote-database-provider&gt;&lt;language&gt;eng&lt;/language&gt;&lt;/record&gt;&lt;/Cite&gt;&lt;/EndNote&gt;</w:instrText>
      </w:r>
      <w:r>
        <w:rPr>
          <w:color w:val="0000FF"/>
        </w:rPr>
        <w:fldChar w:fldCharType="end"/>
      </w:r>
    </w:p>
    <w:p w14:paraId="1579C0E8" w14:textId="77777777" w:rsidR="00360AE0" w:rsidRPr="005E1316" w:rsidRDefault="00360AE0" w:rsidP="00360AE0">
      <w:pPr>
        <w:ind w:left="0" w:firstLine="0"/>
        <w:rPr>
          <w:color w:val="0000FF"/>
        </w:rPr>
      </w:pPr>
      <w:r w:rsidRPr="006203B0">
        <w:rPr>
          <w:bCs/>
          <w:color w:val="0000FF"/>
        </w:rPr>
        <w:t>“</w:t>
      </w:r>
      <w:r w:rsidRPr="005E1316">
        <w:rPr>
          <w:bCs/>
          <w:color w:val="0000FF"/>
          <w:u w:val="single"/>
        </w:rPr>
        <w:t xml:space="preserve">Purpose/Objectives: </w:t>
      </w:r>
      <w:r w:rsidRPr="005E1316">
        <w:rPr>
          <w:color w:val="0000FF"/>
        </w:rPr>
        <w:t xml:space="preserve">To evaluate a tool developed and implemented to help practitioners assess the risk of chemotherapy-induced neutropenia (CIN) and its complications in patients with </w:t>
      </w:r>
      <w:proofErr w:type="spellStart"/>
      <w:r w:rsidRPr="005E1316">
        <w:rPr>
          <w:color w:val="0000FF"/>
        </w:rPr>
        <w:t>nonleukemia</w:t>
      </w:r>
      <w:proofErr w:type="spellEnd"/>
      <w:r w:rsidRPr="005E1316">
        <w:rPr>
          <w:color w:val="0000FF"/>
        </w:rPr>
        <w:t xml:space="preserve"> cancer types.</w:t>
      </w:r>
      <w:r>
        <w:rPr>
          <w:color w:val="0000FF"/>
        </w:rPr>
        <w:t>”</w:t>
      </w:r>
    </w:p>
    <w:p w14:paraId="7AEA4F0E" w14:textId="77777777" w:rsidR="00360AE0" w:rsidRPr="005E1316" w:rsidRDefault="00360AE0" w:rsidP="00360AE0">
      <w:pPr>
        <w:ind w:left="0" w:firstLine="0"/>
        <w:rPr>
          <w:color w:val="0000FF"/>
        </w:rPr>
      </w:pPr>
      <w:r w:rsidRPr="006203B0">
        <w:rPr>
          <w:bCs/>
          <w:color w:val="0000FF"/>
        </w:rPr>
        <w:t>“</w:t>
      </w:r>
      <w:r w:rsidRPr="005E1316">
        <w:rPr>
          <w:bCs/>
          <w:color w:val="0000FF"/>
          <w:u w:val="single"/>
        </w:rPr>
        <w:t>Design:</w:t>
      </w:r>
      <w:r w:rsidRPr="005E1316">
        <w:rPr>
          <w:bCs/>
          <w:color w:val="0000FF"/>
        </w:rPr>
        <w:t xml:space="preserve"> </w:t>
      </w:r>
      <w:r w:rsidRPr="005E1316">
        <w:rPr>
          <w:color w:val="0000FF"/>
        </w:rPr>
        <w:t>Retrospective survey of chart records.</w:t>
      </w:r>
      <w:r>
        <w:rPr>
          <w:color w:val="0000FF"/>
        </w:rPr>
        <w:t>”</w:t>
      </w:r>
    </w:p>
    <w:p w14:paraId="09E7D6EF" w14:textId="77777777" w:rsidR="00360AE0" w:rsidRPr="005E1316" w:rsidRDefault="00360AE0" w:rsidP="00360AE0">
      <w:pPr>
        <w:ind w:left="0" w:firstLine="0"/>
        <w:rPr>
          <w:color w:val="0000FF"/>
        </w:rPr>
      </w:pPr>
      <w:r w:rsidRPr="006203B0">
        <w:rPr>
          <w:bCs/>
          <w:color w:val="0000FF"/>
        </w:rPr>
        <w:t>“</w:t>
      </w:r>
      <w:r w:rsidRPr="005E1316">
        <w:rPr>
          <w:bCs/>
          <w:color w:val="0000FF"/>
          <w:u w:val="single"/>
        </w:rPr>
        <w:t>Setting:</w:t>
      </w:r>
      <w:r w:rsidRPr="005E1316">
        <w:rPr>
          <w:bCs/>
          <w:color w:val="0000FF"/>
        </w:rPr>
        <w:t xml:space="preserve"> </w:t>
      </w:r>
      <w:r w:rsidRPr="005E1316">
        <w:rPr>
          <w:color w:val="0000FF"/>
        </w:rPr>
        <w:t>Community-based oncology practice.</w:t>
      </w:r>
      <w:r>
        <w:rPr>
          <w:color w:val="0000FF"/>
        </w:rPr>
        <w:t>”</w:t>
      </w:r>
    </w:p>
    <w:p w14:paraId="1E2D3245" w14:textId="77777777" w:rsidR="00360AE0" w:rsidRPr="005E1316" w:rsidRDefault="00360AE0" w:rsidP="00360AE0">
      <w:pPr>
        <w:ind w:left="0" w:firstLine="0"/>
        <w:rPr>
          <w:color w:val="0000FF"/>
        </w:rPr>
      </w:pPr>
      <w:r w:rsidRPr="006203B0">
        <w:rPr>
          <w:bCs/>
          <w:color w:val="0000FF"/>
        </w:rPr>
        <w:t>“</w:t>
      </w:r>
      <w:r w:rsidRPr="005E1316">
        <w:rPr>
          <w:bCs/>
          <w:color w:val="0000FF"/>
          <w:u w:val="single"/>
        </w:rPr>
        <w:t>Sample:</w:t>
      </w:r>
      <w:r w:rsidRPr="005E1316">
        <w:rPr>
          <w:bCs/>
          <w:color w:val="0000FF"/>
        </w:rPr>
        <w:t xml:space="preserve"> </w:t>
      </w:r>
      <w:r w:rsidRPr="005E1316">
        <w:rPr>
          <w:color w:val="0000FF"/>
        </w:rPr>
        <w:t>The medical records of 85 adult patients treated with new courses of chemotherapy, regardless of the cancer type or stage; 50 charts belonged to patients treated before the implementation of the tool and 35 to patients evaluated with the tool.</w:t>
      </w:r>
      <w:r>
        <w:rPr>
          <w:color w:val="0000FF"/>
        </w:rPr>
        <w:t>”</w:t>
      </w:r>
    </w:p>
    <w:p w14:paraId="46EE3152" w14:textId="77777777" w:rsidR="00360AE0" w:rsidRPr="005E1316" w:rsidRDefault="00360AE0" w:rsidP="00360AE0">
      <w:pPr>
        <w:ind w:left="0" w:firstLine="0"/>
        <w:rPr>
          <w:color w:val="0000FF"/>
        </w:rPr>
      </w:pPr>
      <w:r w:rsidRPr="006203B0">
        <w:rPr>
          <w:bCs/>
          <w:color w:val="0000FF"/>
        </w:rPr>
        <w:t>“</w:t>
      </w:r>
      <w:r w:rsidRPr="005E1316">
        <w:rPr>
          <w:bCs/>
          <w:color w:val="0000FF"/>
          <w:u w:val="single"/>
        </w:rPr>
        <w:t>Methods:</w:t>
      </w:r>
      <w:r w:rsidRPr="005E1316">
        <w:rPr>
          <w:bCs/>
          <w:color w:val="0000FF"/>
        </w:rPr>
        <w:t xml:space="preserve"> </w:t>
      </w:r>
      <w:r w:rsidRPr="005E1316">
        <w:rPr>
          <w:color w:val="0000FF"/>
        </w:rPr>
        <w:t xml:space="preserve">A risk assessment tool for CIN that was developed using risk factors from published studies and national guidelines was implemented. Patients who were found to be at increased risk for CIN were given colony-stimulating factor (CSF) support starting with the first chemotherapy cycle. The </w:t>
      </w:r>
      <w:r w:rsidRPr="005E1316">
        <w:rPr>
          <w:color w:val="0000FF"/>
        </w:rPr>
        <w:lastRenderedPageBreak/>
        <w:t>effectiveness of the tool was evaluated by comparing clinical outcomes before and after the implementation of the risk assessment tool.</w:t>
      </w:r>
      <w:r>
        <w:rPr>
          <w:color w:val="0000FF"/>
        </w:rPr>
        <w:t>”</w:t>
      </w:r>
    </w:p>
    <w:p w14:paraId="3AE6EFBB" w14:textId="77777777" w:rsidR="00360AE0" w:rsidRPr="005E1316" w:rsidRDefault="00360AE0" w:rsidP="00360AE0">
      <w:pPr>
        <w:ind w:left="0" w:firstLine="0"/>
        <w:rPr>
          <w:color w:val="0000FF"/>
        </w:rPr>
      </w:pPr>
      <w:r w:rsidRPr="006203B0">
        <w:rPr>
          <w:bCs/>
          <w:color w:val="0000FF"/>
        </w:rPr>
        <w:t>“</w:t>
      </w:r>
      <w:r w:rsidRPr="005E1316">
        <w:rPr>
          <w:bCs/>
          <w:color w:val="0000FF"/>
          <w:u w:val="single"/>
        </w:rPr>
        <w:t>Main Research Variables:</w:t>
      </w:r>
      <w:r w:rsidRPr="005E1316">
        <w:rPr>
          <w:bCs/>
          <w:color w:val="0000FF"/>
        </w:rPr>
        <w:t xml:space="preserve"> </w:t>
      </w:r>
      <w:r w:rsidRPr="005E1316">
        <w:rPr>
          <w:color w:val="0000FF"/>
        </w:rPr>
        <w:t>Febrile neutropenia, IV antibiotic use, hospitalization for neutropenia, and chemotherapy dose reductions and delays.</w:t>
      </w:r>
      <w:r>
        <w:rPr>
          <w:color w:val="0000FF"/>
        </w:rPr>
        <w:t>”</w:t>
      </w:r>
    </w:p>
    <w:p w14:paraId="4887A3B6" w14:textId="77777777" w:rsidR="00360AE0" w:rsidRPr="005E1316" w:rsidRDefault="00360AE0" w:rsidP="00360AE0">
      <w:pPr>
        <w:ind w:left="0" w:firstLine="0"/>
        <w:rPr>
          <w:color w:val="0000FF"/>
        </w:rPr>
      </w:pPr>
      <w:r w:rsidRPr="006203B0">
        <w:rPr>
          <w:bCs/>
          <w:color w:val="0000FF"/>
        </w:rPr>
        <w:t>“</w:t>
      </w:r>
      <w:r w:rsidRPr="005E1316">
        <w:rPr>
          <w:bCs/>
          <w:color w:val="0000FF"/>
          <w:u w:val="single"/>
        </w:rPr>
        <w:t>Findings:</w:t>
      </w:r>
      <w:r w:rsidRPr="005E1316">
        <w:rPr>
          <w:bCs/>
          <w:color w:val="0000FF"/>
        </w:rPr>
        <w:t xml:space="preserve"> </w:t>
      </w:r>
      <w:r w:rsidRPr="005E1316">
        <w:rPr>
          <w:color w:val="0000FF"/>
        </w:rPr>
        <w:t>Chemotherapy dose delays, febrile neutropenia, treatment with IV antibiotics, and hospitalization for neutropenia occurred less frequently in patients assessed with the tool and managed with the algorithm for CSF use than in those who were not assessed.</w:t>
      </w:r>
      <w:r>
        <w:rPr>
          <w:color w:val="0000FF"/>
        </w:rPr>
        <w:t>”</w:t>
      </w:r>
    </w:p>
    <w:p w14:paraId="16A06199" w14:textId="77777777" w:rsidR="00360AE0" w:rsidRPr="005E1316" w:rsidRDefault="00360AE0" w:rsidP="00360AE0">
      <w:pPr>
        <w:ind w:left="0" w:firstLine="0"/>
        <w:rPr>
          <w:color w:val="0000FF"/>
        </w:rPr>
      </w:pPr>
      <w:r w:rsidRPr="006203B0">
        <w:rPr>
          <w:bCs/>
          <w:color w:val="0000FF"/>
        </w:rPr>
        <w:t>“</w:t>
      </w:r>
      <w:r w:rsidRPr="005E1316">
        <w:rPr>
          <w:bCs/>
          <w:color w:val="0000FF"/>
          <w:u w:val="single"/>
        </w:rPr>
        <w:t>Conclusions:</w:t>
      </w:r>
      <w:r w:rsidRPr="005E1316">
        <w:rPr>
          <w:bCs/>
          <w:color w:val="0000FF"/>
        </w:rPr>
        <w:t xml:space="preserve"> </w:t>
      </w:r>
      <w:r w:rsidRPr="005E1316">
        <w:rPr>
          <w:color w:val="0000FF"/>
        </w:rPr>
        <w:t>The Risk Assessment for Neutropenic Complications Tool is effective in helping practitioners determine which patients are at high risk for CIN and its complications.</w:t>
      </w:r>
    </w:p>
    <w:p w14:paraId="21CCF450" w14:textId="77777777" w:rsidR="00360AE0" w:rsidRPr="005E1316" w:rsidRDefault="00360AE0" w:rsidP="00360AE0">
      <w:pPr>
        <w:ind w:left="0" w:firstLine="0"/>
        <w:rPr>
          <w:color w:val="0000FF"/>
        </w:rPr>
      </w:pPr>
      <w:r w:rsidRPr="005E1316">
        <w:rPr>
          <w:bCs/>
          <w:color w:val="0000FF"/>
        </w:rPr>
        <w:t xml:space="preserve">Implications for Nursing: </w:t>
      </w:r>
      <w:r w:rsidRPr="005E1316">
        <w:rPr>
          <w:color w:val="0000FF"/>
        </w:rPr>
        <w:t>By using the tool to identify patients treated with chemotherapy who need growth factor support, nurses can help to reduce the incidence of neutropenia and its complications.</w:t>
      </w:r>
      <w:r>
        <w:rPr>
          <w:color w:val="0000FF"/>
        </w:rPr>
        <w:t>”</w:t>
      </w:r>
    </w:p>
    <w:p w14:paraId="4EC570B6" w14:textId="77777777" w:rsidR="00360AE0" w:rsidRDefault="00360AE0" w:rsidP="00360AE0">
      <w:pPr>
        <w:rPr>
          <w:color w:val="0000FF"/>
        </w:rPr>
      </w:pPr>
    </w:p>
    <w:p w14:paraId="5336468F" w14:textId="77777777" w:rsidR="0064798E" w:rsidRDefault="0064798E" w:rsidP="00360AE0">
      <w:pPr>
        <w:rPr>
          <w:color w:val="0000FF"/>
        </w:rPr>
      </w:pPr>
    </w:p>
    <w:p w14:paraId="0781D32F" w14:textId="77777777" w:rsidR="00360AE0" w:rsidRPr="008D09B6" w:rsidRDefault="00360AE0" w:rsidP="00360AE0">
      <w:pPr>
        <w:ind w:left="0" w:firstLine="0"/>
        <w:rPr>
          <w:color w:val="0000FF"/>
        </w:rPr>
      </w:pPr>
      <w:r w:rsidRPr="008D09B6">
        <w:rPr>
          <w:color w:val="0000FF"/>
          <w:u w:val="single"/>
        </w:rPr>
        <w:t>Citation:</w:t>
      </w:r>
      <w:r w:rsidRPr="008D09B6">
        <w:rPr>
          <w:color w:val="0000FF"/>
        </w:rPr>
        <w:t xml:space="preserve"> Doyle AM</w:t>
      </w:r>
      <w:r>
        <w:rPr>
          <w:color w:val="0000FF"/>
        </w:rPr>
        <w:t xml:space="preserve">. </w:t>
      </w:r>
      <w:proofErr w:type="gramStart"/>
      <w:r>
        <w:rPr>
          <w:color w:val="0000FF"/>
        </w:rPr>
        <w:t>(2006).</w:t>
      </w:r>
      <w:r w:rsidRPr="008D09B6">
        <w:rPr>
          <w:color w:val="0000FF"/>
        </w:rPr>
        <w:t xml:space="preserve"> </w:t>
      </w:r>
      <w:proofErr w:type="spellStart"/>
      <w:r w:rsidRPr="008D09B6">
        <w:rPr>
          <w:color w:val="0000FF"/>
        </w:rPr>
        <w:t>Prechemotherapy</w:t>
      </w:r>
      <w:proofErr w:type="spellEnd"/>
      <w:r w:rsidRPr="008D09B6">
        <w:rPr>
          <w:color w:val="0000FF"/>
        </w:rPr>
        <w:t xml:space="preserve"> Assessment of Neutropenic Risk.</w:t>
      </w:r>
      <w:proofErr w:type="gramEnd"/>
      <w:r w:rsidRPr="008D09B6">
        <w:rPr>
          <w:color w:val="0000FF"/>
        </w:rPr>
        <w:t xml:space="preserve"> ONCOLOGY Nurse Edition 20(10), 32-39.</w:t>
      </w:r>
    </w:p>
    <w:p w14:paraId="1A8F561E" w14:textId="2224CD1A" w:rsidR="00360AE0" w:rsidRDefault="00EA3AF8" w:rsidP="00360AE0">
      <w:pPr>
        <w:ind w:left="0" w:firstLine="0"/>
        <w:rPr>
          <w:color w:val="0000FF"/>
          <w:u w:val="single"/>
        </w:rPr>
      </w:pPr>
      <w:r>
        <w:rPr>
          <w:color w:val="0000FF"/>
          <w:u w:val="single"/>
        </w:rPr>
        <w:fldChar w:fldCharType="begin"/>
      </w:r>
      <w:r>
        <w:rPr>
          <w:color w:val="0000FF"/>
          <w:u w:val="single"/>
        </w:rPr>
        <w:instrText xml:space="preserve"> ADDIN EN.CITE &lt;EndNote&gt;&lt;Cite Hidden="1"&gt;&lt;Author&gt;Doyle&lt;/Author&gt;&lt;Year&gt;2006&lt;/Year&gt;&lt;RecNum&gt;31&lt;/RecNum&gt;&lt;record&gt;&lt;rec-number&gt;31&lt;/rec-number&gt;&lt;foreign-keys&gt;&lt;key app="EN" db-id="ztx59ewdb9xd95ezwe95spa5z9x5sze52wde" timestamp="1456177245"&gt;31&lt;/key&gt;&lt;/foreign-keys&gt;&lt;ref-type name="Journal Article"&gt;17&lt;/ref-type&gt;&lt;contributors&gt;&lt;authors&gt;&lt;author&gt;Doyle, A. M.&lt;/author&gt;&lt;/authors&gt;&lt;/contributors&gt;&lt;auth-address&gt;Puget Sound Veterans Affairs Medical Center, Cancer Care Clinic, Seattle, Washington 98108, USA. Anne.Doyle2@va.gov&lt;/auth-address&gt;&lt;titles&gt;&lt;title&gt;Prechemotherapy assessment of neutropenic risk&lt;/title&gt;&lt;secondary-title&gt;Oncology (Williston Park)&lt;/secondary-title&gt;&lt;alt-title&gt;Oncology (Williston Park, N.Y.)&lt;/alt-title&gt;&lt;/titles&gt;&lt;periodical&gt;&lt;full-title&gt;Oncology (Williston Park)&lt;/full-title&gt;&lt;abbr-1&gt;Oncology (Williston Park, N.Y.)&lt;/abbr-1&gt;&lt;/periodical&gt;&lt;alt-periodical&gt;&lt;full-title&gt;Oncology (Williston Park)&lt;/full-title&gt;&lt;abbr-1&gt;Oncology (Williston Park, N.Y.)&lt;/abbr-1&gt;&lt;/alt-periodical&gt;&lt;pages&gt;32-9; discussion 39-40&lt;/pages&gt;&lt;volume&gt;20&lt;/volume&gt;&lt;number&gt;10 Suppl Nurse Ed&lt;/number&gt;&lt;edition&gt;2007/12/25&lt;/edition&gt;&lt;keywords&gt;&lt;keyword&gt;Antineoplastic Agents/*adverse effects&lt;/keyword&gt;&lt;keyword&gt;Fever/*chemically induced/prevention &amp;amp; control&lt;/keyword&gt;&lt;keyword&gt;Granulocyte Colony-Stimulating Factor/administration &amp;amp; dosage&lt;/keyword&gt;&lt;keyword&gt;Humans&lt;/keyword&gt;&lt;keyword&gt;Neoplasms/drug therapy/*nursing&lt;/keyword&gt;&lt;keyword&gt;Neutropenia/*chemically induced/prevention &amp;amp; control&lt;/keyword&gt;&lt;keyword&gt;Practice Guidelines as Topic&lt;/keyword&gt;&lt;keyword&gt;Risk Assessment&lt;/keyword&gt;&lt;/keywords&gt;&lt;dates&gt;&lt;year&gt;2006&lt;/year&gt;&lt;pub-dates&gt;&lt;date&gt;Sep&lt;/date&gt;&lt;/pub-dates&gt;&lt;/dates&gt;&lt;isbn&gt;0890-9091 (Print)&amp;#xD;0890-9091&lt;/isbn&gt;&lt;accession-num&gt;18153977&lt;/accession-num&gt;&lt;urls&gt;&lt;/urls&gt;&lt;remote-database-provider&gt;NLM&lt;/remote-database-provider&gt;&lt;language&gt;eng&lt;/language&gt;&lt;/record&gt;&lt;/Cite&gt;&lt;/EndNote&gt;</w:instrText>
      </w:r>
      <w:r>
        <w:rPr>
          <w:color w:val="0000FF"/>
          <w:u w:val="single"/>
        </w:rPr>
        <w:fldChar w:fldCharType="end"/>
      </w:r>
    </w:p>
    <w:p w14:paraId="07E77E8A" w14:textId="77777777" w:rsidR="00360AE0" w:rsidRDefault="00360AE0" w:rsidP="00360AE0">
      <w:pPr>
        <w:ind w:left="0" w:firstLine="0"/>
        <w:rPr>
          <w:color w:val="0000FF"/>
        </w:rPr>
      </w:pPr>
      <w:r w:rsidRPr="008D09B6">
        <w:rPr>
          <w:color w:val="0000FF"/>
        </w:rPr>
        <w:t>“</w:t>
      </w:r>
      <w:r w:rsidRPr="008D09B6">
        <w:rPr>
          <w:color w:val="0000FF"/>
          <w:u w:val="single"/>
        </w:rPr>
        <w:t>ABSTRACT</w:t>
      </w:r>
      <w:r>
        <w:rPr>
          <w:color w:val="0000FF"/>
          <w:u w:val="single"/>
        </w:rPr>
        <w:t>:</w:t>
      </w:r>
      <w:r w:rsidRPr="008D09B6">
        <w:rPr>
          <w:color w:val="0000FF"/>
          <w:u w:val="single"/>
        </w:rPr>
        <w:t xml:space="preserve"> </w:t>
      </w:r>
      <w:r w:rsidRPr="008D09B6">
        <w:rPr>
          <w:color w:val="0000FF"/>
        </w:rPr>
        <w:t>Chemotherapy-induced febrile neutropenia (FN) predisposes patients to</w:t>
      </w:r>
      <w:r>
        <w:rPr>
          <w:color w:val="0000FF"/>
        </w:rPr>
        <w:t xml:space="preserve"> </w:t>
      </w:r>
      <w:r w:rsidRPr="008D09B6">
        <w:rPr>
          <w:color w:val="0000FF"/>
        </w:rPr>
        <w:t>life-threatening infections and typically requires hospitalization. The goal was to investigate</w:t>
      </w:r>
      <w:r>
        <w:rPr>
          <w:color w:val="0000FF"/>
        </w:rPr>
        <w:t xml:space="preserve"> </w:t>
      </w:r>
      <w:r w:rsidRPr="008D09B6">
        <w:rPr>
          <w:color w:val="0000FF"/>
        </w:rPr>
        <w:t>whether a risk assessment tool aligned with national guidelines could help identify</w:t>
      </w:r>
      <w:r>
        <w:rPr>
          <w:color w:val="0000FF"/>
        </w:rPr>
        <w:t xml:space="preserve"> </w:t>
      </w:r>
      <w:r w:rsidRPr="008D09B6">
        <w:rPr>
          <w:color w:val="0000FF"/>
        </w:rPr>
        <w:t>patients at risk of FN and reduce FN-related hospitalizations. Beginning in October</w:t>
      </w:r>
      <w:r>
        <w:rPr>
          <w:color w:val="0000FF"/>
        </w:rPr>
        <w:t xml:space="preserve"> </w:t>
      </w:r>
      <w:r w:rsidRPr="008D09B6">
        <w:rPr>
          <w:color w:val="0000FF"/>
        </w:rPr>
        <w:t>2004, oncology nurses applied the new risk assessment tool to all patients initiating</w:t>
      </w:r>
      <w:r>
        <w:rPr>
          <w:color w:val="0000FF"/>
        </w:rPr>
        <w:t xml:space="preserve"> </w:t>
      </w:r>
      <w:r w:rsidRPr="008D09B6">
        <w:rPr>
          <w:color w:val="0000FF"/>
        </w:rPr>
        <w:t>chemotherapy or a new regimen. Patients at risk for FN received prophylactic colony</w:t>
      </w:r>
      <w:r>
        <w:rPr>
          <w:color w:val="0000FF"/>
        </w:rPr>
        <w:t xml:space="preserve"> </w:t>
      </w:r>
      <w:r w:rsidRPr="008D09B6">
        <w:rPr>
          <w:color w:val="0000FF"/>
        </w:rPr>
        <w:t>stimulating</w:t>
      </w:r>
      <w:r>
        <w:rPr>
          <w:color w:val="0000FF"/>
        </w:rPr>
        <w:t xml:space="preserve"> </w:t>
      </w:r>
      <w:r w:rsidRPr="008D09B6">
        <w:rPr>
          <w:color w:val="0000FF"/>
        </w:rPr>
        <w:t>factor. Charts for 189 patients receiving chemotherapy in fiscal year 2005</w:t>
      </w:r>
      <w:r>
        <w:rPr>
          <w:color w:val="0000FF"/>
        </w:rPr>
        <w:t xml:space="preserve"> </w:t>
      </w:r>
      <w:r w:rsidRPr="008D09B6">
        <w:rPr>
          <w:color w:val="0000FF"/>
        </w:rPr>
        <w:t>(FY05) were compared with charts of 155 patients receiving chemotherapy in FY04,</w:t>
      </w:r>
      <w:r>
        <w:rPr>
          <w:color w:val="0000FF"/>
        </w:rPr>
        <w:t xml:space="preserve"> </w:t>
      </w:r>
      <w:r w:rsidRPr="008D09B6">
        <w:rPr>
          <w:color w:val="0000FF"/>
        </w:rPr>
        <w:t>before the tool was implemented. The incidence of FN-related hospitalization declined</w:t>
      </w:r>
      <w:r>
        <w:rPr>
          <w:color w:val="0000FF"/>
        </w:rPr>
        <w:t xml:space="preserve"> </w:t>
      </w:r>
      <w:r w:rsidRPr="008D09B6">
        <w:rPr>
          <w:color w:val="0000FF"/>
        </w:rPr>
        <w:t>by 78%, from 9.7% in FY04 to 2.1% in FY05 (P = .003). Total hospital days decreased</w:t>
      </w:r>
      <w:r>
        <w:rPr>
          <w:color w:val="0000FF"/>
        </w:rPr>
        <w:t xml:space="preserve"> </w:t>
      </w:r>
      <w:r w:rsidRPr="008D09B6">
        <w:rPr>
          <w:color w:val="0000FF"/>
        </w:rPr>
        <w:t>from 117 to 24. Routine systematic evaluation by oncology nurses improves recognition</w:t>
      </w:r>
      <w:r>
        <w:rPr>
          <w:color w:val="0000FF"/>
        </w:rPr>
        <w:t xml:space="preserve"> </w:t>
      </w:r>
      <w:r w:rsidRPr="008D09B6">
        <w:rPr>
          <w:color w:val="0000FF"/>
        </w:rPr>
        <w:t>of patients at risk of FN and substantially reduces FN-related hospitalization.</w:t>
      </w:r>
      <w:r>
        <w:rPr>
          <w:color w:val="0000FF"/>
        </w:rPr>
        <w:t>”</w:t>
      </w:r>
    </w:p>
    <w:p w14:paraId="56EE2C1A" w14:textId="77777777" w:rsidR="00360AE0" w:rsidRDefault="00360AE0" w:rsidP="00360AE0">
      <w:pPr>
        <w:ind w:left="0" w:firstLine="0"/>
        <w:rPr>
          <w:color w:val="0000FF"/>
        </w:rPr>
      </w:pPr>
    </w:p>
    <w:p w14:paraId="0E792ED7" w14:textId="77777777" w:rsidR="0064798E" w:rsidRDefault="0064798E" w:rsidP="00360AE0">
      <w:pPr>
        <w:ind w:left="0" w:firstLine="0"/>
        <w:rPr>
          <w:color w:val="0000FF"/>
        </w:rPr>
      </w:pPr>
    </w:p>
    <w:p w14:paraId="0A1ED596" w14:textId="77777777" w:rsidR="00360AE0" w:rsidRDefault="00360AE0" w:rsidP="00360AE0">
      <w:pPr>
        <w:ind w:left="0" w:firstLine="0"/>
        <w:rPr>
          <w:color w:val="0000FF"/>
        </w:rPr>
      </w:pPr>
      <w:r w:rsidRPr="00A16436">
        <w:rPr>
          <w:color w:val="0000FF"/>
          <w:u w:val="single"/>
        </w:rPr>
        <w:t>Citation:</w:t>
      </w:r>
      <w:r>
        <w:rPr>
          <w:color w:val="0000FF"/>
        </w:rPr>
        <w:t xml:space="preserve"> Miller K. (2010). </w:t>
      </w:r>
      <w:r w:rsidRPr="00A702AB">
        <w:rPr>
          <w:color w:val="0000FF"/>
        </w:rPr>
        <w:t>Using a Computer-Based Risk Assessment</w:t>
      </w:r>
      <w:r>
        <w:rPr>
          <w:color w:val="0000FF"/>
        </w:rPr>
        <w:t xml:space="preserve"> </w:t>
      </w:r>
      <w:r w:rsidRPr="00A702AB">
        <w:rPr>
          <w:color w:val="0000FF"/>
        </w:rPr>
        <w:t>Tool to Identify Risk for Chemotherapy-Induced Febrile Neutropenia</w:t>
      </w:r>
      <w:r>
        <w:rPr>
          <w:color w:val="0000FF"/>
        </w:rPr>
        <w:t xml:space="preserve">. </w:t>
      </w:r>
      <w:proofErr w:type="gramStart"/>
      <w:r w:rsidRPr="00A702AB">
        <w:rPr>
          <w:color w:val="0000FF"/>
        </w:rPr>
        <w:t>Clinical Journal of Oncology Nursing 14</w:t>
      </w:r>
      <w:r>
        <w:rPr>
          <w:color w:val="0000FF"/>
        </w:rPr>
        <w:t>(</w:t>
      </w:r>
      <w:r w:rsidRPr="00A702AB">
        <w:rPr>
          <w:color w:val="0000FF"/>
        </w:rPr>
        <w:t>1</w:t>
      </w:r>
      <w:r>
        <w:rPr>
          <w:color w:val="0000FF"/>
        </w:rPr>
        <w:t>), 87-91.</w:t>
      </w:r>
      <w:proofErr w:type="gramEnd"/>
    </w:p>
    <w:p w14:paraId="5BF4A3CC" w14:textId="1B9279C5" w:rsidR="00360AE0" w:rsidRDefault="00EA3AF8" w:rsidP="00360AE0">
      <w:pPr>
        <w:ind w:left="0" w:firstLine="0"/>
        <w:rPr>
          <w:color w:val="0000FF"/>
        </w:rPr>
      </w:pPr>
      <w:r>
        <w:rPr>
          <w:color w:val="0000FF"/>
        </w:rPr>
        <w:fldChar w:fldCharType="begin">
          <w:fldData xml:space="preserve">PEVuZE5vdGU+PENpdGUgSGlkZGVuPSIxIj48QXV0aG9yPk1pbGxlcjwvQXV0aG9yPjxZZWFyPjIw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</w:fldData>
        </w:fldChar>
      </w:r>
      <w:r>
        <w:rPr>
          <w:color w:val="0000FF"/>
        </w:rPr>
        <w:instrText xml:space="preserve"> ADDIN EN.CITE </w:instrText>
      </w:r>
      <w:r>
        <w:rPr>
          <w:color w:val="0000FF"/>
        </w:rPr>
        <w:fldChar w:fldCharType="begin">
          <w:fldData xml:space="preserve">PEVuZE5vdGU+PENpdGUgSGlkZGVuPSIxIj48QXV0aG9yPk1pbGxlcjwvQXV0aG9yPjxZZWFyPjIw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</w:fldData>
        </w:fldChar>
      </w:r>
      <w:r>
        <w:rPr>
          <w:color w:val="0000FF"/>
        </w:rPr>
        <w:instrText xml:space="preserve"> ADDIN EN.CITE.DATA </w:instrText>
      </w:r>
      <w:r>
        <w:rPr>
          <w:color w:val="0000FF"/>
        </w:rPr>
      </w:r>
      <w:r>
        <w:rPr>
          <w:color w:val="0000FF"/>
        </w:rPr>
        <w:fldChar w:fldCharType="end"/>
      </w:r>
      <w:r>
        <w:rPr>
          <w:color w:val="0000FF"/>
        </w:rPr>
      </w:r>
      <w:r>
        <w:rPr>
          <w:color w:val="0000FF"/>
        </w:rPr>
        <w:fldChar w:fldCharType="end"/>
      </w:r>
    </w:p>
    <w:p w14:paraId="533CADD0" w14:textId="77777777" w:rsidR="00360AE0" w:rsidRPr="008D09B6" w:rsidRDefault="00360AE0" w:rsidP="00360AE0">
      <w:pPr>
        <w:ind w:left="0" w:firstLine="0"/>
        <w:rPr>
          <w:color w:val="0000FF"/>
        </w:rPr>
      </w:pPr>
      <w:r>
        <w:rPr>
          <w:color w:val="0000FF"/>
        </w:rPr>
        <w:t>“</w:t>
      </w:r>
      <w:r w:rsidRPr="006225B1">
        <w:rPr>
          <w:color w:val="0000FF"/>
        </w:rPr>
        <w:t>This article evaluates the feasibility of developing and implementing a computer-based risk assessment tool (CBRAT)</w:t>
      </w:r>
      <w:r>
        <w:rPr>
          <w:color w:val="0000FF"/>
        </w:rPr>
        <w:t xml:space="preserve"> </w:t>
      </w:r>
      <w:r w:rsidRPr="006225B1">
        <w:rPr>
          <w:color w:val="0000FF"/>
        </w:rPr>
        <w:t>for febrile neutropenia and determines whether it could improve documentation of risk assessment in patients starting</w:t>
      </w:r>
      <w:r>
        <w:rPr>
          <w:color w:val="0000FF"/>
        </w:rPr>
        <w:t xml:space="preserve"> </w:t>
      </w:r>
      <w:proofErr w:type="spellStart"/>
      <w:r w:rsidRPr="006225B1">
        <w:rPr>
          <w:color w:val="0000FF"/>
        </w:rPr>
        <w:t>myelosuppressive</w:t>
      </w:r>
      <w:proofErr w:type="spellEnd"/>
      <w:r w:rsidRPr="006225B1">
        <w:rPr>
          <w:color w:val="0000FF"/>
        </w:rPr>
        <w:t xml:space="preserve"> chemotherapy regimens. The CBRAT was designed using a template creator in a commercial electronic</w:t>
      </w:r>
      <w:r>
        <w:rPr>
          <w:color w:val="0000FF"/>
        </w:rPr>
        <w:t xml:space="preserve"> </w:t>
      </w:r>
      <w:r w:rsidRPr="006225B1">
        <w:rPr>
          <w:color w:val="0000FF"/>
        </w:rPr>
        <w:t>medical records system. The effectiveness of the CBRAT was evaluated by comparing medical records data of patients with</w:t>
      </w:r>
      <w:r>
        <w:rPr>
          <w:color w:val="0000FF"/>
        </w:rPr>
        <w:t xml:space="preserve"> </w:t>
      </w:r>
      <w:r w:rsidRPr="006225B1">
        <w:rPr>
          <w:color w:val="0000FF"/>
        </w:rPr>
        <w:t>one or more risk factor for febrile neutropenia who were given prophylactic granulocyte–colony-stimulating factor before</w:t>
      </w:r>
      <w:r>
        <w:rPr>
          <w:color w:val="0000FF"/>
        </w:rPr>
        <w:t xml:space="preserve"> </w:t>
      </w:r>
      <w:r w:rsidRPr="006225B1">
        <w:rPr>
          <w:color w:val="0000FF"/>
        </w:rPr>
        <w:t>and after implementation. CBRAT usage significantly increased the likelihood of documented febrile neutropenia risk assessment</w:t>
      </w:r>
      <w:r>
        <w:rPr>
          <w:color w:val="0000FF"/>
        </w:rPr>
        <w:t xml:space="preserve"> </w:t>
      </w:r>
      <w:r w:rsidRPr="006225B1">
        <w:rPr>
          <w:color w:val="0000FF"/>
        </w:rPr>
        <w:t>from 13% before implementation to 100% after implementation (p &lt; 0.001). No significant changes occurred</w:t>
      </w:r>
      <w:r>
        <w:rPr>
          <w:color w:val="0000FF"/>
        </w:rPr>
        <w:t xml:space="preserve"> </w:t>
      </w:r>
      <w:r w:rsidRPr="006225B1">
        <w:rPr>
          <w:color w:val="0000FF"/>
        </w:rPr>
        <w:t>in febrile neutropenia incidence rates, dose reductions, or dose delays. In addition, healthcare providers quickly learned</w:t>
      </w:r>
      <w:r>
        <w:rPr>
          <w:color w:val="0000FF"/>
        </w:rPr>
        <w:t xml:space="preserve"> </w:t>
      </w:r>
      <w:r w:rsidRPr="006225B1">
        <w:rPr>
          <w:color w:val="0000FF"/>
        </w:rPr>
        <w:t>how to operate the CBRAT and used it routinely, significantly improving the number of patients with documented febrile</w:t>
      </w:r>
      <w:r>
        <w:rPr>
          <w:color w:val="0000FF"/>
        </w:rPr>
        <w:t xml:space="preserve"> </w:t>
      </w:r>
      <w:r w:rsidRPr="006225B1">
        <w:rPr>
          <w:color w:val="0000FF"/>
        </w:rPr>
        <w:t>neutropenia risk assessment. Implementation of a computer-based tool can help nurses follow evidence-based guidelines</w:t>
      </w:r>
      <w:r>
        <w:rPr>
          <w:color w:val="0000FF"/>
        </w:rPr>
        <w:t xml:space="preserve"> </w:t>
      </w:r>
      <w:r w:rsidRPr="006225B1">
        <w:rPr>
          <w:color w:val="0000FF"/>
        </w:rPr>
        <w:t xml:space="preserve">that recommend routine febrile neutropenia risk assessment for patients initiating </w:t>
      </w:r>
      <w:proofErr w:type="spellStart"/>
      <w:r w:rsidRPr="006225B1">
        <w:rPr>
          <w:color w:val="0000FF"/>
        </w:rPr>
        <w:t>myelosuppressive</w:t>
      </w:r>
      <w:proofErr w:type="spellEnd"/>
      <w:r w:rsidRPr="006225B1">
        <w:rPr>
          <w:color w:val="0000FF"/>
        </w:rPr>
        <w:t xml:space="preserve"> chemotherapy.</w:t>
      </w:r>
      <w:r>
        <w:rPr>
          <w:color w:val="0000FF"/>
        </w:rPr>
        <w:t>”</w:t>
      </w:r>
    </w:p>
    <w:p w14:paraId="0415CBCA" w14:textId="77777777" w:rsidR="009B6DAC" w:rsidRDefault="009B6DAC" w:rsidP="008E7620">
      <w:pPr>
        <w:ind w:left="0" w:firstLine="0"/>
        <w:rPr>
          <w:color w:val="0000FF"/>
          <w:u w:val="single"/>
        </w:rPr>
      </w:pPr>
    </w:p>
    <w:p w14:paraId="00DBC69B" w14:textId="77777777" w:rsidR="0064798E" w:rsidRDefault="0064798E" w:rsidP="008E7620">
      <w:pPr>
        <w:ind w:left="0" w:firstLine="0"/>
        <w:rPr>
          <w:color w:val="0000FF"/>
          <w:u w:val="single"/>
        </w:rPr>
      </w:pPr>
    </w:p>
    <w:p w14:paraId="4558D5CC" w14:textId="1361AF7F" w:rsidR="008E7620" w:rsidRPr="004F1C19" w:rsidRDefault="008E7620" w:rsidP="008E7620">
      <w:pPr>
        <w:ind w:left="0" w:firstLine="0"/>
        <w:rPr>
          <w:color w:val="0000FF"/>
        </w:rPr>
      </w:pPr>
      <w:r w:rsidRPr="00632114">
        <w:rPr>
          <w:color w:val="0000FF"/>
          <w:u w:val="single"/>
        </w:rPr>
        <w:lastRenderedPageBreak/>
        <w:t xml:space="preserve">Citation: </w:t>
      </w:r>
      <w:r w:rsidRPr="00632114">
        <w:rPr>
          <w:color w:val="0000FF"/>
        </w:rPr>
        <w:t>O’Brien</w:t>
      </w:r>
      <w:r w:rsidR="00A26114">
        <w:rPr>
          <w:color w:val="0000FF"/>
        </w:rPr>
        <w:t xml:space="preserve"> C</w:t>
      </w:r>
      <w:r w:rsidRPr="00632114">
        <w:rPr>
          <w:color w:val="0000FF"/>
        </w:rPr>
        <w:t>, Dempsey</w:t>
      </w:r>
      <w:r w:rsidR="00A26114">
        <w:rPr>
          <w:color w:val="0000FF"/>
        </w:rPr>
        <w:t xml:space="preserve"> O</w:t>
      </w:r>
      <w:r w:rsidRPr="00632114">
        <w:rPr>
          <w:color w:val="0000FF"/>
        </w:rPr>
        <w:t>, Kennedy</w:t>
      </w:r>
      <w:r w:rsidR="00A26114">
        <w:rPr>
          <w:color w:val="0000FF"/>
        </w:rPr>
        <w:t xml:space="preserve"> MJ</w:t>
      </w:r>
      <w:r w:rsidRPr="00632114">
        <w:rPr>
          <w:color w:val="0000FF"/>
        </w:rPr>
        <w:t xml:space="preserve">. Febrile neutropenia risk assessment tool: Improving clinical </w:t>
      </w:r>
      <w:r w:rsidRPr="004F1C19">
        <w:rPr>
          <w:color w:val="0000FF"/>
        </w:rPr>
        <w:t xml:space="preserve">outcomes for oncology patients. </w:t>
      </w:r>
      <w:proofErr w:type="spellStart"/>
      <w:r w:rsidR="007119DA" w:rsidRPr="004F1C19">
        <w:rPr>
          <w:color w:val="0000FF"/>
        </w:rPr>
        <w:t>Eur</w:t>
      </w:r>
      <w:proofErr w:type="spellEnd"/>
      <w:r w:rsidR="007119DA" w:rsidRPr="004F1C19">
        <w:rPr>
          <w:color w:val="0000FF"/>
        </w:rPr>
        <w:t xml:space="preserve"> J </w:t>
      </w:r>
      <w:proofErr w:type="spellStart"/>
      <w:r w:rsidR="007119DA" w:rsidRPr="004F1C19">
        <w:rPr>
          <w:color w:val="0000FF"/>
        </w:rPr>
        <w:t>Oncol</w:t>
      </w:r>
      <w:proofErr w:type="spellEnd"/>
      <w:r w:rsidR="007119DA" w:rsidRPr="004F1C19">
        <w:rPr>
          <w:color w:val="0000FF"/>
        </w:rPr>
        <w:t xml:space="preserve"> </w:t>
      </w:r>
      <w:proofErr w:type="spellStart"/>
      <w:r w:rsidR="007119DA" w:rsidRPr="004F1C19">
        <w:rPr>
          <w:color w:val="0000FF"/>
        </w:rPr>
        <w:t>Nurs</w:t>
      </w:r>
      <w:proofErr w:type="spellEnd"/>
      <w:r w:rsidR="007119DA" w:rsidRPr="004F1C19">
        <w:rPr>
          <w:color w:val="0000FF"/>
        </w:rPr>
        <w:t xml:space="preserve">. </w:t>
      </w:r>
      <w:r w:rsidRPr="004F1C19">
        <w:rPr>
          <w:color w:val="0000FF"/>
        </w:rPr>
        <w:t>18 (2014) 167-174</w:t>
      </w:r>
    </w:p>
    <w:p w14:paraId="3C3CC4D8" w14:textId="363E1059" w:rsidR="001D0B6F" w:rsidRDefault="00EA3AF8" w:rsidP="007119DA">
      <w:pPr>
        <w:ind w:left="0" w:firstLine="0"/>
      </w:pPr>
      <w:r>
        <w:fldChar w:fldCharType="begin">
          <w:fldData xml:space="preserve">PEVuZE5vdGU+PENpdGUgSGlkZGVuPSIxIj48QXV0aG9yPk8mYXBvcztCcmllbjwvQXV0aG9yPjxZ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==
</w:fldData>
        </w:fldChar>
      </w:r>
      <w:r>
        <w:instrText xml:space="preserve"> ADDIN EN.CITE </w:instrText>
      </w:r>
      <w:r>
        <w:fldChar w:fldCharType="begin">
          <w:fldData xml:space="preserve">PEVuZE5vdGU+PENpdGUgSGlkZGVuPSIxIj48QXV0aG9yPk8mYXBvcztCcmllbjwvQXV0aG9yPjxZ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==
</w:fldData>
        </w:fldChar>
      </w:r>
      <w:r>
        <w:instrText xml:space="preserve"> ADDIN EN.CITE.DATA </w:instrText>
      </w:r>
      <w:r>
        <w:fldChar w:fldCharType="end"/>
      </w:r>
      <w:r>
        <w:fldChar w:fldCharType="end"/>
      </w:r>
    </w:p>
    <w:p w14:paraId="301030AB" w14:textId="60B25602" w:rsidR="003B6B61" w:rsidRPr="003B6B61" w:rsidRDefault="003B67EE" w:rsidP="003B6B61">
      <w:pPr>
        <w:ind w:left="0" w:firstLine="0"/>
        <w:rPr>
          <w:color w:val="0000FF"/>
        </w:rPr>
      </w:pPr>
      <w:r w:rsidRPr="001D7695">
        <w:rPr>
          <w:color w:val="0000FF"/>
        </w:rPr>
        <w:t>“</w:t>
      </w:r>
      <w:r w:rsidR="003B6B61" w:rsidRPr="00741EF6">
        <w:rPr>
          <w:color w:val="0000FF"/>
          <w:u w:val="single"/>
        </w:rPr>
        <w:t>Purpose:</w:t>
      </w:r>
      <w:r w:rsidR="003B6B61" w:rsidRPr="003B6B61">
        <w:rPr>
          <w:color w:val="0000FF"/>
        </w:rPr>
        <w:t xml:space="preserve"> To develop, implement and evaluate the effectiveness of a nurse-led risk assessment tool to</w:t>
      </w:r>
      <w:r w:rsidR="003B6B61">
        <w:rPr>
          <w:color w:val="0000FF"/>
        </w:rPr>
        <w:t xml:space="preserve"> </w:t>
      </w:r>
      <w:r w:rsidR="003B6B61" w:rsidRPr="003B6B61">
        <w:rPr>
          <w:color w:val="0000FF"/>
        </w:rPr>
        <w:t>reduce the incidence of febrile neutropenia (FN) and evaluate the nurse’s role in FN risk assessment in a</w:t>
      </w:r>
      <w:r w:rsidR="003B6B61">
        <w:rPr>
          <w:color w:val="0000FF"/>
        </w:rPr>
        <w:t xml:space="preserve"> </w:t>
      </w:r>
      <w:r w:rsidR="003B6B61" w:rsidRPr="003B6B61">
        <w:rPr>
          <w:color w:val="0000FF"/>
        </w:rPr>
        <w:t>hospital-based oncology unit.</w:t>
      </w:r>
      <w:r>
        <w:rPr>
          <w:color w:val="0000FF"/>
        </w:rPr>
        <w:t>”</w:t>
      </w:r>
    </w:p>
    <w:p w14:paraId="3D134347" w14:textId="15C93BE7" w:rsidR="003B6B61" w:rsidRPr="003B6B61" w:rsidRDefault="003B67EE" w:rsidP="003B6B61">
      <w:pPr>
        <w:ind w:left="0" w:firstLine="0"/>
        <w:rPr>
          <w:color w:val="0000FF"/>
        </w:rPr>
      </w:pPr>
      <w:r w:rsidRPr="001D7695">
        <w:rPr>
          <w:color w:val="0000FF"/>
        </w:rPr>
        <w:t>“</w:t>
      </w:r>
      <w:r w:rsidR="003B6B61" w:rsidRPr="00741EF6">
        <w:rPr>
          <w:color w:val="0000FF"/>
          <w:u w:val="single"/>
        </w:rPr>
        <w:t>Methods and sample:</w:t>
      </w:r>
      <w:r w:rsidR="003B6B61" w:rsidRPr="003B6B61">
        <w:rPr>
          <w:color w:val="0000FF"/>
        </w:rPr>
        <w:t xml:space="preserve"> </w:t>
      </w:r>
      <w:r w:rsidR="003B6B61" w:rsidRPr="006429E0">
        <w:rPr>
          <w:b/>
          <w:i/>
          <w:color w:val="0000FF"/>
        </w:rPr>
        <w:t xml:space="preserve">A FN risk assessment tool was developed, implemented and evaluated. </w:t>
      </w:r>
      <w:r w:rsidR="003B6B61" w:rsidRPr="003B6B61">
        <w:rPr>
          <w:color w:val="0000FF"/>
        </w:rPr>
        <w:t>A</w:t>
      </w:r>
      <w:r w:rsidR="003B6B61">
        <w:rPr>
          <w:color w:val="0000FF"/>
        </w:rPr>
        <w:t xml:space="preserve"> </w:t>
      </w:r>
      <w:r w:rsidR="003B6B61" w:rsidRPr="003B6B61">
        <w:rPr>
          <w:color w:val="0000FF"/>
        </w:rPr>
        <w:t>comparative</w:t>
      </w:r>
      <w:r w:rsidR="003B6B61">
        <w:rPr>
          <w:color w:val="0000FF"/>
        </w:rPr>
        <w:t xml:space="preserve"> </w:t>
      </w:r>
      <w:r w:rsidR="003B6B61" w:rsidRPr="003B6B61">
        <w:rPr>
          <w:color w:val="0000FF"/>
        </w:rPr>
        <w:t>prospective observational chart review was undertaken to evaluate the tool. Clinical data were collected</w:t>
      </w:r>
      <w:r w:rsidR="003B6B61">
        <w:rPr>
          <w:color w:val="0000FF"/>
        </w:rPr>
        <w:t xml:space="preserve"> </w:t>
      </w:r>
      <w:r w:rsidR="003B6B61" w:rsidRPr="003B6B61">
        <w:rPr>
          <w:color w:val="0000FF"/>
        </w:rPr>
        <w:t>from 459 patients’ records from August 2008 through July 2009. Patients had no intervention during the</w:t>
      </w:r>
      <w:r w:rsidR="003B6B61">
        <w:rPr>
          <w:color w:val="0000FF"/>
        </w:rPr>
        <w:t xml:space="preserve"> </w:t>
      </w:r>
      <w:r w:rsidR="003B6B61" w:rsidRPr="003B6B61">
        <w:rPr>
          <w:color w:val="0000FF"/>
        </w:rPr>
        <w:t xml:space="preserve">first six months (n </w:t>
      </w:r>
      <w:r w:rsidR="0067480B">
        <w:rPr>
          <w:color w:val="0000FF"/>
        </w:rPr>
        <w:t>=</w:t>
      </w:r>
      <w:r w:rsidR="003B6B61" w:rsidRPr="003B6B61">
        <w:rPr>
          <w:color w:val="0000FF"/>
        </w:rPr>
        <w:t xml:space="preserve"> 233). Patients in the following six months (n </w:t>
      </w:r>
      <w:r w:rsidR="00B37C66">
        <w:rPr>
          <w:color w:val="0000FF"/>
        </w:rPr>
        <w:t>=</w:t>
      </w:r>
      <w:r w:rsidR="00B37C66" w:rsidRPr="003B6B61">
        <w:rPr>
          <w:color w:val="0000FF"/>
        </w:rPr>
        <w:t xml:space="preserve"> </w:t>
      </w:r>
      <w:r w:rsidR="003B6B61" w:rsidRPr="003B6B61">
        <w:rPr>
          <w:color w:val="0000FF"/>
        </w:rPr>
        <w:t>226) had the FN risk assessment</w:t>
      </w:r>
      <w:r w:rsidR="003B6B61">
        <w:rPr>
          <w:color w:val="0000FF"/>
        </w:rPr>
        <w:t xml:space="preserve"> </w:t>
      </w:r>
      <w:r w:rsidR="003B6B61" w:rsidRPr="003B6B61">
        <w:rPr>
          <w:color w:val="0000FF"/>
        </w:rPr>
        <w:t>completed and appropriate granulocyte-colony stimulating factor prescribed. A self-questionnaire was</w:t>
      </w:r>
      <w:r w:rsidR="003B6B61">
        <w:rPr>
          <w:color w:val="0000FF"/>
        </w:rPr>
        <w:t xml:space="preserve"> </w:t>
      </w:r>
      <w:proofErr w:type="spellStart"/>
      <w:r w:rsidR="003B6B61" w:rsidRPr="003B6B61">
        <w:rPr>
          <w:color w:val="0000FF"/>
        </w:rPr>
        <w:t>utilised</w:t>
      </w:r>
      <w:proofErr w:type="spellEnd"/>
      <w:r w:rsidR="003B6B61" w:rsidRPr="003B6B61">
        <w:rPr>
          <w:color w:val="0000FF"/>
        </w:rPr>
        <w:t xml:space="preserve"> to evaluate the nurses’ role in FN risk assessment.</w:t>
      </w:r>
      <w:r>
        <w:rPr>
          <w:color w:val="0000FF"/>
        </w:rPr>
        <w:t>”</w:t>
      </w:r>
    </w:p>
    <w:p w14:paraId="175C6D57" w14:textId="330AF90E" w:rsidR="003B6B61" w:rsidRPr="003B6B61" w:rsidRDefault="003B67EE" w:rsidP="003B6B61">
      <w:pPr>
        <w:ind w:left="0" w:firstLine="0"/>
        <w:rPr>
          <w:color w:val="0000FF"/>
        </w:rPr>
      </w:pPr>
      <w:r w:rsidRPr="001D7695">
        <w:rPr>
          <w:color w:val="0000FF"/>
        </w:rPr>
        <w:t>“</w:t>
      </w:r>
      <w:r w:rsidR="003B6B61" w:rsidRPr="006429E0">
        <w:rPr>
          <w:color w:val="0000FF"/>
          <w:u w:val="single"/>
        </w:rPr>
        <w:t>Key results:</w:t>
      </w:r>
      <w:r w:rsidR="003B6B61" w:rsidRPr="006429E0">
        <w:rPr>
          <w:color w:val="0000FF"/>
        </w:rPr>
        <w:t xml:space="preserve"> </w:t>
      </w:r>
      <w:r w:rsidR="003B6B61" w:rsidRPr="006429E0">
        <w:rPr>
          <w:b/>
          <w:i/>
          <w:color w:val="0000FF"/>
        </w:rPr>
        <w:t>The incidence of FN</w:t>
      </w:r>
      <w:r w:rsidR="008C1D3A" w:rsidRPr="006429E0">
        <w:rPr>
          <w:b/>
          <w:i/>
          <w:color w:val="0000FF"/>
        </w:rPr>
        <w:t xml:space="preserve"> </w:t>
      </w:r>
      <w:r w:rsidR="003B6B61" w:rsidRPr="006429E0">
        <w:rPr>
          <w:b/>
          <w:i/>
          <w:color w:val="0000FF"/>
        </w:rPr>
        <w:t>was reduced by 52% (p</w:t>
      </w:r>
      <w:r w:rsidR="0067480B" w:rsidRPr="006429E0">
        <w:rPr>
          <w:b/>
          <w:i/>
          <w:color w:val="0000FF"/>
        </w:rPr>
        <w:t>=</w:t>
      </w:r>
      <w:r w:rsidR="003B6B61" w:rsidRPr="006429E0">
        <w:rPr>
          <w:b/>
          <w:i/>
          <w:color w:val="0000FF"/>
        </w:rPr>
        <w:t>0.02).</w:t>
      </w:r>
      <w:r w:rsidR="006429E0" w:rsidRPr="006429E0">
        <w:rPr>
          <w:b/>
          <w:i/>
          <w:color w:val="0000FF"/>
        </w:rPr>
        <w:t xml:space="preserve"> </w:t>
      </w:r>
      <w:r w:rsidR="003B6B61" w:rsidRPr="006429E0">
        <w:rPr>
          <w:b/>
          <w:i/>
          <w:color w:val="0000FF"/>
        </w:rPr>
        <w:t>Hospital days, dose reductions and treatment delays were reduced.</w:t>
      </w:r>
      <w:r w:rsidR="003B6B61" w:rsidRPr="006429E0">
        <w:rPr>
          <w:color w:val="0000FF"/>
        </w:rPr>
        <w:t xml:space="preserve"> Nurses felt they were the most appropriate person to carry out the</w:t>
      </w:r>
      <w:r w:rsidR="003B6B61" w:rsidRPr="003B6B61">
        <w:rPr>
          <w:color w:val="0000FF"/>
        </w:rPr>
        <w:t xml:space="preserve"> assessment.</w:t>
      </w:r>
      <w:r>
        <w:rPr>
          <w:color w:val="0000FF"/>
        </w:rPr>
        <w:t>”</w:t>
      </w:r>
      <w:r w:rsidR="006429E0">
        <w:rPr>
          <w:color w:val="0000FF"/>
        </w:rPr>
        <w:t xml:space="preserve">  </w:t>
      </w:r>
    </w:p>
    <w:p w14:paraId="1FFCC5EE" w14:textId="7007E1EA" w:rsidR="006429E0" w:rsidRDefault="003B67EE" w:rsidP="003B6B61">
      <w:pPr>
        <w:ind w:left="0" w:firstLine="0"/>
        <w:rPr>
          <w:color w:val="0000FF"/>
        </w:rPr>
      </w:pPr>
      <w:r w:rsidRPr="001D7695">
        <w:rPr>
          <w:color w:val="0000FF"/>
        </w:rPr>
        <w:t>“</w:t>
      </w:r>
      <w:r w:rsidR="003B6B61" w:rsidRPr="00741EF6">
        <w:rPr>
          <w:color w:val="0000FF"/>
          <w:u w:val="single"/>
        </w:rPr>
        <w:t>Conclusions:</w:t>
      </w:r>
      <w:r w:rsidR="003B6B61" w:rsidRPr="003B6B61">
        <w:rPr>
          <w:color w:val="0000FF"/>
        </w:rPr>
        <w:t xml:space="preserve"> Through consistent risk assessment, nurses could determine which patients were at high</w:t>
      </w:r>
      <w:r w:rsidR="003B6B61">
        <w:rPr>
          <w:color w:val="0000FF"/>
        </w:rPr>
        <w:t xml:space="preserve"> </w:t>
      </w:r>
      <w:r w:rsidR="003B6B61" w:rsidRPr="003B6B61">
        <w:rPr>
          <w:color w:val="0000FF"/>
        </w:rPr>
        <w:t xml:space="preserve">risk of developing FN leading to significant reduction in life-threatening infections, </w:t>
      </w:r>
      <w:proofErr w:type="spellStart"/>
      <w:r w:rsidR="003B6B61" w:rsidRPr="003B6B61">
        <w:rPr>
          <w:color w:val="0000FF"/>
        </w:rPr>
        <w:t>hospitalisations</w:t>
      </w:r>
      <w:proofErr w:type="spellEnd"/>
      <w:r w:rsidR="003B6B61" w:rsidRPr="003B6B61">
        <w:rPr>
          <w:color w:val="0000FF"/>
        </w:rPr>
        <w:t>, dose</w:t>
      </w:r>
      <w:r w:rsidR="003B6B61">
        <w:rPr>
          <w:color w:val="0000FF"/>
        </w:rPr>
        <w:t xml:space="preserve"> </w:t>
      </w:r>
      <w:r w:rsidR="003B6B61" w:rsidRPr="003B6B61">
        <w:rPr>
          <w:color w:val="0000FF"/>
        </w:rPr>
        <w:t>reductions and delays. Nurses can be confident and competent in decision-making to reduce life</w:t>
      </w:r>
      <w:r w:rsidR="003B6B61">
        <w:rPr>
          <w:color w:val="0000FF"/>
        </w:rPr>
        <w:t xml:space="preserve"> </w:t>
      </w:r>
      <w:r w:rsidR="003B6B61" w:rsidRPr="003B6B61">
        <w:rPr>
          <w:color w:val="0000FF"/>
        </w:rPr>
        <w:t>threatening</w:t>
      </w:r>
      <w:r w:rsidR="003B6B61">
        <w:rPr>
          <w:color w:val="0000FF"/>
        </w:rPr>
        <w:t xml:space="preserve"> </w:t>
      </w:r>
      <w:r w:rsidR="003B6B61" w:rsidRPr="003B6B61">
        <w:rPr>
          <w:color w:val="0000FF"/>
        </w:rPr>
        <w:t>infections through the use of an FN risk assessment tool.</w:t>
      </w:r>
      <w:r>
        <w:rPr>
          <w:color w:val="0000FF"/>
        </w:rPr>
        <w:t>”</w:t>
      </w:r>
      <w:r w:rsidR="006429E0">
        <w:rPr>
          <w:color w:val="0000FF"/>
        </w:rPr>
        <w:t xml:space="preserve"> </w:t>
      </w:r>
    </w:p>
    <w:p w14:paraId="32301B30" w14:textId="4149B85F" w:rsidR="00632114" w:rsidRDefault="006429E0" w:rsidP="003B6B61">
      <w:pPr>
        <w:ind w:left="0" w:firstLine="0"/>
        <w:rPr>
          <w:color w:val="0000FF"/>
        </w:rPr>
      </w:pPr>
      <w:r w:rsidRPr="006429E0">
        <w:rPr>
          <w:color w:val="0000FF"/>
        </w:rPr>
        <w:t>(</w:t>
      </w:r>
      <w:r w:rsidR="00FB291D">
        <w:rPr>
          <w:rFonts w:cs="Arial"/>
          <w:color w:val="0000FF"/>
        </w:rPr>
        <w:t>Emphasis added</w:t>
      </w:r>
      <w:r w:rsidRPr="006429E0">
        <w:rPr>
          <w:color w:val="0000FF"/>
        </w:rPr>
        <w:t>.)</w:t>
      </w:r>
    </w:p>
    <w:p w14:paraId="6E07EBB0" w14:textId="77777777" w:rsidR="0064798E" w:rsidRDefault="0064798E" w:rsidP="003B6B61">
      <w:pPr>
        <w:ind w:left="0" w:firstLine="0"/>
        <w:rPr>
          <w:color w:val="0000FF"/>
        </w:rPr>
      </w:pPr>
    </w:p>
    <w:p w14:paraId="555A0FD8" w14:textId="660429D1" w:rsidR="004F1C19" w:rsidRDefault="004F1C19">
      <w:pPr>
        <w:rPr>
          <w:color w:val="0000FF"/>
          <w:u w:val="single"/>
        </w:rPr>
      </w:pPr>
    </w:p>
    <w:p w14:paraId="6F1C90EC" w14:textId="30EA3122" w:rsidR="00663752" w:rsidRPr="00595DAD" w:rsidRDefault="00663752" w:rsidP="007119DA">
      <w:pPr>
        <w:ind w:left="0" w:firstLine="0"/>
        <w:rPr>
          <w:color w:val="0000FF"/>
        </w:rPr>
      </w:pPr>
      <w:r w:rsidRPr="00595DAD">
        <w:rPr>
          <w:color w:val="0000FF"/>
          <w:u w:val="single"/>
        </w:rPr>
        <w:t>Citation</w:t>
      </w:r>
      <w:r w:rsidR="00595DAD" w:rsidRPr="00595DAD">
        <w:rPr>
          <w:color w:val="0000FF"/>
          <w:u w:val="single"/>
        </w:rPr>
        <w:t xml:space="preserve">: </w:t>
      </w:r>
      <w:proofErr w:type="spellStart"/>
      <w:r w:rsidRPr="00595DAD">
        <w:rPr>
          <w:color w:val="0000FF"/>
        </w:rPr>
        <w:t>Krzemieniecki</w:t>
      </w:r>
      <w:proofErr w:type="spellEnd"/>
      <w:r w:rsidRPr="00595DAD">
        <w:rPr>
          <w:color w:val="0000FF"/>
        </w:rPr>
        <w:t xml:space="preserve"> K, </w:t>
      </w:r>
      <w:proofErr w:type="spellStart"/>
      <w:r w:rsidRPr="00595DAD">
        <w:rPr>
          <w:color w:val="0000FF"/>
        </w:rPr>
        <w:t>Sevelda</w:t>
      </w:r>
      <w:proofErr w:type="spellEnd"/>
      <w:r w:rsidRPr="00595DAD">
        <w:rPr>
          <w:color w:val="0000FF"/>
        </w:rPr>
        <w:t xml:space="preserve"> P, </w:t>
      </w:r>
      <w:proofErr w:type="spellStart"/>
      <w:r w:rsidRPr="00595DAD">
        <w:rPr>
          <w:color w:val="0000FF"/>
        </w:rPr>
        <w:t>Erdkamp</w:t>
      </w:r>
      <w:proofErr w:type="spellEnd"/>
      <w:r w:rsidRPr="00595DAD">
        <w:rPr>
          <w:color w:val="0000FF"/>
        </w:rPr>
        <w:t xml:space="preserve"> F, </w:t>
      </w:r>
      <w:proofErr w:type="spellStart"/>
      <w:r w:rsidRPr="00595DAD">
        <w:rPr>
          <w:color w:val="0000FF"/>
        </w:rPr>
        <w:t>Smakal</w:t>
      </w:r>
      <w:proofErr w:type="spellEnd"/>
      <w:r w:rsidRPr="00595DAD">
        <w:rPr>
          <w:color w:val="0000FF"/>
        </w:rPr>
        <w:t xml:space="preserve"> M, </w:t>
      </w:r>
      <w:proofErr w:type="spellStart"/>
      <w:r w:rsidRPr="00595DAD">
        <w:rPr>
          <w:color w:val="0000FF"/>
        </w:rPr>
        <w:t>Schwenkglenks</w:t>
      </w:r>
      <w:proofErr w:type="spellEnd"/>
      <w:r w:rsidRPr="00595DAD">
        <w:rPr>
          <w:color w:val="0000FF"/>
        </w:rPr>
        <w:t xml:space="preserve"> M, </w:t>
      </w:r>
      <w:proofErr w:type="spellStart"/>
      <w:r w:rsidRPr="00595DAD">
        <w:rPr>
          <w:color w:val="0000FF"/>
        </w:rPr>
        <w:t>Puertas</w:t>
      </w:r>
      <w:proofErr w:type="spellEnd"/>
      <w:r w:rsidRPr="00595DAD">
        <w:rPr>
          <w:color w:val="0000FF"/>
        </w:rPr>
        <w:t xml:space="preserve"> J, et al. (2014). Neutropenia management and granulocyte colony-stimulating factor use in patients with solid </w:t>
      </w:r>
      <w:proofErr w:type="spellStart"/>
      <w:r w:rsidRPr="00595DAD">
        <w:rPr>
          <w:color w:val="0000FF"/>
        </w:rPr>
        <w:t>tumours</w:t>
      </w:r>
      <w:proofErr w:type="spellEnd"/>
      <w:r w:rsidRPr="00595DAD">
        <w:rPr>
          <w:color w:val="0000FF"/>
        </w:rPr>
        <w:t xml:space="preserve"> receiving </w:t>
      </w:r>
      <w:proofErr w:type="spellStart"/>
      <w:r w:rsidRPr="00595DAD">
        <w:rPr>
          <w:color w:val="0000FF"/>
        </w:rPr>
        <w:t>myelotoxic</w:t>
      </w:r>
      <w:proofErr w:type="spellEnd"/>
      <w:r w:rsidRPr="00595DAD">
        <w:rPr>
          <w:color w:val="0000FF"/>
        </w:rPr>
        <w:t xml:space="preserve"> chemotherapy - findings from clinical practice. Support Care Cancer 22</w:t>
      </w:r>
      <w:r w:rsidR="00B92EBD" w:rsidRPr="00595DAD">
        <w:rPr>
          <w:color w:val="0000FF"/>
        </w:rPr>
        <w:t xml:space="preserve">, </w:t>
      </w:r>
      <w:r w:rsidRPr="00595DAD">
        <w:rPr>
          <w:color w:val="0000FF"/>
        </w:rPr>
        <w:t xml:space="preserve">667e77.  </w:t>
      </w:r>
    </w:p>
    <w:p w14:paraId="6D4DA1EF" w14:textId="74487308" w:rsidR="00663752" w:rsidRDefault="00EA3AF8" w:rsidP="007119DA">
      <w:pPr>
        <w:ind w:left="0" w:firstLine="0"/>
        <w:rPr>
          <w:color w:val="0000FF"/>
          <w:u w:val="single"/>
        </w:rPr>
      </w:pPr>
      <w:r>
        <w:rPr>
          <w:color w:val="0000FF"/>
          <w:u w:val="single"/>
        </w:rPr>
        <w:fldChar w:fldCharType="begin">
          <w:fldData xml:space="preserve">PEVuZE5vdGU+PENpdGUgSGlkZGVuPSIxIj48QXV0aG9yPktyemVtaWVuaWVja2k8L0F1dGhvcj48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</w:fldData>
        </w:fldChar>
      </w:r>
      <w:r>
        <w:rPr>
          <w:color w:val="0000FF"/>
          <w:u w:val="single"/>
        </w:rPr>
        <w:instrText xml:space="preserve"> ADDIN EN.CITE </w:instrText>
      </w:r>
      <w:r>
        <w:rPr>
          <w:color w:val="0000FF"/>
          <w:u w:val="single"/>
        </w:rPr>
        <w:fldChar w:fldCharType="begin">
          <w:fldData xml:space="preserve">PEVuZE5vdGU+PENpdGUgSGlkZGVuPSIxIj48QXV0aG9yPktyemVtaWVuaWVja2k8L0F1dGhvcj48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</w:fldData>
        </w:fldChar>
      </w:r>
      <w:r>
        <w:rPr>
          <w:color w:val="0000FF"/>
          <w:u w:val="single"/>
        </w:rPr>
        <w:instrText xml:space="preserve"> ADDIN EN.CITE.DATA </w:instrText>
      </w:r>
      <w:r>
        <w:rPr>
          <w:color w:val="0000FF"/>
          <w:u w:val="single"/>
        </w:rPr>
      </w:r>
      <w:r>
        <w:rPr>
          <w:color w:val="0000FF"/>
          <w:u w:val="single"/>
        </w:rPr>
        <w:fldChar w:fldCharType="end"/>
      </w:r>
      <w:r>
        <w:rPr>
          <w:color w:val="0000FF"/>
          <w:u w:val="single"/>
        </w:rPr>
      </w:r>
      <w:r>
        <w:rPr>
          <w:color w:val="0000FF"/>
          <w:u w:val="single"/>
        </w:rPr>
        <w:fldChar w:fldCharType="end"/>
      </w:r>
    </w:p>
    <w:p w14:paraId="17F2EC6F" w14:textId="1310E369" w:rsidR="00663752" w:rsidRPr="00663752" w:rsidRDefault="003B67EE" w:rsidP="00663752">
      <w:pPr>
        <w:ind w:left="0" w:firstLine="0"/>
        <w:rPr>
          <w:color w:val="0000FF"/>
        </w:rPr>
      </w:pPr>
      <w:r w:rsidRPr="001D7695">
        <w:rPr>
          <w:color w:val="0000FF"/>
        </w:rPr>
        <w:t>“</w:t>
      </w:r>
      <w:r w:rsidR="00663752" w:rsidRPr="00663752">
        <w:rPr>
          <w:color w:val="0000FF"/>
          <w:u w:val="single"/>
        </w:rPr>
        <w:t>Purpose</w:t>
      </w:r>
      <w:r w:rsidR="004048F2">
        <w:rPr>
          <w:color w:val="0000FF"/>
          <w:u w:val="single"/>
        </w:rPr>
        <w:t>:</w:t>
      </w:r>
      <w:r w:rsidR="00663752" w:rsidRPr="00663752">
        <w:rPr>
          <w:color w:val="0000FF"/>
          <w:u w:val="single"/>
        </w:rPr>
        <w:t xml:space="preserve"> </w:t>
      </w:r>
      <w:r w:rsidR="00663752" w:rsidRPr="00663752">
        <w:rPr>
          <w:color w:val="0000FF"/>
        </w:rPr>
        <w:t>Clinical practice adherence to current guidelines that recommend primary prophylaxis (PP) with granulocyte colony stimulating factors (G-CSFs) for patients at high (≥20 %) overall risk of febrile neutropenia (FN) was evaluated.</w:t>
      </w:r>
      <w:r>
        <w:rPr>
          <w:color w:val="0000FF"/>
        </w:rPr>
        <w:t>”</w:t>
      </w:r>
      <w:r w:rsidR="00663752" w:rsidRPr="00663752">
        <w:rPr>
          <w:color w:val="0000FF"/>
        </w:rPr>
        <w:t xml:space="preserve"> </w:t>
      </w:r>
    </w:p>
    <w:p w14:paraId="2506771D" w14:textId="59EFD20E" w:rsidR="00663752" w:rsidRPr="00663752" w:rsidRDefault="003B67EE" w:rsidP="00663752">
      <w:pPr>
        <w:ind w:left="0" w:firstLine="0"/>
        <w:rPr>
          <w:color w:val="0000FF"/>
        </w:rPr>
      </w:pPr>
      <w:r w:rsidRPr="001D7695">
        <w:rPr>
          <w:color w:val="0000FF"/>
        </w:rPr>
        <w:t>“</w:t>
      </w:r>
      <w:r w:rsidR="00663752" w:rsidRPr="00663752">
        <w:rPr>
          <w:color w:val="0000FF"/>
          <w:u w:val="single"/>
        </w:rPr>
        <w:t>Methods</w:t>
      </w:r>
      <w:r w:rsidR="004048F2">
        <w:rPr>
          <w:color w:val="0000FF"/>
          <w:u w:val="single"/>
        </w:rPr>
        <w:t>:</w:t>
      </w:r>
      <w:r w:rsidR="00663752" w:rsidRPr="00663752">
        <w:rPr>
          <w:color w:val="0000FF"/>
          <w:u w:val="single"/>
        </w:rPr>
        <w:t xml:space="preserve"> </w:t>
      </w:r>
      <w:r w:rsidR="00663752" w:rsidRPr="00663752">
        <w:rPr>
          <w:color w:val="0000FF"/>
        </w:rPr>
        <w:t xml:space="preserve">Adult patients with breast cancer, non-small cell lung cancer (NSCLC), small-cell lung cancer (SCLC), or ovarian cancer were enrolled if </w:t>
      </w:r>
      <w:proofErr w:type="spellStart"/>
      <w:r w:rsidR="00663752" w:rsidRPr="00663752">
        <w:rPr>
          <w:color w:val="0000FF"/>
        </w:rPr>
        <w:t>myelotoxic</w:t>
      </w:r>
      <w:proofErr w:type="spellEnd"/>
      <w:r w:rsidR="00663752" w:rsidRPr="00663752">
        <w:rPr>
          <w:color w:val="0000FF"/>
        </w:rPr>
        <w:t xml:space="preserve"> chemotherapy was planned, and they had an investigator-assessed overall FN risk ≥20 %. The primary outcome was FN incidence.</w:t>
      </w:r>
      <w:r>
        <w:rPr>
          <w:color w:val="0000FF"/>
        </w:rPr>
        <w:t>”</w:t>
      </w:r>
      <w:r w:rsidR="00663752" w:rsidRPr="00663752">
        <w:rPr>
          <w:color w:val="0000FF"/>
        </w:rPr>
        <w:t xml:space="preserve"> </w:t>
      </w:r>
    </w:p>
    <w:p w14:paraId="375A2499" w14:textId="03C2F0B9" w:rsidR="00663752" w:rsidRPr="00663752" w:rsidRDefault="003B67EE" w:rsidP="00663752">
      <w:pPr>
        <w:ind w:left="0" w:firstLine="0"/>
        <w:rPr>
          <w:color w:val="0000FF"/>
        </w:rPr>
      </w:pPr>
      <w:r w:rsidRPr="001D7695">
        <w:rPr>
          <w:color w:val="0000FF"/>
        </w:rPr>
        <w:t>“</w:t>
      </w:r>
      <w:r w:rsidR="00663752" w:rsidRPr="00663752">
        <w:rPr>
          <w:color w:val="0000FF"/>
          <w:u w:val="single"/>
        </w:rPr>
        <w:t>Results</w:t>
      </w:r>
      <w:r w:rsidR="004048F2">
        <w:rPr>
          <w:color w:val="0000FF"/>
          <w:u w:val="single"/>
        </w:rPr>
        <w:t xml:space="preserve">: </w:t>
      </w:r>
      <w:r w:rsidR="00663752" w:rsidRPr="00663752">
        <w:rPr>
          <w:color w:val="0000FF"/>
        </w:rPr>
        <w:t xml:space="preserve">In total, 1,347 patients were analyzed (breast cancer, n =829; NSCLC, n =224; SCLC, n =137; ovarian cancer, n =157). </w:t>
      </w:r>
      <w:r w:rsidR="00663752" w:rsidRPr="006429E0">
        <w:rPr>
          <w:b/>
          <w:i/>
          <w:color w:val="0000FF"/>
        </w:rPr>
        <w:t xml:space="preserve">Patients with breast cancer exhibited fewer individual FN risk factors than patients with other cancers and were far more likely to have received a high-FN-risk chemotherapy regimen. However, a substantial proportion of all patients (45–80 % across </w:t>
      </w:r>
      <w:proofErr w:type="spellStart"/>
      <w:r w:rsidR="00663752" w:rsidRPr="006429E0">
        <w:rPr>
          <w:b/>
          <w:i/>
          <w:color w:val="0000FF"/>
        </w:rPr>
        <w:t>tumour</w:t>
      </w:r>
      <w:proofErr w:type="spellEnd"/>
      <w:r w:rsidR="00663752" w:rsidRPr="006429E0">
        <w:rPr>
          <w:b/>
          <w:i/>
          <w:color w:val="0000FF"/>
        </w:rPr>
        <w:t xml:space="preserve"> types) did not receive G-CSF PP in alignment with investigator risk assessment and guideline recommendations.</w:t>
      </w:r>
      <w:r w:rsidR="00663752" w:rsidRPr="00663752">
        <w:rPr>
          <w:color w:val="0000FF"/>
        </w:rPr>
        <w:t xml:space="preserve"> FN occurred in 127 patients overall (9%, 95% confidence interval (CI) 8–11%), and incidence was higher in SCLC (15%) than other tumor types (8% in ovarian and NSCLC, 9% in breast cancer). A post hoc analysis of G-CSF use indicated that G-CSF prophylaxis was not given within the recommended timeframe after chemotherapy (within 1–3 days) or was not continued across all cycles in 39% of patients.</w:t>
      </w:r>
      <w:r>
        <w:rPr>
          <w:color w:val="0000FF"/>
        </w:rPr>
        <w:t>”</w:t>
      </w:r>
      <w:r w:rsidR="00663752" w:rsidRPr="00663752">
        <w:rPr>
          <w:color w:val="0000FF"/>
        </w:rPr>
        <w:t xml:space="preserve"> </w:t>
      </w:r>
    </w:p>
    <w:p w14:paraId="564A2E2E" w14:textId="743A9DC4" w:rsidR="00663752" w:rsidRPr="00663752" w:rsidRDefault="003B67EE" w:rsidP="00663752">
      <w:pPr>
        <w:ind w:left="0" w:firstLine="0"/>
        <w:rPr>
          <w:color w:val="0000FF"/>
        </w:rPr>
      </w:pPr>
      <w:r w:rsidRPr="001D7695">
        <w:rPr>
          <w:color w:val="0000FF"/>
        </w:rPr>
        <w:t>“</w:t>
      </w:r>
      <w:r w:rsidR="00663752" w:rsidRPr="00663752">
        <w:rPr>
          <w:color w:val="0000FF"/>
          <w:u w:val="single"/>
        </w:rPr>
        <w:t>Conclusions</w:t>
      </w:r>
      <w:r w:rsidR="004048F2" w:rsidRPr="006429E0">
        <w:rPr>
          <w:color w:val="0000FF"/>
          <w:u w:val="single"/>
        </w:rPr>
        <w:t xml:space="preserve">: </w:t>
      </w:r>
      <w:r w:rsidR="00663752" w:rsidRPr="006429E0">
        <w:rPr>
          <w:b/>
          <w:i/>
          <w:color w:val="0000FF"/>
        </w:rPr>
        <w:t xml:space="preserve">FN risk assessment was predominantly based on clinical judgement and individual risk factors, and guidelines regarding G-CSF PP for patients at high FN risk were not consistently followed. Improved education of physicians may enable more fully informed neutropenia management in patients with solid </w:t>
      </w:r>
      <w:proofErr w:type="spellStart"/>
      <w:r w:rsidR="00663752" w:rsidRPr="006429E0">
        <w:rPr>
          <w:b/>
          <w:i/>
          <w:color w:val="0000FF"/>
        </w:rPr>
        <w:t>tumours</w:t>
      </w:r>
      <w:proofErr w:type="spellEnd"/>
      <w:r w:rsidR="00663752" w:rsidRPr="006429E0">
        <w:rPr>
          <w:b/>
          <w:i/>
          <w:color w:val="0000FF"/>
        </w:rPr>
        <w:t>.</w:t>
      </w:r>
      <w:r>
        <w:rPr>
          <w:b/>
          <w:i/>
          <w:color w:val="0000FF"/>
        </w:rPr>
        <w:t>”</w:t>
      </w:r>
    </w:p>
    <w:p w14:paraId="76DA8B53" w14:textId="6CCB3030" w:rsidR="00663752" w:rsidRDefault="00402DE3" w:rsidP="007119DA">
      <w:pPr>
        <w:ind w:left="0" w:firstLine="0"/>
        <w:rPr>
          <w:color w:val="0000FF"/>
          <w:u w:val="single"/>
        </w:rPr>
      </w:pPr>
      <w:r w:rsidRPr="00402DE3">
        <w:rPr>
          <w:color w:val="0000FF"/>
          <w:u w:val="single"/>
        </w:rPr>
        <w:t>(</w:t>
      </w:r>
      <w:r w:rsidR="00FB291D">
        <w:rPr>
          <w:rFonts w:cs="Arial"/>
          <w:color w:val="0000FF"/>
        </w:rPr>
        <w:t>Emphasis added</w:t>
      </w:r>
      <w:r w:rsidRPr="00402DE3">
        <w:rPr>
          <w:color w:val="0000FF"/>
          <w:u w:val="single"/>
        </w:rPr>
        <w:t>.)</w:t>
      </w:r>
    </w:p>
    <w:p w14:paraId="0949CBD0" w14:textId="77777777" w:rsidR="00663752" w:rsidRDefault="00663752" w:rsidP="007119DA">
      <w:pPr>
        <w:ind w:left="0" w:firstLine="0"/>
        <w:rPr>
          <w:color w:val="0000FF"/>
          <w:u w:val="single"/>
        </w:rPr>
      </w:pPr>
    </w:p>
    <w:p w14:paraId="48C522E6" w14:textId="77777777" w:rsidR="000B4DF5" w:rsidRDefault="000B4DF5" w:rsidP="007119DA">
      <w:pPr>
        <w:ind w:left="0" w:firstLine="0"/>
        <w:rPr>
          <w:color w:val="0000FF"/>
          <w:u w:val="single"/>
        </w:rPr>
      </w:pPr>
    </w:p>
    <w:p w14:paraId="09CD5E4F" w14:textId="7DDC8B9B" w:rsidR="002769D9" w:rsidRPr="00595DAD" w:rsidRDefault="007119DA" w:rsidP="002769D9">
      <w:pPr>
        <w:ind w:left="0" w:firstLine="0"/>
        <w:rPr>
          <w:color w:val="0000FF"/>
        </w:rPr>
      </w:pPr>
      <w:r w:rsidRPr="00595DAD">
        <w:rPr>
          <w:color w:val="0000FF"/>
          <w:u w:val="single"/>
        </w:rPr>
        <w:lastRenderedPageBreak/>
        <w:t>Citation</w:t>
      </w:r>
      <w:r w:rsidR="00595DAD" w:rsidRPr="00595DAD">
        <w:rPr>
          <w:color w:val="0000FF"/>
          <w:u w:val="single"/>
        </w:rPr>
        <w:t xml:space="preserve">: </w:t>
      </w:r>
      <w:proofErr w:type="spellStart"/>
      <w:r w:rsidR="002769D9" w:rsidRPr="00595DAD">
        <w:rPr>
          <w:color w:val="0000FF"/>
        </w:rPr>
        <w:t>Freyer</w:t>
      </w:r>
      <w:proofErr w:type="spellEnd"/>
      <w:r w:rsidR="002769D9" w:rsidRPr="00595DAD">
        <w:rPr>
          <w:color w:val="0000FF"/>
        </w:rPr>
        <w:t xml:space="preserve"> G, </w:t>
      </w:r>
      <w:proofErr w:type="spellStart"/>
      <w:r w:rsidR="002769D9" w:rsidRPr="00595DAD">
        <w:rPr>
          <w:color w:val="0000FF"/>
        </w:rPr>
        <w:t>Kalinka-Warzocha</w:t>
      </w:r>
      <w:proofErr w:type="spellEnd"/>
      <w:r w:rsidR="002769D9" w:rsidRPr="00595DAD">
        <w:rPr>
          <w:color w:val="0000FF"/>
        </w:rPr>
        <w:t xml:space="preserve"> E, </w:t>
      </w:r>
      <w:proofErr w:type="spellStart"/>
      <w:r w:rsidR="002769D9" w:rsidRPr="00595DAD">
        <w:rPr>
          <w:color w:val="0000FF"/>
        </w:rPr>
        <w:t>Syrigos</w:t>
      </w:r>
      <w:proofErr w:type="spellEnd"/>
      <w:r w:rsidR="002769D9" w:rsidRPr="00595DAD">
        <w:rPr>
          <w:color w:val="0000FF"/>
        </w:rPr>
        <w:t xml:space="preserve"> K et al. </w:t>
      </w:r>
      <w:r w:rsidR="00123BDA" w:rsidRPr="00595DAD">
        <w:rPr>
          <w:color w:val="0000FF"/>
        </w:rPr>
        <w:t>(2015)</w:t>
      </w:r>
      <w:r w:rsidR="00085A99" w:rsidRPr="00595DAD">
        <w:rPr>
          <w:color w:val="0000FF"/>
        </w:rPr>
        <w:t>.</w:t>
      </w:r>
      <w:r w:rsidR="00123BDA" w:rsidRPr="00595DAD">
        <w:rPr>
          <w:color w:val="0000FF"/>
        </w:rPr>
        <w:t xml:space="preserve"> </w:t>
      </w:r>
      <w:r w:rsidR="002769D9" w:rsidRPr="00595DAD">
        <w:rPr>
          <w:color w:val="0000FF"/>
        </w:rPr>
        <w:t xml:space="preserve">Attitudes of physicians toward assessing risk and using granulocyte colony-stimulating factor as primary prophylaxis in patients receiving chemotherapy associated with an intermediate risk of febrile neutropenia. </w:t>
      </w:r>
      <w:proofErr w:type="gramStart"/>
      <w:r w:rsidR="002769D9" w:rsidRPr="00595DAD">
        <w:rPr>
          <w:color w:val="0000FF"/>
        </w:rPr>
        <w:t xml:space="preserve">Med </w:t>
      </w:r>
      <w:proofErr w:type="spellStart"/>
      <w:r w:rsidR="002769D9" w:rsidRPr="00595DAD">
        <w:rPr>
          <w:color w:val="0000FF"/>
        </w:rPr>
        <w:t>Oncol</w:t>
      </w:r>
      <w:proofErr w:type="spellEnd"/>
      <w:r w:rsidR="002769D9" w:rsidRPr="00595DAD">
        <w:rPr>
          <w:color w:val="0000FF"/>
        </w:rPr>
        <w:t xml:space="preserve"> 32</w:t>
      </w:r>
      <w:r w:rsidR="004F1C19" w:rsidRPr="00595DAD">
        <w:rPr>
          <w:color w:val="0000FF"/>
        </w:rPr>
        <w:t xml:space="preserve">, </w:t>
      </w:r>
      <w:r w:rsidR="002769D9" w:rsidRPr="00595DAD">
        <w:rPr>
          <w:color w:val="0000FF"/>
        </w:rPr>
        <w:t>236.</w:t>
      </w:r>
      <w:proofErr w:type="gramEnd"/>
    </w:p>
    <w:p w14:paraId="09A47916" w14:textId="52F4952F" w:rsidR="007119DA" w:rsidRDefault="00EA3AF8" w:rsidP="007119DA">
      <w:pPr>
        <w:ind w:left="0" w:firstLine="0"/>
        <w:rPr>
          <w:color w:val="0000FF"/>
          <w:u w:val="single"/>
        </w:rPr>
      </w:pPr>
      <w:r>
        <w:rPr>
          <w:color w:val="0000FF"/>
          <w:u w:val="single"/>
        </w:rPr>
        <w:fldChar w:fldCharType="begin"/>
      </w:r>
      <w:r>
        <w:rPr>
          <w:color w:val="0000FF"/>
          <w:u w:val="single"/>
        </w:rPr>
        <w:instrText xml:space="preserve"> ADDIN EN.CITE &lt;EndNote&gt;&lt;Cite Hidden="1"&gt;&lt;Author&gt;Freyer&lt;/Author&gt;&lt;Year&gt;2015&lt;/Year&gt;&lt;RecNum&gt;35&lt;/RecNum&gt;&lt;record&gt;&lt;rec-number&gt;35&lt;/rec-number&gt;&lt;foreign-keys&gt;&lt;key app="EN" db-id="ztx59ewdb9xd95ezwe95spa5z9x5sze52wde" timestamp="1456177343"&gt;35&lt;/key&gt;&lt;/foreign-keys&gt;&lt;ref-type name="Journal Article"&gt;17&lt;/ref-type&gt;&lt;contributors&gt;&lt;authors&gt;&lt;author&gt;Freyer, G.&lt;/author&gt;&lt;author&gt;Kalinka-Warzocha, E.&lt;/author&gt;&lt;author&gt;Syrigos, K.&lt;/author&gt;&lt;author&gt;Marinca, M.&lt;/author&gt;&lt;author&gt;Tonini, G.&lt;/author&gt;&lt;author&gt;Ng, S. L.&lt;/author&gt;&lt;author&gt;Wong, Z. W.&lt;/author&gt;&lt;author&gt;Salar, A.&lt;/author&gt;&lt;author&gt;Steger, G.&lt;/author&gt;&lt;author&gt;Abdelsalam, M.&lt;/author&gt;&lt;author&gt;DeCosta, L.&lt;/author&gt;&lt;author&gt;Szabo, Z.&lt;/author&gt;&lt;/authors&gt;&lt;/contributors&gt;&lt;auth-address&gt;Department of Medical Oncology, Hospices Civils de Lyon Cancer Institute, Lyon University, Lyon, France, gilles.freyer@univ-lyon1.fr.&lt;/auth-address&gt;&lt;titles&gt;&lt;title&gt;Attitudes of physicians toward assessing risk and using granulocyte colony-stimulating factor as primary prophylaxis in patients receiving chemotherapy associated with an intermediate risk of febrile neutropenia&lt;/title&gt;&lt;secondary-title&gt;Med Oncol&lt;/secondary-title&gt;&lt;alt-title&gt;Medical oncology (Northwood, London, England)&lt;/alt-title&gt;&lt;/titles&gt;&lt;periodical&gt;&lt;full-title&gt;Med Oncol&lt;/full-title&gt;&lt;abbr-1&gt;Medical oncology (Northwood, London, England)&lt;/abbr-1&gt;&lt;/periodical&gt;&lt;alt-periodical&gt;&lt;full-title&gt;Med Oncol&lt;/full-title&gt;&lt;abbr-1&gt;Medical oncology (Northwood, London, England)&lt;/abbr-1&gt;&lt;/alt-periodical&gt;&lt;pages&gt;236&lt;/pages&gt;&lt;volume&gt;32&lt;/volume&gt;&lt;number&gt;10&lt;/number&gt;&lt;edition&gt;2015/09/01&lt;/edition&gt;&lt;dates&gt;&lt;year&gt;2015&lt;/year&gt;&lt;pub-dates&gt;&lt;date&gt;Oct&lt;/date&gt;&lt;/pub-dates&gt;&lt;/dates&gt;&lt;isbn&gt;1357-0560&lt;/isbn&gt;&lt;accession-num&gt;26315712&lt;/accession-num&gt;&lt;urls&gt;&lt;/urls&gt;&lt;electronic-resource-num&gt;10.1007/s12032-015-0682-z&lt;/electronic-resource-num&gt;&lt;remote-database-provider&gt;NLM&lt;/remote-database-provider&gt;&lt;language&gt;eng&lt;/language&gt;&lt;/record&gt;&lt;/Cite&gt;&lt;/EndNote&gt;</w:instrText>
      </w:r>
      <w:r>
        <w:rPr>
          <w:color w:val="0000FF"/>
          <w:u w:val="single"/>
        </w:rPr>
        <w:fldChar w:fldCharType="end"/>
      </w:r>
    </w:p>
    <w:p w14:paraId="1CFA8AAC" w14:textId="77777777" w:rsidR="007119DA" w:rsidRPr="007119DA" w:rsidRDefault="007119DA" w:rsidP="007119DA">
      <w:pPr>
        <w:ind w:left="0" w:firstLine="0"/>
        <w:rPr>
          <w:color w:val="0000FF"/>
          <w:u w:val="single"/>
        </w:rPr>
      </w:pPr>
      <w:r w:rsidRPr="007119DA">
        <w:rPr>
          <w:color w:val="0000FF"/>
          <w:u w:val="single"/>
        </w:rPr>
        <w:t xml:space="preserve">Abstract </w:t>
      </w:r>
    </w:p>
    <w:p w14:paraId="0599DE0B" w14:textId="2A9AF1B7" w:rsidR="00506B00" w:rsidRDefault="003B67EE" w:rsidP="007119DA">
      <w:pPr>
        <w:ind w:left="0" w:firstLine="0"/>
        <w:rPr>
          <w:color w:val="0000FF"/>
        </w:rPr>
      </w:pPr>
      <w:r>
        <w:rPr>
          <w:color w:val="0000FF"/>
        </w:rPr>
        <w:t>“</w:t>
      </w:r>
      <w:r w:rsidR="007119DA" w:rsidRPr="007119DA">
        <w:rPr>
          <w:color w:val="0000FF"/>
        </w:rPr>
        <w:t>Febrile neutropenia (FN) is a potentially fatal</w:t>
      </w:r>
      <w:r w:rsidR="007119DA">
        <w:rPr>
          <w:color w:val="0000FF"/>
        </w:rPr>
        <w:t xml:space="preserve"> </w:t>
      </w:r>
      <w:r w:rsidR="007119DA" w:rsidRPr="007119DA">
        <w:rPr>
          <w:color w:val="0000FF"/>
        </w:rPr>
        <w:t>complication of chemotherapy. This prospective, observational</w:t>
      </w:r>
      <w:r w:rsidR="007119DA">
        <w:rPr>
          <w:color w:val="0000FF"/>
        </w:rPr>
        <w:t xml:space="preserve"> </w:t>
      </w:r>
      <w:r w:rsidR="007119DA" w:rsidRPr="007119DA">
        <w:rPr>
          <w:color w:val="0000FF"/>
        </w:rPr>
        <w:t>study describes physicians’ approaches toward</w:t>
      </w:r>
      <w:r w:rsidR="007119DA">
        <w:rPr>
          <w:color w:val="0000FF"/>
        </w:rPr>
        <w:t xml:space="preserve"> </w:t>
      </w:r>
      <w:r w:rsidR="007119DA" w:rsidRPr="007119DA">
        <w:rPr>
          <w:color w:val="0000FF"/>
        </w:rPr>
        <w:t>assessing FN risk in patients receiving chemotherapy regimens</w:t>
      </w:r>
      <w:r w:rsidR="007119DA">
        <w:rPr>
          <w:color w:val="0000FF"/>
        </w:rPr>
        <w:t xml:space="preserve"> </w:t>
      </w:r>
      <w:r w:rsidR="007119DA" w:rsidRPr="007119DA">
        <w:rPr>
          <w:color w:val="0000FF"/>
        </w:rPr>
        <w:t>with an intermediate (10–20 %) FN risk. In the baseline</w:t>
      </w:r>
      <w:r w:rsidR="004F1C19">
        <w:rPr>
          <w:color w:val="0000FF"/>
        </w:rPr>
        <w:t xml:space="preserve"> </w:t>
      </w:r>
      <w:r w:rsidR="007119DA" w:rsidRPr="007119DA">
        <w:rPr>
          <w:color w:val="0000FF"/>
        </w:rPr>
        <w:t>investigator assessment, physicians selected factors</w:t>
      </w:r>
      <w:r w:rsidR="007119DA">
        <w:rPr>
          <w:color w:val="0000FF"/>
        </w:rPr>
        <w:t xml:space="preserve"> </w:t>
      </w:r>
      <w:r w:rsidR="007119DA" w:rsidRPr="007119DA">
        <w:rPr>
          <w:color w:val="0000FF"/>
        </w:rPr>
        <w:t>considered important when assessing overall FN risk and</w:t>
      </w:r>
      <w:r w:rsidR="007119DA">
        <w:rPr>
          <w:color w:val="0000FF"/>
        </w:rPr>
        <w:t xml:space="preserve"> </w:t>
      </w:r>
      <w:r w:rsidR="007119DA" w:rsidRPr="007119DA">
        <w:rPr>
          <w:color w:val="0000FF"/>
        </w:rPr>
        <w:t>deciding on granulocyte colony-stimulating factor (G-CSF)</w:t>
      </w:r>
      <w:r w:rsidR="007119DA">
        <w:rPr>
          <w:color w:val="0000FF"/>
        </w:rPr>
        <w:t xml:space="preserve"> </w:t>
      </w:r>
      <w:r w:rsidR="007119DA" w:rsidRPr="007119DA">
        <w:rPr>
          <w:color w:val="0000FF"/>
        </w:rPr>
        <w:t>primary prophylaxis (PP). Physicians then completed patient</w:t>
      </w:r>
      <w:r w:rsidR="007119DA">
        <w:rPr>
          <w:color w:val="0000FF"/>
        </w:rPr>
        <w:t xml:space="preserve"> </w:t>
      </w:r>
      <w:r w:rsidR="007119DA" w:rsidRPr="007119DA">
        <w:rPr>
          <w:color w:val="0000FF"/>
        </w:rPr>
        <w:t>assessments using the same lists of factors. The final FN risk</w:t>
      </w:r>
      <w:r w:rsidR="007119DA">
        <w:rPr>
          <w:color w:val="0000FF"/>
        </w:rPr>
        <w:t xml:space="preserve"> </w:t>
      </w:r>
      <w:r w:rsidR="007119DA" w:rsidRPr="007119DA">
        <w:rPr>
          <w:color w:val="0000FF"/>
        </w:rPr>
        <w:t>scores and whether G-CSF PP was planned were reported.</w:t>
      </w:r>
      <w:r w:rsidR="007119DA">
        <w:rPr>
          <w:color w:val="0000FF"/>
        </w:rPr>
        <w:t xml:space="preserve"> </w:t>
      </w:r>
      <w:r w:rsidR="007119DA" w:rsidRPr="007119DA">
        <w:rPr>
          <w:color w:val="0000FF"/>
        </w:rPr>
        <w:t>The final analysis included 165 physicians and 944 patients.</w:t>
      </w:r>
      <w:r w:rsidR="007119DA">
        <w:rPr>
          <w:color w:val="0000FF"/>
        </w:rPr>
        <w:t xml:space="preserve"> </w:t>
      </w:r>
      <w:r w:rsidR="007119DA" w:rsidRPr="007119DA">
        <w:rPr>
          <w:color w:val="0000FF"/>
        </w:rPr>
        <w:t>The most frequently considered factor in both assessments</w:t>
      </w:r>
      <w:r w:rsidR="007119DA">
        <w:rPr>
          <w:color w:val="0000FF"/>
        </w:rPr>
        <w:t xml:space="preserve"> </w:t>
      </w:r>
      <w:r w:rsidR="007119DA" w:rsidRPr="007119DA">
        <w:rPr>
          <w:color w:val="0000FF"/>
        </w:rPr>
        <w:t>was chemotherapy agents in the backbone (88 % of investigator</w:t>
      </w:r>
      <w:r w:rsidR="007119DA">
        <w:rPr>
          <w:color w:val="0000FF"/>
        </w:rPr>
        <w:t xml:space="preserve"> </w:t>
      </w:r>
      <w:r w:rsidR="007119DA" w:rsidRPr="007119DA">
        <w:rPr>
          <w:color w:val="0000FF"/>
        </w:rPr>
        <w:t>and 93% of patient assessments). History of FN</w:t>
      </w:r>
      <w:r w:rsidR="007119DA">
        <w:rPr>
          <w:color w:val="0000FF"/>
        </w:rPr>
        <w:t xml:space="preserve"> </w:t>
      </w:r>
      <w:r w:rsidR="007119DA" w:rsidRPr="007119DA">
        <w:rPr>
          <w:color w:val="0000FF"/>
        </w:rPr>
        <w:t>(83%), baseline laboratory values (76%) and age (73%)</w:t>
      </w:r>
      <w:r w:rsidR="007119DA">
        <w:rPr>
          <w:color w:val="0000FF"/>
        </w:rPr>
        <w:t xml:space="preserve"> </w:t>
      </w:r>
      <w:r w:rsidR="007119DA" w:rsidRPr="007119DA">
        <w:rPr>
          <w:color w:val="0000FF"/>
        </w:rPr>
        <w:t>were commonly selected at baseline, whereas tumor type</w:t>
      </w:r>
      <w:r w:rsidR="007119DA">
        <w:rPr>
          <w:color w:val="0000FF"/>
        </w:rPr>
        <w:t xml:space="preserve"> </w:t>
      </w:r>
      <w:r w:rsidR="007119DA" w:rsidRPr="007119DA">
        <w:rPr>
          <w:color w:val="0000FF"/>
        </w:rPr>
        <w:t>(72%), guidelines (62%) and tumor stage (43 %) were</w:t>
      </w:r>
      <w:r w:rsidR="007119DA" w:rsidRPr="007119DA">
        <w:t xml:space="preserve"> </w:t>
      </w:r>
      <w:r w:rsidR="007119DA" w:rsidRPr="007119DA">
        <w:rPr>
          <w:color w:val="0000FF"/>
        </w:rPr>
        <w:t>selected most during patient assessments. Median investigator-reported FN risk threshold for G-CSF PP was 20%</w:t>
      </w:r>
      <w:r w:rsidR="00085A99">
        <w:rPr>
          <w:color w:val="0000FF"/>
        </w:rPr>
        <w:t xml:space="preserve"> </w:t>
      </w:r>
      <w:r w:rsidR="007119DA" w:rsidRPr="007119DA">
        <w:rPr>
          <w:color w:val="0000FF"/>
        </w:rPr>
        <w:t>(range</w:t>
      </w:r>
      <w:r w:rsidR="007119DA">
        <w:rPr>
          <w:color w:val="0000FF"/>
        </w:rPr>
        <w:t xml:space="preserve"> </w:t>
      </w:r>
      <w:r w:rsidR="007119DA" w:rsidRPr="007119DA">
        <w:rPr>
          <w:color w:val="0000FF"/>
        </w:rPr>
        <w:t>10–85</w:t>
      </w:r>
      <w:r w:rsidR="007119DA" w:rsidRPr="00FD55F2">
        <w:rPr>
          <w:b/>
          <w:i/>
          <w:color w:val="0000FF"/>
        </w:rPr>
        <w:t>%). G-CSF PP was planned in 82%of patients with an FN risk at or above this threshold; therefore, almost one-fifth of qualifying patients would not receive G-CSF PP.</w:t>
      </w:r>
      <w:r w:rsidR="007119DA" w:rsidRPr="00FD55F2">
        <w:rPr>
          <w:color w:val="0000FF"/>
        </w:rPr>
        <w:t xml:space="preserve"> Physicians generally follow guidelines, but also consider individual patient characteristics when assessing FN</w:t>
      </w:r>
      <w:r w:rsidR="004F1C19" w:rsidRPr="00FD55F2">
        <w:rPr>
          <w:color w:val="0000FF"/>
        </w:rPr>
        <w:t xml:space="preserve"> </w:t>
      </w:r>
      <w:r w:rsidR="007119DA" w:rsidRPr="00FD55F2">
        <w:rPr>
          <w:color w:val="0000FF"/>
        </w:rPr>
        <w:t xml:space="preserve">risk and deciding on G-CSF PP. </w:t>
      </w:r>
      <w:r w:rsidR="007119DA" w:rsidRPr="00FD55F2">
        <w:rPr>
          <w:b/>
          <w:i/>
          <w:color w:val="0000FF"/>
        </w:rPr>
        <w:t>A standardized FN risk assessment may optimize the use of G-CSF PP, which may minimize the incidence of FN</w:t>
      </w:r>
      <w:r w:rsidR="004F1C19" w:rsidRPr="00FD55F2">
        <w:rPr>
          <w:b/>
          <w:i/>
          <w:color w:val="0000FF"/>
        </w:rPr>
        <w:t xml:space="preserve"> </w:t>
      </w:r>
      <w:r w:rsidR="007119DA" w:rsidRPr="00FD55F2">
        <w:rPr>
          <w:b/>
          <w:i/>
          <w:color w:val="0000FF"/>
        </w:rPr>
        <w:t>in patients undergoing chemotherapy with an intermediate FN risk.</w:t>
      </w:r>
      <w:r w:rsidR="00C92490">
        <w:rPr>
          <w:b/>
          <w:i/>
          <w:color w:val="0000FF"/>
        </w:rPr>
        <w:t>”</w:t>
      </w:r>
    </w:p>
    <w:p w14:paraId="0ABB844F" w14:textId="16518964" w:rsidR="000B4DF5" w:rsidRPr="00FE4315" w:rsidRDefault="006B1281" w:rsidP="004048F2">
      <w:pPr>
        <w:ind w:left="0" w:firstLine="0"/>
        <w:rPr>
          <w:color w:val="0000FF"/>
        </w:rPr>
      </w:pPr>
      <w:r w:rsidRPr="006B1281">
        <w:rPr>
          <w:color w:val="0000FF"/>
        </w:rPr>
        <w:t>(</w:t>
      </w:r>
      <w:r w:rsidR="00FB291D">
        <w:rPr>
          <w:rFonts w:cs="Arial"/>
          <w:color w:val="0000FF"/>
        </w:rPr>
        <w:t>Emphasis added</w:t>
      </w:r>
      <w:r w:rsidRPr="006B1281">
        <w:rPr>
          <w:color w:val="0000FF"/>
        </w:rPr>
        <w:t>.)</w:t>
      </w:r>
    </w:p>
    <w:p w14:paraId="7232E0D1" w14:textId="77777777" w:rsidR="003D0774" w:rsidRDefault="003D0774" w:rsidP="004048F2">
      <w:pPr>
        <w:ind w:left="0" w:firstLine="0"/>
        <w:rPr>
          <w:color w:val="0000FF"/>
          <w:u w:val="single"/>
        </w:rPr>
      </w:pPr>
    </w:p>
    <w:p w14:paraId="1B6E200C" w14:textId="77777777" w:rsidR="0064798E" w:rsidRDefault="0064798E" w:rsidP="004048F2">
      <w:pPr>
        <w:ind w:left="0" w:firstLine="0"/>
        <w:rPr>
          <w:color w:val="0000FF"/>
          <w:u w:val="single"/>
        </w:rPr>
      </w:pPr>
    </w:p>
    <w:p w14:paraId="0C6B9B40" w14:textId="5110812B" w:rsidR="004048F2" w:rsidRPr="00595DAD" w:rsidRDefault="004048F2" w:rsidP="004048F2">
      <w:pPr>
        <w:ind w:left="0" w:firstLine="0"/>
        <w:rPr>
          <w:color w:val="0000FF"/>
        </w:rPr>
      </w:pPr>
      <w:r w:rsidRPr="00595DAD">
        <w:rPr>
          <w:color w:val="0000FF"/>
          <w:u w:val="single"/>
        </w:rPr>
        <w:t>Citation:</w:t>
      </w:r>
      <w:r w:rsidR="00595DAD">
        <w:rPr>
          <w:color w:val="0000FF"/>
          <w:u w:val="single"/>
        </w:rPr>
        <w:t xml:space="preserve"> </w:t>
      </w:r>
      <w:proofErr w:type="spellStart"/>
      <w:r w:rsidRPr="00595DAD">
        <w:rPr>
          <w:color w:val="0000FF"/>
        </w:rPr>
        <w:t>Mäenpää</w:t>
      </w:r>
      <w:proofErr w:type="spellEnd"/>
      <w:r w:rsidRPr="00595DAD">
        <w:rPr>
          <w:color w:val="0000FF"/>
        </w:rPr>
        <w:t xml:space="preserve"> J, </w:t>
      </w:r>
      <w:proofErr w:type="spellStart"/>
      <w:r w:rsidRPr="00595DAD">
        <w:rPr>
          <w:color w:val="0000FF"/>
        </w:rPr>
        <w:t>Varthalitis</w:t>
      </w:r>
      <w:proofErr w:type="spellEnd"/>
      <w:r w:rsidRPr="00595DAD">
        <w:rPr>
          <w:color w:val="0000FF"/>
        </w:rPr>
        <w:t xml:space="preserve"> I, </w:t>
      </w:r>
      <w:proofErr w:type="spellStart"/>
      <w:r w:rsidRPr="00595DAD">
        <w:rPr>
          <w:color w:val="0000FF"/>
        </w:rPr>
        <w:t>Erdkamp</w:t>
      </w:r>
      <w:proofErr w:type="spellEnd"/>
      <w:r w:rsidRPr="00595DAD">
        <w:rPr>
          <w:color w:val="0000FF"/>
        </w:rPr>
        <w:t xml:space="preserve"> F, Trojan A, </w:t>
      </w:r>
      <w:proofErr w:type="spellStart"/>
      <w:r w:rsidRPr="00595DAD">
        <w:rPr>
          <w:color w:val="0000FF"/>
        </w:rPr>
        <w:t>Krzemieniecki</w:t>
      </w:r>
      <w:proofErr w:type="spellEnd"/>
      <w:r w:rsidRPr="00595DAD">
        <w:rPr>
          <w:color w:val="0000FF"/>
        </w:rPr>
        <w:t xml:space="preserve"> K, </w:t>
      </w:r>
      <w:proofErr w:type="spellStart"/>
      <w:r w:rsidRPr="00595DAD">
        <w:rPr>
          <w:color w:val="0000FF"/>
        </w:rPr>
        <w:t>Lindman</w:t>
      </w:r>
      <w:proofErr w:type="spellEnd"/>
      <w:r w:rsidRPr="00595DAD">
        <w:rPr>
          <w:color w:val="0000FF"/>
        </w:rPr>
        <w:t xml:space="preserve"> H, et al. (2016). The use of granulocyte colony stimulating factor (G-CSF) and management of chemotherapy delivery during adjuvant treatment for early-stage breast cancer</w:t>
      </w:r>
      <w:r w:rsidR="00530D1F">
        <w:rPr>
          <w:color w:val="0000FF"/>
        </w:rPr>
        <w:t xml:space="preserve">. </w:t>
      </w:r>
      <w:proofErr w:type="gramStart"/>
      <w:r w:rsidRPr="00595DAD">
        <w:rPr>
          <w:color w:val="0000FF"/>
        </w:rPr>
        <w:t>Further observations from the IMPACT solid study.</w:t>
      </w:r>
      <w:proofErr w:type="gramEnd"/>
      <w:r w:rsidRPr="00595DAD">
        <w:rPr>
          <w:color w:val="0000FF"/>
        </w:rPr>
        <w:t xml:space="preserve"> The Breast 25, 27e33</w:t>
      </w:r>
    </w:p>
    <w:p w14:paraId="172FA6B1" w14:textId="543DDD04" w:rsidR="004048F2" w:rsidRPr="004048F2" w:rsidRDefault="00EA3AF8" w:rsidP="004048F2">
      <w:pPr>
        <w:ind w:left="0" w:firstLine="0"/>
        <w:rPr>
          <w:color w:val="0000FF"/>
        </w:rPr>
      </w:pPr>
      <w:r>
        <w:rPr>
          <w:color w:val="0000FF"/>
        </w:rPr>
        <w:fldChar w:fldCharType="begin">
          <w:fldData xml:space="preserve">PEVuZE5vdGU+PENpdGUgSGlkZGVuPSIxIj48QXV0aG9yPk1hZW5wYWE8L0F1dGhvcj48WWVhcj4y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==
</w:fldData>
        </w:fldChar>
      </w:r>
      <w:r>
        <w:rPr>
          <w:color w:val="0000FF"/>
        </w:rPr>
        <w:instrText xml:space="preserve"> ADDIN EN.CITE </w:instrText>
      </w:r>
      <w:r>
        <w:rPr>
          <w:color w:val="0000FF"/>
        </w:rPr>
        <w:fldChar w:fldCharType="begin">
          <w:fldData xml:space="preserve">PEVuZE5vdGU+PENpdGUgSGlkZGVuPSIxIj48QXV0aG9yPk1hZW5wYWE8L0F1dGhvcj48WWVhcj4y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==
</w:fldData>
        </w:fldChar>
      </w:r>
      <w:r>
        <w:rPr>
          <w:color w:val="0000FF"/>
        </w:rPr>
        <w:instrText xml:space="preserve"> ADDIN EN.CITE.DATA </w:instrText>
      </w:r>
      <w:r>
        <w:rPr>
          <w:color w:val="0000FF"/>
        </w:rPr>
      </w:r>
      <w:r>
        <w:rPr>
          <w:color w:val="0000FF"/>
        </w:rPr>
        <w:fldChar w:fldCharType="end"/>
      </w:r>
      <w:r>
        <w:rPr>
          <w:color w:val="0000FF"/>
        </w:rPr>
      </w:r>
      <w:r>
        <w:rPr>
          <w:color w:val="0000FF"/>
        </w:rPr>
        <w:fldChar w:fldCharType="end"/>
      </w:r>
      <w:r w:rsidR="004048F2" w:rsidRPr="004048F2">
        <w:rPr>
          <w:color w:val="0000FF"/>
        </w:rPr>
        <w:tab/>
      </w:r>
    </w:p>
    <w:p w14:paraId="1A1A8FDF" w14:textId="5D1B7E81" w:rsidR="004048F2" w:rsidRPr="004048F2" w:rsidRDefault="00C92490" w:rsidP="004048F2">
      <w:pPr>
        <w:ind w:left="0" w:firstLine="0"/>
        <w:rPr>
          <w:color w:val="0000FF"/>
        </w:rPr>
      </w:pPr>
      <w:r w:rsidRPr="001D7695">
        <w:rPr>
          <w:color w:val="0000FF"/>
        </w:rPr>
        <w:t>“</w:t>
      </w:r>
      <w:r w:rsidR="004048F2" w:rsidRPr="004048F2">
        <w:rPr>
          <w:color w:val="0000FF"/>
          <w:u w:val="single"/>
        </w:rPr>
        <w:t>Objective:</w:t>
      </w:r>
      <w:r w:rsidR="004048F2" w:rsidRPr="004048F2">
        <w:rPr>
          <w:color w:val="0000FF"/>
        </w:rPr>
        <w:t xml:space="preserve"> To investigate the use and impact of granulocyte colony-stimulating factors (G-CSF) on chemotherapy delivery and neutropenia management in breast cancer in a clinical practice setting.</w:t>
      </w:r>
      <w:r>
        <w:rPr>
          <w:color w:val="0000FF"/>
        </w:rPr>
        <w:t>”</w:t>
      </w:r>
      <w:r w:rsidR="004048F2" w:rsidRPr="004048F2">
        <w:rPr>
          <w:color w:val="0000FF"/>
        </w:rPr>
        <w:t xml:space="preserve"> </w:t>
      </w:r>
    </w:p>
    <w:p w14:paraId="2114BF50" w14:textId="2CBDF761" w:rsidR="004048F2" w:rsidRPr="004048F2" w:rsidRDefault="00C92490" w:rsidP="004048F2">
      <w:pPr>
        <w:ind w:left="0" w:firstLine="0"/>
        <w:rPr>
          <w:color w:val="0000FF"/>
        </w:rPr>
      </w:pPr>
      <w:r w:rsidRPr="001D7695">
        <w:rPr>
          <w:color w:val="0000FF"/>
        </w:rPr>
        <w:t>“</w:t>
      </w:r>
      <w:r w:rsidR="004048F2" w:rsidRPr="004048F2">
        <w:rPr>
          <w:color w:val="0000FF"/>
          <w:u w:val="single"/>
        </w:rPr>
        <w:t>Methods:</w:t>
      </w:r>
      <w:r w:rsidR="004048F2" w:rsidRPr="004048F2">
        <w:rPr>
          <w:color w:val="0000FF"/>
        </w:rPr>
        <w:t xml:space="preserve"> IMPACT Solid was an international, prospective observational study in patients with a physician-assessed febrile neutropenia (FN) risk of </w:t>
      </w:r>
      <w:r w:rsidR="00586E9C">
        <w:rPr>
          <w:color w:val="0000FF"/>
        </w:rPr>
        <w:t>≥</w:t>
      </w:r>
      <w:r w:rsidR="004048F2" w:rsidRPr="004048F2">
        <w:rPr>
          <w:color w:val="0000FF"/>
        </w:rPr>
        <w:t xml:space="preserve"> 20%. This analysis focused on stages I</w:t>
      </w:r>
      <w:r w:rsidR="003D0774">
        <w:rPr>
          <w:color w:val="0000FF"/>
        </w:rPr>
        <w:t>-</w:t>
      </w:r>
      <w:r w:rsidR="004048F2" w:rsidRPr="004048F2">
        <w:rPr>
          <w:color w:val="0000FF"/>
        </w:rPr>
        <w:t>III breast cancer patients who received a standard chemotherapy regimen for which the FN risk was published. Chemotherapy delivery and neutropenia-related outcomes were reported according to the FN risk of the regimen and intent of G-CSF use.</w:t>
      </w:r>
      <w:r>
        <w:rPr>
          <w:color w:val="0000FF"/>
        </w:rPr>
        <w:t>”</w:t>
      </w:r>
      <w:r w:rsidR="004048F2" w:rsidRPr="004048F2">
        <w:rPr>
          <w:color w:val="0000FF"/>
        </w:rPr>
        <w:t xml:space="preserve"> </w:t>
      </w:r>
    </w:p>
    <w:p w14:paraId="6CD91503" w14:textId="7363537F" w:rsidR="004048F2" w:rsidRPr="004048F2" w:rsidRDefault="00C92490" w:rsidP="004048F2">
      <w:pPr>
        <w:ind w:left="0" w:firstLine="0"/>
        <w:rPr>
          <w:color w:val="0000FF"/>
        </w:rPr>
      </w:pPr>
      <w:r w:rsidRPr="001D7695">
        <w:rPr>
          <w:color w:val="0000FF"/>
        </w:rPr>
        <w:t>“</w:t>
      </w:r>
      <w:r w:rsidR="004048F2" w:rsidRPr="004048F2">
        <w:rPr>
          <w:color w:val="0000FF"/>
          <w:u w:val="single"/>
        </w:rPr>
        <w:t>Results:</w:t>
      </w:r>
      <w:r w:rsidR="004048F2" w:rsidRPr="004048F2">
        <w:rPr>
          <w:color w:val="0000FF"/>
        </w:rPr>
        <w:t xml:space="preserve"> 690 patients received a standard chemotherapy regimen; 483 received the textbook dose/ schedule with a majority of these regimens (84%) having a FN risk </w:t>
      </w:r>
      <w:r w:rsidR="00595DAD">
        <w:rPr>
          <w:color w:val="0000FF"/>
        </w:rPr>
        <w:t>≥</w:t>
      </w:r>
      <w:r w:rsidR="004048F2" w:rsidRPr="004048F2">
        <w:rPr>
          <w:color w:val="0000FF"/>
        </w:rPr>
        <w:t xml:space="preserve"> 10%. Patients receiving a regimen with a FN risk </w:t>
      </w:r>
      <w:r w:rsidR="00595DAD">
        <w:rPr>
          <w:color w:val="0000FF"/>
        </w:rPr>
        <w:t>≥</w:t>
      </w:r>
      <w:r w:rsidR="004048F2" w:rsidRPr="004048F2">
        <w:rPr>
          <w:color w:val="0000FF"/>
        </w:rPr>
        <w:t xml:space="preserve"> 10% were younger with better performance status than those receiving a regimen with a FN risk &lt;10%. </w:t>
      </w:r>
      <w:r w:rsidR="004048F2" w:rsidRPr="00A630AE">
        <w:rPr>
          <w:b/>
          <w:i/>
          <w:color w:val="0000FF"/>
        </w:rPr>
        <w:t xml:space="preserve">Patients who received higher-risk regimens were more likely to receive G-CSF primary prophylaxis (48% vs 22%), complete their planned chemotherapy (97% vs 88%) and achieve relative dose intensity </w:t>
      </w:r>
      <w:r w:rsidR="00595DAD" w:rsidRPr="00A630AE">
        <w:rPr>
          <w:b/>
          <w:i/>
          <w:color w:val="0000FF"/>
        </w:rPr>
        <w:t>≥</w:t>
      </w:r>
      <w:r w:rsidR="004048F2" w:rsidRPr="00A630AE">
        <w:rPr>
          <w:b/>
          <w:i/>
          <w:color w:val="0000FF"/>
        </w:rPr>
        <w:t xml:space="preserve"> 85% (93% vs 86%) than those receiving lower-risk regimens.</w:t>
      </w:r>
      <w:r w:rsidR="004048F2" w:rsidRPr="004048F2">
        <w:rPr>
          <w:color w:val="0000FF"/>
        </w:rPr>
        <w:t xml:space="preserve"> Most first FN events (56%) occurred in cycles not supported with G-CSF primary prophylaxis.</w:t>
      </w:r>
      <w:r>
        <w:rPr>
          <w:color w:val="0000FF"/>
        </w:rPr>
        <w:t>”</w:t>
      </w:r>
      <w:r w:rsidR="004048F2" w:rsidRPr="004048F2">
        <w:rPr>
          <w:color w:val="0000FF"/>
        </w:rPr>
        <w:t xml:space="preserve"> </w:t>
      </w:r>
    </w:p>
    <w:p w14:paraId="03EFB7B4" w14:textId="4660CD9D" w:rsidR="004048F2" w:rsidRDefault="00C92490" w:rsidP="004048F2">
      <w:pPr>
        <w:ind w:left="0" w:firstLine="0"/>
        <w:rPr>
          <w:color w:val="0000FF"/>
        </w:rPr>
      </w:pPr>
      <w:r w:rsidRPr="001D7695">
        <w:rPr>
          <w:color w:val="0000FF"/>
        </w:rPr>
        <w:t>“</w:t>
      </w:r>
      <w:r w:rsidR="004048F2" w:rsidRPr="004048F2">
        <w:rPr>
          <w:color w:val="0000FF"/>
          <w:u w:val="single"/>
        </w:rPr>
        <w:t>Conclusion:</w:t>
      </w:r>
      <w:r w:rsidR="004048F2" w:rsidRPr="004048F2">
        <w:rPr>
          <w:color w:val="0000FF"/>
        </w:rPr>
        <w:t xml:space="preserve"> Physicians generally recommend standard adjuvant chemotherapy regimens and were more likely to follow G-CSF guidelines </w:t>
      </w:r>
      <w:r w:rsidR="004048F2" w:rsidRPr="00A630AE">
        <w:rPr>
          <w:color w:val="0000FF"/>
        </w:rPr>
        <w:t>for younger, good performance status patients in the curative setting, and often modify standard regimens in more compromised patients. However</w:t>
      </w:r>
      <w:r w:rsidR="004048F2" w:rsidRPr="00A630AE">
        <w:rPr>
          <w:b/>
          <w:i/>
          <w:color w:val="0000FF"/>
        </w:rPr>
        <w:t xml:space="preserve">, G-CSF support is </w:t>
      </w:r>
      <w:r w:rsidR="004048F2" w:rsidRPr="00A630AE">
        <w:rPr>
          <w:b/>
          <w:i/>
          <w:color w:val="0000FF"/>
        </w:rPr>
        <w:lastRenderedPageBreak/>
        <w:t>not optimal, indicated by G-CSF primary prophylaxis use in &lt;50% of high-risk patients and observation of FN without G-CSF support.</w:t>
      </w:r>
      <w:r>
        <w:rPr>
          <w:b/>
          <w:i/>
          <w:color w:val="0000FF"/>
        </w:rPr>
        <w:t>”</w:t>
      </w:r>
    </w:p>
    <w:p w14:paraId="1CD8DD20" w14:textId="01381F2C" w:rsidR="006B1281" w:rsidRDefault="006B1281" w:rsidP="004048F2">
      <w:pPr>
        <w:ind w:left="0" w:firstLine="0"/>
        <w:rPr>
          <w:color w:val="0000FF"/>
        </w:rPr>
      </w:pPr>
      <w:r w:rsidRPr="006B1281">
        <w:rPr>
          <w:color w:val="0000FF"/>
        </w:rPr>
        <w:t>(</w:t>
      </w:r>
      <w:r w:rsidR="00FB291D">
        <w:rPr>
          <w:rFonts w:cs="Arial"/>
          <w:color w:val="0000FF"/>
        </w:rPr>
        <w:t>Emphasis added</w:t>
      </w:r>
      <w:r w:rsidRPr="006B1281">
        <w:rPr>
          <w:color w:val="0000FF"/>
        </w:rPr>
        <w:t>.)</w:t>
      </w:r>
    </w:p>
    <w:p w14:paraId="56FC353B" w14:textId="77777777" w:rsidR="0008202B" w:rsidRDefault="0008202B">
      <w:pPr>
        <w:rPr>
          <w:color w:val="0000FF"/>
        </w:rPr>
      </w:pPr>
    </w:p>
    <w:p w14:paraId="7AE7F1E8" w14:textId="2F384E0A" w:rsidR="00506B00" w:rsidRDefault="00506B00">
      <w:pPr>
        <w:rPr>
          <w:color w:val="0000FF"/>
        </w:rPr>
      </w:pPr>
      <w:r>
        <w:rPr>
          <w:color w:val="0000FF"/>
        </w:rPr>
        <w:br w:type="page"/>
      </w:r>
    </w:p>
    <w:p w14:paraId="1E1699BF" w14:textId="2D919B96" w:rsidR="00506B00" w:rsidRPr="00510D2B" w:rsidRDefault="00506B00" w:rsidP="003B6B61">
      <w:pPr>
        <w:ind w:left="0" w:firstLine="0"/>
        <w:rPr>
          <w:b/>
          <w:color w:val="0000FF"/>
          <w:sz w:val="24"/>
          <w:szCs w:val="24"/>
        </w:rPr>
      </w:pPr>
      <w:r w:rsidRPr="00510D2B">
        <w:rPr>
          <w:b/>
          <w:color w:val="0000FF"/>
          <w:sz w:val="24"/>
          <w:szCs w:val="24"/>
        </w:rPr>
        <w:lastRenderedPageBreak/>
        <w:t xml:space="preserve">References </w:t>
      </w:r>
    </w:p>
    <w:p w14:paraId="310B603A" w14:textId="77777777" w:rsidR="006650D9" w:rsidRDefault="006650D9" w:rsidP="003B6B61">
      <w:pPr>
        <w:ind w:left="0" w:firstLine="0"/>
        <w:rPr>
          <w:color w:val="0000FF"/>
        </w:rPr>
      </w:pPr>
    </w:p>
    <w:p w14:paraId="3F436507" w14:textId="664AD526" w:rsidR="00EA3AF8" w:rsidRPr="00EA3AF8" w:rsidRDefault="006650D9" w:rsidP="006F7883">
      <w:pPr>
        <w:pStyle w:val="EndNoteBibliography"/>
        <w:numPr>
          <w:ilvl w:val="0"/>
          <w:numId w:val="16"/>
        </w:numPr>
        <w:rPr>
          <w:noProof/>
        </w:rPr>
      </w:pPr>
      <w:r w:rsidRPr="00710D8D">
        <w:rPr>
          <w:color w:val="0000FF"/>
        </w:rPr>
        <w:fldChar w:fldCharType="begin"/>
      </w:r>
      <w:r w:rsidRPr="00710D8D">
        <w:rPr>
          <w:color w:val="0000FF"/>
        </w:rPr>
        <w:instrText xml:space="preserve"> ADDIN EN.REFLIST </w:instrText>
      </w:r>
      <w:r w:rsidRPr="00710D8D">
        <w:rPr>
          <w:color w:val="0000FF"/>
        </w:rPr>
        <w:fldChar w:fldCharType="separate"/>
      </w:r>
      <w:bookmarkStart w:id="11" w:name="_ENREF_1"/>
      <w:r w:rsidR="00EA3AF8" w:rsidRPr="00EA3AF8">
        <w:rPr>
          <w:noProof/>
        </w:rPr>
        <w:t xml:space="preserve">Balducci, L., Al-Halawani, H., Charu, V., Tam, J., Shahin, S., Dreiling, L., &amp; Ershler, W. B. (2007). Elderly Cancer Patients Receiving Chemotherapy Benefit from First-Cycle Pegfilgrastim. </w:t>
      </w:r>
      <w:r w:rsidR="00EA3AF8" w:rsidRPr="00EA3AF8">
        <w:rPr>
          <w:i/>
          <w:noProof/>
        </w:rPr>
        <w:t>The Oncologist, 12</w:t>
      </w:r>
      <w:r w:rsidR="00EA3AF8" w:rsidRPr="00EA3AF8">
        <w:rPr>
          <w:noProof/>
        </w:rPr>
        <w:t xml:space="preserve">(12), 1416-1424. </w:t>
      </w:r>
      <w:bookmarkEnd w:id="11"/>
    </w:p>
    <w:p w14:paraId="77E81456" w14:textId="5FDFF39C" w:rsidR="00EA3AF8" w:rsidRPr="00EA3AF8" w:rsidRDefault="00EA3AF8" w:rsidP="006F7883">
      <w:pPr>
        <w:pStyle w:val="EndNoteBibliography"/>
        <w:numPr>
          <w:ilvl w:val="0"/>
          <w:numId w:val="16"/>
        </w:numPr>
        <w:rPr>
          <w:noProof/>
        </w:rPr>
      </w:pPr>
      <w:bookmarkStart w:id="12" w:name="_ENREF_2"/>
      <w:r w:rsidRPr="00EA3AF8">
        <w:rPr>
          <w:noProof/>
        </w:rPr>
        <w:t xml:space="preserve">Bohlius, J., Herbst, C., Reiser, M., Schwarzer, G., &amp; Engert, A. (2008). Granulopoiesis-stimulating factors to prevent adverse effects in the treatment of malignant lymphoma. </w:t>
      </w:r>
      <w:r w:rsidRPr="00EA3AF8">
        <w:rPr>
          <w:i/>
          <w:noProof/>
        </w:rPr>
        <w:t>Cochrane Database Syst Rev</w:t>
      </w:r>
      <w:r w:rsidRPr="00EA3AF8">
        <w:rPr>
          <w:noProof/>
        </w:rPr>
        <w:t xml:space="preserve">(4), Cd003189. </w:t>
      </w:r>
      <w:bookmarkEnd w:id="12"/>
    </w:p>
    <w:p w14:paraId="338C2E3A" w14:textId="77777777" w:rsidR="00EA3AF8" w:rsidRPr="00EA3AF8" w:rsidRDefault="00EA3AF8" w:rsidP="006F7883">
      <w:pPr>
        <w:pStyle w:val="EndNoteBibliography"/>
        <w:numPr>
          <w:ilvl w:val="0"/>
          <w:numId w:val="16"/>
        </w:numPr>
        <w:rPr>
          <w:noProof/>
        </w:rPr>
      </w:pPr>
      <w:bookmarkStart w:id="13" w:name="_ENREF_3"/>
      <w:r w:rsidRPr="00EA3AF8">
        <w:rPr>
          <w:noProof/>
        </w:rPr>
        <w:t xml:space="preserve">Cooper, K., Madan, J., Whyte, S., Stevenson, M., &amp; Akehurst, R. (2011). Granulocyte colony-stimulating factors for febrile neutropenia prophylaxis following chemotherapy: systematic review and meta-analysis. </w:t>
      </w:r>
      <w:r w:rsidRPr="00EA3AF8">
        <w:rPr>
          <w:i/>
          <w:noProof/>
        </w:rPr>
        <w:t>BMC Cancer, 11</w:t>
      </w:r>
      <w:r w:rsidRPr="00EA3AF8">
        <w:rPr>
          <w:noProof/>
        </w:rPr>
        <w:t xml:space="preserve">(1), 404. </w:t>
      </w:r>
      <w:bookmarkEnd w:id="13"/>
    </w:p>
    <w:p w14:paraId="5ED7159C" w14:textId="460AA342" w:rsidR="00EA3AF8" w:rsidRPr="00EA3AF8" w:rsidRDefault="00EA3AF8" w:rsidP="006F7883">
      <w:pPr>
        <w:pStyle w:val="EndNoteBibliography"/>
        <w:numPr>
          <w:ilvl w:val="0"/>
          <w:numId w:val="16"/>
        </w:numPr>
        <w:rPr>
          <w:noProof/>
        </w:rPr>
      </w:pPr>
      <w:bookmarkStart w:id="14" w:name="_ENREF_4"/>
      <w:r w:rsidRPr="00EA3AF8">
        <w:rPr>
          <w:noProof/>
        </w:rPr>
        <w:t xml:space="preserve">Donohue, R. (2006). Development and implementation of a risk assessment tool for chemotherapy-induced neutropenia. </w:t>
      </w:r>
      <w:r w:rsidRPr="00EA3AF8">
        <w:rPr>
          <w:i/>
          <w:noProof/>
        </w:rPr>
        <w:t>Oncol Nurs Forum, 33</w:t>
      </w:r>
      <w:r w:rsidRPr="00EA3AF8">
        <w:rPr>
          <w:noProof/>
        </w:rPr>
        <w:t xml:space="preserve">(2), 347-352. </w:t>
      </w:r>
      <w:bookmarkEnd w:id="14"/>
    </w:p>
    <w:p w14:paraId="462408D5" w14:textId="77777777" w:rsidR="00EA3AF8" w:rsidRPr="00EA3AF8" w:rsidRDefault="00EA3AF8" w:rsidP="006F7883">
      <w:pPr>
        <w:pStyle w:val="EndNoteBibliography"/>
        <w:numPr>
          <w:ilvl w:val="0"/>
          <w:numId w:val="16"/>
        </w:numPr>
        <w:rPr>
          <w:noProof/>
        </w:rPr>
      </w:pPr>
      <w:bookmarkStart w:id="15" w:name="_ENREF_5"/>
      <w:r w:rsidRPr="00EA3AF8">
        <w:rPr>
          <w:noProof/>
        </w:rPr>
        <w:t xml:space="preserve">Doyle, A. M. (2006). Prechemotherapy assessment of neutropenic risk. </w:t>
      </w:r>
      <w:r w:rsidRPr="00EA3AF8">
        <w:rPr>
          <w:i/>
          <w:noProof/>
        </w:rPr>
        <w:t>Oncology (Williston Park), 20</w:t>
      </w:r>
      <w:r w:rsidRPr="00EA3AF8">
        <w:rPr>
          <w:noProof/>
        </w:rPr>
        <w:t xml:space="preserve">(10 Suppl Nurse Ed), 32-39; discussion 39-40. </w:t>
      </w:r>
      <w:bookmarkEnd w:id="15"/>
    </w:p>
    <w:p w14:paraId="1925AF38" w14:textId="45E921B9" w:rsidR="00EA3AF8" w:rsidRPr="00EA3AF8" w:rsidRDefault="00EA3AF8" w:rsidP="006F7883">
      <w:pPr>
        <w:pStyle w:val="EndNoteBibliography"/>
        <w:numPr>
          <w:ilvl w:val="0"/>
          <w:numId w:val="16"/>
        </w:numPr>
        <w:rPr>
          <w:noProof/>
        </w:rPr>
      </w:pPr>
      <w:bookmarkStart w:id="16" w:name="_ENREF_6"/>
      <w:r w:rsidRPr="00EA3AF8">
        <w:rPr>
          <w:noProof/>
        </w:rPr>
        <w:t xml:space="preserve">Freyer, G., Kalinka-Warzocha, E., Syrigos, K., Marinca, M., Tonini, G., Ng, S. L., </w:t>
      </w:r>
      <w:r>
        <w:rPr>
          <w:noProof/>
        </w:rPr>
        <w:t>et al.</w:t>
      </w:r>
      <w:r w:rsidRPr="00EA3AF8">
        <w:rPr>
          <w:noProof/>
        </w:rPr>
        <w:t xml:space="preserve"> (2015). Attitudes of physicians toward assessing risk and using granulocyte colony-stimulating factor as primary prophylaxis in patients receiving chemotherapy associated with an intermediate risk of febrile neutropenia. </w:t>
      </w:r>
      <w:r w:rsidRPr="00EA3AF8">
        <w:rPr>
          <w:i/>
          <w:noProof/>
        </w:rPr>
        <w:t>Med Oncol, 32</w:t>
      </w:r>
      <w:r w:rsidRPr="00EA3AF8">
        <w:rPr>
          <w:noProof/>
        </w:rPr>
        <w:t xml:space="preserve">(10), 236. </w:t>
      </w:r>
      <w:bookmarkEnd w:id="16"/>
    </w:p>
    <w:p w14:paraId="5C1190B9" w14:textId="1BBF840F" w:rsidR="00EA3AF8" w:rsidRPr="00EA3AF8" w:rsidRDefault="00EA3AF8" w:rsidP="006F7883">
      <w:pPr>
        <w:pStyle w:val="EndNoteBibliography"/>
        <w:numPr>
          <w:ilvl w:val="0"/>
          <w:numId w:val="16"/>
        </w:numPr>
        <w:rPr>
          <w:noProof/>
        </w:rPr>
      </w:pPr>
      <w:bookmarkStart w:id="17" w:name="_ENREF_7"/>
      <w:r w:rsidRPr="00EA3AF8">
        <w:rPr>
          <w:noProof/>
        </w:rPr>
        <w:t xml:space="preserve">Kirshner, J. J., Heckler, C. E., Janelsins, M. C., Dakhil, S. R., Hopkins, J. O., Coles, C., &amp; Morrow, G. R. (2012). Prevention of Pegfilgrastim-Induced Bone Pain: A Phase III Double-Blind Placebo-Controlled Randomized Clinical Trial of the University of Rochester Cancer Center Clinical Community Oncology Program Research Base. </w:t>
      </w:r>
      <w:r w:rsidRPr="00EA3AF8">
        <w:rPr>
          <w:i/>
          <w:noProof/>
        </w:rPr>
        <w:t>Journal of Clinical Oncology, 30</w:t>
      </w:r>
      <w:r w:rsidRPr="00EA3AF8">
        <w:rPr>
          <w:noProof/>
        </w:rPr>
        <w:t xml:space="preserve">(16), 1974-1979. </w:t>
      </w:r>
      <w:bookmarkEnd w:id="17"/>
    </w:p>
    <w:p w14:paraId="6CD62E62" w14:textId="558753CA" w:rsidR="00EA3AF8" w:rsidRPr="00EA3AF8" w:rsidRDefault="00EA3AF8" w:rsidP="006F7883">
      <w:pPr>
        <w:pStyle w:val="EndNoteBibliography"/>
        <w:numPr>
          <w:ilvl w:val="0"/>
          <w:numId w:val="16"/>
        </w:numPr>
        <w:rPr>
          <w:noProof/>
        </w:rPr>
      </w:pPr>
      <w:bookmarkStart w:id="18" w:name="_ENREF_8"/>
      <w:r w:rsidRPr="00EA3AF8">
        <w:rPr>
          <w:noProof/>
        </w:rPr>
        <w:t>Krzemieniecki, K., Sevelda, P., Erdkamp, F., Smakal, M., Schwenkglenks, M., Puertas, J.,</w:t>
      </w:r>
      <w:r>
        <w:rPr>
          <w:noProof/>
        </w:rPr>
        <w:t xml:space="preserve"> et al</w:t>
      </w:r>
      <w:r w:rsidRPr="00EA3AF8">
        <w:rPr>
          <w:noProof/>
        </w:rPr>
        <w:t xml:space="preserve">. (2014). Neutropenia management and granulocyte colony-stimulating factor use in patients with solid tumours receiving myelotoxic chemotherapy--findings from clinical practice. </w:t>
      </w:r>
      <w:r w:rsidRPr="00EA3AF8">
        <w:rPr>
          <w:i/>
          <w:noProof/>
        </w:rPr>
        <w:t>Support Care Cancer, 22</w:t>
      </w:r>
      <w:r w:rsidRPr="00EA3AF8">
        <w:rPr>
          <w:noProof/>
        </w:rPr>
        <w:t xml:space="preserve">(3), 667-677. </w:t>
      </w:r>
      <w:bookmarkEnd w:id="18"/>
    </w:p>
    <w:p w14:paraId="7F0781E5" w14:textId="43A64B64" w:rsidR="00EA3AF8" w:rsidRPr="00EA3AF8" w:rsidRDefault="00EA3AF8" w:rsidP="006F7883">
      <w:pPr>
        <w:pStyle w:val="EndNoteBibliography"/>
        <w:numPr>
          <w:ilvl w:val="0"/>
          <w:numId w:val="16"/>
        </w:numPr>
        <w:rPr>
          <w:noProof/>
        </w:rPr>
      </w:pPr>
      <w:bookmarkStart w:id="19" w:name="_ENREF_9"/>
      <w:r w:rsidRPr="00EA3AF8">
        <w:rPr>
          <w:noProof/>
        </w:rPr>
        <w:t xml:space="preserve">Kuderer, N. M. (2011). Meta-analysis of randomized controlled trials of granulocyte colony-stimulating factor prophylaxis in adult cancer patients receiving chemotherapy. </w:t>
      </w:r>
      <w:r w:rsidRPr="00EA3AF8">
        <w:rPr>
          <w:i/>
          <w:noProof/>
        </w:rPr>
        <w:t>Cancer Treatment and Research, 157</w:t>
      </w:r>
      <w:r w:rsidRPr="00EA3AF8">
        <w:rPr>
          <w:noProof/>
        </w:rPr>
        <w:t xml:space="preserve">, 127-143. </w:t>
      </w:r>
      <w:bookmarkEnd w:id="19"/>
    </w:p>
    <w:p w14:paraId="01515174" w14:textId="5DA72174" w:rsidR="00EA3AF8" w:rsidRPr="00EA3AF8" w:rsidRDefault="00EA3AF8" w:rsidP="006F7883">
      <w:pPr>
        <w:pStyle w:val="EndNoteBibliography"/>
        <w:numPr>
          <w:ilvl w:val="0"/>
          <w:numId w:val="16"/>
        </w:numPr>
        <w:rPr>
          <w:noProof/>
        </w:rPr>
      </w:pPr>
      <w:bookmarkStart w:id="20" w:name="_ENREF_10"/>
      <w:r w:rsidRPr="00EA3AF8">
        <w:rPr>
          <w:noProof/>
        </w:rPr>
        <w:t xml:space="preserve">Kuderer, N. M., Dale, D. C., Crawford, J., &amp; Lyman, G. H. (2007). Impact of Primary Prophylaxis With Granulocyte Colony-Stimulating Factor on Febrile Neutropenia and Mortality in Adult Cancer Patients Receiving Chemotherapy: A Systematic Review. </w:t>
      </w:r>
      <w:r w:rsidRPr="00EA3AF8">
        <w:rPr>
          <w:i/>
          <w:noProof/>
        </w:rPr>
        <w:t>Journal of Clinical Oncology, 25</w:t>
      </w:r>
      <w:r w:rsidRPr="00EA3AF8">
        <w:rPr>
          <w:noProof/>
        </w:rPr>
        <w:t xml:space="preserve">(21), 3158-3167. </w:t>
      </w:r>
      <w:bookmarkEnd w:id="20"/>
    </w:p>
    <w:p w14:paraId="7DD09BE0" w14:textId="7FD5C0B3" w:rsidR="00EA3AF8" w:rsidRPr="00EA3AF8" w:rsidRDefault="00EA3AF8" w:rsidP="006F7883">
      <w:pPr>
        <w:pStyle w:val="EndNoteBibliography"/>
        <w:numPr>
          <w:ilvl w:val="0"/>
          <w:numId w:val="16"/>
        </w:numPr>
        <w:rPr>
          <w:noProof/>
        </w:rPr>
      </w:pPr>
      <w:bookmarkStart w:id="21" w:name="_ENREF_11"/>
      <w:r w:rsidRPr="00EA3AF8">
        <w:rPr>
          <w:noProof/>
        </w:rPr>
        <w:t xml:space="preserve">Lyman, G. H., Dale, D. C., Culakova, E., Poniewierski, M. S., Wolff, D. A., Kuderer, N. M., </w:t>
      </w:r>
      <w:r>
        <w:rPr>
          <w:noProof/>
        </w:rPr>
        <w:t>et al</w:t>
      </w:r>
      <w:r w:rsidRPr="00EA3AF8">
        <w:rPr>
          <w:noProof/>
        </w:rPr>
        <w:t xml:space="preserve">. (2013). The impact of the granulocyte colony-stimulating factor on chemotherapy dose intensity and cancer survival: a systematic review and meta-analysis of randomized controlled trials. </w:t>
      </w:r>
      <w:r w:rsidRPr="00EA3AF8">
        <w:rPr>
          <w:i/>
          <w:noProof/>
        </w:rPr>
        <w:t>Annals of Oncology, 24</w:t>
      </w:r>
      <w:r w:rsidRPr="00EA3AF8">
        <w:rPr>
          <w:noProof/>
        </w:rPr>
        <w:t xml:space="preserve">(10), 2475-2484. </w:t>
      </w:r>
      <w:bookmarkEnd w:id="21"/>
    </w:p>
    <w:p w14:paraId="2807E2C7" w14:textId="464E9EC5" w:rsidR="00EA3AF8" w:rsidRPr="00EA3AF8" w:rsidRDefault="00EA3AF8" w:rsidP="006F7883">
      <w:pPr>
        <w:pStyle w:val="EndNoteBibliography"/>
        <w:numPr>
          <w:ilvl w:val="0"/>
          <w:numId w:val="16"/>
        </w:numPr>
        <w:rPr>
          <w:noProof/>
        </w:rPr>
      </w:pPr>
      <w:bookmarkStart w:id="22" w:name="_ENREF_12"/>
      <w:r w:rsidRPr="00EA3AF8">
        <w:rPr>
          <w:noProof/>
        </w:rPr>
        <w:t xml:space="preserve">Lyman, G. H., Dale, D. C., Wolff, D. A., Culakova, E., Poniewierski, M. S., Kuderer, N. M., &amp; Crawford, J. (2010). Acute Myeloid Leukemia or Myelodysplastic Syndrome in Randomized Controlled Clinical Trials of Cancer Chemotherapy With Granulocyte Colony-Stimulating Factor: A Systematic Review. </w:t>
      </w:r>
      <w:r w:rsidRPr="00EA3AF8">
        <w:rPr>
          <w:i/>
          <w:noProof/>
        </w:rPr>
        <w:t>Journal of Clinical Oncology, 28</w:t>
      </w:r>
      <w:r w:rsidRPr="00EA3AF8">
        <w:rPr>
          <w:noProof/>
        </w:rPr>
        <w:t xml:space="preserve">(17), 2914-2924. </w:t>
      </w:r>
      <w:bookmarkEnd w:id="22"/>
    </w:p>
    <w:p w14:paraId="7BD0E62B" w14:textId="7350ED49" w:rsidR="00EA3AF8" w:rsidRPr="00EA3AF8" w:rsidRDefault="00EA3AF8" w:rsidP="006F7883">
      <w:pPr>
        <w:pStyle w:val="EndNoteBibliography"/>
        <w:numPr>
          <w:ilvl w:val="0"/>
          <w:numId w:val="16"/>
        </w:numPr>
        <w:rPr>
          <w:noProof/>
        </w:rPr>
      </w:pPr>
      <w:bookmarkStart w:id="23" w:name="_ENREF_13"/>
      <w:r w:rsidRPr="00EA3AF8">
        <w:rPr>
          <w:noProof/>
        </w:rPr>
        <w:t>Maenpaa, J., Varthalitis, I., Erdkamp, F., Trojan, A., Krzemieniecki, K., Lindman, H.,</w:t>
      </w:r>
      <w:r>
        <w:rPr>
          <w:noProof/>
        </w:rPr>
        <w:t xml:space="preserve"> et al</w:t>
      </w:r>
      <w:r w:rsidRPr="00EA3AF8">
        <w:rPr>
          <w:noProof/>
        </w:rPr>
        <w:t xml:space="preserve">. (2016). The use of granulocyte colony stimulating factor (G-CSF) and management of chemotherapy delivery during adjuvant treatment for early-stage breast cancer-Further observations from the IMPACT solid study. </w:t>
      </w:r>
      <w:r w:rsidRPr="00EA3AF8">
        <w:rPr>
          <w:i/>
          <w:noProof/>
        </w:rPr>
        <w:t>Breast, 25</w:t>
      </w:r>
      <w:r w:rsidRPr="00EA3AF8">
        <w:rPr>
          <w:noProof/>
        </w:rPr>
        <w:t xml:space="preserve">, 27-33. </w:t>
      </w:r>
      <w:bookmarkEnd w:id="23"/>
    </w:p>
    <w:p w14:paraId="5EACD535" w14:textId="4F1E0BC2" w:rsidR="00EA3AF8" w:rsidRPr="00EA3AF8" w:rsidRDefault="00EA3AF8" w:rsidP="006F7883">
      <w:pPr>
        <w:pStyle w:val="EndNoteBibliography"/>
        <w:numPr>
          <w:ilvl w:val="0"/>
          <w:numId w:val="16"/>
        </w:numPr>
        <w:rPr>
          <w:noProof/>
        </w:rPr>
      </w:pPr>
      <w:bookmarkStart w:id="24" w:name="_ENREF_14"/>
      <w:r w:rsidRPr="00EA3AF8">
        <w:rPr>
          <w:noProof/>
        </w:rPr>
        <w:t xml:space="preserve">Miller, K. (2010). Using a computer-based risk assessment tool to identify risk for chemotherapy-induced febrile neutropenia. </w:t>
      </w:r>
      <w:r w:rsidRPr="00EA3AF8">
        <w:rPr>
          <w:i/>
          <w:noProof/>
        </w:rPr>
        <w:t>Clin J Oncol Nurs, 14</w:t>
      </w:r>
      <w:r w:rsidRPr="00EA3AF8">
        <w:rPr>
          <w:noProof/>
        </w:rPr>
        <w:t>(1), 87-91.</w:t>
      </w:r>
      <w:bookmarkEnd w:id="24"/>
    </w:p>
    <w:p w14:paraId="7DAD97FE" w14:textId="13F5933B" w:rsidR="00EA3AF8" w:rsidRPr="00EA3AF8" w:rsidRDefault="00EA3AF8" w:rsidP="006F7883">
      <w:pPr>
        <w:pStyle w:val="EndNoteBibliography"/>
        <w:numPr>
          <w:ilvl w:val="0"/>
          <w:numId w:val="16"/>
        </w:numPr>
        <w:rPr>
          <w:noProof/>
        </w:rPr>
      </w:pPr>
      <w:bookmarkStart w:id="25" w:name="_ENREF_15"/>
      <w:r w:rsidRPr="00EA3AF8">
        <w:rPr>
          <w:noProof/>
        </w:rPr>
        <w:lastRenderedPageBreak/>
        <w:t xml:space="preserve">O'Brien, C., Dempsey, O., &amp; Kennedy, M. J. (2014). Febrile neutropenia risk assessment tool: improving clinical outcomes for oncology patients. </w:t>
      </w:r>
      <w:r w:rsidRPr="00EA3AF8">
        <w:rPr>
          <w:i/>
          <w:noProof/>
        </w:rPr>
        <w:t>Eur J Oncol Nurs, 18</w:t>
      </w:r>
      <w:r w:rsidRPr="00EA3AF8">
        <w:rPr>
          <w:noProof/>
        </w:rPr>
        <w:t xml:space="preserve">(2), 167-174. </w:t>
      </w:r>
      <w:bookmarkEnd w:id="25"/>
    </w:p>
    <w:p w14:paraId="3DD571D1" w14:textId="04282A90" w:rsidR="00EA3AF8" w:rsidRPr="00EA3AF8" w:rsidRDefault="00EA3AF8" w:rsidP="006F7883">
      <w:pPr>
        <w:pStyle w:val="EndNoteBibliography"/>
        <w:numPr>
          <w:ilvl w:val="0"/>
          <w:numId w:val="16"/>
        </w:numPr>
        <w:rPr>
          <w:noProof/>
        </w:rPr>
      </w:pPr>
      <w:bookmarkStart w:id="26" w:name="_ENREF_16"/>
      <w:r w:rsidRPr="00EA3AF8">
        <w:rPr>
          <w:noProof/>
        </w:rPr>
        <w:t>Papaldo, P., Ferretti, G., Di Cosimo, S., Giannarelli, D., Marolla, P., Lopez, M.,</w:t>
      </w:r>
      <w:r>
        <w:rPr>
          <w:noProof/>
        </w:rPr>
        <w:t xml:space="preserve"> et al</w:t>
      </w:r>
      <w:r w:rsidRPr="00EA3AF8">
        <w:rPr>
          <w:noProof/>
        </w:rPr>
        <w:t xml:space="preserve">. (2006). Does Granulocyte Colony-Stimulating Factor Worsen Anemia in Early Breast Cancer Patients Treated With Epirubicin and Cyclophosphamide? </w:t>
      </w:r>
      <w:r w:rsidRPr="00EA3AF8">
        <w:rPr>
          <w:i/>
          <w:noProof/>
        </w:rPr>
        <w:t>Journal of Clinical Oncology, 24</w:t>
      </w:r>
      <w:r w:rsidRPr="00EA3AF8">
        <w:rPr>
          <w:noProof/>
        </w:rPr>
        <w:t xml:space="preserve">(19), 3048-3055. </w:t>
      </w:r>
      <w:bookmarkEnd w:id="26"/>
    </w:p>
    <w:p w14:paraId="1A92EF65" w14:textId="7C0452F3" w:rsidR="00EA3AF8" w:rsidRPr="00EA3AF8" w:rsidRDefault="00EA3AF8" w:rsidP="006F7883">
      <w:pPr>
        <w:pStyle w:val="EndNoteBibliography"/>
        <w:numPr>
          <w:ilvl w:val="0"/>
          <w:numId w:val="16"/>
        </w:numPr>
        <w:rPr>
          <w:noProof/>
        </w:rPr>
      </w:pPr>
      <w:bookmarkStart w:id="27" w:name="_ENREF_17"/>
      <w:r w:rsidRPr="00EA3AF8">
        <w:rPr>
          <w:noProof/>
        </w:rPr>
        <w:t xml:space="preserve">Renner, P., Milazzo, S., Liu, J. P., Zwahlen, M., Birkmann, J., &amp; Horneber, M. (2012). Primary prophylactic colony-stimulating factors for the prevention of chemotherapy-induced febrile neutropenia in breast cancer patients. </w:t>
      </w:r>
      <w:r w:rsidRPr="00EA3AF8">
        <w:rPr>
          <w:i/>
          <w:noProof/>
        </w:rPr>
        <w:t>Cochrane Database Syst Rev, 10</w:t>
      </w:r>
      <w:r w:rsidRPr="00EA3AF8">
        <w:rPr>
          <w:noProof/>
        </w:rPr>
        <w:t xml:space="preserve">, Cd007913. </w:t>
      </w:r>
      <w:bookmarkEnd w:id="27"/>
    </w:p>
    <w:p w14:paraId="5BF61D69" w14:textId="72DDA5DA" w:rsidR="00EA3AF8" w:rsidRPr="00EA3AF8" w:rsidRDefault="00EA3AF8" w:rsidP="006F7883">
      <w:pPr>
        <w:pStyle w:val="EndNoteBibliography"/>
        <w:numPr>
          <w:ilvl w:val="0"/>
          <w:numId w:val="16"/>
        </w:numPr>
        <w:rPr>
          <w:noProof/>
        </w:rPr>
      </w:pPr>
      <w:bookmarkStart w:id="28" w:name="_ENREF_18"/>
      <w:r w:rsidRPr="00EA3AF8">
        <w:rPr>
          <w:noProof/>
        </w:rPr>
        <w:t xml:space="preserve">Sung, L., Nathan, P. C., Alibhai, S. M. H., Tomlinson, G. A., &amp; Beyene, J. (2007). Meta-analysis: Effect of Prophylactic Hematopoietic Colony-Stimulating Factors on Mortality and Outcomes of Infection. </w:t>
      </w:r>
      <w:r w:rsidRPr="00EA3AF8">
        <w:rPr>
          <w:i/>
          <w:noProof/>
        </w:rPr>
        <w:t>Annals of Internal Medicine, 147</w:t>
      </w:r>
      <w:r w:rsidRPr="00EA3AF8">
        <w:rPr>
          <w:noProof/>
        </w:rPr>
        <w:t xml:space="preserve">(6), 400-411. </w:t>
      </w:r>
      <w:bookmarkEnd w:id="28"/>
    </w:p>
    <w:p w14:paraId="74A33984" w14:textId="707FD364" w:rsidR="00EA3AF8" w:rsidRPr="00EA3AF8" w:rsidRDefault="00EA3AF8" w:rsidP="006F7883">
      <w:pPr>
        <w:pStyle w:val="EndNoteBibliography"/>
        <w:numPr>
          <w:ilvl w:val="0"/>
          <w:numId w:val="16"/>
        </w:numPr>
        <w:rPr>
          <w:noProof/>
        </w:rPr>
      </w:pPr>
      <w:bookmarkStart w:id="29" w:name="_ENREF_19"/>
      <w:r w:rsidRPr="00EA3AF8">
        <w:rPr>
          <w:noProof/>
        </w:rPr>
        <w:t xml:space="preserve">Vogel, C. L., Wojtukiewicz, M. Z., Carroll, R. R., Tjulandin, S. A., Barajas-Figueroa, L. J., Wiens, B. L., </w:t>
      </w:r>
      <w:r>
        <w:rPr>
          <w:noProof/>
        </w:rPr>
        <w:t>et al</w:t>
      </w:r>
      <w:r w:rsidRPr="00EA3AF8">
        <w:rPr>
          <w:noProof/>
        </w:rPr>
        <w:t xml:space="preserve">. (2005). First and subsequent cycle use of pegfilgrastim prevents febrile neutropenia in patients with breast cancer: a multicenter, double-blind, placebo-controlled phase III study. </w:t>
      </w:r>
      <w:r w:rsidRPr="00EA3AF8">
        <w:rPr>
          <w:i/>
          <w:noProof/>
        </w:rPr>
        <w:t>J Clin Oncol, 23</w:t>
      </w:r>
      <w:r w:rsidRPr="00EA3AF8">
        <w:rPr>
          <w:noProof/>
        </w:rPr>
        <w:t xml:space="preserve">(6), 1178-1184. </w:t>
      </w:r>
      <w:bookmarkEnd w:id="29"/>
    </w:p>
    <w:p w14:paraId="103BB3DF" w14:textId="44569A08" w:rsidR="0031621E" w:rsidRDefault="00EA3AF8" w:rsidP="006F7883">
      <w:pPr>
        <w:pStyle w:val="EndNoteBibliography"/>
        <w:numPr>
          <w:ilvl w:val="0"/>
          <w:numId w:val="16"/>
        </w:numPr>
        <w:rPr>
          <w:noProof/>
        </w:rPr>
      </w:pPr>
      <w:bookmarkStart w:id="30" w:name="_ENREF_20"/>
      <w:r w:rsidRPr="00EA3AF8">
        <w:rPr>
          <w:noProof/>
        </w:rPr>
        <w:t xml:space="preserve">Wildiers, H., &amp; Reiser, M. (2011). Relative dose intensity of chemotherapy and its impact on outcomes in patients with early breast cancer or aggressive lymphoma. </w:t>
      </w:r>
      <w:r w:rsidRPr="00EA3AF8">
        <w:rPr>
          <w:i/>
          <w:noProof/>
        </w:rPr>
        <w:t>Critical Reviews in Oncology/Hematology, 77</w:t>
      </w:r>
      <w:r w:rsidRPr="00EA3AF8">
        <w:rPr>
          <w:noProof/>
        </w:rPr>
        <w:t xml:space="preserve">(3), 221-240. </w:t>
      </w:r>
      <w:bookmarkEnd w:id="30"/>
      <w:r w:rsidR="0031621E">
        <w:rPr>
          <w:noProof/>
        </w:rPr>
        <w:br w:type="page"/>
      </w:r>
    </w:p>
    <w:p w14:paraId="6DB902AD" w14:textId="77777777" w:rsidR="00C87105" w:rsidRDefault="00C87105">
      <w:pPr>
        <w:rPr>
          <w:noProof/>
        </w:rPr>
        <w:sectPr w:rsidR="00C87105">
          <w:headerReference w:type="default" r:id="rId25"/>
          <w:footerReference w:type="default" r:id="rId26"/>
          <w:pgSz w:w="12240" w:h="15840"/>
          <w:pgMar w:top="1440" w:right="1440" w:bottom="1440" w:left="1440" w:header="720" w:footer="720" w:gutter="0"/>
          <w:cols w:space="720"/>
          <w:docGrid w:linePitch="360"/>
        </w:sectPr>
      </w:pPr>
    </w:p>
    <w:p w14:paraId="352C0538" w14:textId="6DA8A985" w:rsidR="00C87105" w:rsidRDefault="00C87105">
      <w:pPr>
        <w:rPr>
          <w:rFonts w:ascii="Calibri" w:hAnsi="Calibri"/>
          <w:noProof/>
        </w:rPr>
      </w:pPr>
    </w:p>
    <w:p w14:paraId="34B42842" w14:textId="62985674" w:rsidR="00FC0BA8" w:rsidRPr="0031621E" w:rsidRDefault="006650D9" w:rsidP="00FC0BA8">
      <w:pPr>
        <w:spacing w:after="200" w:line="276" w:lineRule="auto"/>
        <w:ind w:left="0" w:firstLine="0"/>
        <w:jc w:val="center"/>
        <w:rPr>
          <w:rFonts w:ascii="Calibri" w:eastAsia="Times New Roman" w:hAnsi="Calibri" w:cs="Times New Roman"/>
          <w:b/>
          <w:color w:val="000000"/>
        </w:rPr>
      </w:pPr>
      <w:r w:rsidRPr="00710D8D">
        <w:rPr>
          <w:color w:val="0000FF"/>
        </w:rPr>
        <w:fldChar w:fldCharType="end"/>
      </w:r>
      <w:r w:rsidR="00FC0BA8" w:rsidRPr="0031621E">
        <w:rPr>
          <w:rFonts w:ascii="Calibri" w:eastAsia="Times New Roman" w:hAnsi="Calibri" w:cs="Times New Roman"/>
          <w:b/>
          <w:color w:val="000000"/>
        </w:rPr>
        <w:t>Appendix</w:t>
      </w:r>
    </w:p>
    <w:p w14:paraId="7E793FF8" w14:textId="77777777" w:rsidR="00FC0BA8" w:rsidRPr="0031621E" w:rsidRDefault="00FC0BA8" w:rsidP="00FC0BA8">
      <w:pPr>
        <w:spacing w:after="200" w:line="276" w:lineRule="auto"/>
        <w:ind w:left="0" w:firstLine="0"/>
        <w:jc w:val="center"/>
        <w:rPr>
          <w:rFonts w:ascii="Calibri" w:eastAsia="Times New Roman" w:hAnsi="Calibri" w:cs="Times New Roman"/>
          <w:b/>
          <w:color w:val="000000"/>
        </w:rPr>
      </w:pPr>
      <w:r w:rsidRPr="0031621E">
        <w:rPr>
          <w:rFonts w:ascii="Calibri" w:eastAsia="Times New Roman" w:hAnsi="Calibri" w:cs="Times New Roman"/>
          <w:b/>
          <w:color w:val="000000"/>
        </w:rPr>
        <w:t>Summary of Additional</w:t>
      </w:r>
      <w:bookmarkStart w:id="31" w:name="_GoBack"/>
      <w:bookmarkEnd w:id="31"/>
      <w:r w:rsidRPr="0031621E">
        <w:rPr>
          <w:rFonts w:ascii="Calibri" w:eastAsia="Times New Roman" w:hAnsi="Calibri" w:cs="Times New Roman"/>
          <w:b/>
          <w:color w:val="000000"/>
        </w:rPr>
        <w:t xml:space="preserve"> Evidence in Support of Proposed Measure on Febrile Neutropenia Risk Assessment Prior to Chemotherapy </w:t>
      </w:r>
    </w:p>
    <w:p w14:paraId="0C97FEB0" w14:textId="77777777" w:rsidR="00FC0BA8" w:rsidRPr="0031621E" w:rsidRDefault="00FC0BA8" w:rsidP="00FC0BA8">
      <w:pPr>
        <w:spacing w:after="200" w:line="276" w:lineRule="auto"/>
        <w:ind w:left="0" w:firstLine="0"/>
        <w:rPr>
          <w:rFonts w:ascii="Calibri" w:eastAsia="Times New Roman" w:hAnsi="Calibri" w:cs="Times New Roman"/>
          <w:color w:val="000000"/>
        </w:rPr>
      </w:pPr>
      <w:r>
        <w:rPr>
          <w:rFonts w:ascii="Calibri" w:eastAsia="Times New Roman" w:hAnsi="Calibri" w:cs="Times New Roman"/>
          <w:color w:val="000000"/>
        </w:rPr>
        <w:t xml:space="preserve">Appendix </w:t>
      </w:r>
      <w:r w:rsidRPr="0031621E">
        <w:rPr>
          <w:rFonts w:ascii="Calibri" w:eastAsia="Times New Roman" w:hAnsi="Calibri" w:cs="Times New Roman"/>
          <w:color w:val="000000"/>
        </w:rPr>
        <w:t>Tables 1 and 2 below summarize information about the studies cited by</w:t>
      </w:r>
      <w:r w:rsidRPr="0031621E">
        <w:t xml:space="preserve"> </w:t>
      </w:r>
      <w:r w:rsidRPr="0031621E">
        <w:rPr>
          <w:rFonts w:ascii="Calibri" w:eastAsia="Times New Roman" w:hAnsi="Calibri" w:cs="Times New Roman"/>
          <w:color w:val="000000"/>
        </w:rPr>
        <w:t xml:space="preserve">the ASCO Guidelines on the Use of WBC Growth Factors (Smith et al., 2015) in support of Recommendation 1. The set of studies cited by these ASCO guidelines included adult or pediatric patients and patients with solid tumors or lymphoma. To the extent possible, we dropped entire studies or subsets of results that were focused on pediatric patients to more accurately reflect the focus of the measure, which is on adult patients with a solid tumor or lymphoma. However, for a few studies, dropping the subset of results on children was not feasible, and we present results that include this subgroup (as noted in the last column of Table 1). </w:t>
      </w:r>
    </w:p>
    <w:p w14:paraId="3E126780" w14:textId="77777777" w:rsidR="00FC0BA8" w:rsidRPr="0031621E" w:rsidRDefault="00FC0BA8" w:rsidP="00FC0BA8">
      <w:pPr>
        <w:spacing w:line="276" w:lineRule="auto"/>
        <w:ind w:left="0" w:firstLine="0"/>
        <w:jc w:val="center"/>
        <w:rPr>
          <w:rFonts w:ascii="Calibri" w:eastAsia="Times New Roman" w:hAnsi="Calibri" w:cs="Times New Roman"/>
          <w:color w:val="000000"/>
        </w:rPr>
      </w:pPr>
      <w:proofErr w:type="gramStart"/>
      <w:r w:rsidRPr="0031621E">
        <w:t>Appendix Table 1.</w:t>
      </w:r>
      <w:proofErr w:type="gramEnd"/>
      <w:r w:rsidRPr="0031621E">
        <w:t xml:space="preserve"> Summary of Studies Cited in Support of Recommendation 1 by </w:t>
      </w:r>
      <w:r w:rsidRPr="0031621E">
        <w:rPr>
          <w:rFonts w:ascii="Calibri" w:eastAsia="Times New Roman" w:hAnsi="Calibri" w:cs="Times New Roman"/>
          <w:color w:val="000000"/>
        </w:rPr>
        <w:t xml:space="preserve">ASCO Guidelines on the Use of WBC Growth Factors </w:t>
      </w:r>
    </w:p>
    <w:p w14:paraId="631970DD" w14:textId="77777777" w:rsidR="00FC0BA8" w:rsidRPr="0031621E" w:rsidRDefault="00FC0BA8" w:rsidP="00FC0BA8">
      <w:pPr>
        <w:spacing w:line="276" w:lineRule="auto"/>
        <w:ind w:left="0" w:firstLine="0"/>
        <w:jc w:val="center"/>
      </w:pPr>
      <w:r w:rsidRPr="0031621E">
        <w:rPr>
          <w:rFonts w:ascii="Calibri" w:eastAsia="Times New Roman" w:hAnsi="Calibri" w:cs="Times New Roman"/>
          <w:color w:val="000000"/>
        </w:rPr>
        <w:t>(Smith et al., 2015)</w:t>
      </w:r>
    </w:p>
    <w:tbl>
      <w:tblPr>
        <w:tblStyle w:val="TableGrid2"/>
        <w:tblW w:w="0" w:type="auto"/>
        <w:tblLook w:val="04A0" w:firstRow="1" w:lastRow="0" w:firstColumn="1" w:lastColumn="0" w:noHBand="0" w:noVBand="1"/>
      </w:tblPr>
      <w:tblGrid>
        <w:gridCol w:w="1596"/>
        <w:gridCol w:w="1902"/>
        <w:gridCol w:w="4331"/>
        <w:gridCol w:w="3394"/>
        <w:gridCol w:w="1953"/>
      </w:tblGrid>
      <w:tr w:rsidR="00FC0BA8" w:rsidRPr="0031621E" w14:paraId="57D2A089" w14:textId="77777777" w:rsidTr="00F27111">
        <w:trPr>
          <w:tblHeader/>
        </w:trPr>
        <w:tc>
          <w:tcPr>
            <w:tcW w:w="1596" w:type="dxa"/>
            <w:vAlign w:val="bottom"/>
          </w:tcPr>
          <w:p w14:paraId="620BC68B" w14:textId="77777777" w:rsidR="00FC0BA8" w:rsidRPr="0031621E" w:rsidRDefault="00FC0BA8" w:rsidP="00F27111">
            <w:pPr>
              <w:jc w:val="center"/>
              <w:rPr>
                <w:b/>
                <w:sz w:val="20"/>
                <w:szCs w:val="20"/>
              </w:rPr>
            </w:pPr>
            <w:r w:rsidRPr="0031621E">
              <w:rPr>
                <w:b/>
                <w:sz w:val="20"/>
                <w:szCs w:val="20"/>
              </w:rPr>
              <w:t>Author Year</w:t>
            </w:r>
          </w:p>
        </w:tc>
        <w:tc>
          <w:tcPr>
            <w:tcW w:w="1902" w:type="dxa"/>
            <w:vAlign w:val="bottom"/>
          </w:tcPr>
          <w:p w14:paraId="78CCB0CA" w14:textId="77777777" w:rsidR="00FC0BA8" w:rsidRPr="0031621E" w:rsidRDefault="00FC0BA8" w:rsidP="00F27111">
            <w:pPr>
              <w:jc w:val="center"/>
              <w:rPr>
                <w:b/>
                <w:sz w:val="20"/>
                <w:szCs w:val="20"/>
              </w:rPr>
            </w:pPr>
            <w:r w:rsidRPr="0031621E">
              <w:rPr>
                <w:b/>
                <w:sz w:val="20"/>
                <w:szCs w:val="20"/>
              </w:rPr>
              <w:t>Type of Study</w:t>
            </w:r>
          </w:p>
        </w:tc>
        <w:tc>
          <w:tcPr>
            <w:tcW w:w="4331" w:type="dxa"/>
            <w:vAlign w:val="bottom"/>
          </w:tcPr>
          <w:p w14:paraId="5FA71D9B" w14:textId="77777777" w:rsidR="00FC0BA8" w:rsidRPr="0031621E" w:rsidRDefault="00FC0BA8" w:rsidP="00F27111">
            <w:pPr>
              <w:jc w:val="center"/>
              <w:rPr>
                <w:b/>
                <w:sz w:val="20"/>
                <w:szCs w:val="20"/>
              </w:rPr>
            </w:pPr>
            <w:r w:rsidRPr="0031621E">
              <w:rPr>
                <w:b/>
                <w:sz w:val="20"/>
                <w:szCs w:val="20"/>
              </w:rPr>
              <w:t>Benefit of Prophylaxis with CSF</w:t>
            </w:r>
          </w:p>
        </w:tc>
        <w:tc>
          <w:tcPr>
            <w:tcW w:w="3394" w:type="dxa"/>
            <w:vAlign w:val="bottom"/>
          </w:tcPr>
          <w:p w14:paraId="2927B6A0" w14:textId="77777777" w:rsidR="00FC0BA8" w:rsidRPr="0031621E" w:rsidRDefault="00FC0BA8" w:rsidP="00F27111">
            <w:pPr>
              <w:jc w:val="center"/>
              <w:rPr>
                <w:b/>
                <w:sz w:val="20"/>
                <w:szCs w:val="20"/>
              </w:rPr>
            </w:pPr>
            <w:r w:rsidRPr="0031621E">
              <w:rPr>
                <w:rFonts w:eastAsia="Times New Roman" w:cs="Tahoma"/>
                <w:b/>
                <w:color w:val="000000"/>
                <w:sz w:val="20"/>
                <w:szCs w:val="20"/>
              </w:rPr>
              <w:t>Adverse Events Associated with CSF Prophylaxis</w:t>
            </w:r>
          </w:p>
        </w:tc>
        <w:tc>
          <w:tcPr>
            <w:tcW w:w="1953" w:type="dxa"/>
            <w:vAlign w:val="bottom"/>
          </w:tcPr>
          <w:p w14:paraId="7395E081" w14:textId="77777777" w:rsidR="00FC0BA8" w:rsidRPr="0031621E" w:rsidRDefault="00FC0BA8" w:rsidP="00F27111">
            <w:pPr>
              <w:jc w:val="center"/>
              <w:rPr>
                <w:b/>
                <w:sz w:val="20"/>
                <w:szCs w:val="20"/>
              </w:rPr>
            </w:pPr>
            <w:r w:rsidRPr="0031621E">
              <w:rPr>
                <w:b/>
                <w:sz w:val="20"/>
                <w:szCs w:val="20"/>
              </w:rPr>
              <w:t>Notes</w:t>
            </w:r>
          </w:p>
        </w:tc>
      </w:tr>
      <w:tr w:rsidR="00FC0BA8" w:rsidRPr="0031621E" w14:paraId="4A63B07A" w14:textId="77777777" w:rsidTr="00F27111">
        <w:tc>
          <w:tcPr>
            <w:tcW w:w="1596" w:type="dxa"/>
          </w:tcPr>
          <w:p w14:paraId="4665825C" w14:textId="77777777" w:rsidR="00FC0BA8" w:rsidRPr="0031621E" w:rsidRDefault="00FC0BA8" w:rsidP="00F27111">
            <w:pPr>
              <w:autoSpaceDE w:val="0"/>
              <w:autoSpaceDN w:val="0"/>
              <w:adjustRightInd w:val="0"/>
              <w:rPr>
                <w:rFonts w:cs="Arial"/>
                <w:color w:val="000000"/>
                <w:sz w:val="20"/>
                <w:szCs w:val="20"/>
              </w:rPr>
            </w:pPr>
            <w:r w:rsidRPr="0031621E">
              <w:rPr>
                <w:rFonts w:cs="Arial"/>
                <w:color w:val="000000"/>
                <w:sz w:val="20"/>
                <w:szCs w:val="20"/>
              </w:rPr>
              <w:t>Lyman 2013 (1)</w:t>
            </w:r>
          </w:p>
        </w:tc>
        <w:tc>
          <w:tcPr>
            <w:tcW w:w="1902" w:type="dxa"/>
          </w:tcPr>
          <w:p w14:paraId="3F46CE0D" w14:textId="77777777" w:rsidR="00FC0BA8" w:rsidRPr="0031621E" w:rsidRDefault="00FC0BA8" w:rsidP="00F27111">
            <w:pPr>
              <w:rPr>
                <w:sz w:val="20"/>
                <w:szCs w:val="20"/>
              </w:rPr>
            </w:pPr>
            <w:r w:rsidRPr="0031621E">
              <w:rPr>
                <w:sz w:val="20"/>
                <w:szCs w:val="20"/>
              </w:rPr>
              <w:t>Meta-analysis of data from 61 randomized comparisons; outcome=all-cause mortality.</w:t>
            </w:r>
          </w:p>
        </w:tc>
        <w:tc>
          <w:tcPr>
            <w:tcW w:w="4331" w:type="dxa"/>
          </w:tcPr>
          <w:p w14:paraId="1A5B9F44" w14:textId="77777777" w:rsidR="00FC0BA8" w:rsidRPr="0031621E" w:rsidRDefault="00FC0BA8" w:rsidP="00F27111">
            <w:pPr>
              <w:autoSpaceDE w:val="0"/>
              <w:autoSpaceDN w:val="0"/>
              <w:adjustRightInd w:val="0"/>
              <w:rPr>
                <w:rFonts w:cs="AdvOT1ef757c0"/>
                <w:sz w:val="20"/>
                <w:szCs w:val="20"/>
              </w:rPr>
            </w:pPr>
            <w:r w:rsidRPr="0031621E">
              <w:rPr>
                <w:rFonts w:cs="AdvOT1ef757c0"/>
                <w:b/>
                <w:sz w:val="20"/>
                <w:szCs w:val="20"/>
              </w:rPr>
              <w:t>From Table 1</w:t>
            </w:r>
            <w:r w:rsidRPr="0031621E">
              <w:rPr>
                <w:rFonts w:cs="AdvOT1ef757c0"/>
                <w:sz w:val="20"/>
                <w:szCs w:val="20"/>
              </w:rPr>
              <w:t xml:space="preserve">: </w:t>
            </w:r>
            <w:r w:rsidRPr="0031621E">
              <w:rPr>
                <w:sz w:val="20"/>
                <w:szCs w:val="20"/>
              </w:rPr>
              <w:t>Patients with solid tumors</w:t>
            </w:r>
          </w:p>
          <w:p w14:paraId="47F9C5AD" w14:textId="77777777" w:rsidR="00FC0BA8" w:rsidRPr="0031621E" w:rsidRDefault="00FC0BA8" w:rsidP="00F27111">
            <w:pPr>
              <w:autoSpaceDE w:val="0"/>
              <w:autoSpaceDN w:val="0"/>
              <w:adjustRightInd w:val="0"/>
              <w:rPr>
                <w:rFonts w:cs="AdvOT1ef757c0"/>
                <w:sz w:val="20"/>
                <w:szCs w:val="20"/>
              </w:rPr>
            </w:pPr>
            <w:r w:rsidRPr="0031621E">
              <w:rPr>
                <w:rFonts w:cs="AdvOT1ef757c0"/>
                <w:sz w:val="20"/>
                <w:szCs w:val="20"/>
              </w:rPr>
              <w:t xml:space="preserve">Relative risk (RR) for G-CSF vs. no G-CSF for all-cause mortality </w:t>
            </w:r>
          </w:p>
          <w:p w14:paraId="54214CBF" w14:textId="77777777" w:rsidR="00FC0BA8" w:rsidRPr="0031621E" w:rsidRDefault="00FC0BA8" w:rsidP="00F27111">
            <w:pPr>
              <w:autoSpaceDE w:val="0"/>
              <w:autoSpaceDN w:val="0"/>
              <w:adjustRightInd w:val="0"/>
              <w:rPr>
                <w:rFonts w:cs="AdvOT1ef757c0"/>
                <w:sz w:val="20"/>
                <w:szCs w:val="20"/>
              </w:rPr>
            </w:pPr>
            <w:r w:rsidRPr="0031621E">
              <w:rPr>
                <w:rFonts w:cs="AdvOT1ef757c0"/>
                <w:sz w:val="20"/>
                <w:szCs w:val="20"/>
              </w:rPr>
              <w:t xml:space="preserve">Breast (N=20) RR=0.954 (CI 0.898, 1.013) </w:t>
            </w:r>
          </w:p>
          <w:p w14:paraId="1C8A1F7E" w14:textId="77777777" w:rsidR="00FC0BA8" w:rsidRPr="0031621E" w:rsidRDefault="00FC0BA8" w:rsidP="00F27111">
            <w:pPr>
              <w:autoSpaceDE w:val="0"/>
              <w:autoSpaceDN w:val="0"/>
              <w:adjustRightInd w:val="0"/>
              <w:rPr>
                <w:rFonts w:cs="AdvOT1ef757c0"/>
                <w:sz w:val="20"/>
                <w:szCs w:val="20"/>
              </w:rPr>
            </w:pPr>
            <w:r w:rsidRPr="0031621E">
              <w:rPr>
                <w:rFonts w:cs="AdvOT1ef757c0"/>
                <w:sz w:val="20"/>
                <w:szCs w:val="20"/>
              </w:rPr>
              <w:t>Genitourinary (N=7) RR=0.946 (CI 0.884, 1.013)</w:t>
            </w:r>
          </w:p>
          <w:p w14:paraId="79E6F205" w14:textId="77777777" w:rsidR="00FC0BA8" w:rsidRPr="0031621E" w:rsidRDefault="00FC0BA8" w:rsidP="00F27111">
            <w:pPr>
              <w:autoSpaceDE w:val="0"/>
              <w:autoSpaceDN w:val="0"/>
              <w:adjustRightInd w:val="0"/>
              <w:rPr>
                <w:rFonts w:cs="AdvOT1ef757c0"/>
                <w:sz w:val="20"/>
                <w:szCs w:val="20"/>
              </w:rPr>
            </w:pPr>
            <w:r w:rsidRPr="0031621E">
              <w:rPr>
                <w:rFonts w:cs="AdvOT1ef757c0"/>
                <w:sz w:val="20"/>
                <w:szCs w:val="20"/>
              </w:rPr>
              <w:t xml:space="preserve">Lung (N=16) RR=0.930 (CI 0.882, 0.980) </w:t>
            </w:r>
          </w:p>
          <w:p w14:paraId="2BDFB46F" w14:textId="77777777" w:rsidR="00FC0BA8" w:rsidRPr="0031621E" w:rsidRDefault="00FC0BA8" w:rsidP="00F27111">
            <w:pPr>
              <w:autoSpaceDE w:val="0"/>
              <w:autoSpaceDN w:val="0"/>
              <w:adjustRightInd w:val="0"/>
              <w:rPr>
                <w:rFonts w:cs="AdvOT1ef757c0"/>
                <w:sz w:val="20"/>
                <w:szCs w:val="20"/>
              </w:rPr>
            </w:pPr>
            <w:r w:rsidRPr="0031621E">
              <w:rPr>
                <w:rFonts w:cs="AdvOT1ef757c0"/>
                <w:sz w:val="20"/>
                <w:szCs w:val="20"/>
              </w:rPr>
              <w:t>Lymphoma (N=16) RR=0.895 (CI 0.841, 0.952)</w:t>
            </w:r>
          </w:p>
          <w:p w14:paraId="4019E1AA" w14:textId="77777777" w:rsidR="00FC0BA8" w:rsidRPr="0031621E" w:rsidRDefault="00FC0BA8" w:rsidP="00F27111">
            <w:pPr>
              <w:rPr>
                <w:sz w:val="20"/>
                <w:szCs w:val="20"/>
              </w:rPr>
            </w:pPr>
            <w:r w:rsidRPr="0031621E">
              <w:rPr>
                <w:rFonts w:cs="AdvOT1ef757c0"/>
                <w:sz w:val="20"/>
                <w:szCs w:val="20"/>
              </w:rPr>
              <w:t>Other (N=2) RR=0.867 (CI 0.630, 1.193)</w:t>
            </w:r>
          </w:p>
        </w:tc>
        <w:tc>
          <w:tcPr>
            <w:tcW w:w="3394" w:type="dxa"/>
          </w:tcPr>
          <w:p w14:paraId="3BF2FA58" w14:textId="77777777" w:rsidR="00FC0BA8" w:rsidRPr="0031621E" w:rsidRDefault="00FC0BA8" w:rsidP="00F27111">
            <w:pPr>
              <w:rPr>
                <w:sz w:val="20"/>
                <w:szCs w:val="20"/>
              </w:rPr>
            </w:pPr>
            <w:r w:rsidRPr="0031621E">
              <w:rPr>
                <w:sz w:val="20"/>
                <w:szCs w:val="20"/>
              </w:rPr>
              <w:t>Adverse events were reported in all 58 of 59 RCTs (98%) and were systematically reported in 51 of 59 RCTs. However, specific information about adverse events was not included in the Lyman 2013 article.</w:t>
            </w:r>
          </w:p>
        </w:tc>
        <w:tc>
          <w:tcPr>
            <w:tcW w:w="1953" w:type="dxa"/>
          </w:tcPr>
          <w:p w14:paraId="737AD5A9" w14:textId="77777777" w:rsidR="00FC0BA8" w:rsidRPr="0031621E" w:rsidRDefault="00FC0BA8" w:rsidP="00F27111">
            <w:pPr>
              <w:rPr>
                <w:sz w:val="20"/>
                <w:szCs w:val="20"/>
              </w:rPr>
            </w:pPr>
          </w:p>
        </w:tc>
      </w:tr>
      <w:tr w:rsidR="00FC0BA8" w:rsidRPr="0031621E" w14:paraId="1941CD54" w14:textId="77777777" w:rsidTr="00F27111">
        <w:tc>
          <w:tcPr>
            <w:tcW w:w="1596" w:type="dxa"/>
          </w:tcPr>
          <w:p w14:paraId="6D760A5D" w14:textId="77777777" w:rsidR="00FC0BA8" w:rsidRPr="0031621E" w:rsidRDefault="00FC0BA8" w:rsidP="00F27111">
            <w:pPr>
              <w:rPr>
                <w:sz w:val="20"/>
                <w:szCs w:val="20"/>
              </w:rPr>
            </w:pPr>
            <w:r w:rsidRPr="0031621E">
              <w:rPr>
                <w:sz w:val="20"/>
                <w:szCs w:val="20"/>
              </w:rPr>
              <w:t>Renner 2012</w:t>
            </w:r>
          </w:p>
        </w:tc>
        <w:tc>
          <w:tcPr>
            <w:tcW w:w="1902" w:type="dxa"/>
          </w:tcPr>
          <w:p w14:paraId="64788E04" w14:textId="77777777" w:rsidR="00FC0BA8" w:rsidRPr="0031621E" w:rsidRDefault="00FC0BA8" w:rsidP="00F27111">
            <w:pPr>
              <w:rPr>
                <w:sz w:val="20"/>
                <w:szCs w:val="20"/>
              </w:rPr>
            </w:pPr>
            <w:r w:rsidRPr="0031621E">
              <w:rPr>
                <w:sz w:val="20"/>
                <w:szCs w:val="20"/>
              </w:rPr>
              <w:t>Meta-analysis</w:t>
            </w:r>
          </w:p>
          <w:p w14:paraId="7FED0F95" w14:textId="77777777" w:rsidR="00FC0BA8" w:rsidRPr="0031621E" w:rsidRDefault="00FC0BA8" w:rsidP="00F27111">
            <w:pPr>
              <w:rPr>
                <w:sz w:val="20"/>
                <w:szCs w:val="20"/>
              </w:rPr>
            </w:pPr>
            <w:r w:rsidRPr="0031621E">
              <w:rPr>
                <w:sz w:val="20"/>
                <w:szCs w:val="20"/>
              </w:rPr>
              <w:t xml:space="preserve">(Number of Main Comparison studies: 6 Febrile Neutropenia (FN), </w:t>
            </w:r>
          </w:p>
          <w:p w14:paraId="447BC90E" w14:textId="77777777" w:rsidR="00FC0BA8" w:rsidRPr="0031621E" w:rsidRDefault="00FC0BA8" w:rsidP="00F27111">
            <w:pPr>
              <w:rPr>
                <w:sz w:val="20"/>
                <w:szCs w:val="20"/>
              </w:rPr>
            </w:pPr>
            <w:r w:rsidRPr="0031621E">
              <w:rPr>
                <w:sz w:val="20"/>
                <w:szCs w:val="20"/>
              </w:rPr>
              <w:t xml:space="preserve">8 Early Mortality, </w:t>
            </w:r>
          </w:p>
          <w:p w14:paraId="5BDCF6BA" w14:textId="77777777" w:rsidR="00FC0BA8" w:rsidRPr="0031621E" w:rsidRDefault="00FC0BA8" w:rsidP="00F27111">
            <w:pPr>
              <w:rPr>
                <w:sz w:val="20"/>
                <w:szCs w:val="20"/>
              </w:rPr>
            </w:pPr>
            <w:r w:rsidRPr="0031621E">
              <w:rPr>
                <w:sz w:val="20"/>
                <w:szCs w:val="20"/>
              </w:rPr>
              <w:t xml:space="preserve">8 Infection-related mortality;  </w:t>
            </w:r>
          </w:p>
          <w:p w14:paraId="46F212D7" w14:textId="77777777" w:rsidR="00FC0BA8" w:rsidRPr="0031621E" w:rsidRDefault="00FC0BA8" w:rsidP="00F27111">
            <w:pPr>
              <w:rPr>
                <w:sz w:val="20"/>
                <w:szCs w:val="20"/>
              </w:rPr>
            </w:pPr>
            <w:r w:rsidRPr="0031621E">
              <w:rPr>
                <w:sz w:val="20"/>
                <w:szCs w:val="20"/>
              </w:rPr>
              <w:t>Number of Secondary Outcome studies:</w:t>
            </w:r>
            <w:r w:rsidRPr="0031621E" w:rsidDel="00A96D40">
              <w:rPr>
                <w:sz w:val="20"/>
                <w:szCs w:val="20"/>
              </w:rPr>
              <w:t xml:space="preserve"> </w:t>
            </w:r>
          </w:p>
          <w:p w14:paraId="4FC990B4" w14:textId="77777777" w:rsidR="00FC0BA8" w:rsidRPr="0031621E" w:rsidRDefault="00FC0BA8" w:rsidP="00F27111">
            <w:pPr>
              <w:rPr>
                <w:sz w:val="20"/>
                <w:szCs w:val="20"/>
              </w:rPr>
            </w:pPr>
            <w:r w:rsidRPr="0031621E">
              <w:rPr>
                <w:sz w:val="20"/>
                <w:szCs w:val="20"/>
              </w:rPr>
              <w:lastRenderedPageBreak/>
              <w:t xml:space="preserve">4 Severe Neutropenia, 3 Infections, </w:t>
            </w:r>
          </w:p>
          <w:p w14:paraId="02C137FD" w14:textId="77777777" w:rsidR="00FC0BA8" w:rsidRPr="0031621E" w:rsidRDefault="00FC0BA8" w:rsidP="00F27111">
            <w:pPr>
              <w:rPr>
                <w:sz w:val="20"/>
                <w:szCs w:val="20"/>
              </w:rPr>
            </w:pPr>
            <w:r w:rsidRPr="0031621E">
              <w:rPr>
                <w:sz w:val="20"/>
                <w:szCs w:val="20"/>
              </w:rPr>
              <w:t xml:space="preserve">4 Hospitalizations, </w:t>
            </w:r>
          </w:p>
          <w:p w14:paraId="498D9C48" w14:textId="77777777" w:rsidR="00FC0BA8" w:rsidRPr="0031621E" w:rsidRDefault="00FC0BA8" w:rsidP="00F27111">
            <w:pPr>
              <w:rPr>
                <w:sz w:val="20"/>
                <w:szCs w:val="20"/>
              </w:rPr>
            </w:pPr>
            <w:r w:rsidRPr="0031621E">
              <w:rPr>
                <w:sz w:val="20"/>
                <w:szCs w:val="20"/>
              </w:rPr>
              <w:t xml:space="preserve">4 IV antibiotics, </w:t>
            </w:r>
          </w:p>
          <w:p w14:paraId="58B158EA" w14:textId="77777777" w:rsidR="00FC0BA8" w:rsidRPr="0031621E" w:rsidRDefault="00FC0BA8" w:rsidP="00F27111">
            <w:pPr>
              <w:rPr>
                <w:sz w:val="20"/>
                <w:szCs w:val="20"/>
              </w:rPr>
            </w:pPr>
            <w:r w:rsidRPr="0031621E">
              <w:rPr>
                <w:sz w:val="20"/>
                <w:szCs w:val="20"/>
              </w:rPr>
              <w:t xml:space="preserve">4 Chemotherapy, </w:t>
            </w:r>
          </w:p>
          <w:p w14:paraId="26ACE2EC" w14:textId="77777777" w:rsidR="00FC0BA8" w:rsidRPr="0031621E" w:rsidRDefault="00FC0BA8" w:rsidP="00F27111">
            <w:pPr>
              <w:rPr>
                <w:sz w:val="20"/>
                <w:szCs w:val="20"/>
              </w:rPr>
            </w:pPr>
            <w:r w:rsidRPr="0031621E">
              <w:rPr>
                <w:sz w:val="20"/>
                <w:szCs w:val="20"/>
              </w:rPr>
              <w:t xml:space="preserve">3 Bone Pain, </w:t>
            </w:r>
          </w:p>
          <w:p w14:paraId="518A5060" w14:textId="77777777" w:rsidR="00FC0BA8" w:rsidRPr="0031621E" w:rsidRDefault="00FC0BA8" w:rsidP="00F27111">
            <w:pPr>
              <w:rPr>
                <w:sz w:val="20"/>
                <w:szCs w:val="20"/>
              </w:rPr>
            </w:pPr>
            <w:r w:rsidRPr="0031621E">
              <w:rPr>
                <w:sz w:val="20"/>
                <w:szCs w:val="20"/>
              </w:rPr>
              <w:t>2 Injection-site Reaction)</w:t>
            </w:r>
          </w:p>
        </w:tc>
        <w:tc>
          <w:tcPr>
            <w:tcW w:w="4331" w:type="dxa"/>
          </w:tcPr>
          <w:p w14:paraId="423A4825" w14:textId="77777777" w:rsidR="00FC0BA8" w:rsidRPr="0031621E" w:rsidRDefault="00FC0BA8" w:rsidP="00F27111">
            <w:pPr>
              <w:rPr>
                <w:b/>
                <w:sz w:val="20"/>
                <w:szCs w:val="20"/>
              </w:rPr>
            </w:pPr>
            <w:r w:rsidRPr="0031621E">
              <w:rPr>
                <w:b/>
                <w:sz w:val="20"/>
                <w:szCs w:val="20"/>
              </w:rPr>
              <w:lastRenderedPageBreak/>
              <w:t>From “Summary of Findings for the Main Comparison” table (Page 4):</w:t>
            </w:r>
          </w:p>
          <w:p w14:paraId="50EE820A" w14:textId="77777777" w:rsidR="00FC0BA8" w:rsidRPr="0031621E" w:rsidRDefault="00FC0BA8" w:rsidP="00F27111">
            <w:pPr>
              <w:rPr>
                <w:sz w:val="20"/>
                <w:szCs w:val="20"/>
              </w:rPr>
            </w:pPr>
            <w:r w:rsidRPr="0031621E">
              <w:rPr>
                <w:sz w:val="20"/>
                <w:szCs w:val="20"/>
              </w:rPr>
              <w:t>Patients with breast cancer in randomized control trials receiving primary prophylactic G-CSF/GM-CSF vs. no primary G-CSF/GM-CSF:</w:t>
            </w:r>
          </w:p>
          <w:p w14:paraId="68FFA83A" w14:textId="77777777" w:rsidR="00FC0BA8" w:rsidRPr="0031621E" w:rsidRDefault="00FC0BA8" w:rsidP="00F27111">
            <w:pPr>
              <w:rPr>
                <w:sz w:val="20"/>
                <w:szCs w:val="20"/>
              </w:rPr>
            </w:pPr>
            <w:r w:rsidRPr="0031621E">
              <w:rPr>
                <w:sz w:val="20"/>
                <w:szCs w:val="20"/>
              </w:rPr>
              <w:t>Febrile Neutropenia (N=2073) Risk Ratio (RR)=0.27 (CI 0.11,0.70)</w:t>
            </w:r>
          </w:p>
          <w:p w14:paraId="32E596CF" w14:textId="77777777" w:rsidR="00FC0BA8" w:rsidRPr="0031621E" w:rsidRDefault="00FC0BA8" w:rsidP="00F27111">
            <w:pPr>
              <w:rPr>
                <w:sz w:val="20"/>
                <w:szCs w:val="20"/>
              </w:rPr>
            </w:pPr>
            <w:r w:rsidRPr="0031621E">
              <w:rPr>
                <w:sz w:val="20"/>
                <w:szCs w:val="20"/>
              </w:rPr>
              <w:t>Early Mortality (N=2143) RR=0.32 (CI 0.13,0.77)</w:t>
            </w:r>
          </w:p>
          <w:p w14:paraId="2CD73F98" w14:textId="77777777" w:rsidR="00FC0BA8" w:rsidRPr="0031621E" w:rsidRDefault="00FC0BA8" w:rsidP="00F27111">
            <w:pPr>
              <w:rPr>
                <w:sz w:val="20"/>
                <w:szCs w:val="20"/>
              </w:rPr>
            </w:pPr>
            <w:r w:rsidRPr="0031621E">
              <w:rPr>
                <w:sz w:val="20"/>
                <w:szCs w:val="20"/>
              </w:rPr>
              <w:t xml:space="preserve">Infection-related mortality (N=2143) RR=0.14 (CI 0.02,1.29) </w:t>
            </w:r>
          </w:p>
          <w:p w14:paraId="58AF6D21" w14:textId="77777777" w:rsidR="00FC0BA8" w:rsidRPr="0031621E" w:rsidRDefault="00FC0BA8" w:rsidP="00F27111">
            <w:pPr>
              <w:rPr>
                <w:sz w:val="20"/>
                <w:szCs w:val="20"/>
              </w:rPr>
            </w:pPr>
            <w:r w:rsidRPr="0031621E">
              <w:rPr>
                <w:sz w:val="20"/>
                <w:szCs w:val="20"/>
              </w:rPr>
              <w:t xml:space="preserve">From “Additional Summary of Findings” table </w:t>
            </w:r>
            <w:r w:rsidRPr="0031621E">
              <w:rPr>
                <w:sz w:val="20"/>
                <w:szCs w:val="20"/>
              </w:rPr>
              <w:lastRenderedPageBreak/>
              <w:t>(Page 21):</w:t>
            </w:r>
          </w:p>
          <w:p w14:paraId="5CFA6CB1" w14:textId="77777777" w:rsidR="00FC0BA8" w:rsidRPr="0031621E" w:rsidRDefault="00FC0BA8" w:rsidP="00F27111">
            <w:pPr>
              <w:rPr>
                <w:sz w:val="20"/>
                <w:szCs w:val="20"/>
              </w:rPr>
            </w:pPr>
            <w:r w:rsidRPr="0031621E">
              <w:rPr>
                <w:sz w:val="20"/>
                <w:szCs w:val="20"/>
              </w:rPr>
              <w:t>Severe Neutropenia (Grade IV) (N=712) RR=0.44 (CI 0.17,1.18)</w:t>
            </w:r>
          </w:p>
          <w:p w14:paraId="0E28BD1D" w14:textId="77777777" w:rsidR="00FC0BA8" w:rsidRPr="0031621E" w:rsidRDefault="00FC0BA8" w:rsidP="00F27111">
            <w:pPr>
              <w:rPr>
                <w:sz w:val="20"/>
                <w:szCs w:val="20"/>
              </w:rPr>
            </w:pPr>
            <w:r w:rsidRPr="0031621E">
              <w:rPr>
                <w:sz w:val="20"/>
                <w:szCs w:val="20"/>
              </w:rPr>
              <w:t>Infections (N=210) RR=0.86 (CI 0.72,1.02)</w:t>
            </w:r>
          </w:p>
          <w:p w14:paraId="4BEBA9D9" w14:textId="77777777" w:rsidR="00FC0BA8" w:rsidRPr="0031621E" w:rsidRDefault="00FC0BA8" w:rsidP="00F27111">
            <w:pPr>
              <w:rPr>
                <w:sz w:val="20"/>
                <w:szCs w:val="20"/>
              </w:rPr>
            </w:pPr>
            <w:r w:rsidRPr="0031621E">
              <w:rPr>
                <w:sz w:val="20"/>
                <w:szCs w:val="20"/>
              </w:rPr>
              <w:t>Hospitalization (N=1149) RR=0.14 (CI 0.06,0.3)</w:t>
            </w:r>
          </w:p>
          <w:p w14:paraId="2ADFB908" w14:textId="77777777" w:rsidR="00FC0BA8" w:rsidRPr="0031621E" w:rsidRDefault="00FC0BA8" w:rsidP="00F27111">
            <w:pPr>
              <w:rPr>
                <w:sz w:val="20"/>
                <w:szCs w:val="20"/>
              </w:rPr>
            </w:pPr>
            <w:r w:rsidRPr="0031621E">
              <w:rPr>
                <w:sz w:val="20"/>
                <w:szCs w:val="20"/>
              </w:rPr>
              <w:t>IV Antibiotics (N=1568) RR=0.35 (CI 0.22,0.55)</w:t>
            </w:r>
          </w:p>
          <w:p w14:paraId="63CA4185" w14:textId="77777777" w:rsidR="00FC0BA8" w:rsidRPr="0031621E" w:rsidRDefault="00FC0BA8" w:rsidP="00F27111">
            <w:pPr>
              <w:rPr>
                <w:sz w:val="20"/>
                <w:szCs w:val="20"/>
              </w:rPr>
            </w:pPr>
            <w:r w:rsidRPr="0031621E">
              <w:rPr>
                <w:sz w:val="20"/>
                <w:szCs w:val="20"/>
              </w:rPr>
              <w:t xml:space="preserve">Rate of patients who received the planned chemotherapy doses at scheduled times and doses (N=1588) RR=1.05 (CI 0.97,1.13) </w:t>
            </w:r>
          </w:p>
          <w:p w14:paraId="61406E72" w14:textId="77777777" w:rsidR="00FC0BA8" w:rsidRPr="0031621E" w:rsidRDefault="00FC0BA8" w:rsidP="00F27111">
            <w:pPr>
              <w:rPr>
                <w:sz w:val="20"/>
                <w:szCs w:val="20"/>
              </w:rPr>
            </w:pPr>
          </w:p>
        </w:tc>
        <w:tc>
          <w:tcPr>
            <w:tcW w:w="3394" w:type="dxa"/>
          </w:tcPr>
          <w:p w14:paraId="7FD9F12A" w14:textId="77777777" w:rsidR="00FC0BA8" w:rsidRPr="0031621E" w:rsidRDefault="00FC0BA8" w:rsidP="00F27111">
            <w:pPr>
              <w:rPr>
                <w:sz w:val="20"/>
                <w:szCs w:val="20"/>
              </w:rPr>
            </w:pPr>
            <w:r w:rsidRPr="0031621E">
              <w:rPr>
                <w:sz w:val="20"/>
                <w:szCs w:val="20"/>
              </w:rPr>
              <w:lastRenderedPageBreak/>
              <w:t>Patients with breast cancer in randomized control trials receiving primary prophylactic G-CSF/GM-CSF vs. no primary G-CSF/GM-CSF:</w:t>
            </w:r>
          </w:p>
          <w:p w14:paraId="6705CBB8" w14:textId="77777777" w:rsidR="00FC0BA8" w:rsidRPr="0031621E" w:rsidRDefault="00FC0BA8" w:rsidP="00F27111">
            <w:pPr>
              <w:rPr>
                <w:sz w:val="20"/>
                <w:szCs w:val="20"/>
              </w:rPr>
            </w:pPr>
            <w:r w:rsidRPr="0031621E">
              <w:rPr>
                <w:sz w:val="20"/>
                <w:szCs w:val="20"/>
              </w:rPr>
              <w:t>Bone pain (N=388) RR=5.88 (CI 2.54,13.6)</w:t>
            </w:r>
          </w:p>
          <w:p w14:paraId="64654E99" w14:textId="77777777" w:rsidR="00FC0BA8" w:rsidRPr="0031621E" w:rsidRDefault="00FC0BA8" w:rsidP="00F27111">
            <w:pPr>
              <w:rPr>
                <w:sz w:val="20"/>
                <w:szCs w:val="20"/>
              </w:rPr>
            </w:pPr>
            <w:r w:rsidRPr="0031621E">
              <w:rPr>
                <w:sz w:val="20"/>
                <w:szCs w:val="20"/>
              </w:rPr>
              <w:t>Injection-site Reaction (N=262) RR=3.59 (CI 2.33,5.53)</w:t>
            </w:r>
          </w:p>
        </w:tc>
        <w:tc>
          <w:tcPr>
            <w:tcW w:w="1953" w:type="dxa"/>
          </w:tcPr>
          <w:p w14:paraId="1D852DFC" w14:textId="77777777" w:rsidR="00FC0BA8" w:rsidRPr="0031621E" w:rsidRDefault="00FC0BA8" w:rsidP="00F27111">
            <w:pPr>
              <w:rPr>
                <w:sz w:val="20"/>
                <w:szCs w:val="20"/>
              </w:rPr>
            </w:pPr>
            <w:r w:rsidRPr="0031621E">
              <w:rPr>
                <w:sz w:val="20"/>
                <w:szCs w:val="20"/>
              </w:rPr>
              <w:t>Patients with breast cancer</w:t>
            </w:r>
          </w:p>
        </w:tc>
      </w:tr>
      <w:tr w:rsidR="00FC0BA8" w:rsidRPr="0031621E" w14:paraId="1D6D6FCF" w14:textId="77777777" w:rsidTr="00F27111">
        <w:tc>
          <w:tcPr>
            <w:tcW w:w="1596" w:type="dxa"/>
          </w:tcPr>
          <w:p w14:paraId="0C6ECC83" w14:textId="77777777" w:rsidR="00FC0BA8" w:rsidRPr="0031621E" w:rsidRDefault="00FC0BA8" w:rsidP="00F27111">
            <w:pPr>
              <w:rPr>
                <w:sz w:val="20"/>
                <w:szCs w:val="20"/>
              </w:rPr>
            </w:pPr>
            <w:r w:rsidRPr="0031621E">
              <w:rPr>
                <w:sz w:val="20"/>
                <w:szCs w:val="20"/>
              </w:rPr>
              <w:lastRenderedPageBreak/>
              <w:t>Cooper 2011</w:t>
            </w:r>
          </w:p>
        </w:tc>
        <w:tc>
          <w:tcPr>
            <w:tcW w:w="1902" w:type="dxa"/>
          </w:tcPr>
          <w:p w14:paraId="11A86B86" w14:textId="77777777" w:rsidR="00FC0BA8" w:rsidRPr="0031621E" w:rsidRDefault="00FC0BA8" w:rsidP="00F27111">
            <w:pPr>
              <w:rPr>
                <w:sz w:val="20"/>
                <w:szCs w:val="20"/>
              </w:rPr>
            </w:pPr>
            <w:r w:rsidRPr="0031621E">
              <w:rPr>
                <w:sz w:val="20"/>
                <w:szCs w:val="20"/>
              </w:rPr>
              <w:t xml:space="preserve">Meta-analysis 13 studies (5 </w:t>
            </w:r>
            <w:proofErr w:type="spellStart"/>
            <w:r w:rsidRPr="0031621E">
              <w:rPr>
                <w:sz w:val="20"/>
                <w:szCs w:val="20"/>
              </w:rPr>
              <w:t>Pegfilgrastim</w:t>
            </w:r>
            <w:proofErr w:type="spellEnd"/>
            <w:r w:rsidRPr="0031621E">
              <w:rPr>
                <w:sz w:val="20"/>
                <w:szCs w:val="20"/>
              </w:rPr>
              <w:t xml:space="preserve">, 10 </w:t>
            </w:r>
            <w:proofErr w:type="spellStart"/>
            <w:r w:rsidRPr="0031621E">
              <w:rPr>
                <w:sz w:val="20"/>
                <w:szCs w:val="20"/>
              </w:rPr>
              <w:t>Filgrastim</w:t>
            </w:r>
            <w:proofErr w:type="spellEnd"/>
            <w:r w:rsidRPr="0031621E">
              <w:rPr>
                <w:sz w:val="20"/>
                <w:szCs w:val="20"/>
              </w:rPr>
              <w:t xml:space="preserve">, 5 </w:t>
            </w:r>
            <w:proofErr w:type="spellStart"/>
            <w:r w:rsidRPr="0031621E">
              <w:rPr>
                <w:sz w:val="20"/>
                <w:szCs w:val="20"/>
              </w:rPr>
              <w:t>Lenograstim</w:t>
            </w:r>
            <w:proofErr w:type="spellEnd"/>
            <w:r w:rsidRPr="0031621E">
              <w:rPr>
                <w:sz w:val="20"/>
                <w:szCs w:val="20"/>
              </w:rPr>
              <w:t xml:space="preserve">); outcome=FN incidence. </w:t>
            </w:r>
          </w:p>
        </w:tc>
        <w:tc>
          <w:tcPr>
            <w:tcW w:w="4331" w:type="dxa"/>
          </w:tcPr>
          <w:p w14:paraId="0531B46C" w14:textId="77777777" w:rsidR="00FC0BA8" w:rsidRPr="0031621E" w:rsidRDefault="00FC0BA8" w:rsidP="00F27111">
            <w:pPr>
              <w:rPr>
                <w:sz w:val="20"/>
                <w:szCs w:val="20"/>
              </w:rPr>
            </w:pPr>
            <w:r w:rsidRPr="0031621E">
              <w:rPr>
                <w:b/>
                <w:sz w:val="20"/>
                <w:szCs w:val="20"/>
              </w:rPr>
              <w:t>From Figure 2:</w:t>
            </w:r>
            <w:r w:rsidRPr="0031621E">
              <w:rPr>
                <w:sz w:val="20"/>
                <w:szCs w:val="20"/>
              </w:rPr>
              <w:t xml:space="preserve"> Risk ratios for FN incidence</w:t>
            </w:r>
          </w:p>
          <w:p w14:paraId="5EE34450" w14:textId="77777777" w:rsidR="00FC0BA8" w:rsidRPr="0031621E" w:rsidRDefault="00FC0BA8" w:rsidP="00F27111">
            <w:pPr>
              <w:rPr>
                <w:sz w:val="20"/>
                <w:szCs w:val="20"/>
              </w:rPr>
            </w:pPr>
            <w:r w:rsidRPr="0031621E">
              <w:rPr>
                <w:sz w:val="20"/>
                <w:szCs w:val="20"/>
              </w:rPr>
              <w:t>(</w:t>
            </w:r>
            <w:r w:rsidRPr="0031621E">
              <w:rPr>
                <w:b/>
                <w:sz w:val="20"/>
                <w:szCs w:val="20"/>
              </w:rPr>
              <w:t>From Section 4.1.1</w:t>
            </w:r>
            <w:r w:rsidRPr="0031621E">
              <w:rPr>
                <w:sz w:val="20"/>
                <w:szCs w:val="20"/>
              </w:rPr>
              <w:t xml:space="preserve">) Patients with solid tumors or lymphoma for </w:t>
            </w:r>
            <w:proofErr w:type="spellStart"/>
            <w:r w:rsidRPr="0031621E">
              <w:rPr>
                <w:sz w:val="20"/>
                <w:szCs w:val="20"/>
              </w:rPr>
              <w:t>Pegfilgrastim</w:t>
            </w:r>
            <w:proofErr w:type="spellEnd"/>
            <w:r w:rsidRPr="0031621E">
              <w:rPr>
                <w:sz w:val="20"/>
                <w:szCs w:val="20"/>
              </w:rPr>
              <w:t xml:space="preserve"> vs. none in five studies: 0.08 (CI 0.03, 0.18) - 0.77 (CI 0.23, 2.60)</w:t>
            </w:r>
          </w:p>
          <w:p w14:paraId="4FC089ED" w14:textId="77777777" w:rsidR="00FC0BA8" w:rsidRPr="0031621E" w:rsidRDefault="00FC0BA8" w:rsidP="00F27111">
            <w:pPr>
              <w:rPr>
                <w:sz w:val="20"/>
                <w:szCs w:val="20"/>
              </w:rPr>
            </w:pPr>
            <w:r w:rsidRPr="0031621E">
              <w:rPr>
                <w:sz w:val="20"/>
                <w:szCs w:val="20"/>
              </w:rPr>
              <w:t xml:space="preserve">Overall for </w:t>
            </w:r>
            <w:proofErr w:type="spellStart"/>
            <w:r w:rsidRPr="0031621E">
              <w:rPr>
                <w:sz w:val="20"/>
                <w:szCs w:val="20"/>
              </w:rPr>
              <w:t>Pegfilgrastim</w:t>
            </w:r>
            <w:proofErr w:type="spellEnd"/>
            <w:r w:rsidRPr="0031621E">
              <w:rPr>
                <w:sz w:val="20"/>
                <w:szCs w:val="20"/>
              </w:rPr>
              <w:t xml:space="preserve"> (N=2060): 0.30 (CI 0.14, 0.65)</w:t>
            </w:r>
          </w:p>
          <w:p w14:paraId="28783346" w14:textId="77777777" w:rsidR="00FC0BA8" w:rsidRPr="0031621E" w:rsidRDefault="00FC0BA8" w:rsidP="00F27111">
            <w:pPr>
              <w:rPr>
                <w:sz w:val="20"/>
                <w:szCs w:val="20"/>
              </w:rPr>
            </w:pPr>
            <w:r w:rsidRPr="0031621E">
              <w:rPr>
                <w:sz w:val="20"/>
                <w:szCs w:val="20"/>
              </w:rPr>
              <w:t>(</w:t>
            </w:r>
            <w:r w:rsidRPr="0031621E">
              <w:rPr>
                <w:b/>
                <w:sz w:val="20"/>
                <w:szCs w:val="20"/>
              </w:rPr>
              <w:t>From Section 4.1.2</w:t>
            </w:r>
            <w:r w:rsidRPr="0031621E">
              <w:rPr>
                <w:sz w:val="20"/>
                <w:szCs w:val="20"/>
              </w:rPr>
              <w:t xml:space="preserve">) Patients with solid tumors or lymphoma for </w:t>
            </w:r>
            <w:proofErr w:type="spellStart"/>
            <w:r w:rsidRPr="0031621E">
              <w:rPr>
                <w:sz w:val="20"/>
                <w:szCs w:val="20"/>
              </w:rPr>
              <w:t>Filgrastim</w:t>
            </w:r>
            <w:proofErr w:type="spellEnd"/>
            <w:r w:rsidRPr="0031621E">
              <w:rPr>
                <w:sz w:val="20"/>
                <w:szCs w:val="20"/>
              </w:rPr>
              <w:t xml:space="preserve"> vs. none in ten studies: </w:t>
            </w:r>
          </w:p>
          <w:p w14:paraId="2653C6AB" w14:textId="77777777" w:rsidR="00FC0BA8" w:rsidRPr="0031621E" w:rsidRDefault="00FC0BA8" w:rsidP="00F27111">
            <w:pPr>
              <w:rPr>
                <w:sz w:val="20"/>
                <w:szCs w:val="20"/>
              </w:rPr>
            </w:pPr>
            <w:r w:rsidRPr="0031621E">
              <w:rPr>
                <w:sz w:val="20"/>
                <w:szCs w:val="20"/>
              </w:rPr>
              <w:t>0.25 (CI 0.09, 0.72) - 0.82 (CI 0.64, 1.04)</w:t>
            </w:r>
          </w:p>
          <w:p w14:paraId="76F95779" w14:textId="77777777" w:rsidR="00FC0BA8" w:rsidRPr="0031621E" w:rsidRDefault="00FC0BA8" w:rsidP="00F27111">
            <w:pPr>
              <w:rPr>
                <w:sz w:val="20"/>
                <w:szCs w:val="20"/>
              </w:rPr>
            </w:pPr>
            <w:r w:rsidRPr="0031621E">
              <w:rPr>
                <w:sz w:val="20"/>
                <w:szCs w:val="20"/>
              </w:rPr>
              <w:t xml:space="preserve">Overall for </w:t>
            </w:r>
            <w:proofErr w:type="spellStart"/>
            <w:r w:rsidRPr="0031621E">
              <w:rPr>
                <w:sz w:val="20"/>
                <w:szCs w:val="20"/>
              </w:rPr>
              <w:t>Filgrastim</w:t>
            </w:r>
            <w:proofErr w:type="spellEnd"/>
            <w:r w:rsidRPr="0031621E">
              <w:rPr>
                <w:sz w:val="20"/>
                <w:szCs w:val="20"/>
              </w:rPr>
              <w:t xml:space="preserve"> (N=2183): 0.57 (CI 0.48, 0.69)</w:t>
            </w:r>
          </w:p>
          <w:p w14:paraId="569DB67D" w14:textId="77777777" w:rsidR="00FC0BA8" w:rsidRPr="0031621E" w:rsidRDefault="00FC0BA8" w:rsidP="00F27111">
            <w:pPr>
              <w:rPr>
                <w:sz w:val="20"/>
                <w:szCs w:val="20"/>
              </w:rPr>
            </w:pPr>
            <w:r w:rsidRPr="0031621E">
              <w:rPr>
                <w:sz w:val="20"/>
                <w:szCs w:val="20"/>
              </w:rPr>
              <w:t>(</w:t>
            </w:r>
            <w:r w:rsidRPr="0031621E">
              <w:rPr>
                <w:b/>
                <w:sz w:val="20"/>
                <w:szCs w:val="20"/>
              </w:rPr>
              <w:t>From Section 4.1.3</w:t>
            </w:r>
            <w:r w:rsidRPr="0031621E">
              <w:rPr>
                <w:sz w:val="20"/>
                <w:szCs w:val="20"/>
              </w:rPr>
              <w:t xml:space="preserve">) Patients with solid tumors or lymphoma for </w:t>
            </w:r>
            <w:proofErr w:type="spellStart"/>
            <w:r w:rsidRPr="0031621E">
              <w:rPr>
                <w:sz w:val="20"/>
                <w:szCs w:val="20"/>
              </w:rPr>
              <w:t>Lenograstim</w:t>
            </w:r>
            <w:proofErr w:type="spellEnd"/>
            <w:r w:rsidRPr="0031621E">
              <w:rPr>
                <w:sz w:val="20"/>
                <w:szCs w:val="20"/>
              </w:rPr>
              <w:t xml:space="preserve"> vs. none in five studies: 0.34 (CI 0.15, 0.77) - 0.83 (CI 0.64, 1.08)</w:t>
            </w:r>
          </w:p>
          <w:p w14:paraId="7B6ECB39" w14:textId="77777777" w:rsidR="00FC0BA8" w:rsidRPr="0031621E" w:rsidRDefault="00FC0BA8" w:rsidP="00F27111">
            <w:pPr>
              <w:rPr>
                <w:sz w:val="20"/>
                <w:szCs w:val="20"/>
              </w:rPr>
            </w:pPr>
            <w:r w:rsidRPr="0031621E">
              <w:rPr>
                <w:sz w:val="20"/>
                <w:szCs w:val="20"/>
              </w:rPr>
              <w:t xml:space="preserve">Overall for </w:t>
            </w:r>
            <w:proofErr w:type="spellStart"/>
            <w:r w:rsidRPr="0031621E">
              <w:rPr>
                <w:sz w:val="20"/>
                <w:szCs w:val="20"/>
              </w:rPr>
              <w:t>Lenograstim</w:t>
            </w:r>
            <w:proofErr w:type="spellEnd"/>
            <w:r w:rsidRPr="0031621E">
              <w:rPr>
                <w:sz w:val="20"/>
                <w:szCs w:val="20"/>
              </w:rPr>
              <w:t xml:space="preserve"> (N=467): 0.62 (CI 0.44, 0.88)</w:t>
            </w:r>
          </w:p>
          <w:p w14:paraId="64774689" w14:textId="77777777" w:rsidR="00FC0BA8" w:rsidRPr="0031621E" w:rsidRDefault="00FC0BA8" w:rsidP="00F27111">
            <w:pPr>
              <w:rPr>
                <w:sz w:val="20"/>
                <w:szCs w:val="20"/>
              </w:rPr>
            </w:pPr>
            <w:r w:rsidRPr="0031621E">
              <w:rPr>
                <w:sz w:val="20"/>
                <w:szCs w:val="20"/>
              </w:rPr>
              <w:t>Overall for all treatments (N=4710): 0.51 (CI 0.41, 0.62)</w:t>
            </w:r>
          </w:p>
        </w:tc>
        <w:tc>
          <w:tcPr>
            <w:tcW w:w="3394" w:type="dxa"/>
          </w:tcPr>
          <w:p w14:paraId="4ED9E749" w14:textId="77777777" w:rsidR="00FC0BA8" w:rsidRPr="0031621E" w:rsidRDefault="00FC0BA8" w:rsidP="00F27111">
            <w:pPr>
              <w:rPr>
                <w:sz w:val="20"/>
                <w:szCs w:val="20"/>
              </w:rPr>
            </w:pPr>
            <w:r w:rsidRPr="0031621E">
              <w:rPr>
                <w:sz w:val="20"/>
                <w:szCs w:val="20"/>
              </w:rPr>
              <w:t xml:space="preserve">None listed in Cooper 2011 article (one study includes patients below 18 years old) </w:t>
            </w:r>
          </w:p>
        </w:tc>
        <w:tc>
          <w:tcPr>
            <w:tcW w:w="1953" w:type="dxa"/>
          </w:tcPr>
          <w:p w14:paraId="188ABC7B" w14:textId="77777777" w:rsidR="00FC0BA8" w:rsidRPr="0031621E" w:rsidRDefault="00FC0BA8" w:rsidP="00F27111">
            <w:pPr>
              <w:rPr>
                <w:sz w:val="20"/>
                <w:szCs w:val="20"/>
              </w:rPr>
            </w:pPr>
          </w:p>
        </w:tc>
      </w:tr>
      <w:tr w:rsidR="00FC0BA8" w:rsidRPr="0031621E" w14:paraId="21C1BA28" w14:textId="77777777" w:rsidTr="00F27111">
        <w:tc>
          <w:tcPr>
            <w:tcW w:w="1596" w:type="dxa"/>
          </w:tcPr>
          <w:p w14:paraId="0A6729BA" w14:textId="77777777" w:rsidR="00FC0BA8" w:rsidRPr="0031621E" w:rsidRDefault="00FC0BA8" w:rsidP="00F27111">
            <w:pPr>
              <w:rPr>
                <w:sz w:val="20"/>
                <w:szCs w:val="20"/>
                <w:highlight w:val="red"/>
              </w:rPr>
            </w:pPr>
            <w:proofErr w:type="spellStart"/>
            <w:r w:rsidRPr="0031621E">
              <w:rPr>
                <w:sz w:val="20"/>
                <w:szCs w:val="20"/>
              </w:rPr>
              <w:t>Kuderer</w:t>
            </w:r>
            <w:proofErr w:type="spellEnd"/>
            <w:r w:rsidRPr="0031621E">
              <w:rPr>
                <w:sz w:val="20"/>
                <w:szCs w:val="20"/>
              </w:rPr>
              <w:t xml:space="preserve"> 2011</w:t>
            </w:r>
          </w:p>
        </w:tc>
        <w:tc>
          <w:tcPr>
            <w:tcW w:w="1902" w:type="dxa"/>
          </w:tcPr>
          <w:p w14:paraId="32B869A9" w14:textId="77777777" w:rsidR="00FC0BA8" w:rsidRPr="0031621E" w:rsidRDefault="00FC0BA8" w:rsidP="00F27111">
            <w:pPr>
              <w:rPr>
                <w:sz w:val="20"/>
                <w:szCs w:val="20"/>
              </w:rPr>
            </w:pPr>
            <w:r w:rsidRPr="0031621E">
              <w:rPr>
                <w:sz w:val="20"/>
                <w:szCs w:val="20"/>
              </w:rPr>
              <w:t xml:space="preserve">Meta-analysis (same results were reported in </w:t>
            </w:r>
            <w:proofErr w:type="spellStart"/>
            <w:r w:rsidRPr="0031621E">
              <w:rPr>
                <w:sz w:val="20"/>
                <w:szCs w:val="20"/>
              </w:rPr>
              <w:t>Kuderer</w:t>
            </w:r>
            <w:proofErr w:type="spellEnd"/>
            <w:r w:rsidRPr="0031621E">
              <w:rPr>
                <w:sz w:val="20"/>
                <w:szCs w:val="20"/>
              </w:rPr>
              <w:t xml:space="preserve"> 2007)</w:t>
            </w:r>
          </w:p>
          <w:p w14:paraId="67BA4EDC" w14:textId="77777777" w:rsidR="00FC0BA8" w:rsidRPr="0031621E" w:rsidRDefault="00FC0BA8" w:rsidP="00F27111">
            <w:pPr>
              <w:rPr>
                <w:sz w:val="20"/>
                <w:szCs w:val="20"/>
              </w:rPr>
            </w:pPr>
          </w:p>
        </w:tc>
        <w:tc>
          <w:tcPr>
            <w:tcW w:w="4331" w:type="dxa"/>
          </w:tcPr>
          <w:p w14:paraId="71703F49" w14:textId="77777777" w:rsidR="00FC0BA8" w:rsidRPr="0031621E" w:rsidRDefault="00FC0BA8" w:rsidP="00F27111">
            <w:pPr>
              <w:rPr>
                <w:sz w:val="20"/>
                <w:szCs w:val="20"/>
              </w:rPr>
            </w:pPr>
            <w:r w:rsidRPr="0031621E">
              <w:rPr>
                <w:sz w:val="20"/>
                <w:szCs w:val="20"/>
              </w:rPr>
              <w:t xml:space="preserve">See </w:t>
            </w:r>
            <w:proofErr w:type="spellStart"/>
            <w:r w:rsidRPr="0031621E">
              <w:rPr>
                <w:sz w:val="20"/>
                <w:szCs w:val="20"/>
              </w:rPr>
              <w:t>Kuderer</w:t>
            </w:r>
            <w:proofErr w:type="spellEnd"/>
            <w:r w:rsidRPr="0031621E">
              <w:rPr>
                <w:sz w:val="20"/>
                <w:szCs w:val="20"/>
              </w:rPr>
              <w:t xml:space="preserve"> 2007 below for results.</w:t>
            </w:r>
          </w:p>
        </w:tc>
        <w:tc>
          <w:tcPr>
            <w:tcW w:w="3394" w:type="dxa"/>
          </w:tcPr>
          <w:p w14:paraId="7A38CCE6" w14:textId="77777777" w:rsidR="00FC0BA8" w:rsidRPr="0031621E" w:rsidRDefault="00FC0BA8" w:rsidP="00F27111">
            <w:pPr>
              <w:rPr>
                <w:sz w:val="20"/>
                <w:szCs w:val="20"/>
              </w:rPr>
            </w:pPr>
            <w:r w:rsidRPr="0031621E">
              <w:rPr>
                <w:sz w:val="20"/>
                <w:szCs w:val="20"/>
              </w:rPr>
              <w:t xml:space="preserve">See </w:t>
            </w:r>
            <w:proofErr w:type="spellStart"/>
            <w:r w:rsidRPr="0031621E">
              <w:rPr>
                <w:sz w:val="20"/>
                <w:szCs w:val="20"/>
              </w:rPr>
              <w:t>Kuderer</w:t>
            </w:r>
            <w:proofErr w:type="spellEnd"/>
            <w:r w:rsidRPr="0031621E">
              <w:rPr>
                <w:sz w:val="20"/>
                <w:szCs w:val="20"/>
              </w:rPr>
              <w:t xml:space="preserve"> 2007 below for adverse events. </w:t>
            </w:r>
          </w:p>
        </w:tc>
        <w:tc>
          <w:tcPr>
            <w:tcW w:w="1953" w:type="dxa"/>
          </w:tcPr>
          <w:p w14:paraId="70199DA5" w14:textId="77777777" w:rsidR="00FC0BA8" w:rsidRPr="0031621E" w:rsidRDefault="00FC0BA8" w:rsidP="00F27111">
            <w:pPr>
              <w:rPr>
                <w:sz w:val="20"/>
                <w:szCs w:val="20"/>
              </w:rPr>
            </w:pPr>
            <w:r w:rsidRPr="0031621E">
              <w:rPr>
                <w:sz w:val="20"/>
                <w:szCs w:val="20"/>
              </w:rPr>
              <w:t xml:space="preserve">Results from same meta-analysis were reported in an earlier article (see </w:t>
            </w:r>
            <w:proofErr w:type="spellStart"/>
            <w:r w:rsidRPr="0031621E">
              <w:rPr>
                <w:sz w:val="20"/>
                <w:szCs w:val="20"/>
              </w:rPr>
              <w:t>Kuderer</w:t>
            </w:r>
            <w:proofErr w:type="spellEnd"/>
            <w:r w:rsidRPr="0031621E">
              <w:rPr>
                <w:sz w:val="20"/>
                <w:szCs w:val="20"/>
              </w:rPr>
              <w:t xml:space="preserve"> 2007 below).</w:t>
            </w:r>
          </w:p>
        </w:tc>
      </w:tr>
      <w:tr w:rsidR="00FC0BA8" w:rsidRPr="0031621E" w14:paraId="09CDF16E" w14:textId="77777777" w:rsidTr="00F27111">
        <w:tc>
          <w:tcPr>
            <w:tcW w:w="1596" w:type="dxa"/>
          </w:tcPr>
          <w:p w14:paraId="200F43B6" w14:textId="77777777" w:rsidR="00FC0BA8" w:rsidRPr="0031621E" w:rsidRDefault="00FC0BA8" w:rsidP="00F27111">
            <w:pPr>
              <w:rPr>
                <w:sz w:val="20"/>
                <w:szCs w:val="20"/>
              </w:rPr>
            </w:pPr>
            <w:proofErr w:type="spellStart"/>
            <w:r w:rsidRPr="0031621E">
              <w:rPr>
                <w:sz w:val="20"/>
                <w:szCs w:val="20"/>
              </w:rPr>
              <w:t>Wildiers</w:t>
            </w:r>
            <w:proofErr w:type="spellEnd"/>
            <w:r w:rsidRPr="0031621E">
              <w:rPr>
                <w:sz w:val="20"/>
                <w:szCs w:val="20"/>
              </w:rPr>
              <w:t xml:space="preserve"> 2011</w:t>
            </w:r>
          </w:p>
        </w:tc>
        <w:tc>
          <w:tcPr>
            <w:tcW w:w="1902" w:type="dxa"/>
          </w:tcPr>
          <w:p w14:paraId="04A552EB" w14:textId="77777777" w:rsidR="00FC0BA8" w:rsidRPr="0031621E" w:rsidRDefault="00FC0BA8" w:rsidP="00F27111">
            <w:pPr>
              <w:rPr>
                <w:sz w:val="20"/>
                <w:szCs w:val="20"/>
              </w:rPr>
            </w:pPr>
            <w:r w:rsidRPr="0031621E">
              <w:rPr>
                <w:sz w:val="20"/>
                <w:szCs w:val="20"/>
              </w:rPr>
              <w:t>Systematic review</w:t>
            </w:r>
          </w:p>
          <w:p w14:paraId="556AC4E1" w14:textId="77777777" w:rsidR="00FC0BA8" w:rsidRPr="0031621E" w:rsidRDefault="00FC0BA8" w:rsidP="00F27111">
            <w:pPr>
              <w:rPr>
                <w:sz w:val="20"/>
                <w:szCs w:val="20"/>
              </w:rPr>
            </w:pPr>
            <w:r w:rsidRPr="0031621E">
              <w:rPr>
                <w:sz w:val="20"/>
                <w:szCs w:val="20"/>
              </w:rPr>
              <w:t xml:space="preserve">7 studies of breast cancer and 11 </w:t>
            </w:r>
            <w:r w:rsidRPr="0031621E">
              <w:rPr>
                <w:sz w:val="20"/>
                <w:szCs w:val="20"/>
              </w:rPr>
              <w:lastRenderedPageBreak/>
              <w:t>studies of lymphoma; outcome=relative dose intensity (RDI)</w:t>
            </w:r>
          </w:p>
        </w:tc>
        <w:tc>
          <w:tcPr>
            <w:tcW w:w="4331" w:type="dxa"/>
          </w:tcPr>
          <w:p w14:paraId="7C0FDED3" w14:textId="77777777" w:rsidR="00FC0BA8" w:rsidRPr="0031621E" w:rsidRDefault="00FC0BA8" w:rsidP="00F27111">
            <w:pPr>
              <w:rPr>
                <w:sz w:val="20"/>
                <w:szCs w:val="20"/>
              </w:rPr>
            </w:pPr>
            <w:r w:rsidRPr="0031621E">
              <w:rPr>
                <w:sz w:val="20"/>
                <w:szCs w:val="20"/>
              </w:rPr>
              <w:lastRenderedPageBreak/>
              <w:t>Impact of G-CSF on RDI in patients with breast cancer</w:t>
            </w:r>
          </w:p>
          <w:p w14:paraId="07E444DC" w14:textId="77777777" w:rsidR="00FC0BA8" w:rsidRPr="0031621E" w:rsidRDefault="00FC0BA8" w:rsidP="00F27111">
            <w:pPr>
              <w:rPr>
                <w:b/>
                <w:sz w:val="20"/>
                <w:szCs w:val="20"/>
              </w:rPr>
            </w:pPr>
            <w:r w:rsidRPr="0031621E">
              <w:rPr>
                <w:b/>
                <w:sz w:val="20"/>
                <w:szCs w:val="20"/>
              </w:rPr>
              <w:t>From Table 7:</w:t>
            </w:r>
          </w:p>
          <w:p w14:paraId="5B32574E" w14:textId="77777777" w:rsidR="00FC0BA8" w:rsidRPr="0031621E" w:rsidRDefault="00FC0BA8" w:rsidP="00F27111">
            <w:pPr>
              <w:rPr>
                <w:sz w:val="20"/>
                <w:szCs w:val="20"/>
              </w:rPr>
            </w:pPr>
            <w:r w:rsidRPr="0031621E">
              <w:rPr>
                <w:sz w:val="20"/>
                <w:szCs w:val="20"/>
              </w:rPr>
              <w:lastRenderedPageBreak/>
              <w:t>Four studies showed statistically significantly higher rates of achieving target rates of RDI with G-CSF treatment (compared to no G-CSF or no primary G-CSF), three studies do not show a difference.</w:t>
            </w:r>
          </w:p>
          <w:p w14:paraId="354C2BB2" w14:textId="77777777" w:rsidR="00FC0BA8" w:rsidRPr="0031621E" w:rsidRDefault="00FC0BA8" w:rsidP="00F27111">
            <w:pPr>
              <w:rPr>
                <w:sz w:val="20"/>
                <w:szCs w:val="20"/>
              </w:rPr>
            </w:pPr>
            <w:r w:rsidRPr="0031621E">
              <w:rPr>
                <w:sz w:val="20"/>
                <w:szCs w:val="20"/>
              </w:rPr>
              <w:t>Primary G-CSF prophylaxis led to a statistically significant reduction in chance of receiving RDI &lt;85% OR=0.733 (CI 0.61,0.88) p=0.001</w:t>
            </w:r>
          </w:p>
          <w:p w14:paraId="463515C5" w14:textId="77777777" w:rsidR="00FC0BA8" w:rsidRPr="0031621E" w:rsidRDefault="00FC0BA8" w:rsidP="00F27111">
            <w:pPr>
              <w:rPr>
                <w:sz w:val="20"/>
                <w:szCs w:val="20"/>
              </w:rPr>
            </w:pPr>
            <w:r w:rsidRPr="0031621E">
              <w:rPr>
                <w:sz w:val="20"/>
                <w:szCs w:val="20"/>
              </w:rPr>
              <w:t>Impact of G-CSF on RDI in patients with lymphoma</w:t>
            </w:r>
          </w:p>
          <w:p w14:paraId="7D90F2B1" w14:textId="77777777" w:rsidR="00FC0BA8" w:rsidRPr="0031621E" w:rsidRDefault="00FC0BA8" w:rsidP="00F27111">
            <w:pPr>
              <w:rPr>
                <w:b/>
                <w:sz w:val="20"/>
                <w:szCs w:val="20"/>
              </w:rPr>
            </w:pPr>
            <w:r w:rsidRPr="0031621E">
              <w:rPr>
                <w:b/>
                <w:sz w:val="20"/>
                <w:szCs w:val="20"/>
              </w:rPr>
              <w:t>From Table 8:</w:t>
            </w:r>
          </w:p>
          <w:p w14:paraId="3CBB5F1F" w14:textId="77777777" w:rsidR="00FC0BA8" w:rsidRPr="0031621E" w:rsidRDefault="00FC0BA8" w:rsidP="00F27111">
            <w:pPr>
              <w:rPr>
                <w:sz w:val="20"/>
                <w:szCs w:val="20"/>
              </w:rPr>
            </w:pPr>
            <w:r w:rsidRPr="0031621E">
              <w:rPr>
                <w:sz w:val="20"/>
                <w:szCs w:val="20"/>
              </w:rPr>
              <w:t>Seven studies showed statistically significantly higher rates of achieving target rates of RDI with G-CSF treatment (compared to no G-CSF or no primary G-CSF), three studies do not show a difference.</w:t>
            </w:r>
          </w:p>
          <w:p w14:paraId="7B3CF49C" w14:textId="77777777" w:rsidR="00FC0BA8" w:rsidRPr="0031621E" w:rsidRDefault="00FC0BA8" w:rsidP="00F27111">
            <w:pPr>
              <w:rPr>
                <w:sz w:val="20"/>
                <w:szCs w:val="20"/>
              </w:rPr>
            </w:pPr>
            <w:r w:rsidRPr="0031621E">
              <w:rPr>
                <w:sz w:val="20"/>
                <w:szCs w:val="20"/>
              </w:rPr>
              <w:t>Primary G-CSF prophylaxis led to a statistically significant reduction in chance of receiving RDI &lt;85% OR=0.70 (CI 0.55,0.89)</w:t>
            </w:r>
          </w:p>
        </w:tc>
        <w:tc>
          <w:tcPr>
            <w:tcW w:w="3394" w:type="dxa"/>
          </w:tcPr>
          <w:p w14:paraId="6C810865" w14:textId="77777777" w:rsidR="00FC0BA8" w:rsidRPr="0031621E" w:rsidRDefault="00FC0BA8" w:rsidP="00F27111">
            <w:pPr>
              <w:rPr>
                <w:sz w:val="20"/>
                <w:szCs w:val="20"/>
              </w:rPr>
            </w:pPr>
            <w:r w:rsidRPr="0031621E">
              <w:rPr>
                <w:sz w:val="20"/>
                <w:szCs w:val="20"/>
              </w:rPr>
              <w:lastRenderedPageBreak/>
              <w:t>None listed in article</w:t>
            </w:r>
          </w:p>
        </w:tc>
        <w:tc>
          <w:tcPr>
            <w:tcW w:w="1953" w:type="dxa"/>
          </w:tcPr>
          <w:p w14:paraId="2D2BF11F" w14:textId="77777777" w:rsidR="00FC0BA8" w:rsidRPr="0031621E" w:rsidRDefault="00FC0BA8" w:rsidP="00F27111">
            <w:pPr>
              <w:rPr>
                <w:sz w:val="20"/>
                <w:szCs w:val="20"/>
              </w:rPr>
            </w:pPr>
          </w:p>
        </w:tc>
      </w:tr>
      <w:tr w:rsidR="00FC0BA8" w:rsidRPr="0031621E" w14:paraId="7D7F5CEB" w14:textId="77777777" w:rsidTr="00F27111">
        <w:tc>
          <w:tcPr>
            <w:tcW w:w="1596" w:type="dxa"/>
          </w:tcPr>
          <w:p w14:paraId="3CB3C128" w14:textId="77777777" w:rsidR="00FC0BA8" w:rsidRPr="0031621E" w:rsidRDefault="00FC0BA8" w:rsidP="00F27111">
            <w:pPr>
              <w:rPr>
                <w:sz w:val="20"/>
                <w:szCs w:val="20"/>
              </w:rPr>
            </w:pPr>
            <w:r w:rsidRPr="0031621E">
              <w:rPr>
                <w:sz w:val="20"/>
                <w:szCs w:val="20"/>
              </w:rPr>
              <w:lastRenderedPageBreak/>
              <w:t>Lyman 2010</w:t>
            </w:r>
          </w:p>
        </w:tc>
        <w:tc>
          <w:tcPr>
            <w:tcW w:w="1902" w:type="dxa"/>
          </w:tcPr>
          <w:p w14:paraId="5705FE36" w14:textId="77777777" w:rsidR="00FC0BA8" w:rsidRPr="0031621E" w:rsidRDefault="00FC0BA8" w:rsidP="00F27111">
            <w:pPr>
              <w:rPr>
                <w:sz w:val="20"/>
                <w:szCs w:val="20"/>
              </w:rPr>
            </w:pPr>
            <w:r w:rsidRPr="0031621E">
              <w:rPr>
                <w:sz w:val="20"/>
                <w:szCs w:val="20"/>
              </w:rPr>
              <w:t>Meta-analysis</w:t>
            </w:r>
          </w:p>
          <w:p w14:paraId="1BF63FED" w14:textId="77777777" w:rsidR="00FC0BA8" w:rsidRPr="0031621E" w:rsidRDefault="00FC0BA8" w:rsidP="00F27111">
            <w:pPr>
              <w:rPr>
                <w:sz w:val="20"/>
                <w:szCs w:val="20"/>
              </w:rPr>
            </w:pPr>
            <w:r w:rsidRPr="0031621E">
              <w:rPr>
                <w:sz w:val="20"/>
                <w:szCs w:val="20"/>
              </w:rPr>
              <w:t>outcomes= acute myeloid leukemia/ myelodysplastic syndrome (AML/MDS) and all-cause mortality; 23 studies for AML/MDS and 25 studies for all-cause mortality;</w:t>
            </w:r>
          </w:p>
        </w:tc>
        <w:tc>
          <w:tcPr>
            <w:tcW w:w="4331" w:type="dxa"/>
          </w:tcPr>
          <w:p w14:paraId="50FF2690" w14:textId="77777777" w:rsidR="00FC0BA8" w:rsidRPr="0031621E" w:rsidRDefault="00FC0BA8" w:rsidP="00F27111">
            <w:pPr>
              <w:rPr>
                <w:b/>
                <w:sz w:val="20"/>
                <w:szCs w:val="20"/>
              </w:rPr>
            </w:pPr>
            <w:r w:rsidRPr="0031621E">
              <w:rPr>
                <w:b/>
                <w:sz w:val="20"/>
                <w:szCs w:val="20"/>
              </w:rPr>
              <w:t>From Table 2:</w:t>
            </w:r>
          </w:p>
          <w:p w14:paraId="67773661" w14:textId="77777777" w:rsidR="00FC0BA8" w:rsidRPr="0031621E" w:rsidRDefault="00FC0BA8" w:rsidP="00F27111">
            <w:pPr>
              <w:rPr>
                <w:sz w:val="20"/>
                <w:szCs w:val="20"/>
              </w:rPr>
            </w:pPr>
            <w:r w:rsidRPr="0031621E">
              <w:rPr>
                <w:sz w:val="20"/>
                <w:szCs w:val="20"/>
              </w:rPr>
              <w:t>Risk ratio for AML/MDS among patients treated with G-CSF vs. no CSF</w:t>
            </w:r>
          </w:p>
          <w:p w14:paraId="636E1FCC" w14:textId="77777777" w:rsidR="00FC0BA8" w:rsidRPr="0031621E" w:rsidRDefault="00FC0BA8" w:rsidP="00F27111">
            <w:pPr>
              <w:rPr>
                <w:sz w:val="20"/>
                <w:szCs w:val="20"/>
              </w:rPr>
            </w:pPr>
            <w:r w:rsidRPr="0031621E">
              <w:rPr>
                <w:sz w:val="20"/>
                <w:szCs w:val="20"/>
              </w:rPr>
              <w:t>Breast (7 studies): 1.811 (CI 0.897, 3.656)</w:t>
            </w:r>
          </w:p>
          <w:p w14:paraId="12C6B8EB" w14:textId="77777777" w:rsidR="00FC0BA8" w:rsidRPr="0031621E" w:rsidRDefault="00FC0BA8" w:rsidP="00F27111">
            <w:pPr>
              <w:rPr>
                <w:sz w:val="20"/>
                <w:szCs w:val="20"/>
              </w:rPr>
            </w:pPr>
            <w:r w:rsidRPr="0031621E">
              <w:rPr>
                <w:sz w:val="20"/>
                <w:szCs w:val="20"/>
              </w:rPr>
              <w:t>Endometrial (2 studies): 2.916 (CI 0.305, 27.872)</w:t>
            </w:r>
          </w:p>
          <w:p w14:paraId="6CB0C0BF" w14:textId="77777777" w:rsidR="00FC0BA8" w:rsidRPr="0031621E" w:rsidRDefault="00FC0BA8" w:rsidP="00F27111">
            <w:pPr>
              <w:rPr>
                <w:sz w:val="20"/>
                <w:szCs w:val="20"/>
              </w:rPr>
            </w:pPr>
            <w:r w:rsidRPr="0031621E">
              <w:rPr>
                <w:sz w:val="20"/>
                <w:szCs w:val="20"/>
              </w:rPr>
              <w:t xml:space="preserve">Germ Cells (1 study): 0.336 (CI 0.014, 8.170) Hodgkin’s Lymphoma (1 study): 2.013 (CI 0.820, 4.942) </w:t>
            </w:r>
          </w:p>
          <w:p w14:paraId="53DF5420" w14:textId="77777777" w:rsidR="00FC0BA8" w:rsidRPr="0031621E" w:rsidRDefault="00FC0BA8" w:rsidP="00F27111">
            <w:pPr>
              <w:rPr>
                <w:sz w:val="20"/>
                <w:szCs w:val="20"/>
              </w:rPr>
            </w:pPr>
            <w:r w:rsidRPr="0031621E">
              <w:rPr>
                <w:sz w:val="20"/>
                <w:szCs w:val="20"/>
              </w:rPr>
              <w:t>Non-Hodgkin’s Lymphoma (8 studies): 2.732 (CI 0.804, 9.280)</w:t>
            </w:r>
          </w:p>
          <w:p w14:paraId="39AB2977" w14:textId="77777777" w:rsidR="00FC0BA8" w:rsidRPr="0031621E" w:rsidRDefault="00FC0BA8" w:rsidP="00F27111">
            <w:pPr>
              <w:rPr>
                <w:sz w:val="20"/>
                <w:szCs w:val="20"/>
              </w:rPr>
            </w:pPr>
            <w:r w:rsidRPr="0031621E">
              <w:rPr>
                <w:sz w:val="20"/>
                <w:szCs w:val="20"/>
              </w:rPr>
              <w:t>Lung (3 studies):0.956 (CI 0.101, 9.072)</w:t>
            </w:r>
          </w:p>
          <w:p w14:paraId="76628BE6" w14:textId="77777777" w:rsidR="00FC0BA8" w:rsidRPr="0031621E" w:rsidRDefault="00FC0BA8" w:rsidP="00F27111">
            <w:pPr>
              <w:rPr>
                <w:sz w:val="20"/>
                <w:szCs w:val="20"/>
              </w:rPr>
            </w:pPr>
            <w:r w:rsidRPr="0031621E">
              <w:rPr>
                <w:sz w:val="20"/>
                <w:szCs w:val="20"/>
              </w:rPr>
              <w:t>Urothelial (1 study): 0.963 (CI 0.061, 15.229)</w:t>
            </w:r>
          </w:p>
          <w:p w14:paraId="3D9DF64F" w14:textId="77777777" w:rsidR="00FC0BA8" w:rsidRPr="0031621E" w:rsidRDefault="00FC0BA8" w:rsidP="00F27111">
            <w:pPr>
              <w:rPr>
                <w:sz w:val="20"/>
                <w:szCs w:val="20"/>
              </w:rPr>
            </w:pPr>
            <w:r w:rsidRPr="0031621E">
              <w:rPr>
                <w:sz w:val="20"/>
                <w:szCs w:val="20"/>
              </w:rPr>
              <w:t xml:space="preserve">Risk ratio for all-cause mortality among patients treated with G-CSF vs. no CSF </w:t>
            </w:r>
          </w:p>
          <w:p w14:paraId="6FFF02FF" w14:textId="77777777" w:rsidR="00FC0BA8" w:rsidRPr="0031621E" w:rsidRDefault="00FC0BA8" w:rsidP="00F27111">
            <w:pPr>
              <w:rPr>
                <w:sz w:val="20"/>
                <w:szCs w:val="20"/>
              </w:rPr>
            </w:pPr>
            <w:r w:rsidRPr="0031621E">
              <w:rPr>
                <w:sz w:val="20"/>
                <w:szCs w:val="20"/>
              </w:rPr>
              <w:t>Breast (7 studies): 0.902 (CI 0.815, 0.998)</w:t>
            </w:r>
          </w:p>
          <w:p w14:paraId="2522E9B9" w14:textId="77777777" w:rsidR="00FC0BA8" w:rsidRPr="0031621E" w:rsidRDefault="00FC0BA8" w:rsidP="00F27111">
            <w:pPr>
              <w:rPr>
                <w:sz w:val="20"/>
                <w:szCs w:val="20"/>
              </w:rPr>
            </w:pPr>
            <w:r w:rsidRPr="0031621E">
              <w:rPr>
                <w:sz w:val="20"/>
                <w:szCs w:val="20"/>
              </w:rPr>
              <w:t>Endometrial (2 studies): 0.945 (CI 0.874, 1.021)</w:t>
            </w:r>
          </w:p>
          <w:p w14:paraId="476D2610" w14:textId="77777777" w:rsidR="00FC0BA8" w:rsidRPr="0031621E" w:rsidRDefault="00FC0BA8" w:rsidP="00F27111">
            <w:pPr>
              <w:rPr>
                <w:sz w:val="20"/>
                <w:szCs w:val="20"/>
              </w:rPr>
            </w:pPr>
            <w:r w:rsidRPr="0031621E">
              <w:rPr>
                <w:sz w:val="20"/>
                <w:szCs w:val="20"/>
              </w:rPr>
              <w:t xml:space="preserve">Germ Cells (1 study): 0.849 (CI 0.568, 1.269) </w:t>
            </w:r>
          </w:p>
          <w:p w14:paraId="415A1512" w14:textId="77777777" w:rsidR="00FC0BA8" w:rsidRPr="0031621E" w:rsidRDefault="00FC0BA8" w:rsidP="00F27111">
            <w:pPr>
              <w:rPr>
                <w:sz w:val="20"/>
                <w:szCs w:val="20"/>
              </w:rPr>
            </w:pPr>
            <w:r w:rsidRPr="0031621E">
              <w:rPr>
                <w:sz w:val="20"/>
                <w:szCs w:val="20"/>
              </w:rPr>
              <w:t xml:space="preserve">Hodgkin’s Lymphoma (1 study): 0.660 (CI 0.452, </w:t>
            </w:r>
            <w:r w:rsidRPr="0031621E">
              <w:rPr>
                <w:sz w:val="20"/>
                <w:szCs w:val="20"/>
              </w:rPr>
              <w:lastRenderedPageBreak/>
              <w:t xml:space="preserve">0.963) </w:t>
            </w:r>
          </w:p>
          <w:p w14:paraId="37E7248A" w14:textId="77777777" w:rsidR="00FC0BA8" w:rsidRPr="0031621E" w:rsidRDefault="00FC0BA8" w:rsidP="00F27111">
            <w:pPr>
              <w:rPr>
                <w:sz w:val="20"/>
                <w:szCs w:val="20"/>
              </w:rPr>
            </w:pPr>
            <w:r w:rsidRPr="0031621E">
              <w:rPr>
                <w:sz w:val="20"/>
                <w:szCs w:val="20"/>
              </w:rPr>
              <w:t>Non-Hodgkin’s Lymphoma (10 studies): 0.895 (CI 0.832, 0.963)</w:t>
            </w:r>
          </w:p>
          <w:p w14:paraId="3971832C" w14:textId="77777777" w:rsidR="00FC0BA8" w:rsidRPr="0031621E" w:rsidRDefault="00FC0BA8" w:rsidP="00F27111">
            <w:pPr>
              <w:rPr>
                <w:sz w:val="20"/>
                <w:szCs w:val="20"/>
              </w:rPr>
            </w:pPr>
            <w:r w:rsidRPr="0031621E">
              <w:rPr>
                <w:sz w:val="20"/>
                <w:szCs w:val="20"/>
              </w:rPr>
              <w:t>Lung (3 studies): 0.945 (CI 0.875, 1.021)</w:t>
            </w:r>
          </w:p>
          <w:p w14:paraId="52C1FBEF" w14:textId="77777777" w:rsidR="00FC0BA8" w:rsidRPr="0031621E" w:rsidRDefault="00FC0BA8" w:rsidP="00F27111">
            <w:pPr>
              <w:rPr>
                <w:sz w:val="20"/>
                <w:szCs w:val="20"/>
              </w:rPr>
            </w:pPr>
            <w:r w:rsidRPr="0031621E">
              <w:rPr>
                <w:sz w:val="20"/>
                <w:szCs w:val="20"/>
              </w:rPr>
              <w:t>Urothelial (1 study) : 0.868 (CI 0.772, 0.977)</w:t>
            </w:r>
          </w:p>
        </w:tc>
        <w:tc>
          <w:tcPr>
            <w:tcW w:w="3394" w:type="dxa"/>
          </w:tcPr>
          <w:p w14:paraId="76EAEE91" w14:textId="77777777" w:rsidR="00FC0BA8" w:rsidRPr="0031621E" w:rsidRDefault="00FC0BA8" w:rsidP="00F27111">
            <w:pPr>
              <w:rPr>
                <w:sz w:val="20"/>
                <w:szCs w:val="20"/>
              </w:rPr>
            </w:pPr>
            <w:r w:rsidRPr="0031621E">
              <w:rPr>
                <w:sz w:val="20"/>
                <w:szCs w:val="20"/>
              </w:rPr>
              <w:lastRenderedPageBreak/>
              <w:t>None listed in article</w:t>
            </w:r>
          </w:p>
        </w:tc>
        <w:tc>
          <w:tcPr>
            <w:tcW w:w="1953" w:type="dxa"/>
          </w:tcPr>
          <w:p w14:paraId="2DCF1C59" w14:textId="77777777" w:rsidR="00FC0BA8" w:rsidRPr="0031621E" w:rsidRDefault="00FC0BA8" w:rsidP="00F27111">
            <w:pPr>
              <w:rPr>
                <w:sz w:val="20"/>
                <w:szCs w:val="20"/>
              </w:rPr>
            </w:pPr>
          </w:p>
        </w:tc>
      </w:tr>
      <w:tr w:rsidR="00FC0BA8" w:rsidRPr="0031621E" w14:paraId="1A43E84A" w14:textId="77777777" w:rsidTr="00F27111">
        <w:tc>
          <w:tcPr>
            <w:tcW w:w="1596" w:type="dxa"/>
          </w:tcPr>
          <w:p w14:paraId="1A1C945E" w14:textId="77777777" w:rsidR="00FC0BA8" w:rsidRPr="0031621E" w:rsidRDefault="00FC0BA8" w:rsidP="00F27111">
            <w:pPr>
              <w:rPr>
                <w:sz w:val="20"/>
                <w:szCs w:val="20"/>
              </w:rPr>
            </w:pPr>
            <w:proofErr w:type="spellStart"/>
            <w:r w:rsidRPr="0031621E">
              <w:rPr>
                <w:sz w:val="20"/>
                <w:szCs w:val="20"/>
              </w:rPr>
              <w:lastRenderedPageBreak/>
              <w:t>Bohlius</w:t>
            </w:r>
            <w:proofErr w:type="spellEnd"/>
            <w:r w:rsidRPr="0031621E">
              <w:rPr>
                <w:sz w:val="20"/>
                <w:szCs w:val="20"/>
              </w:rPr>
              <w:t xml:space="preserve"> 2008</w:t>
            </w:r>
          </w:p>
        </w:tc>
        <w:tc>
          <w:tcPr>
            <w:tcW w:w="1902" w:type="dxa"/>
          </w:tcPr>
          <w:p w14:paraId="55748A54" w14:textId="77777777" w:rsidR="00FC0BA8" w:rsidRPr="0031621E" w:rsidRDefault="00FC0BA8" w:rsidP="00F27111">
            <w:pPr>
              <w:rPr>
                <w:sz w:val="20"/>
                <w:szCs w:val="20"/>
              </w:rPr>
            </w:pPr>
            <w:r w:rsidRPr="0031621E">
              <w:rPr>
                <w:sz w:val="20"/>
                <w:szCs w:val="20"/>
              </w:rPr>
              <w:t xml:space="preserve">Meta-analysis; 13 RCTs (11 survival rate, 6 FFTF, 8 neutropenia, 5 febrile neutropenia ANC&lt;1000, 3 febrile neutropenia ANC&lt;500, 11 infection, 4 parental antibiotics treatment, 11 mortality during chemotherapy, 12 infection related mortality, 13 complete response) Adverse events (9 bone pain, 5 thrombosis and related complications, 2 skin rash, 2 infection site reaction, 2 myalgia, 4 mucositis, 2 headache) </w:t>
            </w:r>
          </w:p>
        </w:tc>
        <w:tc>
          <w:tcPr>
            <w:tcW w:w="4331" w:type="dxa"/>
          </w:tcPr>
          <w:p w14:paraId="72EB8A7C"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From Figure 1:</w:t>
            </w:r>
            <w:r w:rsidRPr="0031621E">
              <w:rPr>
                <w:rFonts w:cs="Times New Roman"/>
                <w:sz w:val="20"/>
                <w:szCs w:val="20"/>
              </w:rPr>
              <w:t xml:space="preserve"> Patients treated with G-CSF and GM-CSF compared to no prophylaxis survival rate in 11 studies: OR=0.33 (CI 0.03, 3.27) – 2.04 (CI 0.55, 7.59)</w:t>
            </w:r>
          </w:p>
          <w:p w14:paraId="512CAC4F"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t xml:space="preserve">Overall survival rate OR=0.97 (CI 0.87 to 1.09) </w:t>
            </w:r>
          </w:p>
          <w:p w14:paraId="39DB36E1"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From Figure 10:</w:t>
            </w:r>
            <w:r w:rsidRPr="0031621E">
              <w:rPr>
                <w:rFonts w:cs="Times New Roman"/>
                <w:sz w:val="20"/>
                <w:szCs w:val="20"/>
              </w:rPr>
              <w:t xml:space="preserve"> Patients treated with G-CSF and GM-CSF compared to no prophylaxis freedom from treatment failure (FFTF) in six studies: OR=0.96 (CI 0.28, 3.31) – 1.41 (CI 0.45, 4.41) </w:t>
            </w:r>
          </w:p>
          <w:p w14:paraId="29D529F6"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t>Overall FFTF OR=1.11 (CI 0.91, 1.35)</w:t>
            </w:r>
          </w:p>
          <w:p w14:paraId="71B77C22"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From Figure 11:</w:t>
            </w:r>
            <w:r w:rsidRPr="0031621E">
              <w:rPr>
                <w:rFonts w:cs="Times New Roman"/>
                <w:sz w:val="20"/>
                <w:szCs w:val="20"/>
              </w:rPr>
              <w:t xml:space="preserve"> Patients treated with G-CSF and GM-CSF compared to no prophylaxis from neutropenia in eight studies: RR=0.42 (CI 0.27, 0.66) – 1.48 (CI 0.57, 3.82)</w:t>
            </w:r>
          </w:p>
          <w:p w14:paraId="27222647"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t>Overall neutropenia RR=0.67 (CI 0.60, 0.73)</w:t>
            </w:r>
          </w:p>
          <w:p w14:paraId="64234A6E"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From Figure 22:</w:t>
            </w:r>
            <w:r w:rsidRPr="0031621E">
              <w:rPr>
                <w:rFonts w:cs="Times New Roman"/>
                <w:sz w:val="20"/>
                <w:szCs w:val="20"/>
              </w:rPr>
              <w:t xml:space="preserve"> Patients treated with G-CSF and GM-CSF compared to no prophylaxis from febrile neutropenia (ANC &lt;1000) in five studies: RR=0.23 (CI 0.03, 1.75) – 1.09 (CI 0.48, 2.48)</w:t>
            </w:r>
          </w:p>
          <w:p w14:paraId="38EB5998"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t xml:space="preserve">Overall febrile neutropenia (ANC&lt;1000) RR=0.74 (CI 0.62, 0.89) </w:t>
            </w:r>
          </w:p>
          <w:p w14:paraId="37D8EAD2"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From Figure 29:</w:t>
            </w:r>
            <w:r w:rsidRPr="0031621E">
              <w:rPr>
                <w:rFonts w:cs="Times New Roman"/>
                <w:sz w:val="20"/>
                <w:szCs w:val="20"/>
              </w:rPr>
              <w:t xml:space="preserve"> Patients treated with G-CSF and GM-CSF compared to no prophylaxis from febrile neutropenia (ANC &lt;500) in three studies: RR=0.42 (CI 0.27, 0.66) – 0.67 (CI 0.48, 0.94)</w:t>
            </w:r>
          </w:p>
          <w:p w14:paraId="17B54286"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t xml:space="preserve">Overall febrile neutropenia (ANC&lt;500) RR=0.59 (CI 0.48, 0.72) </w:t>
            </w:r>
          </w:p>
          <w:p w14:paraId="1FC5C60E"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 xml:space="preserve">From Figure 30: </w:t>
            </w:r>
            <w:r w:rsidRPr="0031621E">
              <w:rPr>
                <w:rFonts w:cs="Times New Roman"/>
                <w:sz w:val="20"/>
                <w:szCs w:val="20"/>
              </w:rPr>
              <w:t>Patients treated with G-CSF and GM-CSF compared to no prophylaxis from infection in 11 studies: RR=0.25 (CI 0.09, 0.72) – 1.33 (CI 0.46, 3.85)</w:t>
            </w:r>
          </w:p>
          <w:p w14:paraId="014BC37B"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lastRenderedPageBreak/>
              <w:t>Overall infection RR=0.74 (CI 0.64 to 0.85)</w:t>
            </w:r>
          </w:p>
          <w:p w14:paraId="52970898"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From Figure 40:</w:t>
            </w:r>
            <w:r w:rsidRPr="0031621E">
              <w:rPr>
                <w:rFonts w:cs="Times New Roman"/>
                <w:sz w:val="20"/>
                <w:szCs w:val="20"/>
              </w:rPr>
              <w:t xml:space="preserve"> Patients treated with G-CSF and GM-CSF compared to no prophylaxis from parental antibiotic treatment in four studies: RR=0.09 (CI 0.00, 1.51) – 1.21 (CI 0.80, 1.83)</w:t>
            </w:r>
          </w:p>
          <w:p w14:paraId="073190EE"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t>Parental antibiotic treatment RR=0.82 (CI 0.57, 1.18)</w:t>
            </w:r>
          </w:p>
          <w:p w14:paraId="1391B402"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From Figure 41:</w:t>
            </w:r>
            <w:r w:rsidRPr="0031621E">
              <w:rPr>
                <w:rFonts w:cs="Times New Roman"/>
                <w:sz w:val="20"/>
                <w:szCs w:val="20"/>
              </w:rPr>
              <w:t xml:space="preserve"> Patients treated with G-CSF and GM-CSF compared to no prophylaxis from mortality during chemotherapy in 11 studies: RR=0.31 (CI 0.01, 6.94) – 3.07 (CI 0.66, 14.37)</w:t>
            </w:r>
          </w:p>
          <w:p w14:paraId="57B37762"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t>Overall mortality during chemotherapy RR=0.93 (CI 0.60, 1.43)</w:t>
            </w:r>
          </w:p>
          <w:p w14:paraId="1AF7CF75"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From Figure 42:</w:t>
            </w:r>
            <w:r w:rsidRPr="0031621E">
              <w:rPr>
                <w:rFonts w:cs="Times New Roman"/>
                <w:sz w:val="20"/>
                <w:szCs w:val="20"/>
              </w:rPr>
              <w:t xml:space="preserve"> Patients treated with G-CSF and GM-CSF compared to no prophylaxis from infection-related mortality during chemotherapy in 12 studies: RR=0.21 (CI 0.02, 1.76) – 6.14 (CI 0.77, 48.87)</w:t>
            </w:r>
          </w:p>
          <w:p w14:paraId="2FDE81B7"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t>Overall infection-related mortality RR=0.93 (CI 0.51, 1.71)</w:t>
            </w:r>
          </w:p>
          <w:p w14:paraId="06230487"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b/>
                <w:sz w:val="20"/>
                <w:szCs w:val="20"/>
              </w:rPr>
              <w:t>From Figure 43:</w:t>
            </w:r>
            <w:r w:rsidRPr="0031621E">
              <w:rPr>
                <w:rFonts w:cs="Times New Roman"/>
                <w:sz w:val="20"/>
                <w:szCs w:val="20"/>
              </w:rPr>
              <w:t xml:space="preserve"> Patients treated with G-CSF and GM-CSF compared to no prophylaxis for complete response in 13 studies: RR=0.88 (CI 0.66, 1.17) – 3.50 (CI 0.40, 30.77)</w:t>
            </w:r>
          </w:p>
          <w:p w14:paraId="0871679E" w14:textId="77777777" w:rsidR="00FC0BA8" w:rsidRPr="0031621E" w:rsidRDefault="00FC0BA8" w:rsidP="00F27111">
            <w:pPr>
              <w:widowControl w:val="0"/>
              <w:autoSpaceDE w:val="0"/>
              <w:autoSpaceDN w:val="0"/>
              <w:adjustRightInd w:val="0"/>
              <w:rPr>
                <w:rFonts w:cs="Times New Roman"/>
                <w:sz w:val="20"/>
                <w:szCs w:val="20"/>
              </w:rPr>
            </w:pPr>
            <w:r w:rsidRPr="0031621E">
              <w:rPr>
                <w:rFonts w:cs="Times New Roman"/>
                <w:sz w:val="20"/>
                <w:szCs w:val="20"/>
              </w:rPr>
              <w:t>Overall complete tumor response RR=1.03 (CI 0.95, 1.10)</w:t>
            </w:r>
          </w:p>
        </w:tc>
        <w:tc>
          <w:tcPr>
            <w:tcW w:w="3394" w:type="dxa"/>
          </w:tcPr>
          <w:p w14:paraId="01A0D133" w14:textId="77777777" w:rsidR="00FC0BA8" w:rsidRPr="0031621E" w:rsidRDefault="00FC0BA8" w:rsidP="00F27111">
            <w:pPr>
              <w:rPr>
                <w:rFonts w:cs="Times New Roman"/>
                <w:sz w:val="20"/>
                <w:szCs w:val="20"/>
              </w:rPr>
            </w:pPr>
            <w:r w:rsidRPr="0031621E">
              <w:rPr>
                <w:rFonts w:cs="Times New Roman"/>
                <w:sz w:val="20"/>
                <w:szCs w:val="20"/>
              </w:rPr>
              <w:lastRenderedPageBreak/>
              <w:t>From Figure 52: Patients treated with G-CSF and GM-CSF compared to no prophylaxis for bone pain in nine studies: RR=1.30 (CI 0.47, 3.60) – 14.29 (CI 0.84, 242.02)</w:t>
            </w:r>
          </w:p>
          <w:p w14:paraId="118638DE" w14:textId="77777777" w:rsidR="00FC0BA8" w:rsidRPr="0031621E" w:rsidRDefault="00FC0BA8" w:rsidP="00F27111">
            <w:pPr>
              <w:rPr>
                <w:rFonts w:cs="Times New Roman"/>
                <w:sz w:val="20"/>
                <w:szCs w:val="20"/>
              </w:rPr>
            </w:pPr>
            <w:r w:rsidRPr="0031621E">
              <w:rPr>
                <w:rFonts w:cs="Times New Roman"/>
                <w:sz w:val="20"/>
                <w:szCs w:val="20"/>
              </w:rPr>
              <w:t>Overall bone pain RR=3.57 (2.09, 6.12)</w:t>
            </w:r>
          </w:p>
          <w:p w14:paraId="65405DFC" w14:textId="77777777" w:rsidR="00FC0BA8" w:rsidRPr="0031621E" w:rsidRDefault="00FC0BA8" w:rsidP="00F27111">
            <w:pPr>
              <w:rPr>
                <w:rFonts w:cs="Times New Roman"/>
                <w:sz w:val="20"/>
                <w:szCs w:val="20"/>
              </w:rPr>
            </w:pPr>
          </w:p>
          <w:p w14:paraId="716280DF" w14:textId="77777777" w:rsidR="00FC0BA8" w:rsidRPr="0031621E" w:rsidRDefault="00FC0BA8" w:rsidP="00F27111">
            <w:pPr>
              <w:rPr>
                <w:rFonts w:cs="Times New Roman"/>
                <w:sz w:val="20"/>
                <w:szCs w:val="20"/>
              </w:rPr>
            </w:pPr>
            <w:r w:rsidRPr="0031621E">
              <w:rPr>
                <w:rFonts w:cs="Times New Roman"/>
                <w:sz w:val="20"/>
                <w:szCs w:val="20"/>
              </w:rPr>
              <w:t xml:space="preserve">From Figure 59: Patients treated with G-CSF and GM-CSF compared to no prophylaxis for thrombosis and related complications in five studies: RR= 0.34 (CI 0.01, 8.14) – 4.76 (CI 0.24, 96.16) </w:t>
            </w:r>
          </w:p>
          <w:p w14:paraId="6AF6D7F5" w14:textId="77777777" w:rsidR="00FC0BA8" w:rsidRPr="0031621E" w:rsidRDefault="00FC0BA8" w:rsidP="00F27111">
            <w:pPr>
              <w:rPr>
                <w:rFonts w:cs="Times New Roman"/>
                <w:sz w:val="20"/>
                <w:szCs w:val="20"/>
              </w:rPr>
            </w:pPr>
            <w:r w:rsidRPr="0031621E">
              <w:rPr>
                <w:rFonts w:cs="Times New Roman"/>
                <w:sz w:val="20"/>
                <w:szCs w:val="20"/>
              </w:rPr>
              <w:t>Overall thrombosis and related complications RR=1.29 (CI 0.56, 3.01)</w:t>
            </w:r>
          </w:p>
          <w:p w14:paraId="1AC7B00B" w14:textId="77777777" w:rsidR="00FC0BA8" w:rsidRPr="0031621E" w:rsidRDefault="00FC0BA8" w:rsidP="00F27111">
            <w:pPr>
              <w:rPr>
                <w:rFonts w:cs="Times New Roman"/>
                <w:sz w:val="20"/>
                <w:szCs w:val="20"/>
              </w:rPr>
            </w:pPr>
          </w:p>
          <w:p w14:paraId="79B947F8" w14:textId="77777777" w:rsidR="00FC0BA8" w:rsidRPr="0031621E" w:rsidRDefault="00FC0BA8" w:rsidP="00F27111">
            <w:pPr>
              <w:rPr>
                <w:rFonts w:cs="Times New Roman"/>
                <w:sz w:val="20"/>
                <w:szCs w:val="20"/>
              </w:rPr>
            </w:pPr>
            <w:r w:rsidRPr="0031621E">
              <w:rPr>
                <w:rFonts w:cs="Times New Roman"/>
                <w:sz w:val="20"/>
                <w:szCs w:val="20"/>
              </w:rPr>
              <w:t xml:space="preserve">From Figure 60: Patients treated with G-CSF and GM-CSF compared to no prophylaxis for skin rash in two studies: RR=4.33 (CI 1.04, 18.01) – 11.24 (CI 2.73, 46.25) </w:t>
            </w:r>
          </w:p>
          <w:p w14:paraId="540AFB37" w14:textId="77777777" w:rsidR="00FC0BA8" w:rsidRPr="0031621E" w:rsidRDefault="00FC0BA8" w:rsidP="00F27111">
            <w:pPr>
              <w:rPr>
                <w:rFonts w:cs="Times New Roman"/>
                <w:sz w:val="20"/>
                <w:szCs w:val="20"/>
              </w:rPr>
            </w:pPr>
            <w:r w:rsidRPr="0031621E">
              <w:rPr>
                <w:rFonts w:cs="Times New Roman"/>
                <w:sz w:val="20"/>
                <w:szCs w:val="20"/>
              </w:rPr>
              <w:t>Overall skin rash RR=7.69 (CI 2.84, 20.82)</w:t>
            </w:r>
          </w:p>
          <w:p w14:paraId="44544C37" w14:textId="77777777" w:rsidR="00FC0BA8" w:rsidRPr="0031621E" w:rsidRDefault="00FC0BA8" w:rsidP="00F27111">
            <w:pPr>
              <w:rPr>
                <w:rFonts w:cs="Times New Roman"/>
                <w:sz w:val="20"/>
                <w:szCs w:val="20"/>
              </w:rPr>
            </w:pPr>
          </w:p>
          <w:p w14:paraId="70FCAEA6" w14:textId="77777777" w:rsidR="00FC0BA8" w:rsidRPr="0031621E" w:rsidRDefault="00FC0BA8" w:rsidP="00F27111">
            <w:pPr>
              <w:rPr>
                <w:rFonts w:cs="Times New Roman"/>
                <w:sz w:val="20"/>
                <w:szCs w:val="20"/>
              </w:rPr>
            </w:pPr>
            <w:r w:rsidRPr="0031621E">
              <w:rPr>
                <w:rFonts w:cs="Times New Roman"/>
                <w:sz w:val="20"/>
                <w:szCs w:val="20"/>
              </w:rPr>
              <w:t xml:space="preserve">From Figure 61: Patients treated with G-CSF and GM-CSF compared to no prophylaxis for injection site reaction in two studies: RR=6.52 (CI 2.91, 14.58) – 6.91 (CI 0.36, 131.75) </w:t>
            </w:r>
          </w:p>
          <w:p w14:paraId="28C4F9E3" w14:textId="77777777" w:rsidR="00FC0BA8" w:rsidRPr="0031621E" w:rsidRDefault="00FC0BA8" w:rsidP="00F27111">
            <w:pPr>
              <w:rPr>
                <w:rFonts w:cs="Times New Roman"/>
                <w:sz w:val="20"/>
                <w:szCs w:val="20"/>
              </w:rPr>
            </w:pPr>
            <w:r w:rsidRPr="0031621E">
              <w:rPr>
                <w:rFonts w:cs="Times New Roman"/>
                <w:sz w:val="20"/>
                <w:szCs w:val="20"/>
              </w:rPr>
              <w:t>Overall injection site reaction RR=6.55 (3.01, 14.25)</w:t>
            </w:r>
          </w:p>
          <w:p w14:paraId="27B33C61" w14:textId="77777777" w:rsidR="00FC0BA8" w:rsidRPr="0031621E" w:rsidRDefault="00FC0BA8" w:rsidP="00F27111">
            <w:pPr>
              <w:rPr>
                <w:rFonts w:cs="Times New Roman"/>
                <w:sz w:val="20"/>
                <w:szCs w:val="20"/>
              </w:rPr>
            </w:pPr>
          </w:p>
          <w:p w14:paraId="22201095" w14:textId="77777777" w:rsidR="00FC0BA8" w:rsidRPr="0031621E" w:rsidRDefault="00FC0BA8" w:rsidP="00F27111">
            <w:pPr>
              <w:rPr>
                <w:rFonts w:cs="Times New Roman"/>
                <w:sz w:val="20"/>
                <w:szCs w:val="20"/>
              </w:rPr>
            </w:pPr>
            <w:r w:rsidRPr="0031621E">
              <w:rPr>
                <w:rFonts w:cs="Times New Roman"/>
                <w:sz w:val="20"/>
                <w:szCs w:val="20"/>
              </w:rPr>
              <w:lastRenderedPageBreak/>
              <w:t xml:space="preserve">From Figure 62: Patients treated with G-CSF and GM-CSF compared to no prophylaxis for myalgia in two studies: RR=0.87 (CI 0.56, 1.37) – 2.60 (CI 0.29, 23.50) </w:t>
            </w:r>
          </w:p>
          <w:p w14:paraId="4328F893" w14:textId="77777777" w:rsidR="00FC0BA8" w:rsidRPr="0031621E" w:rsidRDefault="00FC0BA8" w:rsidP="00F27111">
            <w:pPr>
              <w:rPr>
                <w:rFonts w:cs="Times New Roman"/>
                <w:sz w:val="20"/>
                <w:szCs w:val="20"/>
              </w:rPr>
            </w:pPr>
            <w:r w:rsidRPr="0031621E">
              <w:rPr>
                <w:rFonts w:cs="Times New Roman"/>
                <w:sz w:val="20"/>
                <w:szCs w:val="20"/>
              </w:rPr>
              <w:t>Overall myalgia RR=0.94 (CI 0.60, 1.45)</w:t>
            </w:r>
          </w:p>
          <w:p w14:paraId="15D4EE14" w14:textId="77777777" w:rsidR="00FC0BA8" w:rsidRPr="0031621E" w:rsidRDefault="00FC0BA8" w:rsidP="00F27111">
            <w:pPr>
              <w:rPr>
                <w:rFonts w:cs="Times New Roman"/>
                <w:sz w:val="20"/>
                <w:szCs w:val="20"/>
              </w:rPr>
            </w:pPr>
          </w:p>
          <w:p w14:paraId="24BE4478" w14:textId="77777777" w:rsidR="00FC0BA8" w:rsidRPr="0031621E" w:rsidRDefault="00FC0BA8" w:rsidP="00F27111">
            <w:pPr>
              <w:rPr>
                <w:rFonts w:cs="Times New Roman"/>
                <w:sz w:val="20"/>
                <w:szCs w:val="20"/>
              </w:rPr>
            </w:pPr>
            <w:r w:rsidRPr="0031621E">
              <w:rPr>
                <w:rFonts w:cs="Times New Roman"/>
                <w:sz w:val="20"/>
                <w:szCs w:val="20"/>
              </w:rPr>
              <w:t>From Figure 63: Patients treated with G-CSF and GM-CSF compared to no prophylaxis for mucositis in four studies: RR=0.81 (CI 0.43, 1.54) – 1.33 (0.30, 5.84) Overall mucositis RR=0.95 (CI 0.64, 1.41)</w:t>
            </w:r>
          </w:p>
          <w:p w14:paraId="325562D9" w14:textId="77777777" w:rsidR="00FC0BA8" w:rsidRPr="0031621E" w:rsidRDefault="00FC0BA8" w:rsidP="00F27111">
            <w:pPr>
              <w:rPr>
                <w:rFonts w:cs="Times New Roman"/>
                <w:sz w:val="20"/>
                <w:szCs w:val="20"/>
              </w:rPr>
            </w:pPr>
          </w:p>
          <w:p w14:paraId="10BDDB9A" w14:textId="77777777" w:rsidR="00FC0BA8" w:rsidRPr="0031621E" w:rsidRDefault="00FC0BA8" w:rsidP="00F27111">
            <w:pPr>
              <w:rPr>
                <w:rFonts w:cs="Times New Roman"/>
                <w:sz w:val="20"/>
                <w:szCs w:val="20"/>
              </w:rPr>
            </w:pPr>
            <w:r w:rsidRPr="0031621E">
              <w:rPr>
                <w:rFonts w:cs="Times New Roman"/>
                <w:sz w:val="20"/>
                <w:szCs w:val="20"/>
              </w:rPr>
              <w:t xml:space="preserve">From Figure 64: Patients treated with G-CSF and GM-CSF compared to no prophylaxis for headache in two studies: RR=1.14 (CI 0.40, 3.26) – 2.19 (CI 1.38 – 3.49) </w:t>
            </w:r>
          </w:p>
          <w:p w14:paraId="5E9E6255" w14:textId="77777777" w:rsidR="00FC0BA8" w:rsidRPr="0031621E" w:rsidRDefault="00FC0BA8" w:rsidP="00F27111">
            <w:pPr>
              <w:rPr>
                <w:sz w:val="20"/>
                <w:szCs w:val="20"/>
              </w:rPr>
            </w:pPr>
          </w:p>
        </w:tc>
        <w:tc>
          <w:tcPr>
            <w:tcW w:w="1953" w:type="dxa"/>
          </w:tcPr>
          <w:p w14:paraId="7D2F4A57" w14:textId="77777777" w:rsidR="00FC0BA8" w:rsidRPr="0031621E" w:rsidRDefault="00FC0BA8" w:rsidP="00F27111">
            <w:pPr>
              <w:rPr>
                <w:sz w:val="20"/>
                <w:szCs w:val="20"/>
              </w:rPr>
            </w:pPr>
            <w:r w:rsidRPr="0031621E">
              <w:rPr>
                <w:sz w:val="20"/>
                <w:szCs w:val="20"/>
              </w:rPr>
              <w:lastRenderedPageBreak/>
              <w:t>Adults with lymphoma</w:t>
            </w:r>
          </w:p>
        </w:tc>
      </w:tr>
      <w:tr w:rsidR="00FC0BA8" w:rsidRPr="0031621E" w14:paraId="4ABAA046" w14:textId="77777777" w:rsidTr="00F27111">
        <w:tc>
          <w:tcPr>
            <w:tcW w:w="1596" w:type="dxa"/>
          </w:tcPr>
          <w:p w14:paraId="3A331BF3" w14:textId="77777777" w:rsidR="00FC0BA8" w:rsidRPr="0031621E" w:rsidRDefault="00FC0BA8" w:rsidP="00F27111">
            <w:pPr>
              <w:rPr>
                <w:sz w:val="20"/>
                <w:szCs w:val="20"/>
              </w:rPr>
            </w:pPr>
            <w:proofErr w:type="spellStart"/>
            <w:r w:rsidRPr="0031621E">
              <w:rPr>
                <w:sz w:val="20"/>
                <w:szCs w:val="20"/>
              </w:rPr>
              <w:lastRenderedPageBreak/>
              <w:t>Balducci</w:t>
            </w:r>
            <w:proofErr w:type="spellEnd"/>
            <w:r w:rsidRPr="0031621E">
              <w:rPr>
                <w:sz w:val="20"/>
                <w:szCs w:val="20"/>
              </w:rPr>
              <w:t xml:space="preserve"> 2007</w:t>
            </w:r>
          </w:p>
        </w:tc>
        <w:tc>
          <w:tcPr>
            <w:tcW w:w="1902" w:type="dxa"/>
          </w:tcPr>
          <w:p w14:paraId="55C4148A" w14:textId="77777777" w:rsidR="00FC0BA8" w:rsidRPr="0031621E" w:rsidRDefault="00FC0BA8" w:rsidP="00F27111">
            <w:pPr>
              <w:rPr>
                <w:sz w:val="20"/>
                <w:szCs w:val="20"/>
              </w:rPr>
            </w:pPr>
            <w:r w:rsidRPr="0031621E">
              <w:rPr>
                <w:sz w:val="20"/>
                <w:szCs w:val="20"/>
              </w:rPr>
              <w:t xml:space="preserve">RCT; treatment= outcomes= febrile neutropenia, grade 3 or 4 neutropenia, grade 4 neutropenia, chemotherapy delays, chemotherapy dose reductions, </w:t>
            </w:r>
            <w:r w:rsidRPr="0031621E">
              <w:rPr>
                <w:sz w:val="20"/>
                <w:szCs w:val="20"/>
              </w:rPr>
              <w:lastRenderedPageBreak/>
              <w:t>antibiotic use associated with neutropenia-related events</w:t>
            </w:r>
          </w:p>
        </w:tc>
        <w:tc>
          <w:tcPr>
            <w:tcW w:w="4331" w:type="dxa"/>
          </w:tcPr>
          <w:p w14:paraId="5E54D51D" w14:textId="77777777" w:rsidR="00FC0BA8" w:rsidRPr="0031621E" w:rsidRDefault="00FC0BA8" w:rsidP="00F27111">
            <w:pPr>
              <w:rPr>
                <w:b/>
                <w:sz w:val="20"/>
                <w:szCs w:val="20"/>
              </w:rPr>
            </w:pPr>
            <w:r w:rsidRPr="0031621E">
              <w:rPr>
                <w:b/>
                <w:sz w:val="20"/>
                <w:szCs w:val="20"/>
              </w:rPr>
              <w:lastRenderedPageBreak/>
              <w:t xml:space="preserve">Physician Discretion vs. </w:t>
            </w:r>
            <w:proofErr w:type="spellStart"/>
            <w:r w:rsidRPr="0031621E">
              <w:rPr>
                <w:b/>
                <w:sz w:val="20"/>
                <w:szCs w:val="20"/>
              </w:rPr>
              <w:t>Pegfilgrastim</w:t>
            </w:r>
            <w:proofErr w:type="spellEnd"/>
            <w:r w:rsidRPr="0031621E">
              <w:rPr>
                <w:b/>
                <w:sz w:val="20"/>
                <w:szCs w:val="20"/>
              </w:rPr>
              <w:t xml:space="preserve"> on all cycles in elderly patients with solid tumors (N=701):</w:t>
            </w:r>
          </w:p>
          <w:p w14:paraId="77809159" w14:textId="77777777" w:rsidR="00FC0BA8" w:rsidRPr="0031621E" w:rsidRDefault="00FC0BA8" w:rsidP="00F27111">
            <w:pPr>
              <w:rPr>
                <w:sz w:val="20"/>
                <w:szCs w:val="20"/>
              </w:rPr>
            </w:pPr>
            <w:r w:rsidRPr="0031621E">
              <w:rPr>
                <w:b/>
                <w:sz w:val="20"/>
                <w:szCs w:val="20"/>
              </w:rPr>
              <w:t>From Figure 2</w:t>
            </w:r>
            <w:r w:rsidRPr="0031621E">
              <w:rPr>
                <w:sz w:val="20"/>
                <w:szCs w:val="20"/>
              </w:rPr>
              <w:t>, Lower incidence of Febrile Neutropenia 10.0% vs. 4.0% (p=0.001)</w:t>
            </w:r>
          </w:p>
          <w:p w14:paraId="1A54FF0B" w14:textId="77777777" w:rsidR="00FC0BA8" w:rsidRPr="0031621E" w:rsidRDefault="00FC0BA8" w:rsidP="00F27111">
            <w:pPr>
              <w:rPr>
                <w:sz w:val="20"/>
                <w:szCs w:val="20"/>
              </w:rPr>
            </w:pPr>
            <w:r w:rsidRPr="0031621E">
              <w:rPr>
                <w:b/>
                <w:sz w:val="20"/>
                <w:szCs w:val="20"/>
              </w:rPr>
              <w:t>From Figure 4A</w:t>
            </w:r>
            <w:r w:rsidRPr="0031621E">
              <w:rPr>
                <w:sz w:val="20"/>
                <w:szCs w:val="20"/>
              </w:rPr>
              <w:t>, Lower incidence of Grade 3 or 4 Neutropenia 80% vs. 30% (Significant)</w:t>
            </w:r>
          </w:p>
          <w:p w14:paraId="49C8F847" w14:textId="77777777" w:rsidR="00FC0BA8" w:rsidRPr="0031621E" w:rsidRDefault="00FC0BA8" w:rsidP="00F27111">
            <w:pPr>
              <w:rPr>
                <w:sz w:val="20"/>
                <w:szCs w:val="20"/>
              </w:rPr>
            </w:pPr>
            <w:r w:rsidRPr="0031621E">
              <w:rPr>
                <w:b/>
                <w:sz w:val="20"/>
                <w:szCs w:val="20"/>
              </w:rPr>
              <w:t>From text:</w:t>
            </w:r>
            <w:r w:rsidRPr="0031621E">
              <w:rPr>
                <w:sz w:val="20"/>
                <w:szCs w:val="20"/>
              </w:rPr>
              <w:t xml:space="preserve"> Lower incidence of Grade 4 Neutropenia  58% vs. 22% (Significant)</w:t>
            </w:r>
          </w:p>
          <w:p w14:paraId="3DE986DF" w14:textId="77777777" w:rsidR="00FC0BA8" w:rsidRPr="0031621E" w:rsidRDefault="00FC0BA8" w:rsidP="00F27111">
            <w:pPr>
              <w:rPr>
                <w:sz w:val="20"/>
                <w:szCs w:val="20"/>
              </w:rPr>
            </w:pPr>
            <w:r w:rsidRPr="0031621E">
              <w:rPr>
                <w:b/>
                <w:sz w:val="20"/>
                <w:szCs w:val="20"/>
              </w:rPr>
              <w:t>From Figure 4A</w:t>
            </w:r>
            <w:r w:rsidRPr="0031621E">
              <w:rPr>
                <w:sz w:val="20"/>
                <w:szCs w:val="20"/>
              </w:rPr>
              <w:t xml:space="preserve">, Lower rates of antibiotic use associated with neutropenia-related events 10% </w:t>
            </w:r>
            <w:r w:rsidRPr="0031621E">
              <w:rPr>
                <w:sz w:val="20"/>
                <w:szCs w:val="20"/>
              </w:rPr>
              <w:lastRenderedPageBreak/>
              <w:t>vs. 28% (Significant)</w:t>
            </w:r>
          </w:p>
          <w:p w14:paraId="42E7F300" w14:textId="77777777" w:rsidR="00FC0BA8" w:rsidRPr="0031621E" w:rsidRDefault="00FC0BA8" w:rsidP="00F27111">
            <w:pPr>
              <w:rPr>
                <w:sz w:val="20"/>
                <w:szCs w:val="20"/>
              </w:rPr>
            </w:pPr>
            <w:r w:rsidRPr="0031621E">
              <w:rPr>
                <w:b/>
                <w:sz w:val="20"/>
                <w:szCs w:val="20"/>
              </w:rPr>
              <w:t>From Figure 4A</w:t>
            </w:r>
            <w:r w:rsidRPr="0031621E">
              <w:rPr>
                <w:sz w:val="20"/>
                <w:szCs w:val="20"/>
              </w:rPr>
              <w:t>, Lower rates of hospitalization for febrile neutropenia and neutropenia 9% vs. 5% (Not significant, NS)</w:t>
            </w:r>
          </w:p>
          <w:p w14:paraId="5762269B" w14:textId="77777777" w:rsidR="00FC0BA8" w:rsidRPr="0031621E" w:rsidRDefault="00FC0BA8" w:rsidP="00F27111">
            <w:pPr>
              <w:rPr>
                <w:sz w:val="20"/>
                <w:szCs w:val="20"/>
              </w:rPr>
            </w:pPr>
            <w:r w:rsidRPr="0031621E">
              <w:rPr>
                <w:b/>
                <w:sz w:val="20"/>
                <w:szCs w:val="20"/>
              </w:rPr>
              <w:t>From Figure 4A</w:t>
            </w:r>
            <w:r w:rsidRPr="0031621E">
              <w:rPr>
                <w:sz w:val="20"/>
                <w:szCs w:val="20"/>
              </w:rPr>
              <w:t>, Fewer chemotherapy delays 28% vs. 16% (Significant)</w:t>
            </w:r>
          </w:p>
          <w:p w14:paraId="6B6FFFD1" w14:textId="77777777" w:rsidR="00FC0BA8" w:rsidRPr="0031621E" w:rsidRDefault="00FC0BA8" w:rsidP="00F27111">
            <w:pPr>
              <w:rPr>
                <w:sz w:val="20"/>
                <w:szCs w:val="20"/>
              </w:rPr>
            </w:pPr>
            <w:r w:rsidRPr="0031621E">
              <w:rPr>
                <w:b/>
                <w:sz w:val="20"/>
                <w:szCs w:val="20"/>
              </w:rPr>
              <w:t>From Figure 4A</w:t>
            </w:r>
            <w:r w:rsidRPr="0031621E">
              <w:rPr>
                <w:sz w:val="20"/>
                <w:szCs w:val="20"/>
              </w:rPr>
              <w:t>, Fewer chemotherapy dose reductions 14% vs. 7% (NS)</w:t>
            </w:r>
          </w:p>
          <w:p w14:paraId="42B5EA43" w14:textId="77777777" w:rsidR="00FC0BA8" w:rsidRPr="0031621E" w:rsidRDefault="00FC0BA8" w:rsidP="00F27111">
            <w:pPr>
              <w:rPr>
                <w:b/>
                <w:sz w:val="20"/>
                <w:szCs w:val="20"/>
              </w:rPr>
            </w:pPr>
            <w:r w:rsidRPr="0031621E">
              <w:rPr>
                <w:b/>
                <w:sz w:val="20"/>
                <w:szCs w:val="20"/>
              </w:rPr>
              <w:t xml:space="preserve">Physician Discretion vs. </w:t>
            </w:r>
            <w:proofErr w:type="spellStart"/>
            <w:r w:rsidRPr="0031621E">
              <w:rPr>
                <w:b/>
                <w:sz w:val="20"/>
                <w:szCs w:val="20"/>
              </w:rPr>
              <w:t>Pegfilgrastim</w:t>
            </w:r>
            <w:proofErr w:type="spellEnd"/>
            <w:r w:rsidRPr="0031621E">
              <w:rPr>
                <w:b/>
                <w:sz w:val="20"/>
                <w:szCs w:val="20"/>
              </w:rPr>
              <w:t xml:space="preserve"> on cycle 1 on elderly patients with solid tumors: </w:t>
            </w:r>
          </w:p>
          <w:p w14:paraId="57E8F790" w14:textId="77777777" w:rsidR="00FC0BA8" w:rsidRPr="0031621E" w:rsidRDefault="00FC0BA8" w:rsidP="00F27111">
            <w:pPr>
              <w:rPr>
                <w:sz w:val="20"/>
                <w:szCs w:val="20"/>
              </w:rPr>
            </w:pPr>
            <w:r w:rsidRPr="0031621E">
              <w:rPr>
                <w:b/>
                <w:sz w:val="20"/>
                <w:szCs w:val="20"/>
              </w:rPr>
              <w:t>From Figure 2</w:t>
            </w:r>
            <w:r w:rsidRPr="0031621E">
              <w:rPr>
                <w:sz w:val="20"/>
                <w:szCs w:val="20"/>
              </w:rPr>
              <w:t>, Lower incidence of Febrile Neutropenia 7% vs. 3% (NS)</w:t>
            </w:r>
          </w:p>
          <w:p w14:paraId="1F6E2662" w14:textId="77777777" w:rsidR="00FC0BA8" w:rsidRPr="0031621E" w:rsidRDefault="00FC0BA8" w:rsidP="00F27111">
            <w:pPr>
              <w:rPr>
                <w:sz w:val="20"/>
                <w:szCs w:val="20"/>
              </w:rPr>
            </w:pPr>
            <w:r w:rsidRPr="0031621E">
              <w:rPr>
                <w:b/>
                <w:sz w:val="20"/>
                <w:szCs w:val="20"/>
              </w:rPr>
              <w:t>From text</w:t>
            </w:r>
            <w:r w:rsidRPr="0031621E">
              <w:rPr>
                <w:sz w:val="20"/>
                <w:szCs w:val="20"/>
              </w:rPr>
              <w:t>: Lower incidence of Grade 3 or 4 Neutropenia 68% vs. 26% (Significant)</w:t>
            </w:r>
          </w:p>
          <w:p w14:paraId="5FC333A0" w14:textId="77777777" w:rsidR="00FC0BA8" w:rsidRPr="0031621E" w:rsidRDefault="00FC0BA8" w:rsidP="00F27111">
            <w:pPr>
              <w:rPr>
                <w:b/>
                <w:sz w:val="20"/>
                <w:szCs w:val="20"/>
              </w:rPr>
            </w:pPr>
            <w:r w:rsidRPr="0031621E">
              <w:rPr>
                <w:b/>
                <w:sz w:val="20"/>
                <w:szCs w:val="20"/>
              </w:rPr>
              <w:t xml:space="preserve">Physician Discretion vs. </w:t>
            </w:r>
            <w:proofErr w:type="spellStart"/>
            <w:r w:rsidRPr="0031621E">
              <w:rPr>
                <w:b/>
                <w:sz w:val="20"/>
                <w:szCs w:val="20"/>
              </w:rPr>
              <w:t>Pegfilgrastim</w:t>
            </w:r>
            <w:proofErr w:type="spellEnd"/>
            <w:r w:rsidRPr="0031621E">
              <w:rPr>
                <w:b/>
                <w:sz w:val="20"/>
                <w:szCs w:val="20"/>
              </w:rPr>
              <w:t xml:space="preserve"> on all cycles in elderly patients with NHL (N=151):</w:t>
            </w:r>
          </w:p>
          <w:p w14:paraId="5EA0598A" w14:textId="77777777" w:rsidR="00FC0BA8" w:rsidRPr="0031621E" w:rsidRDefault="00FC0BA8" w:rsidP="00F27111">
            <w:pPr>
              <w:rPr>
                <w:sz w:val="20"/>
                <w:szCs w:val="20"/>
              </w:rPr>
            </w:pPr>
            <w:r w:rsidRPr="0031621E">
              <w:rPr>
                <w:b/>
                <w:sz w:val="20"/>
                <w:szCs w:val="20"/>
              </w:rPr>
              <w:t>From Figure 2</w:t>
            </w:r>
            <w:r w:rsidRPr="0031621E">
              <w:rPr>
                <w:sz w:val="20"/>
                <w:szCs w:val="20"/>
              </w:rPr>
              <w:t>, Lower incidence of Febrile Neutropenia 37.0% vs. 15.0% (p=0.004)</w:t>
            </w:r>
          </w:p>
          <w:p w14:paraId="4897E9DC" w14:textId="77777777" w:rsidR="00FC0BA8" w:rsidRPr="0031621E" w:rsidRDefault="00FC0BA8" w:rsidP="00F27111">
            <w:pPr>
              <w:rPr>
                <w:sz w:val="20"/>
                <w:szCs w:val="20"/>
              </w:rPr>
            </w:pPr>
            <w:r w:rsidRPr="0031621E">
              <w:rPr>
                <w:b/>
                <w:sz w:val="20"/>
                <w:szCs w:val="20"/>
              </w:rPr>
              <w:t>From Figure 4B</w:t>
            </w:r>
            <w:r w:rsidRPr="0031621E">
              <w:rPr>
                <w:sz w:val="20"/>
                <w:szCs w:val="20"/>
              </w:rPr>
              <w:t>, Lower incidence of Grade 3 or 4 Neutropenia 90% vs. 82% (Not Significant, NS)</w:t>
            </w:r>
          </w:p>
          <w:p w14:paraId="06F377E3" w14:textId="77777777" w:rsidR="00FC0BA8" w:rsidRPr="0031621E" w:rsidRDefault="00FC0BA8" w:rsidP="00F27111">
            <w:pPr>
              <w:rPr>
                <w:sz w:val="20"/>
                <w:szCs w:val="20"/>
              </w:rPr>
            </w:pPr>
            <w:r w:rsidRPr="0031621E">
              <w:rPr>
                <w:b/>
                <w:sz w:val="20"/>
                <w:szCs w:val="20"/>
              </w:rPr>
              <w:t>From text</w:t>
            </w:r>
            <w:r w:rsidRPr="0031621E">
              <w:rPr>
                <w:sz w:val="20"/>
                <w:szCs w:val="20"/>
              </w:rPr>
              <w:t>: Lower incidence of Grade 4 Neutropenia 86% vs. 75% (NS)</w:t>
            </w:r>
          </w:p>
          <w:p w14:paraId="454B0692" w14:textId="77777777" w:rsidR="00FC0BA8" w:rsidRPr="0031621E" w:rsidRDefault="00FC0BA8" w:rsidP="00F27111">
            <w:pPr>
              <w:rPr>
                <w:sz w:val="20"/>
                <w:szCs w:val="20"/>
              </w:rPr>
            </w:pPr>
            <w:r w:rsidRPr="0031621E">
              <w:rPr>
                <w:b/>
                <w:sz w:val="20"/>
                <w:szCs w:val="20"/>
              </w:rPr>
              <w:t>From Figure 4B</w:t>
            </w:r>
            <w:r w:rsidRPr="0031621E">
              <w:rPr>
                <w:sz w:val="20"/>
                <w:szCs w:val="20"/>
              </w:rPr>
              <w:t>, Higher rates of antibiotic use associated with neutropenia-related events 53% vs. 55% (NS)</w:t>
            </w:r>
          </w:p>
          <w:p w14:paraId="6A47F756" w14:textId="77777777" w:rsidR="00FC0BA8" w:rsidRPr="0031621E" w:rsidRDefault="00FC0BA8" w:rsidP="00F27111">
            <w:pPr>
              <w:rPr>
                <w:sz w:val="20"/>
                <w:szCs w:val="20"/>
              </w:rPr>
            </w:pPr>
            <w:r w:rsidRPr="0031621E">
              <w:rPr>
                <w:b/>
                <w:sz w:val="20"/>
                <w:szCs w:val="20"/>
              </w:rPr>
              <w:t>From Figure 4B</w:t>
            </w:r>
            <w:r w:rsidRPr="0031621E">
              <w:rPr>
                <w:sz w:val="20"/>
                <w:szCs w:val="20"/>
              </w:rPr>
              <w:t>, Lower rates of hospitalization for febrile neutropenia and neutropenia 37% vs. 17% (NS)</w:t>
            </w:r>
          </w:p>
          <w:p w14:paraId="65E89873" w14:textId="77777777" w:rsidR="00FC0BA8" w:rsidRPr="0031621E" w:rsidRDefault="00FC0BA8" w:rsidP="00F27111">
            <w:pPr>
              <w:rPr>
                <w:sz w:val="20"/>
                <w:szCs w:val="20"/>
              </w:rPr>
            </w:pPr>
            <w:r w:rsidRPr="0031621E">
              <w:rPr>
                <w:b/>
                <w:sz w:val="20"/>
                <w:szCs w:val="20"/>
              </w:rPr>
              <w:t>From Figure 4B</w:t>
            </w:r>
            <w:r w:rsidRPr="0031621E">
              <w:rPr>
                <w:sz w:val="20"/>
                <w:szCs w:val="20"/>
              </w:rPr>
              <w:t>, More chemotherapy delays 23% vs. 29% (NS)</w:t>
            </w:r>
          </w:p>
          <w:p w14:paraId="272D576F" w14:textId="77777777" w:rsidR="00FC0BA8" w:rsidRPr="0031621E" w:rsidRDefault="00FC0BA8" w:rsidP="00F27111">
            <w:pPr>
              <w:rPr>
                <w:sz w:val="20"/>
                <w:szCs w:val="20"/>
              </w:rPr>
            </w:pPr>
            <w:r w:rsidRPr="0031621E">
              <w:rPr>
                <w:b/>
                <w:sz w:val="20"/>
                <w:szCs w:val="20"/>
              </w:rPr>
              <w:t>From Figure 4B</w:t>
            </w:r>
            <w:r w:rsidRPr="0031621E">
              <w:rPr>
                <w:sz w:val="20"/>
                <w:szCs w:val="20"/>
              </w:rPr>
              <w:t>, More chemotherapy dose reductions 8% vs. 16% (NS)</w:t>
            </w:r>
          </w:p>
          <w:p w14:paraId="11800722" w14:textId="77777777" w:rsidR="00FC0BA8" w:rsidRPr="0031621E" w:rsidRDefault="00FC0BA8" w:rsidP="00F27111">
            <w:pPr>
              <w:rPr>
                <w:sz w:val="20"/>
                <w:szCs w:val="20"/>
              </w:rPr>
            </w:pPr>
            <w:r w:rsidRPr="0031621E">
              <w:rPr>
                <w:b/>
                <w:sz w:val="20"/>
                <w:szCs w:val="20"/>
              </w:rPr>
              <w:t>From text</w:t>
            </w:r>
            <w:r w:rsidRPr="0031621E">
              <w:rPr>
                <w:sz w:val="20"/>
                <w:szCs w:val="20"/>
              </w:rPr>
              <w:t>: Lower incidence of grade 4 neutropenia 86% vs. 75% (NS)</w:t>
            </w:r>
          </w:p>
          <w:p w14:paraId="779E539A" w14:textId="77777777" w:rsidR="00FC0BA8" w:rsidRPr="0031621E" w:rsidRDefault="00FC0BA8" w:rsidP="00F27111">
            <w:pPr>
              <w:rPr>
                <w:b/>
                <w:sz w:val="20"/>
                <w:szCs w:val="20"/>
              </w:rPr>
            </w:pPr>
            <w:r w:rsidRPr="0031621E">
              <w:rPr>
                <w:b/>
                <w:sz w:val="20"/>
                <w:szCs w:val="20"/>
              </w:rPr>
              <w:t xml:space="preserve">Physician Discretion vs. </w:t>
            </w:r>
            <w:proofErr w:type="spellStart"/>
            <w:r w:rsidRPr="0031621E">
              <w:rPr>
                <w:b/>
                <w:sz w:val="20"/>
                <w:szCs w:val="20"/>
              </w:rPr>
              <w:t>Pegfilgrastim</w:t>
            </w:r>
            <w:proofErr w:type="spellEnd"/>
            <w:r w:rsidRPr="0031621E">
              <w:rPr>
                <w:b/>
                <w:sz w:val="20"/>
                <w:szCs w:val="20"/>
              </w:rPr>
              <w:t xml:space="preserve"> on cycle 1 on elderly patients with NHL: </w:t>
            </w:r>
          </w:p>
          <w:p w14:paraId="0FFA3A40" w14:textId="77777777" w:rsidR="00FC0BA8" w:rsidRPr="0031621E" w:rsidRDefault="00FC0BA8" w:rsidP="00F27111">
            <w:pPr>
              <w:rPr>
                <w:sz w:val="20"/>
                <w:szCs w:val="20"/>
              </w:rPr>
            </w:pPr>
            <w:r w:rsidRPr="0031621E">
              <w:rPr>
                <w:b/>
                <w:sz w:val="20"/>
                <w:szCs w:val="20"/>
              </w:rPr>
              <w:lastRenderedPageBreak/>
              <w:t>From Figure 2</w:t>
            </w:r>
            <w:r w:rsidRPr="0031621E">
              <w:rPr>
                <w:sz w:val="20"/>
                <w:szCs w:val="20"/>
              </w:rPr>
              <w:t>, Lower incidence of Febrile Neutropenia 25% vs. 7% (NS)</w:t>
            </w:r>
          </w:p>
          <w:p w14:paraId="0D99741B" w14:textId="77777777" w:rsidR="00FC0BA8" w:rsidRPr="0031621E" w:rsidRDefault="00FC0BA8" w:rsidP="00F27111">
            <w:pPr>
              <w:rPr>
                <w:sz w:val="20"/>
                <w:szCs w:val="20"/>
              </w:rPr>
            </w:pPr>
            <w:r w:rsidRPr="0031621E">
              <w:rPr>
                <w:b/>
                <w:sz w:val="20"/>
                <w:szCs w:val="20"/>
              </w:rPr>
              <w:t>From text</w:t>
            </w:r>
            <w:r w:rsidRPr="0031621E">
              <w:rPr>
                <w:sz w:val="20"/>
                <w:szCs w:val="20"/>
              </w:rPr>
              <w:t>: Lower incidence of Grade 3 or 4 Neutropenia 88% vs. 69% (NS)</w:t>
            </w:r>
          </w:p>
        </w:tc>
        <w:tc>
          <w:tcPr>
            <w:tcW w:w="3394" w:type="dxa"/>
          </w:tcPr>
          <w:p w14:paraId="5307F4E4" w14:textId="77777777" w:rsidR="00FC0BA8" w:rsidRPr="0031621E" w:rsidRDefault="00FC0BA8" w:rsidP="00F27111">
            <w:pPr>
              <w:rPr>
                <w:sz w:val="20"/>
                <w:szCs w:val="20"/>
              </w:rPr>
            </w:pPr>
            <w:r w:rsidRPr="0031621E">
              <w:rPr>
                <w:sz w:val="20"/>
                <w:szCs w:val="20"/>
              </w:rPr>
              <w:lastRenderedPageBreak/>
              <w:t>Greater than or equal to 5% of patients experienced pancytopenia, pneumonia, pyrexia, dehydration, and syncope in studies of solid tumors and lymphomas.</w:t>
            </w:r>
          </w:p>
          <w:p w14:paraId="734ABACC" w14:textId="77777777" w:rsidR="00FC0BA8" w:rsidRPr="0031621E" w:rsidRDefault="00FC0BA8" w:rsidP="00F27111">
            <w:pPr>
              <w:rPr>
                <w:sz w:val="20"/>
                <w:szCs w:val="20"/>
              </w:rPr>
            </w:pPr>
          </w:p>
          <w:p w14:paraId="14ED1A80" w14:textId="77777777" w:rsidR="00FC0BA8" w:rsidRPr="0031621E" w:rsidRDefault="00FC0BA8" w:rsidP="00F27111">
            <w:pPr>
              <w:rPr>
                <w:sz w:val="20"/>
                <w:szCs w:val="20"/>
              </w:rPr>
            </w:pPr>
            <w:proofErr w:type="spellStart"/>
            <w:r w:rsidRPr="0031621E">
              <w:rPr>
                <w:sz w:val="20"/>
                <w:szCs w:val="20"/>
              </w:rPr>
              <w:t>Pegfilgrastim</w:t>
            </w:r>
            <w:proofErr w:type="spellEnd"/>
            <w:r w:rsidRPr="0031621E">
              <w:rPr>
                <w:sz w:val="20"/>
                <w:szCs w:val="20"/>
              </w:rPr>
              <w:t xml:space="preserve"> treatment was associated with arthralgia in studies of solid tumors and lymphomas (no point estimates listed). </w:t>
            </w:r>
          </w:p>
          <w:p w14:paraId="671E53AD" w14:textId="77777777" w:rsidR="00FC0BA8" w:rsidRPr="0031621E" w:rsidRDefault="00FC0BA8" w:rsidP="00F27111">
            <w:pPr>
              <w:rPr>
                <w:sz w:val="20"/>
                <w:szCs w:val="20"/>
              </w:rPr>
            </w:pPr>
          </w:p>
          <w:p w14:paraId="117CF003" w14:textId="77777777" w:rsidR="00FC0BA8" w:rsidRPr="0031621E" w:rsidRDefault="00FC0BA8" w:rsidP="00F27111">
            <w:pPr>
              <w:rPr>
                <w:sz w:val="20"/>
                <w:szCs w:val="20"/>
              </w:rPr>
            </w:pPr>
            <w:proofErr w:type="spellStart"/>
            <w:r w:rsidRPr="0031621E">
              <w:rPr>
                <w:sz w:val="20"/>
                <w:szCs w:val="20"/>
              </w:rPr>
              <w:t>Pegfilgrastim</w:t>
            </w:r>
            <w:proofErr w:type="spellEnd"/>
            <w:r w:rsidRPr="0031621E">
              <w:rPr>
                <w:sz w:val="20"/>
                <w:szCs w:val="20"/>
              </w:rPr>
              <w:t xml:space="preserve"> treatment vs. Physician Discretion in patients with solid tumors:</w:t>
            </w:r>
          </w:p>
          <w:p w14:paraId="0110669B" w14:textId="77777777" w:rsidR="00FC0BA8" w:rsidRPr="0031621E" w:rsidRDefault="00FC0BA8" w:rsidP="00F27111">
            <w:pPr>
              <w:rPr>
                <w:sz w:val="20"/>
                <w:szCs w:val="20"/>
              </w:rPr>
            </w:pPr>
            <w:r w:rsidRPr="0031621E">
              <w:rPr>
                <w:sz w:val="20"/>
                <w:szCs w:val="20"/>
              </w:rPr>
              <w:t xml:space="preserve">Higher incidence of bone pain 12% vs. 5% </w:t>
            </w:r>
          </w:p>
          <w:p w14:paraId="6D3CEEAB" w14:textId="77777777" w:rsidR="00FC0BA8" w:rsidRPr="0031621E" w:rsidRDefault="00FC0BA8" w:rsidP="00F27111">
            <w:pPr>
              <w:rPr>
                <w:sz w:val="20"/>
                <w:szCs w:val="20"/>
              </w:rPr>
            </w:pPr>
          </w:p>
          <w:p w14:paraId="559D1653" w14:textId="77777777" w:rsidR="00FC0BA8" w:rsidRPr="0031621E" w:rsidRDefault="00FC0BA8" w:rsidP="00F27111">
            <w:pPr>
              <w:rPr>
                <w:sz w:val="20"/>
                <w:szCs w:val="20"/>
              </w:rPr>
            </w:pPr>
            <w:proofErr w:type="spellStart"/>
            <w:r w:rsidRPr="0031621E">
              <w:rPr>
                <w:sz w:val="20"/>
                <w:szCs w:val="20"/>
              </w:rPr>
              <w:t>Pegfilgrastim</w:t>
            </w:r>
            <w:proofErr w:type="spellEnd"/>
            <w:r w:rsidRPr="0031621E">
              <w:rPr>
                <w:sz w:val="20"/>
                <w:szCs w:val="20"/>
              </w:rPr>
              <w:t xml:space="preserve"> treatment vs. Physician Discretion in patients with NHL:</w:t>
            </w:r>
          </w:p>
          <w:p w14:paraId="066E4B71" w14:textId="77777777" w:rsidR="00FC0BA8" w:rsidRPr="0031621E" w:rsidRDefault="00FC0BA8" w:rsidP="00F27111">
            <w:pPr>
              <w:rPr>
                <w:sz w:val="20"/>
                <w:szCs w:val="20"/>
              </w:rPr>
            </w:pPr>
            <w:r w:rsidRPr="0031621E">
              <w:rPr>
                <w:sz w:val="20"/>
                <w:szCs w:val="20"/>
              </w:rPr>
              <w:t>Higher incidence of bone pain 9% vs. 4%</w:t>
            </w:r>
          </w:p>
        </w:tc>
        <w:tc>
          <w:tcPr>
            <w:tcW w:w="1953" w:type="dxa"/>
          </w:tcPr>
          <w:p w14:paraId="5050E6FF" w14:textId="77777777" w:rsidR="00FC0BA8" w:rsidRPr="0031621E" w:rsidRDefault="00FC0BA8" w:rsidP="00F27111">
            <w:pPr>
              <w:rPr>
                <w:sz w:val="20"/>
                <w:szCs w:val="20"/>
              </w:rPr>
            </w:pPr>
            <w:r w:rsidRPr="0031621E">
              <w:rPr>
                <w:sz w:val="20"/>
                <w:szCs w:val="20"/>
              </w:rPr>
              <w:lastRenderedPageBreak/>
              <w:t xml:space="preserve">Patients ≥65 </w:t>
            </w:r>
            <w:proofErr w:type="spellStart"/>
            <w:r w:rsidRPr="0031621E">
              <w:rPr>
                <w:sz w:val="20"/>
                <w:szCs w:val="20"/>
              </w:rPr>
              <w:t>yo</w:t>
            </w:r>
            <w:proofErr w:type="spellEnd"/>
            <w:r w:rsidRPr="0031621E">
              <w:rPr>
                <w:sz w:val="20"/>
                <w:szCs w:val="20"/>
              </w:rPr>
              <w:t xml:space="preserve"> with lymphoma, lung, breast, or ovarian cancer</w:t>
            </w:r>
          </w:p>
        </w:tc>
      </w:tr>
      <w:tr w:rsidR="00FC0BA8" w:rsidRPr="0031621E" w14:paraId="7BAD5128" w14:textId="77777777" w:rsidTr="00F27111">
        <w:tc>
          <w:tcPr>
            <w:tcW w:w="1596" w:type="dxa"/>
          </w:tcPr>
          <w:p w14:paraId="74A37CE3" w14:textId="77777777" w:rsidR="00FC0BA8" w:rsidRPr="0031621E" w:rsidRDefault="00FC0BA8" w:rsidP="00F27111">
            <w:pPr>
              <w:rPr>
                <w:sz w:val="20"/>
                <w:szCs w:val="20"/>
              </w:rPr>
            </w:pPr>
            <w:proofErr w:type="spellStart"/>
            <w:r w:rsidRPr="0031621E">
              <w:rPr>
                <w:sz w:val="20"/>
                <w:szCs w:val="20"/>
              </w:rPr>
              <w:lastRenderedPageBreak/>
              <w:t>Kuderer</w:t>
            </w:r>
            <w:proofErr w:type="spellEnd"/>
            <w:r w:rsidRPr="0031621E">
              <w:rPr>
                <w:sz w:val="20"/>
                <w:szCs w:val="20"/>
              </w:rPr>
              <w:t xml:space="preserve"> 2007 (results of the same meta-analysis also reported in </w:t>
            </w:r>
            <w:proofErr w:type="spellStart"/>
            <w:r w:rsidRPr="0031621E">
              <w:rPr>
                <w:sz w:val="20"/>
                <w:szCs w:val="20"/>
              </w:rPr>
              <w:t>Kuderer</w:t>
            </w:r>
            <w:proofErr w:type="spellEnd"/>
            <w:r w:rsidRPr="0031621E">
              <w:rPr>
                <w:sz w:val="20"/>
                <w:szCs w:val="20"/>
              </w:rPr>
              <w:t xml:space="preserve"> 2011)</w:t>
            </w:r>
          </w:p>
        </w:tc>
        <w:tc>
          <w:tcPr>
            <w:tcW w:w="1902" w:type="dxa"/>
          </w:tcPr>
          <w:p w14:paraId="3EFAFA0A" w14:textId="77777777" w:rsidR="00FC0BA8" w:rsidRPr="0031621E" w:rsidRDefault="00FC0BA8" w:rsidP="00F27111">
            <w:pPr>
              <w:rPr>
                <w:sz w:val="20"/>
                <w:szCs w:val="20"/>
              </w:rPr>
            </w:pPr>
            <w:r w:rsidRPr="0031621E">
              <w:rPr>
                <w:sz w:val="20"/>
                <w:szCs w:val="20"/>
              </w:rPr>
              <w:t>Meta-analysis</w:t>
            </w:r>
          </w:p>
          <w:p w14:paraId="3D5728ED" w14:textId="77777777" w:rsidR="00FC0BA8" w:rsidRPr="0031621E" w:rsidRDefault="00FC0BA8" w:rsidP="00F27111">
            <w:pPr>
              <w:rPr>
                <w:sz w:val="20"/>
                <w:szCs w:val="20"/>
              </w:rPr>
            </w:pPr>
            <w:r w:rsidRPr="0031621E">
              <w:rPr>
                <w:sz w:val="20"/>
                <w:szCs w:val="20"/>
              </w:rPr>
              <w:t xml:space="preserve">12-15 studies (7-9 </w:t>
            </w:r>
            <w:proofErr w:type="spellStart"/>
            <w:r w:rsidRPr="0031621E">
              <w:rPr>
                <w:sz w:val="20"/>
                <w:szCs w:val="20"/>
              </w:rPr>
              <w:t>Filgrastim</w:t>
            </w:r>
            <w:proofErr w:type="spellEnd"/>
            <w:r w:rsidRPr="0031621E">
              <w:rPr>
                <w:sz w:val="20"/>
                <w:szCs w:val="20"/>
              </w:rPr>
              <w:t xml:space="preserve">, 4-5 </w:t>
            </w:r>
            <w:proofErr w:type="spellStart"/>
            <w:r w:rsidRPr="0031621E">
              <w:rPr>
                <w:sz w:val="20"/>
                <w:szCs w:val="20"/>
              </w:rPr>
              <w:t>Lenograstim</w:t>
            </w:r>
            <w:proofErr w:type="spellEnd"/>
            <w:r w:rsidRPr="0031621E">
              <w:rPr>
                <w:sz w:val="20"/>
                <w:szCs w:val="20"/>
              </w:rPr>
              <w:t xml:space="preserve">, 1 </w:t>
            </w:r>
            <w:proofErr w:type="spellStart"/>
            <w:r w:rsidRPr="0031621E">
              <w:rPr>
                <w:sz w:val="20"/>
                <w:szCs w:val="20"/>
              </w:rPr>
              <w:t>Pegfilgrastim</w:t>
            </w:r>
            <w:proofErr w:type="spellEnd"/>
            <w:r w:rsidRPr="0031621E">
              <w:rPr>
                <w:sz w:val="20"/>
                <w:szCs w:val="20"/>
              </w:rPr>
              <w:t>)</w:t>
            </w:r>
          </w:p>
          <w:p w14:paraId="53C9D706" w14:textId="77777777" w:rsidR="00FC0BA8" w:rsidRPr="0031621E" w:rsidRDefault="00FC0BA8" w:rsidP="00F27111">
            <w:pPr>
              <w:rPr>
                <w:sz w:val="20"/>
                <w:szCs w:val="20"/>
              </w:rPr>
            </w:pPr>
            <w:r w:rsidRPr="0031621E">
              <w:rPr>
                <w:sz w:val="20"/>
                <w:szCs w:val="20"/>
              </w:rPr>
              <w:t>14 studies for bone or musculoskeletal pain; outcomes=infection-related mortality, early mortality, and febrile neutropenia</w:t>
            </w:r>
          </w:p>
        </w:tc>
        <w:tc>
          <w:tcPr>
            <w:tcW w:w="4331" w:type="dxa"/>
          </w:tcPr>
          <w:p w14:paraId="014AF399" w14:textId="77777777" w:rsidR="00FC0BA8" w:rsidRPr="0031621E" w:rsidRDefault="00FC0BA8" w:rsidP="00F27111">
            <w:pPr>
              <w:rPr>
                <w:b/>
                <w:sz w:val="20"/>
                <w:szCs w:val="20"/>
              </w:rPr>
            </w:pPr>
            <w:r w:rsidRPr="0031621E">
              <w:rPr>
                <w:b/>
                <w:sz w:val="20"/>
                <w:szCs w:val="20"/>
              </w:rPr>
              <w:t>From Figure 2: Infection-Related Mortality</w:t>
            </w:r>
          </w:p>
          <w:p w14:paraId="336FF612" w14:textId="77777777" w:rsidR="00FC0BA8" w:rsidRPr="0031621E" w:rsidRDefault="00FC0BA8" w:rsidP="00F27111">
            <w:pPr>
              <w:rPr>
                <w:sz w:val="20"/>
                <w:szCs w:val="20"/>
              </w:rPr>
            </w:pPr>
            <w:r w:rsidRPr="0031621E">
              <w:rPr>
                <w:sz w:val="20"/>
                <w:szCs w:val="20"/>
              </w:rPr>
              <w:t xml:space="preserve">Range of relative risks for patients with solid tumor or lymphoma for </w:t>
            </w:r>
            <w:proofErr w:type="spellStart"/>
            <w:r w:rsidRPr="0031621E">
              <w:rPr>
                <w:sz w:val="20"/>
                <w:szCs w:val="20"/>
              </w:rPr>
              <w:t>Filgrastim</w:t>
            </w:r>
            <w:proofErr w:type="spellEnd"/>
            <w:r w:rsidRPr="0031621E">
              <w:rPr>
                <w:sz w:val="20"/>
                <w:szCs w:val="20"/>
              </w:rPr>
              <w:t xml:space="preserve"> vs. none in seven studies: 0.328 (CI 0.035, 3.073) – 1.095 (CI 0.226, 5.293)</w:t>
            </w:r>
          </w:p>
          <w:p w14:paraId="693FE0F0" w14:textId="77777777" w:rsidR="00FC0BA8" w:rsidRPr="0031621E" w:rsidRDefault="00FC0BA8" w:rsidP="00F27111">
            <w:pPr>
              <w:rPr>
                <w:sz w:val="20"/>
                <w:szCs w:val="20"/>
              </w:rPr>
            </w:pPr>
            <w:r w:rsidRPr="0031621E">
              <w:rPr>
                <w:sz w:val="20"/>
                <w:szCs w:val="20"/>
              </w:rPr>
              <w:t xml:space="preserve">Overall for </w:t>
            </w:r>
            <w:proofErr w:type="spellStart"/>
            <w:r w:rsidRPr="0031621E">
              <w:rPr>
                <w:sz w:val="20"/>
                <w:szCs w:val="20"/>
              </w:rPr>
              <w:t>Filgrastim</w:t>
            </w:r>
            <w:proofErr w:type="spellEnd"/>
            <w:r w:rsidRPr="0031621E">
              <w:rPr>
                <w:sz w:val="20"/>
                <w:szCs w:val="20"/>
              </w:rPr>
              <w:t>: 0.529 (CI 0.304, 0.921)</w:t>
            </w:r>
          </w:p>
          <w:p w14:paraId="52A538B5" w14:textId="77777777" w:rsidR="00FC0BA8" w:rsidRPr="0031621E" w:rsidRDefault="00FC0BA8" w:rsidP="00F27111">
            <w:pPr>
              <w:rPr>
                <w:sz w:val="20"/>
                <w:szCs w:val="20"/>
              </w:rPr>
            </w:pPr>
            <w:r w:rsidRPr="0031621E">
              <w:rPr>
                <w:sz w:val="20"/>
                <w:szCs w:val="20"/>
              </w:rPr>
              <w:t xml:space="preserve">Range of relative risks for patients with solid tumor or lymphoma for </w:t>
            </w:r>
            <w:proofErr w:type="spellStart"/>
            <w:r w:rsidRPr="0031621E">
              <w:rPr>
                <w:sz w:val="20"/>
                <w:szCs w:val="20"/>
              </w:rPr>
              <w:t>Lenograstim</w:t>
            </w:r>
            <w:proofErr w:type="spellEnd"/>
            <w:r w:rsidRPr="0031621E">
              <w:rPr>
                <w:sz w:val="20"/>
                <w:szCs w:val="20"/>
              </w:rPr>
              <w:t xml:space="preserve"> vs. none in four studies: 0.650 (CI 0.112, 3.790) – 1.174 (CI 0.024, 56.861)</w:t>
            </w:r>
          </w:p>
          <w:p w14:paraId="277D4DEC" w14:textId="77777777" w:rsidR="00FC0BA8" w:rsidRPr="0031621E" w:rsidRDefault="00FC0BA8" w:rsidP="00F27111">
            <w:pPr>
              <w:rPr>
                <w:sz w:val="20"/>
                <w:szCs w:val="20"/>
              </w:rPr>
            </w:pPr>
            <w:r w:rsidRPr="0031621E">
              <w:rPr>
                <w:sz w:val="20"/>
                <w:szCs w:val="20"/>
              </w:rPr>
              <w:t xml:space="preserve">Overall for </w:t>
            </w:r>
            <w:proofErr w:type="spellStart"/>
            <w:r w:rsidRPr="0031621E">
              <w:rPr>
                <w:sz w:val="20"/>
                <w:szCs w:val="20"/>
              </w:rPr>
              <w:t>Lenograstim</w:t>
            </w:r>
            <w:proofErr w:type="spellEnd"/>
            <w:r w:rsidRPr="0031621E">
              <w:rPr>
                <w:sz w:val="20"/>
                <w:szCs w:val="20"/>
              </w:rPr>
              <w:t>: 0.829 (CI 0.257, 2.680)</w:t>
            </w:r>
          </w:p>
          <w:p w14:paraId="0D232C3B" w14:textId="77777777" w:rsidR="00FC0BA8" w:rsidRPr="0031621E" w:rsidRDefault="00FC0BA8" w:rsidP="00F27111">
            <w:pPr>
              <w:rPr>
                <w:sz w:val="20"/>
                <w:szCs w:val="20"/>
              </w:rPr>
            </w:pPr>
            <w:r w:rsidRPr="0031621E">
              <w:rPr>
                <w:sz w:val="20"/>
                <w:szCs w:val="20"/>
              </w:rPr>
              <w:t xml:space="preserve">Relative risk for patients with solid tumor or lymphoma for </w:t>
            </w:r>
            <w:proofErr w:type="spellStart"/>
            <w:r w:rsidRPr="0031621E">
              <w:rPr>
                <w:sz w:val="20"/>
                <w:szCs w:val="20"/>
              </w:rPr>
              <w:t>Pegfilgrastim</w:t>
            </w:r>
            <w:proofErr w:type="spellEnd"/>
            <w:r w:rsidRPr="0031621E">
              <w:rPr>
                <w:sz w:val="20"/>
                <w:szCs w:val="20"/>
              </w:rPr>
              <w:t xml:space="preserve"> vs. none in one study: 0.201 (CI 0.010, 4.172) </w:t>
            </w:r>
          </w:p>
          <w:p w14:paraId="19649094" w14:textId="77777777" w:rsidR="00FC0BA8" w:rsidRPr="0031621E" w:rsidRDefault="00FC0BA8" w:rsidP="00F27111">
            <w:pPr>
              <w:rPr>
                <w:sz w:val="20"/>
                <w:szCs w:val="20"/>
              </w:rPr>
            </w:pPr>
            <w:r w:rsidRPr="0031621E">
              <w:rPr>
                <w:sz w:val="20"/>
                <w:szCs w:val="20"/>
              </w:rPr>
              <w:t>Overall for all treatments: 0.552 (CI 0.338, 0.902)</w:t>
            </w:r>
          </w:p>
          <w:p w14:paraId="420B39A2" w14:textId="77777777" w:rsidR="00FC0BA8" w:rsidRPr="0031621E" w:rsidRDefault="00FC0BA8" w:rsidP="00F27111">
            <w:pPr>
              <w:rPr>
                <w:b/>
                <w:sz w:val="20"/>
                <w:szCs w:val="20"/>
              </w:rPr>
            </w:pPr>
            <w:r w:rsidRPr="0031621E">
              <w:rPr>
                <w:b/>
                <w:sz w:val="20"/>
                <w:szCs w:val="20"/>
              </w:rPr>
              <w:t>From Figure 3: Early Mortality</w:t>
            </w:r>
          </w:p>
          <w:p w14:paraId="43AEDAB6" w14:textId="77777777" w:rsidR="00FC0BA8" w:rsidRPr="0031621E" w:rsidRDefault="00FC0BA8" w:rsidP="00F27111">
            <w:pPr>
              <w:rPr>
                <w:sz w:val="20"/>
                <w:szCs w:val="20"/>
              </w:rPr>
            </w:pPr>
            <w:r w:rsidRPr="0031621E">
              <w:rPr>
                <w:sz w:val="20"/>
                <w:szCs w:val="20"/>
              </w:rPr>
              <w:t xml:space="preserve">Range of relative risks for patients with solid tumor or lymphoma for </w:t>
            </w:r>
            <w:proofErr w:type="spellStart"/>
            <w:r w:rsidRPr="0031621E">
              <w:rPr>
                <w:sz w:val="20"/>
                <w:szCs w:val="20"/>
              </w:rPr>
              <w:t>Filgrastim</w:t>
            </w:r>
            <w:proofErr w:type="spellEnd"/>
            <w:r w:rsidRPr="0031621E">
              <w:rPr>
                <w:sz w:val="20"/>
                <w:szCs w:val="20"/>
              </w:rPr>
              <w:t xml:space="preserve"> vs. none in eight studies: 0.206 (CI 0.024, 1.732) – 1.427 (CI 0.435, 4.675)</w:t>
            </w:r>
          </w:p>
          <w:p w14:paraId="2609504F" w14:textId="77777777" w:rsidR="00FC0BA8" w:rsidRPr="0031621E" w:rsidRDefault="00FC0BA8" w:rsidP="00F27111">
            <w:pPr>
              <w:rPr>
                <w:sz w:val="20"/>
                <w:szCs w:val="20"/>
              </w:rPr>
            </w:pPr>
            <w:r w:rsidRPr="0031621E">
              <w:rPr>
                <w:sz w:val="20"/>
                <w:szCs w:val="20"/>
              </w:rPr>
              <w:t xml:space="preserve">Overall for </w:t>
            </w:r>
            <w:proofErr w:type="spellStart"/>
            <w:r w:rsidRPr="0031621E">
              <w:rPr>
                <w:sz w:val="20"/>
                <w:szCs w:val="20"/>
              </w:rPr>
              <w:t>Filgrastim</w:t>
            </w:r>
            <w:proofErr w:type="spellEnd"/>
            <w:r w:rsidRPr="0031621E">
              <w:rPr>
                <w:sz w:val="20"/>
                <w:szCs w:val="20"/>
              </w:rPr>
              <w:t>: 0.603 (CI 0.410, 0.887)</w:t>
            </w:r>
          </w:p>
          <w:p w14:paraId="4E5AB885" w14:textId="77777777" w:rsidR="00FC0BA8" w:rsidRPr="0031621E" w:rsidRDefault="00FC0BA8" w:rsidP="00F27111">
            <w:pPr>
              <w:rPr>
                <w:sz w:val="20"/>
                <w:szCs w:val="20"/>
              </w:rPr>
            </w:pPr>
            <w:r w:rsidRPr="0031621E">
              <w:rPr>
                <w:sz w:val="20"/>
                <w:szCs w:val="20"/>
              </w:rPr>
              <w:t xml:space="preserve">Range of relative risks for patients with solid tumor or lymphoma for </w:t>
            </w:r>
            <w:proofErr w:type="spellStart"/>
            <w:r w:rsidRPr="0031621E">
              <w:rPr>
                <w:sz w:val="20"/>
                <w:szCs w:val="20"/>
              </w:rPr>
              <w:t>Lenograstim</w:t>
            </w:r>
            <w:proofErr w:type="spellEnd"/>
            <w:r w:rsidRPr="0031621E">
              <w:rPr>
                <w:sz w:val="20"/>
                <w:szCs w:val="20"/>
              </w:rPr>
              <w:t xml:space="preserve"> vs. none in four studies: 0.767 (CI 0.294, 2.002) – 1.174 (CI 0.024, 56.861)</w:t>
            </w:r>
          </w:p>
          <w:p w14:paraId="0965ADA5" w14:textId="77777777" w:rsidR="00FC0BA8" w:rsidRPr="0031621E" w:rsidRDefault="00FC0BA8" w:rsidP="00F27111">
            <w:pPr>
              <w:rPr>
                <w:sz w:val="20"/>
                <w:szCs w:val="20"/>
              </w:rPr>
            </w:pPr>
            <w:r w:rsidRPr="0031621E">
              <w:rPr>
                <w:sz w:val="20"/>
                <w:szCs w:val="20"/>
              </w:rPr>
              <w:t xml:space="preserve">Overall for </w:t>
            </w:r>
            <w:proofErr w:type="spellStart"/>
            <w:r w:rsidRPr="0031621E">
              <w:rPr>
                <w:sz w:val="20"/>
                <w:szCs w:val="20"/>
              </w:rPr>
              <w:t>Lenograstim</w:t>
            </w:r>
            <w:proofErr w:type="spellEnd"/>
            <w:r w:rsidRPr="0031621E">
              <w:rPr>
                <w:sz w:val="20"/>
                <w:szCs w:val="20"/>
              </w:rPr>
              <w:t>: 0.837 (CI 0.383, 1.833)</w:t>
            </w:r>
          </w:p>
          <w:p w14:paraId="1CC358ED" w14:textId="77777777" w:rsidR="00FC0BA8" w:rsidRPr="0031621E" w:rsidRDefault="00FC0BA8" w:rsidP="00F27111">
            <w:pPr>
              <w:rPr>
                <w:sz w:val="20"/>
                <w:szCs w:val="20"/>
              </w:rPr>
            </w:pPr>
            <w:r w:rsidRPr="0031621E">
              <w:rPr>
                <w:sz w:val="20"/>
                <w:szCs w:val="20"/>
              </w:rPr>
              <w:t xml:space="preserve">Range of relative risks for patients with solid tumor or lymphoma for </w:t>
            </w:r>
            <w:proofErr w:type="spellStart"/>
            <w:r w:rsidRPr="0031621E">
              <w:rPr>
                <w:sz w:val="20"/>
                <w:szCs w:val="20"/>
              </w:rPr>
              <w:t>Pegfilgrastim</w:t>
            </w:r>
            <w:proofErr w:type="spellEnd"/>
            <w:r w:rsidRPr="0031621E">
              <w:rPr>
                <w:sz w:val="20"/>
                <w:szCs w:val="20"/>
              </w:rPr>
              <w:t xml:space="preserve"> vs. none in one study: 0.359 (CI 0.130, 0.988) </w:t>
            </w:r>
          </w:p>
          <w:p w14:paraId="0D37489A" w14:textId="77777777" w:rsidR="00FC0BA8" w:rsidRPr="0031621E" w:rsidRDefault="00FC0BA8" w:rsidP="00F27111">
            <w:pPr>
              <w:rPr>
                <w:sz w:val="20"/>
                <w:szCs w:val="20"/>
              </w:rPr>
            </w:pPr>
            <w:r w:rsidRPr="0031621E">
              <w:rPr>
                <w:sz w:val="20"/>
                <w:szCs w:val="20"/>
              </w:rPr>
              <w:t>Overall for all treatments: 0.599 (CI 0.433, 0.830)</w:t>
            </w:r>
          </w:p>
          <w:p w14:paraId="1CE900E2" w14:textId="77777777" w:rsidR="00FC0BA8" w:rsidRPr="0031621E" w:rsidRDefault="00FC0BA8" w:rsidP="00F27111">
            <w:pPr>
              <w:rPr>
                <w:b/>
                <w:sz w:val="20"/>
                <w:szCs w:val="20"/>
              </w:rPr>
            </w:pPr>
            <w:r w:rsidRPr="0031621E">
              <w:rPr>
                <w:b/>
                <w:sz w:val="20"/>
                <w:szCs w:val="20"/>
              </w:rPr>
              <w:t>From Figure 4: Febrile Neutropenia</w:t>
            </w:r>
          </w:p>
          <w:p w14:paraId="31D395C6" w14:textId="77777777" w:rsidR="00FC0BA8" w:rsidRPr="0031621E" w:rsidRDefault="00FC0BA8" w:rsidP="00F27111">
            <w:pPr>
              <w:rPr>
                <w:sz w:val="20"/>
                <w:szCs w:val="20"/>
              </w:rPr>
            </w:pPr>
            <w:r w:rsidRPr="0031621E">
              <w:rPr>
                <w:sz w:val="20"/>
                <w:szCs w:val="20"/>
              </w:rPr>
              <w:t xml:space="preserve">Range of relative risks for patients with solid </w:t>
            </w:r>
            <w:r w:rsidRPr="0031621E">
              <w:rPr>
                <w:sz w:val="20"/>
                <w:szCs w:val="20"/>
              </w:rPr>
              <w:lastRenderedPageBreak/>
              <w:t xml:space="preserve">tumor or lymphoma for </w:t>
            </w:r>
            <w:proofErr w:type="spellStart"/>
            <w:r w:rsidRPr="0031621E">
              <w:rPr>
                <w:sz w:val="20"/>
                <w:szCs w:val="20"/>
              </w:rPr>
              <w:t>Filgrastim</w:t>
            </w:r>
            <w:proofErr w:type="spellEnd"/>
            <w:r w:rsidRPr="0031621E">
              <w:rPr>
                <w:sz w:val="20"/>
                <w:szCs w:val="20"/>
              </w:rPr>
              <w:t xml:space="preserve"> vs. none in nine studies: 0.249 (CI 0.087, 0.716) – 0.816 (CI 0.641, 1.039)</w:t>
            </w:r>
          </w:p>
          <w:p w14:paraId="1D25A533" w14:textId="77777777" w:rsidR="00FC0BA8" w:rsidRPr="0031621E" w:rsidRDefault="00FC0BA8" w:rsidP="00F27111">
            <w:pPr>
              <w:rPr>
                <w:sz w:val="20"/>
                <w:szCs w:val="20"/>
              </w:rPr>
            </w:pPr>
            <w:r w:rsidRPr="0031621E">
              <w:rPr>
                <w:sz w:val="20"/>
                <w:szCs w:val="20"/>
              </w:rPr>
              <w:t xml:space="preserve">Overall for </w:t>
            </w:r>
            <w:proofErr w:type="spellStart"/>
            <w:r w:rsidRPr="0031621E">
              <w:rPr>
                <w:sz w:val="20"/>
                <w:szCs w:val="20"/>
              </w:rPr>
              <w:t>Filgrastim</w:t>
            </w:r>
            <w:proofErr w:type="spellEnd"/>
            <w:r w:rsidRPr="0031621E">
              <w:rPr>
                <w:sz w:val="20"/>
                <w:szCs w:val="20"/>
              </w:rPr>
              <w:t>: 0.614 (CI 0.525, 0.718)</w:t>
            </w:r>
          </w:p>
          <w:p w14:paraId="483F47F4" w14:textId="77777777" w:rsidR="00FC0BA8" w:rsidRPr="0031621E" w:rsidRDefault="00FC0BA8" w:rsidP="00F27111">
            <w:pPr>
              <w:rPr>
                <w:sz w:val="20"/>
                <w:szCs w:val="20"/>
              </w:rPr>
            </w:pPr>
            <w:r w:rsidRPr="0031621E">
              <w:rPr>
                <w:sz w:val="20"/>
                <w:szCs w:val="20"/>
              </w:rPr>
              <w:t xml:space="preserve">Range of relative risks for patients with solid tumor or lymphoma for </w:t>
            </w:r>
            <w:proofErr w:type="spellStart"/>
            <w:r w:rsidRPr="0031621E">
              <w:rPr>
                <w:sz w:val="20"/>
                <w:szCs w:val="20"/>
              </w:rPr>
              <w:t>Lenograstim</w:t>
            </w:r>
            <w:proofErr w:type="spellEnd"/>
            <w:r w:rsidRPr="0031621E">
              <w:rPr>
                <w:sz w:val="20"/>
                <w:szCs w:val="20"/>
              </w:rPr>
              <w:t xml:space="preserve"> vs. none in five studies: 0.338 (CI 0.148, 0.770) – 0.829 (CI 0.636, 1.080)</w:t>
            </w:r>
          </w:p>
          <w:p w14:paraId="3EB83ED9" w14:textId="77777777" w:rsidR="00FC0BA8" w:rsidRPr="0031621E" w:rsidRDefault="00FC0BA8" w:rsidP="00F27111">
            <w:pPr>
              <w:rPr>
                <w:sz w:val="20"/>
                <w:szCs w:val="20"/>
              </w:rPr>
            </w:pPr>
            <w:r w:rsidRPr="0031621E">
              <w:rPr>
                <w:sz w:val="20"/>
                <w:szCs w:val="20"/>
              </w:rPr>
              <w:t xml:space="preserve">Overall for </w:t>
            </w:r>
            <w:proofErr w:type="spellStart"/>
            <w:r w:rsidRPr="0031621E">
              <w:rPr>
                <w:sz w:val="20"/>
                <w:szCs w:val="20"/>
              </w:rPr>
              <w:t>Lenograstim</w:t>
            </w:r>
            <w:proofErr w:type="spellEnd"/>
            <w:r w:rsidRPr="0031621E">
              <w:rPr>
                <w:sz w:val="20"/>
                <w:szCs w:val="20"/>
              </w:rPr>
              <w:t>: 0.623 (CI 0.442, 0.879)</w:t>
            </w:r>
          </w:p>
          <w:p w14:paraId="3D4FD131" w14:textId="77777777" w:rsidR="00FC0BA8" w:rsidRPr="0031621E" w:rsidRDefault="00FC0BA8" w:rsidP="00F27111">
            <w:pPr>
              <w:rPr>
                <w:sz w:val="20"/>
                <w:szCs w:val="20"/>
              </w:rPr>
            </w:pPr>
            <w:r w:rsidRPr="0031621E">
              <w:rPr>
                <w:sz w:val="20"/>
                <w:szCs w:val="20"/>
              </w:rPr>
              <w:t xml:space="preserve">Range of relative risks for patients with solid tumor or lymphoma for </w:t>
            </w:r>
            <w:proofErr w:type="spellStart"/>
            <w:r w:rsidRPr="0031621E">
              <w:rPr>
                <w:sz w:val="20"/>
                <w:szCs w:val="20"/>
              </w:rPr>
              <w:t>Pegfilgrastim</w:t>
            </w:r>
            <w:proofErr w:type="spellEnd"/>
            <w:r w:rsidRPr="0031621E">
              <w:rPr>
                <w:sz w:val="20"/>
                <w:szCs w:val="20"/>
              </w:rPr>
              <w:t xml:space="preserve"> vs. none in one study: 0.077 (CI 0.034, 0.175) </w:t>
            </w:r>
          </w:p>
          <w:p w14:paraId="3A190DC8" w14:textId="77777777" w:rsidR="00FC0BA8" w:rsidRPr="0031621E" w:rsidRDefault="00FC0BA8" w:rsidP="00F27111">
            <w:pPr>
              <w:rPr>
                <w:sz w:val="20"/>
                <w:szCs w:val="20"/>
              </w:rPr>
            </w:pPr>
            <w:r w:rsidRPr="0031621E">
              <w:rPr>
                <w:sz w:val="20"/>
                <w:szCs w:val="20"/>
              </w:rPr>
              <w:t>Overall for all treatments: 0.538 (0.430, 0.673)</w:t>
            </w:r>
          </w:p>
          <w:p w14:paraId="6E328859" w14:textId="77777777" w:rsidR="00FC0BA8" w:rsidRPr="0031621E" w:rsidRDefault="00FC0BA8" w:rsidP="00F27111">
            <w:pPr>
              <w:rPr>
                <w:sz w:val="20"/>
                <w:szCs w:val="20"/>
              </w:rPr>
            </w:pPr>
            <w:r w:rsidRPr="0031621E">
              <w:rPr>
                <w:sz w:val="20"/>
                <w:szCs w:val="20"/>
              </w:rPr>
              <w:t xml:space="preserve">From Table 2: </w:t>
            </w:r>
          </w:p>
          <w:p w14:paraId="23A59E3E" w14:textId="77777777" w:rsidR="00FC0BA8" w:rsidRPr="0031621E" w:rsidRDefault="00FC0BA8" w:rsidP="00F27111">
            <w:pPr>
              <w:rPr>
                <w:sz w:val="20"/>
                <w:szCs w:val="20"/>
              </w:rPr>
            </w:pPr>
            <w:r w:rsidRPr="0031621E">
              <w:rPr>
                <w:sz w:val="20"/>
                <w:szCs w:val="20"/>
              </w:rPr>
              <w:t xml:space="preserve">Summary risk ratios for patients with solid tumors treated with G-CSF vs. none: </w:t>
            </w:r>
            <w:r w:rsidRPr="0031621E">
              <w:rPr>
                <w:b/>
                <w:sz w:val="20"/>
                <w:szCs w:val="20"/>
              </w:rPr>
              <w:t>Febrile Neutropenia 0.44 (CI 0.30, 0.65), Early Mortality 0.55 (CI 0.37, 0.84),</w:t>
            </w:r>
            <w:r w:rsidRPr="0031621E">
              <w:rPr>
                <w:sz w:val="20"/>
                <w:szCs w:val="20"/>
              </w:rPr>
              <w:t xml:space="preserve"> Infection-Related Mortality 0.53 (CI 0.28, 1.02). </w:t>
            </w:r>
          </w:p>
          <w:p w14:paraId="23B4772F" w14:textId="77777777" w:rsidR="00FC0BA8" w:rsidRPr="0031621E" w:rsidRDefault="00FC0BA8" w:rsidP="00F27111">
            <w:pPr>
              <w:rPr>
                <w:sz w:val="20"/>
                <w:szCs w:val="20"/>
              </w:rPr>
            </w:pPr>
            <w:r w:rsidRPr="0031621E">
              <w:rPr>
                <w:sz w:val="20"/>
                <w:szCs w:val="20"/>
              </w:rPr>
              <w:t xml:space="preserve">Summary risk ratios for patients with lymphomas treated with G-CSF vs. none: </w:t>
            </w:r>
            <w:r w:rsidRPr="0031621E">
              <w:rPr>
                <w:b/>
                <w:sz w:val="20"/>
                <w:szCs w:val="20"/>
              </w:rPr>
              <w:t>Febrile Neutropenia 0.71 (CI 0.59, 0.85)</w:t>
            </w:r>
            <w:r w:rsidRPr="0031621E">
              <w:rPr>
                <w:sz w:val="20"/>
                <w:szCs w:val="20"/>
              </w:rPr>
              <w:t>, Early Mortality 0.69 (CI 0.40, 1.17)</w:t>
            </w:r>
            <w:r w:rsidRPr="0031621E">
              <w:rPr>
                <w:b/>
                <w:sz w:val="20"/>
                <w:szCs w:val="20"/>
              </w:rPr>
              <w:t>,</w:t>
            </w:r>
            <w:r w:rsidRPr="0031621E">
              <w:rPr>
                <w:sz w:val="20"/>
                <w:szCs w:val="20"/>
              </w:rPr>
              <w:t xml:space="preserve"> Infection-Related Mortality 0.58 (CI 0.28, 1.23).</w:t>
            </w:r>
          </w:p>
          <w:p w14:paraId="5D4D0490" w14:textId="77777777" w:rsidR="00FC0BA8" w:rsidRPr="0031621E" w:rsidRDefault="00FC0BA8" w:rsidP="00F27111">
            <w:pPr>
              <w:rPr>
                <w:sz w:val="20"/>
                <w:szCs w:val="20"/>
              </w:rPr>
            </w:pPr>
            <w:r w:rsidRPr="0031621E">
              <w:rPr>
                <w:b/>
                <w:sz w:val="20"/>
                <w:szCs w:val="20"/>
              </w:rPr>
              <w:t>Bold</w:t>
            </w:r>
            <w:r w:rsidRPr="0031621E">
              <w:rPr>
                <w:sz w:val="20"/>
                <w:szCs w:val="20"/>
              </w:rPr>
              <w:t xml:space="preserve"> = statistically significant differences.</w:t>
            </w:r>
          </w:p>
        </w:tc>
        <w:tc>
          <w:tcPr>
            <w:tcW w:w="3394" w:type="dxa"/>
          </w:tcPr>
          <w:p w14:paraId="6EB4F4E2" w14:textId="77777777" w:rsidR="00FC0BA8" w:rsidRPr="0031621E" w:rsidRDefault="00FC0BA8" w:rsidP="00F27111">
            <w:pPr>
              <w:rPr>
                <w:sz w:val="20"/>
                <w:szCs w:val="20"/>
              </w:rPr>
            </w:pPr>
            <w:r w:rsidRPr="0031621E">
              <w:rPr>
                <w:sz w:val="20"/>
                <w:szCs w:val="20"/>
              </w:rPr>
              <w:lastRenderedPageBreak/>
              <w:t xml:space="preserve">Risk ratio for patients treated with G-CSF with bone or musculoskeletal pain (N=3029) RR=4.023 (CI 2.156,7.52). These results may include patients </w:t>
            </w:r>
            <w:proofErr w:type="gramStart"/>
            <w:r w:rsidRPr="0031621E">
              <w:rPr>
                <w:sz w:val="20"/>
                <w:szCs w:val="20"/>
              </w:rPr>
              <w:t>under</w:t>
            </w:r>
            <w:proofErr w:type="gramEnd"/>
            <w:r w:rsidRPr="0031621E">
              <w:rPr>
                <w:sz w:val="20"/>
                <w:szCs w:val="20"/>
              </w:rPr>
              <w:t xml:space="preserve"> 18 years of age.</w:t>
            </w:r>
          </w:p>
        </w:tc>
        <w:tc>
          <w:tcPr>
            <w:tcW w:w="1953" w:type="dxa"/>
          </w:tcPr>
          <w:p w14:paraId="2F236382" w14:textId="77777777" w:rsidR="00FC0BA8" w:rsidRPr="0031621E" w:rsidRDefault="00FC0BA8" w:rsidP="00F27111">
            <w:pPr>
              <w:rPr>
                <w:sz w:val="20"/>
                <w:szCs w:val="20"/>
              </w:rPr>
            </w:pPr>
            <w:r w:rsidRPr="0031621E">
              <w:rPr>
                <w:sz w:val="20"/>
                <w:szCs w:val="20"/>
              </w:rPr>
              <w:t>Three studies include patients below 18 years old.</w:t>
            </w:r>
          </w:p>
        </w:tc>
      </w:tr>
      <w:tr w:rsidR="00FC0BA8" w:rsidRPr="0031621E" w14:paraId="589AD08A" w14:textId="77777777" w:rsidTr="00F27111">
        <w:tc>
          <w:tcPr>
            <w:tcW w:w="1596" w:type="dxa"/>
          </w:tcPr>
          <w:p w14:paraId="430F710E" w14:textId="77777777" w:rsidR="00FC0BA8" w:rsidRPr="0031621E" w:rsidRDefault="00FC0BA8" w:rsidP="00F27111">
            <w:pPr>
              <w:rPr>
                <w:sz w:val="20"/>
                <w:szCs w:val="20"/>
              </w:rPr>
            </w:pPr>
            <w:r w:rsidRPr="0031621E">
              <w:rPr>
                <w:sz w:val="20"/>
                <w:szCs w:val="20"/>
              </w:rPr>
              <w:lastRenderedPageBreak/>
              <w:t>Sung 2007</w:t>
            </w:r>
          </w:p>
        </w:tc>
        <w:tc>
          <w:tcPr>
            <w:tcW w:w="1902" w:type="dxa"/>
          </w:tcPr>
          <w:p w14:paraId="4270F3F0" w14:textId="77777777" w:rsidR="00FC0BA8" w:rsidRPr="0031621E" w:rsidRDefault="00FC0BA8" w:rsidP="00F27111">
            <w:pPr>
              <w:rPr>
                <w:sz w:val="20"/>
                <w:szCs w:val="20"/>
              </w:rPr>
            </w:pPr>
            <w:r w:rsidRPr="0031621E">
              <w:rPr>
                <w:sz w:val="20"/>
                <w:szCs w:val="20"/>
              </w:rPr>
              <w:t>Meta-analysis</w:t>
            </w:r>
          </w:p>
          <w:p w14:paraId="024B0D77" w14:textId="77777777" w:rsidR="00FC0BA8" w:rsidRPr="0031621E" w:rsidRDefault="00FC0BA8" w:rsidP="00F27111">
            <w:pPr>
              <w:rPr>
                <w:sz w:val="20"/>
                <w:szCs w:val="20"/>
              </w:rPr>
            </w:pPr>
            <w:r w:rsidRPr="0031621E">
              <w:rPr>
                <w:sz w:val="20"/>
                <w:szCs w:val="20"/>
              </w:rPr>
              <w:t>In Appendix Figure 3: 26 lymphoma/ solid tumor studies</w:t>
            </w:r>
          </w:p>
          <w:p w14:paraId="14504874" w14:textId="77777777" w:rsidR="00FC0BA8" w:rsidRPr="0031621E" w:rsidRDefault="00FC0BA8" w:rsidP="00F27111">
            <w:pPr>
              <w:rPr>
                <w:sz w:val="20"/>
                <w:szCs w:val="20"/>
              </w:rPr>
            </w:pPr>
          </w:p>
          <w:p w14:paraId="66F842C9" w14:textId="77777777" w:rsidR="00FC0BA8" w:rsidRPr="0031621E" w:rsidRDefault="00FC0BA8" w:rsidP="00F27111">
            <w:pPr>
              <w:rPr>
                <w:sz w:val="20"/>
                <w:szCs w:val="20"/>
              </w:rPr>
            </w:pPr>
            <w:r w:rsidRPr="0031621E">
              <w:rPr>
                <w:sz w:val="20"/>
                <w:szCs w:val="20"/>
              </w:rPr>
              <w:t xml:space="preserve">In Appendix Figure 6: 30 lymphoma/ solid tumor studies </w:t>
            </w:r>
          </w:p>
          <w:p w14:paraId="5D271626" w14:textId="77777777" w:rsidR="00FC0BA8" w:rsidRPr="0031621E" w:rsidRDefault="00FC0BA8" w:rsidP="00F27111">
            <w:pPr>
              <w:rPr>
                <w:sz w:val="20"/>
                <w:szCs w:val="20"/>
              </w:rPr>
            </w:pPr>
          </w:p>
          <w:p w14:paraId="3F8996AE" w14:textId="77777777" w:rsidR="00FC0BA8" w:rsidRPr="0031621E" w:rsidRDefault="00FC0BA8" w:rsidP="00F27111">
            <w:pPr>
              <w:rPr>
                <w:sz w:val="20"/>
                <w:szCs w:val="20"/>
              </w:rPr>
            </w:pPr>
            <w:r w:rsidRPr="0031621E">
              <w:rPr>
                <w:sz w:val="20"/>
                <w:szCs w:val="20"/>
              </w:rPr>
              <w:t xml:space="preserve">In Appendix Table 3: </w:t>
            </w:r>
          </w:p>
          <w:p w14:paraId="1C667A1D" w14:textId="77777777" w:rsidR="00FC0BA8" w:rsidRPr="0031621E" w:rsidRDefault="00FC0BA8" w:rsidP="00F27111">
            <w:pPr>
              <w:rPr>
                <w:sz w:val="20"/>
                <w:szCs w:val="20"/>
              </w:rPr>
            </w:pPr>
            <w:r w:rsidRPr="0031621E">
              <w:rPr>
                <w:sz w:val="20"/>
                <w:szCs w:val="20"/>
              </w:rPr>
              <w:t xml:space="preserve">Number of G-CSF </w:t>
            </w:r>
            <w:r w:rsidRPr="0031621E">
              <w:rPr>
                <w:sz w:val="20"/>
                <w:szCs w:val="20"/>
              </w:rPr>
              <w:lastRenderedPageBreak/>
              <w:t xml:space="preserve">studies: </w:t>
            </w:r>
          </w:p>
          <w:p w14:paraId="22676967" w14:textId="77777777" w:rsidR="00FC0BA8" w:rsidRPr="0031621E" w:rsidRDefault="00FC0BA8" w:rsidP="00F27111">
            <w:pPr>
              <w:rPr>
                <w:sz w:val="20"/>
                <w:szCs w:val="20"/>
              </w:rPr>
            </w:pPr>
            <w:r w:rsidRPr="0031621E">
              <w:rPr>
                <w:sz w:val="20"/>
                <w:szCs w:val="20"/>
              </w:rPr>
              <w:t xml:space="preserve">45 all-cause mortality, 42 infection-related mortality, </w:t>
            </w:r>
          </w:p>
          <w:p w14:paraId="7443571A" w14:textId="77777777" w:rsidR="00FC0BA8" w:rsidRPr="0031621E" w:rsidRDefault="00FC0BA8" w:rsidP="00F27111">
            <w:pPr>
              <w:rPr>
                <w:sz w:val="20"/>
                <w:szCs w:val="20"/>
              </w:rPr>
            </w:pPr>
            <w:r w:rsidRPr="0031621E">
              <w:rPr>
                <w:sz w:val="20"/>
                <w:szCs w:val="20"/>
              </w:rPr>
              <w:t xml:space="preserve">41 documented infections, </w:t>
            </w:r>
          </w:p>
          <w:p w14:paraId="5671739C" w14:textId="77777777" w:rsidR="00FC0BA8" w:rsidRPr="0031621E" w:rsidRDefault="00FC0BA8" w:rsidP="00F27111">
            <w:pPr>
              <w:rPr>
                <w:sz w:val="20"/>
                <w:szCs w:val="20"/>
              </w:rPr>
            </w:pPr>
            <w:r w:rsidRPr="0031621E">
              <w:rPr>
                <w:sz w:val="20"/>
                <w:szCs w:val="20"/>
              </w:rPr>
              <w:t>29 microbiologically documented infection, 33 febrile neutropenia.</w:t>
            </w:r>
          </w:p>
          <w:p w14:paraId="596D088E" w14:textId="77777777" w:rsidR="00FC0BA8" w:rsidRPr="0031621E" w:rsidRDefault="00FC0BA8" w:rsidP="00F27111">
            <w:pPr>
              <w:rPr>
                <w:sz w:val="20"/>
                <w:szCs w:val="20"/>
              </w:rPr>
            </w:pPr>
            <w:r w:rsidRPr="0031621E">
              <w:rPr>
                <w:sz w:val="20"/>
                <w:szCs w:val="20"/>
              </w:rPr>
              <w:t xml:space="preserve">Number of GM-CSF studies: </w:t>
            </w:r>
          </w:p>
          <w:p w14:paraId="46EE041B" w14:textId="77777777" w:rsidR="00FC0BA8" w:rsidRPr="0031621E" w:rsidRDefault="00FC0BA8" w:rsidP="00F27111">
            <w:pPr>
              <w:rPr>
                <w:sz w:val="20"/>
                <w:szCs w:val="20"/>
              </w:rPr>
            </w:pPr>
            <w:r w:rsidRPr="0031621E">
              <w:rPr>
                <w:sz w:val="20"/>
                <w:szCs w:val="20"/>
              </w:rPr>
              <w:t xml:space="preserve">34 all-cause mortality, 24 infection-related mortality, </w:t>
            </w:r>
          </w:p>
          <w:p w14:paraId="34205574" w14:textId="77777777" w:rsidR="00FC0BA8" w:rsidRPr="0031621E" w:rsidRDefault="00FC0BA8" w:rsidP="00F27111">
            <w:pPr>
              <w:rPr>
                <w:sz w:val="20"/>
                <w:szCs w:val="20"/>
              </w:rPr>
            </w:pPr>
            <w:r w:rsidRPr="0031621E">
              <w:rPr>
                <w:sz w:val="20"/>
                <w:szCs w:val="20"/>
              </w:rPr>
              <w:t xml:space="preserve">17 documented infections, </w:t>
            </w:r>
          </w:p>
          <w:p w14:paraId="577B0E38" w14:textId="77777777" w:rsidR="00FC0BA8" w:rsidRPr="0031621E" w:rsidRDefault="00FC0BA8" w:rsidP="00F27111">
            <w:pPr>
              <w:rPr>
                <w:sz w:val="20"/>
                <w:szCs w:val="20"/>
              </w:rPr>
            </w:pPr>
            <w:r w:rsidRPr="0031621E">
              <w:rPr>
                <w:sz w:val="20"/>
                <w:szCs w:val="20"/>
              </w:rPr>
              <w:t>12 microbiologically documented infection, 15 febrile neutropenia.</w:t>
            </w:r>
          </w:p>
        </w:tc>
        <w:tc>
          <w:tcPr>
            <w:tcW w:w="4331" w:type="dxa"/>
          </w:tcPr>
          <w:p w14:paraId="26DD5456" w14:textId="77777777" w:rsidR="00FC0BA8" w:rsidRPr="0031621E" w:rsidRDefault="00FC0BA8" w:rsidP="00F27111">
            <w:pPr>
              <w:rPr>
                <w:b/>
                <w:sz w:val="20"/>
                <w:szCs w:val="20"/>
              </w:rPr>
            </w:pPr>
            <w:r w:rsidRPr="0031621E">
              <w:rPr>
                <w:b/>
                <w:sz w:val="20"/>
                <w:szCs w:val="20"/>
              </w:rPr>
              <w:lastRenderedPageBreak/>
              <w:t>From Appendix Figure 3:</w:t>
            </w:r>
          </w:p>
          <w:p w14:paraId="13F9207E" w14:textId="77777777" w:rsidR="00FC0BA8" w:rsidRPr="0031621E" w:rsidRDefault="00FC0BA8" w:rsidP="00F27111">
            <w:pPr>
              <w:rPr>
                <w:sz w:val="20"/>
                <w:szCs w:val="20"/>
              </w:rPr>
            </w:pPr>
            <w:r w:rsidRPr="0031621E">
              <w:rPr>
                <w:sz w:val="20"/>
                <w:szCs w:val="20"/>
              </w:rPr>
              <w:t>All-cause mortality associated with CSF for lymphoma/solid tumor patients (n=4359) Risk ratio (RR)=0.91 (CI 0.64,1.28)</w:t>
            </w:r>
          </w:p>
          <w:p w14:paraId="57602C8E" w14:textId="77777777" w:rsidR="00FC0BA8" w:rsidRPr="0031621E" w:rsidRDefault="00FC0BA8" w:rsidP="00F27111">
            <w:pPr>
              <w:rPr>
                <w:b/>
                <w:sz w:val="20"/>
                <w:szCs w:val="20"/>
              </w:rPr>
            </w:pPr>
            <w:r w:rsidRPr="0031621E">
              <w:rPr>
                <w:b/>
                <w:sz w:val="20"/>
                <w:szCs w:val="20"/>
              </w:rPr>
              <w:t>From Appendix Figure 6:</w:t>
            </w:r>
          </w:p>
          <w:p w14:paraId="1F9A38ED" w14:textId="77777777" w:rsidR="00FC0BA8" w:rsidRPr="0031621E" w:rsidRDefault="00FC0BA8" w:rsidP="00F27111">
            <w:pPr>
              <w:rPr>
                <w:sz w:val="20"/>
                <w:szCs w:val="20"/>
              </w:rPr>
            </w:pPr>
            <w:r w:rsidRPr="0031621E">
              <w:rPr>
                <w:sz w:val="20"/>
                <w:szCs w:val="20"/>
              </w:rPr>
              <w:t>Infection-related mortality associated with CSF for lymphoma/solid tumor patients (N=4777) RR=0.70 (CI 0.47,1.05)</w:t>
            </w:r>
          </w:p>
          <w:p w14:paraId="7A86A0CE" w14:textId="77777777" w:rsidR="00FC0BA8" w:rsidRPr="0031621E" w:rsidRDefault="00FC0BA8" w:rsidP="00F27111">
            <w:pPr>
              <w:rPr>
                <w:b/>
                <w:sz w:val="20"/>
                <w:szCs w:val="20"/>
              </w:rPr>
            </w:pPr>
            <w:r w:rsidRPr="0031621E">
              <w:rPr>
                <w:b/>
                <w:sz w:val="20"/>
                <w:szCs w:val="20"/>
              </w:rPr>
              <w:t>From Appendix Table 3:</w:t>
            </w:r>
          </w:p>
          <w:p w14:paraId="19D3EE55" w14:textId="77777777" w:rsidR="00FC0BA8" w:rsidRPr="0031621E" w:rsidRDefault="00FC0BA8" w:rsidP="00F27111">
            <w:pPr>
              <w:rPr>
                <w:sz w:val="20"/>
                <w:szCs w:val="20"/>
              </w:rPr>
            </w:pPr>
            <w:r w:rsidRPr="0031621E">
              <w:rPr>
                <w:sz w:val="20"/>
                <w:szCs w:val="20"/>
              </w:rPr>
              <w:t>For patients treated with G-CSF:</w:t>
            </w:r>
          </w:p>
          <w:p w14:paraId="726AF124" w14:textId="77777777" w:rsidR="00FC0BA8" w:rsidRPr="0031621E" w:rsidRDefault="00FC0BA8" w:rsidP="00F27111">
            <w:pPr>
              <w:rPr>
                <w:sz w:val="20"/>
                <w:szCs w:val="20"/>
              </w:rPr>
            </w:pPr>
            <w:r w:rsidRPr="0031621E">
              <w:rPr>
                <w:sz w:val="20"/>
                <w:szCs w:val="20"/>
              </w:rPr>
              <w:t>All-cause mortality RR=0.98 (0.83, 1.15)</w:t>
            </w:r>
          </w:p>
          <w:p w14:paraId="0BB1F01C" w14:textId="77777777" w:rsidR="00FC0BA8" w:rsidRPr="0031621E" w:rsidRDefault="00FC0BA8" w:rsidP="00F27111">
            <w:pPr>
              <w:rPr>
                <w:sz w:val="20"/>
                <w:szCs w:val="20"/>
              </w:rPr>
            </w:pPr>
            <w:r w:rsidRPr="0031621E">
              <w:rPr>
                <w:sz w:val="20"/>
                <w:szCs w:val="20"/>
              </w:rPr>
              <w:lastRenderedPageBreak/>
              <w:t>Infection-related mortality RR=0.84 (CI 0.66, 1.06)</w:t>
            </w:r>
          </w:p>
          <w:p w14:paraId="445529BA" w14:textId="77777777" w:rsidR="00FC0BA8" w:rsidRPr="0031621E" w:rsidRDefault="00FC0BA8" w:rsidP="00F27111">
            <w:pPr>
              <w:rPr>
                <w:sz w:val="20"/>
                <w:szCs w:val="20"/>
              </w:rPr>
            </w:pPr>
            <w:r w:rsidRPr="0031621E">
              <w:rPr>
                <w:sz w:val="20"/>
                <w:szCs w:val="20"/>
              </w:rPr>
              <w:t>Documented infections RR=0.83 (CI 0.76, 0.91)</w:t>
            </w:r>
          </w:p>
          <w:p w14:paraId="122EB052" w14:textId="77777777" w:rsidR="00FC0BA8" w:rsidRPr="0031621E" w:rsidRDefault="00FC0BA8" w:rsidP="00F27111">
            <w:pPr>
              <w:rPr>
                <w:sz w:val="20"/>
                <w:szCs w:val="20"/>
              </w:rPr>
            </w:pPr>
            <w:r w:rsidRPr="0031621E">
              <w:rPr>
                <w:sz w:val="20"/>
                <w:szCs w:val="20"/>
              </w:rPr>
              <w:t>Microbiologically documented infection RR=0.85 (CI 0.76, 0.96)</w:t>
            </w:r>
          </w:p>
          <w:p w14:paraId="242EF4E9" w14:textId="77777777" w:rsidR="00FC0BA8" w:rsidRPr="0031621E" w:rsidRDefault="00FC0BA8" w:rsidP="00F27111">
            <w:pPr>
              <w:rPr>
                <w:sz w:val="20"/>
                <w:szCs w:val="20"/>
              </w:rPr>
            </w:pPr>
            <w:r w:rsidRPr="0031621E">
              <w:rPr>
                <w:sz w:val="20"/>
                <w:szCs w:val="20"/>
              </w:rPr>
              <w:t>Febrile neutropenia RR=0.72 (CI 0.64, 0.81)</w:t>
            </w:r>
          </w:p>
          <w:p w14:paraId="38764E2F" w14:textId="77777777" w:rsidR="00FC0BA8" w:rsidRPr="0031621E" w:rsidRDefault="00FC0BA8" w:rsidP="00F27111">
            <w:pPr>
              <w:rPr>
                <w:b/>
                <w:sz w:val="20"/>
                <w:szCs w:val="20"/>
              </w:rPr>
            </w:pPr>
            <w:r w:rsidRPr="0031621E">
              <w:rPr>
                <w:b/>
                <w:sz w:val="20"/>
                <w:szCs w:val="20"/>
              </w:rPr>
              <w:t>From Appendix Table 3:</w:t>
            </w:r>
          </w:p>
          <w:p w14:paraId="2DA23C1D" w14:textId="77777777" w:rsidR="00FC0BA8" w:rsidRPr="0031621E" w:rsidRDefault="00FC0BA8" w:rsidP="00F27111">
            <w:pPr>
              <w:rPr>
                <w:sz w:val="20"/>
                <w:szCs w:val="20"/>
              </w:rPr>
            </w:pPr>
            <w:r w:rsidRPr="0031621E">
              <w:rPr>
                <w:sz w:val="20"/>
                <w:szCs w:val="20"/>
              </w:rPr>
              <w:t>For patients treated with GM-CSF</w:t>
            </w:r>
          </w:p>
          <w:p w14:paraId="43E8F29C" w14:textId="77777777" w:rsidR="00FC0BA8" w:rsidRPr="0031621E" w:rsidRDefault="00FC0BA8" w:rsidP="00F27111">
            <w:pPr>
              <w:rPr>
                <w:sz w:val="20"/>
                <w:szCs w:val="20"/>
              </w:rPr>
            </w:pPr>
            <w:r w:rsidRPr="0031621E">
              <w:rPr>
                <w:sz w:val="20"/>
                <w:szCs w:val="20"/>
              </w:rPr>
              <w:t>All-cause mortality RR=0.95 (0.84, 1.08)</w:t>
            </w:r>
          </w:p>
          <w:p w14:paraId="5AB02EDA" w14:textId="77777777" w:rsidR="00FC0BA8" w:rsidRPr="0031621E" w:rsidRDefault="00FC0BA8" w:rsidP="00F27111">
            <w:pPr>
              <w:rPr>
                <w:sz w:val="20"/>
                <w:szCs w:val="20"/>
              </w:rPr>
            </w:pPr>
            <w:r w:rsidRPr="0031621E">
              <w:rPr>
                <w:sz w:val="20"/>
                <w:szCs w:val="20"/>
              </w:rPr>
              <w:t>Infection-related mortality RR=0.82 (CI 0.49, 1.38)</w:t>
            </w:r>
          </w:p>
          <w:p w14:paraId="3402356A" w14:textId="77777777" w:rsidR="00FC0BA8" w:rsidRPr="0031621E" w:rsidRDefault="00FC0BA8" w:rsidP="00F27111">
            <w:pPr>
              <w:rPr>
                <w:sz w:val="20"/>
                <w:szCs w:val="20"/>
              </w:rPr>
            </w:pPr>
            <w:r w:rsidRPr="0031621E">
              <w:rPr>
                <w:sz w:val="20"/>
                <w:szCs w:val="20"/>
              </w:rPr>
              <w:t>Documented infections RR=0.92 (CI 0.78, 1.07)</w:t>
            </w:r>
          </w:p>
          <w:p w14:paraId="53C803A4" w14:textId="77777777" w:rsidR="00FC0BA8" w:rsidRPr="0031621E" w:rsidRDefault="00FC0BA8" w:rsidP="00F27111">
            <w:pPr>
              <w:rPr>
                <w:sz w:val="20"/>
                <w:szCs w:val="20"/>
              </w:rPr>
            </w:pPr>
            <w:r w:rsidRPr="0031621E">
              <w:rPr>
                <w:sz w:val="20"/>
                <w:szCs w:val="20"/>
              </w:rPr>
              <w:t>Microbiologically documented infection RR=0.90 (CI 0.68, 1.19)</w:t>
            </w:r>
          </w:p>
          <w:p w14:paraId="3B408624" w14:textId="77777777" w:rsidR="00FC0BA8" w:rsidRPr="0031621E" w:rsidRDefault="00FC0BA8" w:rsidP="00F27111">
            <w:pPr>
              <w:rPr>
                <w:sz w:val="20"/>
                <w:szCs w:val="20"/>
              </w:rPr>
            </w:pPr>
            <w:r w:rsidRPr="0031621E">
              <w:rPr>
                <w:sz w:val="20"/>
                <w:szCs w:val="20"/>
              </w:rPr>
              <w:t>Febrile neutropenia RR=0.88 (CI 0.75, 1.03)</w:t>
            </w:r>
          </w:p>
        </w:tc>
        <w:tc>
          <w:tcPr>
            <w:tcW w:w="3394" w:type="dxa"/>
          </w:tcPr>
          <w:p w14:paraId="3566EB92" w14:textId="77777777" w:rsidR="00FC0BA8" w:rsidRPr="0031621E" w:rsidRDefault="00FC0BA8" w:rsidP="00F27111">
            <w:pPr>
              <w:rPr>
                <w:sz w:val="20"/>
                <w:szCs w:val="20"/>
              </w:rPr>
            </w:pPr>
            <w:r w:rsidRPr="0031621E">
              <w:rPr>
                <w:sz w:val="20"/>
                <w:szCs w:val="20"/>
              </w:rPr>
              <w:lastRenderedPageBreak/>
              <w:t>None listed in article</w:t>
            </w:r>
          </w:p>
        </w:tc>
        <w:tc>
          <w:tcPr>
            <w:tcW w:w="1953" w:type="dxa"/>
          </w:tcPr>
          <w:p w14:paraId="4868075F" w14:textId="77777777" w:rsidR="00FC0BA8" w:rsidRPr="0031621E" w:rsidRDefault="00FC0BA8" w:rsidP="00F27111">
            <w:pPr>
              <w:rPr>
                <w:sz w:val="20"/>
                <w:szCs w:val="20"/>
              </w:rPr>
            </w:pPr>
            <w:r w:rsidRPr="0031621E">
              <w:rPr>
                <w:sz w:val="20"/>
                <w:szCs w:val="20"/>
              </w:rPr>
              <w:t>Adults and children with cancer</w:t>
            </w:r>
          </w:p>
          <w:p w14:paraId="59EF9E5A" w14:textId="77777777" w:rsidR="00FC0BA8" w:rsidRPr="0031621E" w:rsidRDefault="00FC0BA8" w:rsidP="00F27111">
            <w:pPr>
              <w:rPr>
                <w:sz w:val="20"/>
                <w:szCs w:val="20"/>
              </w:rPr>
            </w:pPr>
            <w:r w:rsidRPr="0031621E">
              <w:rPr>
                <w:sz w:val="20"/>
                <w:szCs w:val="20"/>
              </w:rPr>
              <w:t>Limitations: these data are not limited to adults 18+.</w:t>
            </w:r>
          </w:p>
        </w:tc>
      </w:tr>
      <w:tr w:rsidR="00FC0BA8" w:rsidRPr="0031621E" w14:paraId="22C6F59B" w14:textId="77777777" w:rsidTr="00F27111">
        <w:tc>
          <w:tcPr>
            <w:tcW w:w="1596" w:type="dxa"/>
          </w:tcPr>
          <w:p w14:paraId="463F22E9" w14:textId="77777777" w:rsidR="00FC0BA8" w:rsidRPr="0031621E" w:rsidRDefault="00FC0BA8" w:rsidP="00F27111">
            <w:pPr>
              <w:rPr>
                <w:sz w:val="20"/>
                <w:szCs w:val="20"/>
              </w:rPr>
            </w:pPr>
            <w:proofErr w:type="spellStart"/>
            <w:r w:rsidRPr="0031621E">
              <w:rPr>
                <w:sz w:val="20"/>
                <w:szCs w:val="20"/>
              </w:rPr>
              <w:lastRenderedPageBreak/>
              <w:t>Papaldo</w:t>
            </w:r>
            <w:proofErr w:type="spellEnd"/>
            <w:r w:rsidRPr="0031621E">
              <w:rPr>
                <w:sz w:val="20"/>
                <w:szCs w:val="20"/>
              </w:rPr>
              <w:t xml:space="preserve"> 2006</w:t>
            </w:r>
          </w:p>
        </w:tc>
        <w:tc>
          <w:tcPr>
            <w:tcW w:w="1902" w:type="dxa"/>
          </w:tcPr>
          <w:p w14:paraId="7F2B2A3E" w14:textId="77777777" w:rsidR="00FC0BA8" w:rsidRPr="0031621E" w:rsidRDefault="00FC0BA8" w:rsidP="00F27111">
            <w:pPr>
              <w:rPr>
                <w:sz w:val="20"/>
                <w:szCs w:val="20"/>
              </w:rPr>
            </w:pPr>
            <w:r w:rsidRPr="0031621E">
              <w:rPr>
                <w:sz w:val="20"/>
                <w:szCs w:val="20"/>
              </w:rPr>
              <w:t>RCT; outcomes=delayed cycles; dose reduction, dose intensity</w:t>
            </w:r>
          </w:p>
        </w:tc>
        <w:tc>
          <w:tcPr>
            <w:tcW w:w="4331" w:type="dxa"/>
          </w:tcPr>
          <w:p w14:paraId="3600986A" w14:textId="77777777" w:rsidR="00FC0BA8" w:rsidRPr="0031621E" w:rsidRDefault="00FC0BA8" w:rsidP="00F27111">
            <w:pPr>
              <w:rPr>
                <w:sz w:val="20"/>
                <w:szCs w:val="20"/>
              </w:rPr>
            </w:pPr>
            <w:r w:rsidRPr="0031621E">
              <w:rPr>
                <w:sz w:val="20"/>
                <w:szCs w:val="20"/>
              </w:rPr>
              <w:t>Impact of G-CSF on all cycles on patients with early breast cancer (N=506):</w:t>
            </w:r>
          </w:p>
          <w:p w14:paraId="4FE3F924" w14:textId="77777777" w:rsidR="00FC0BA8" w:rsidRPr="0031621E" w:rsidRDefault="00FC0BA8" w:rsidP="00F27111">
            <w:pPr>
              <w:rPr>
                <w:sz w:val="20"/>
                <w:szCs w:val="20"/>
              </w:rPr>
            </w:pPr>
            <w:r w:rsidRPr="0031621E">
              <w:rPr>
                <w:sz w:val="20"/>
                <w:szCs w:val="20"/>
              </w:rPr>
              <w:t>Decreased rate of delayed cycles for patients with G-CSF (10.0% vs. 3.6% p=0.00001)</w:t>
            </w:r>
          </w:p>
          <w:p w14:paraId="77D9C3B9" w14:textId="77777777" w:rsidR="00FC0BA8" w:rsidRPr="0031621E" w:rsidRDefault="00FC0BA8" w:rsidP="00F27111">
            <w:pPr>
              <w:rPr>
                <w:sz w:val="20"/>
                <w:szCs w:val="20"/>
              </w:rPr>
            </w:pPr>
            <w:r w:rsidRPr="0031621E">
              <w:rPr>
                <w:sz w:val="20"/>
                <w:szCs w:val="20"/>
              </w:rPr>
              <w:t>Decreased frequency of dose reduction for patients with G-CSF (3.6% vs. 1.4% p=0.002)</w:t>
            </w:r>
          </w:p>
          <w:p w14:paraId="783694C1" w14:textId="77777777" w:rsidR="00FC0BA8" w:rsidRPr="0031621E" w:rsidRDefault="00FC0BA8" w:rsidP="00F27111">
            <w:pPr>
              <w:rPr>
                <w:sz w:val="20"/>
                <w:szCs w:val="20"/>
              </w:rPr>
            </w:pPr>
            <w:r w:rsidRPr="0031621E">
              <w:rPr>
                <w:sz w:val="20"/>
                <w:szCs w:val="20"/>
              </w:rPr>
              <w:t>No difference in dose intensity of adjuvant therapy between the G-CSF and control (98.1% vs. 95.5% in G-CSF and non–GCSF, respectively; p=0.17).</w:t>
            </w:r>
          </w:p>
          <w:p w14:paraId="60F59664" w14:textId="77777777" w:rsidR="00FC0BA8" w:rsidRPr="0031621E" w:rsidRDefault="00FC0BA8" w:rsidP="00F27111">
            <w:pPr>
              <w:rPr>
                <w:sz w:val="20"/>
                <w:szCs w:val="20"/>
              </w:rPr>
            </w:pPr>
          </w:p>
        </w:tc>
        <w:tc>
          <w:tcPr>
            <w:tcW w:w="3394" w:type="dxa"/>
          </w:tcPr>
          <w:p w14:paraId="489751EB" w14:textId="77777777" w:rsidR="00FC0BA8" w:rsidRPr="0031621E" w:rsidRDefault="00FC0BA8" w:rsidP="00F27111">
            <w:pPr>
              <w:rPr>
                <w:sz w:val="20"/>
                <w:szCs w:val="20"/>
              </w:rPr>
            </w:pPr>
            <w:r w:rsidRPr="0031621E">
              <w:rPr>
                <w:sz w:val="20"/>
                <w:szCs w:val="20"/>
              </w:rPr>
              <w:t>Impact of G-CSF on all cycles on anemia rate in patients with early breast cancer (N=506):</w:t>
            </w:r>
          </w:p>
          <w:p w14:paraId="702E8B2C" w14:textId="77777777" w:rsidR="00FC0BA8" w:rsidRPr="0031621E" w:rsidRDefault="00FC0BA8" w:rsidP="00F27111">
            <w:pPr>
              <w:rPr>
                <w:sz w:val="20"/>
                <w:szCs w:val="20"/>
              </w:rPr>
            </w:pPr>
            <w:r w:rsidRPr="0031621E">
              <w:rPr>
                <w:sz w:val="20"/>
                <w:szCs w:val="20"/>
              </w:rPr>
              <w:t>Mean hemoglobin value from cycle 3 onwards was lower for each cycle for patients with G-CSF (p&lt;0.0001).</w:t>
            </w:r>
          </w:p>
          <w:p w14:paraId="449DF8EA" w14:textId="77777777" w:rsidR="00FC0BA8" w:rsidRPr="0031621E" w:rsidRDefault="00FC0BA8" w:rsidP="00F27111">
            <w:pPr>
              <w:rPr>
                <w:sz w:val="20"/>
                <w:szCs w:val="20"/>
              </w:rPr>
            </w:pPr>
            <w:r w:rsidRPr="0031621E">
              <w:rPr>
                <w:sz w:val="20"/>
                <w:szCs w:val="20"/>
              </w:rPr>
              <w:t xml:space="preserve">Increased rate of Grade 2 or worse anemia in patients with G-CSF (38.8% vs. 26.2% p=0.005). </w:t>
            </w:r>
          </w:p>
        </w:tc>
        <w:tc>
          <w:tcPr>
            <w:tcW w:w="1953" w:type="dxa"/>
          </w:tcPr>
          <w:p w14:paraId="7B63126E" w14:textId="77777777" w:rsidR="00FC0BA8" w:rsidRPr="0031621E" w:rsidRDefault="00FC0BA8" w:rsidP="00F27111">
            <w:pPr>
              <w:rPr>
                <w:sz w:val="20"/>
                <w:szCs w:val="20"/>
              </w:rPr>
            </w:pPr>
            <w:r w:rsidRPr="0031621E">
              <w:rPr>
                <w:sz w:val="20"/>
                <w:szCs w:val="20"/>
              </w:rPr>
              <w:t>Female breast cancer patients</w:t>
            </w:r>
          </w:p>
        </w:tc>
      </w:tr>
    </w:tbl>
    <w:p w14:paraId="45C907A9" w14:textId="77777777" w:rsidR="00FC0BA8" w:rsidRPr="0031621E" w:rsidRDefault="00FC0BA8" w:rsidP="00FC0BA8">
      <w:pPr>
        <w:ind w:left="0" w:firstLine="0"/>
        <w:jc w:val="center"/>
        <w:rPr>
          <w:rFonts w:cs="Times New Roman"/>
        </w:rPr>
      </w:pPr>
    </w:p>
    <w:p w14:paraId="4C37BBC1" w14:textId="77777777" w:rsidR="00FC0BA8" w:rsidRPr="0031621E" w:rsidRDefault="00FC0BA8" w:rsidP="00FC0BA8">
      <w:pPr>
        <w:ind w:left="0" w:firstLine="0"/>
        <w:jc w:val="center"/>
        <w:rPr>
          <w:rFonts w:cs="Times New Roman"/>
        </w:rPr>
      </w:pPr>
    </w:p>
    <w:p w14:paraId="112AC165" w14:textId="77777777" w:rsidR="00FC0BA8" w:rsidRPr="0031621E" w:rsidRDefault="00FC0BA8" w:rsidP="00FC0BA8">
      <w:pPr>
        <w:ind w:left="0" w:firstLine="0"/>
        <w:jc w:val="center"/>
        <w:rPr>
          <w:rFonts w:cs="Times New Roman"/>
        </w:rPr>
      </w:pPr>
      <w:proofErr w:type="gramStart"/>
      <w:r w:rsidRPr="0031621E">
        <w:rPr>
          <w:rFonts w:cs="Times New Roman"/>
        </w:rPr>
        <w:t>Appendix Table 2.</w:t>
      </w:r>
      <w:proofErr w:type="gramEnd"/>
      <w:r w:rsidRPr="0031621E">
        <w:rPr>
          <w:rFonts w:cs="Times New Roman"/>
        </w:rPr>
        <w:t xml:space="preserve"> Quality of Methods Used in </w:t>
      </w:r>
      <w:r w:rsidRPr="0031621E">
        <w:t xml:space="preserve">Studies Cited in Support of Recommendation 1 by </w:t>
      </w:r>
      <w:r w:rsidRPr="0031621E">
        <w:rPr>
          <w:rFonts w:ascii="Calibri" w:eastAsia="Times New Roman" w:hAnsi="Calibri" w:cs="Times New Roman"/>
          <w:color w:val="000000"/>
        </w:rPr>
        <w:t>ASCO Guidelines on the Use of WBC Growth Factors (Smith et al., 2015)</w:t>
      </w:r>
    </w:p>
    <w:tbl>
      <w:tblPr>
        <w:tblStyle w:val="TableGrid2"/>
        <w:tblW w:w="0" w:type="auto"/>
        <w:tblLook w:val="04A0" w:firstRow="1" w:lastRow="0" w:firstColumn="1" w:lastColumn="0" w:noHBand="0" w:noVBand="1"/>
      </w:tblPr>
      <w:tblGrid>
        <w:gridCol w:w="13176"/>
      </w:tblGrid>
      <w:tr w:rsidR="00FC0BA8" w:rsidRPr="0031621E" w14:paraId="1FA96E4E" w14:textId="77777777" w:rsidTr="00F27111">
        <w:trPr>
          <w:tblHeader/>
        </w:trPr>
        <w:tc>
          <w:tcPr>
            <w:tcW w:w="13176" w:type="dxa"/>
          </w:tcPr>
          <w:p w14:paraId="3049F0D8" w14:textId="77777777" w:rsidR="00FC0BA8" w:rsidRPr="0031621E" w:rsidRDefault="00FC0BA8" w:rsidP="00F27111">
            <w:pPr>
              <w:jc w:val="center"/>
              <w:rPr>
                <w:b/>
                <w:sz w:val="20"/>
                <w:szCs w:val="20"/>
              </w:rPr>
            </w:pPr>
            <w:r w:rsidRPr="0031621E">
              <w:rPr>
                <w:b/>
                <w:sz w:val="20"/>
                <w:szCs w:val="20"/>
              </w:rPr>
              <w:t>Information about Quality of Study Methods</w:t>
            </w:r>
          </w:p>
        </w:tc>
      </w:tr>
      <w:tr w:rsidR="00FC0BA8" w:rsidRPr="0031621E" w14:paraId="02F00D5E" w14:textId="77777777" w:rsidTr="00F27111">
        <w:tc>
          <w:tcPr>
            <w:tcW w:w="13176" w:type="dxa"/>
          </w:tcPr>
          <w:p w14:paraId="41F96606" w14:textId="77777777" w:rsidR="00FC0BA8" w:rsidRPr="0031621E" w:rsidRDefault="00FC0BA8" w:rsidP="00F27111">
            <w:pPr>
              <w:rPr>
                <w:sz w:val="20"/>
                <w:szCs w:val="20"/>
              </w:rPr>
            </w:pPr>
            <w:r w:rsidRPr="0031621E">
              <w:rPr>
                <w:sz w:val="20"/>
                <w:szCs w:val="20"/>
              </w:rPr>
              <w:t xml:space="preserve">Lyman et al., 2013: Meta-analysis; 61 separate randomized comparisons of chemotherapy with (N= 11,337 patients) or without (N= 13,456 patients) the initial use of G-CSFs. Methodologic flaws of the meta-analysis may include: may have missed relevant studies; subject to the weaknesses of ecologic studies; control patients may have received CSFs later in the study; little or no data on dose and length of G-CSF treatment; survival of patients based on original study data; minimum follow-up of two years to be eligible for meta-analysis; biased selection of patient sample to include those without comorbidities and “poor performance”; possible publication bias.  </w:t>
            </w:r>
          </w:p>
          <w:p w14:paraId="17CBDD28" w14:textId="77777777" w:rsidR="00FC0BA8" w:rsidRPr="0031621E" w:rsidRDefault="00FC0BA8" w:rsidP="00F27111">
            <w:pPr>
              <w:rPr>
                <w:rFonts w:cs="Times New Roman"/>
                <w:sz w:val="20"/>
                <w:szCs w:val="20"/>
              </w:rPr>
            </w:pPr>
          </w:p>
        </w:tc>
      </w:tr>
      <w:tr w:rsidR="00FC0BA8" w:rsidRPr="0031621E" w14:paraId="03A58B53" w14:textId="77777777" w:rsidTr="00F27111">
        <w:tc>
          <w:tcPr>
            <w:tcW w:w="13176" w:type="dxa"/>
          </w:tcPr>
          <w:p w14:paraId="4E3D8DB7" w14:textId="77777777" w:rsidR="00FC0BA8" w:rsidRPr="0031621E" w:rsidRDefault="00FC0BA8" w:rsidP="00F27111">
            <w:pPr>
              <w:rPr>
                <w:sz w:val="20"/>
                <w:szCs w:val="20"/>
              </w:rPr>
            </w:pPr>
            <w:r w:rsidRPr="0031621E">
              <w:rPr>
                <w:sz w:val="20"/>
                <w:szCs w:val="20"/>
              </w:rPr>
              <w:t>Renner et al., 2012: Meta-analysis; methodologic flaws of the meta-analysis may include small number of studies (N=8) and number of patients (N= 2156); heterogeneous disease stages and chemotherapy treatments; outcome definitions varied across studies; some studies were conducted before current recommendations for CSF were in place.</w:t>
            </w:r>
          </w:p>
          <w:p w14:paraId="2A7272A9" w14:textId="77777777" w:rsidR="00FC0BA8" w:rsidRPr="0031621E" w:rsidRDefault="00FC0BA8" w:rsidP="00F27111">
            <w:pPr>
              <w:rPr>
                <w:rFonts w:cs="Times New Roman"/>
                <w:sz w:val="20"/>
                <w:szCs w:val="20"/>
              </w:rPr>
            </w:pPr>
          </w:p>
        </w:tc>
      </w:tr>
      <w:tr w:rsidR="00FC0BA8" w:rsidRPr="0031621E" w14:paraId="309E3F89" w14:textId="77777777" w:rsidTr="00F27111">
        <w:tc>
          <w:tcPr>
            <w:tcW w:w="13176" w:type="dxa"/>
          </w:tcPr>
          <w:p w14:paraId="00DE9F09" w14:textId="77777777" w:rsidR="00FC0BA8" w:rsidRPr="0031621E" w:rsidRDefault="00FC0BA8" w:rsidP="00F27111">
            <w:pPr>
              <w:rPr>
                <w:sz w:val="20"/>
                <w:szCs w:val="20"/>
              </w:rPr>
            </w:pPr>
            <w:r w:rsidRPr="0031621E">
              <w:rPr>
                <w:sz w:val="20"/>
                <w:szCs w:val="20"/>
              </w:rPr>
              <w:t xml:space="preserve">Cooper et al., 2011: Meta-analysis; 20 studies compared primary G-CSF prophylaxis with no primary G-CSF prophylaxis; number of patients in analyses by type of G-CSF ranged from 467 to 4710. Methodologic flaws of the meta-analysis may include heterogeneity across studies in patient groups (age, cancer type), chemotherapy regimen, and number and length of cycles. </w:t>
            </w:r>
          </w:p>
          <w:p w14:paraId="7787D25D" w14:textId="77777777" w:rsidR="00FC0BA8" w:rsidRPr="0031621E" w:rsidRDefault="00FC0BA8" w:rsidP="00F27111">
            <w:pPr>
              <w:rPr>
                <w:rFonts w:cs="Times New Roman"/>
                <w:sz w:val="20"/>
                <w:szCs w:val="20"/>
              </w:rPr>
            </w:pPr>
          </w:p>
        </w:tc>
      </w:tr>
      <w:tr w:rsidR="00FC0BA8" w:rsidRPr="0031621E" w14:paraId="46CA5199" w14:textId="77777777" w:rsidTr="00F27111">
        <w:tc>
          <w:tcPr>
            <w:tcW w:w="13176" w:type="dxa"/>
          </w:tcPr>
          <w:p w14:paraId="41F832A0" w14:textId="77777777" w:rsidR="00FC0BA8" w:rsidRPr="0031621E" w:rsidRDefault="00FC0BA8" w:rsidP="00F27111">
            <w:pPr>
              <w:rPr>
                <w:sz w:val="20"/>
                <w:szCs w:val="20"/>
              </w:rPr>
            </w:pPr>
            <w:proofErr w:type="spellStart"/>
            <w:r w:rsidRPr="0031621E">
              <w:rPr>
                <w:sz w:val="20"/>
                <w:szCs w:val="20"/>
              </w:rPr>
              <w:t>Wildiers</w:t>
            </w:r>
            <w:proofErr w:type="spellEnd"/>
            <w:r w:rsidRPr="0031621E">
              <w:rPr>
                <w:sz w:val="20"/>
                <w:szCs w:val="20"/>
              </w:rPr>
              <w:t xml:space="preserve"> et al., 2011: Systematic review with only one reviewer evaluating the studies; seven studies ranged in size from 41 patients with G-CSF and 403 without, to a study of 5253 patients with G-CSF and 14645 patients without.</w:t>
            </w:r>
          </w:p>
          <w:p w14:paraId="69BB0561" w14:textId="77777777" w:rsidR="00FC0BA8" w:rsidRPr="0031621E" w:rsidRDefault="00FC0BA8" w:rsidP="00F27111">
            <w:pPr>
              <w:rPr>
                <w:rFonts w:cs="Times New Roman"/>
                <w:sz w:val="20"/>
                <w:szCs w:val="20"/>
              </w:rPr>
            </w:pPr>
          </w:p>
        </w:tc>
      </w:tr>
      <w:tr w:rsidR="00FC0BA8" w:rsidRPr="0031621E" w14:paraId="20BF4FE2" w14:textId="77777777" w:rsidTr="00F27111">
        <w:tc>
          <w:tcPr>
            <w:tcW w:w="13176" w:type="dxa"/>
          </w:tcPr>
          <w:p w14:paraId="5AA941FB" w14:textId="77777777" w:rsidR="00FC0BA8" w:rsidRPr="0031621E" w:rsidRDefault="00FC0BA8" w:rsidP="00F27111">
            <w:pPr>
              <w:rPr>
                <w:sz w:val="20"/>
                <w:szCs w:val="20"/>
              </w:rPr>
            </w:pPr>
            <w:r w:rsidRPr="0031621E">
              <w:rPr>
                <w:sz w:val="20"/>
                <w:szCs w:val="20"/>
              </w:rPr>
              <w:t xml:space="preserve">Lyman et al., 2010: Meta-analysis; 25 studies were included in the meta-analysis, for a total of 12,804 patients (6,058 patients randomly assigned to G-CSF and 6,746 controls). Methodologic flaws of the meta-analysis may include not identifying some relevant studies; control patients may have received CSFs later in the study; little or no data on dose and length of G-CSF treatment making an analysis of a dose-response relationship impossible; possible publication bias. </w:t>
            </w:r>
          </w:p>
          <w:p w14:paraId="2A552D80" w14:textId="77777777" w:rsidR="00FC0BA8" w:rsidRPr="0031621E" w:rsidRDefault="00FC0BA8" w:rsidP="00F27111">
            <w:pPr>
              <w:rPr>
                <w:rFonts w:cs="Times New Roman"/>
                <w:sz w:val="20"/>
                <w:szCs w:val="20"/>
              </w:rPr>
            </w:pPr>
            <w:r w:rsidRPr="0031621E">
              <w:rPr>
                <w:sz w:val="20"/>
                <w:szCs w:val="20"/>
              </w:rPr>
              <w:t xml:space="preserve"> </w:t>
            </w:r>
          </w:p>
        </w:tc>
      </w:tr>
      <w:tr w:rsidR="00FC0BA8" w:rsidRPr="0031621E" w14:paraId="4C361B0E" w14:textId="77777777" w:rsidTr="00F27111">
        <w:tc>
          <w:tcPr>
            <w:tcW w:w="13176" w:type="dxa"/>
          </w:tcPr>
          <w:p w14:paraId="66685669" w14:textId="77777777" w:rsidR="00FC0BA8" w:rsidRPr="0031621E" w:rsidRDefault="00FC0BA8" w:rsidP="00F27111">
            <w:pPr>
              <w:rPr>
                <w:sz w:val="20"/>
                <w:szCs w:val="20"/>
              </w:rPr>
            </w:pPr>
            <w:proofErr w:type="spellStart"/>
            <w:r w:rsidRPr="0031621E">
              <w:rPr>
                <w:sz w:val="20"/>
                <w:szCs w:val="20"/>
              </w:rPr>
              <w:t>Bohlius</w:t>
            </w:r>
            <w:proofErr w:type="spellEnd"/>
            <w:r w:rsidRPr="0031621E">
              <w:rPr>
                <w:sz w:val="20"/>
                <w:szCs w:val="20"/>
              </w:rPr>
              <w:t xml:space="preserve"> et al., 2008: Meta-analysis; 13 randomized controlled trials were included with 2607 randomized patients; the method of allocation concealment was unknown for  three studies, but concealment of allocation was adequate in the other studies; five studies were placebo-controlled; seven studies and one </w:t>
            </w:r>
            <w:proofErr w:type="spellStart"/>
            <w:r w:rsidRPr="0031621E">
              <w:rPr>
                <w:sz w:val="20"/>
                <w:szCs w:val="20"/>
              </w:rPr>
              <w:t>substudy</w:t>
            </w:r>
            <w:proofErr w:type="spellEnd"/>
            <w:r w:rsidRPr="0031621E">
              <w:rPr>
                <w:sz w:val="20"/>
                <w:szCs w:val="20"/>
              </w:rPr>
              <w:t xml:space="preserve"> were based on an intention-to-treat analysis; the rest were “based on full set analysis and excluded patients who did not meet the eligibility criteria, had major protocol violation or did not receive any study medication.”</w:t>
            </w:r>
          </w:p>
          <w:p w14:paraId="4BC7D4A8" w14:textId="77777777" w:rsidR="00FC0BA8" w:rsidRPr="0031621E" w:rsidRDefault="00FC0BA8" w:rsidP="00F27111">
            <w:pPr>
              <w:rPr>
                <w:rFonts w:cs="Times New Roman"/>
                <w:sz w:val="20"/>
                <w:szCs w:val="20"/>
              </w:rPr>
            </w:pPr>
          </w:p>
        </w:tc>
      </w:tr>
      <w:tr w:rsidR="00FC0BA8" w:rsidRPr="0031621E" w14:paraId="3DEA55C1" w14:textId="77777777" w:rsidTr="00F27111">
        <w:trPr>
          <w:cantSplit/>
        </w:trPr>
        <w:tc>
          <w:tcPr>
            <w:tcW w:w="13176" w:type="dxa"/>
          </w:tcPr>
          <w:p w14:paraId="52B8C2C0" w14:textId="77777777" w:rsidR="00FC0BA8" w:rsidRPr="0031621E" w:rsidRDefault="00FC0BA8" w:rsidP="00F27111">
            <w:pPr>
              <w:rPr>
                <w:sz w:val="20"/>
                <w:szCs w:val="20"/>
              </w:rPr>
            </w:pPr>
            <w:proofErr w:type="spellStart"/>
            <w:r w:rsidRPr="0031621E">
              <w:rPr>
                <w:sz w:val="20"/>
                <w:szCs w:val="20"/>
              </w:rPr>
              <w:t>Kuderer</w:t>
            </w:r>
            <w:proofErr w:type="spellEnd"/>
            <w:r w:rsidRPr="0031621E">
              <w:rPr>
                <w:sz w:val="20"/>
                <w:szCs w:val="20"/>
              </w:rPr>
              <w:t xml:space="preserve"> et al., 2007: Meta-analysis; Infection-related mortality was reported as an outcome in 12 trials with 1,454 control patients and 1,463 patients receiving G-CSF; early mortality was an outcome in 13 trials with 3,122 patients; FN was an outcome in 15 trials with 3,182 patients. Methodologic flaws of the meta-analysis may include lack of inclusion of dose-intensification trials; based on aggregate data not on individual patient data; small sample sizes limit ability to analyze data on secondary outcomes such as infection-related mortality, early mortality, and RDI; insufficient statistical power to detect effects; possible under-reporting of FN, FN-related mortality, and cost. </w:t>
            </w:r>
          </w:p>
          <w:p w14:paraId="1514115A" w14:textId="77777777" w:rsidR="00FC0BA8" w:rsidRPr="0031621E" w:rsidRDefault="00FC0BA8" w:rsidP="00F27111">
            <w:pPr>
              <w:rPr>
                <w:rFonts w:cs="Times New Roman"/>
                <w:sz w:val="20"/>
                <w:szCs w:val="20"/>
              </w:rPr>
            </w:pPr>
          </w:p>
        </w:tc>
      </w:tr>
      <w:tr w:rsidR="00FC0BA8" w:rsidRPr="0031621E" w14:paraId="394C6963" w14:textId="77777777" w:rsidTr="00F27111">
        <w:tc>
          <w:tcPr>
            <w:tcW w:w="13176" w:type="dxa"/>
          </w:tcPr>
          <w:p w14:paraId="61E89F75" w14:textId="77777777" w:rsidR="00FC0BA8" w:rsidRPr="0031621E" w:rsidRDefault="00FC0BA8" w:rsidP="00F27111">
            <w:pPr>
              <w:rPr>
                <w:sz w:val="20"/>
                <w:szCs w:val="20"/>
              </w:rPr>
            </w:pPr>
            <w:proofErr w:type="spellStart"/>
            <w:r w:rsidRPr="0031621E">
              <w:rPr>
                <w:sz w:val="20"/>
                <w:szCs w:val="20"/>
              </w:rPr>
              <w:t>Balducci</w:t>
            </w:r>
            <w:proofErr w:type="spellEnd"/>
            <w:r w:rsidRPr="0031621E">
              <w:rPr>
                <w:sz w:val="20"/>
                <w:szCs w:val="20"/>
              </w:rPr>
              <w:t xml:space="preserve"> et al., 2007: Randomized controlled trial (RCT) of 701 patients with solid tumors; the quality of this randomized controlled trial (RCT) was evaluated by </w:t>
            </w:r>
            <w:r w:rsidRPr="0031621E">
              <w:rPr>
                <w:sz w:val="20"/>
                <w:szCs w:val="20"/>
              </w:rPr>
              <w:lastRenderedPageBreak/>
              <w:t xml:space="preserve">Smith et al. (2015) as having an overall risk of bias of “intermediate” based on the following: The RCT had adequate randomization, sufficient sample size, similar groups, validated and reliable measures, and adequate follow-up. However, the RCT was not blinded, did not perform intent-to-treat analyses, and had significant conflicts of interest. </w:t>
            </w:r>
          </w:p>
          <w:p w14:paraId="343A3D3F" w14:textId="77777777" w:rsidR="00FC0BA8" w:rsidRPr="0031621E" w:rsidRDefault="00FC0BA8" w:rsidP="00F27111">
            <w:pPr>
              <w:rPr>
                <w:rFonts w:cs="Times New Roman"/>
                <w:sz w:val="20"/>
                <w:szCs w:val="20"/>
              </w:rPr>
            </w:pPr>
          </w:p>
        </w:tc>
      </w:tr>
      <w:tr w:rsidR="00FC0BA8" w:rsidRPr="0031621E" w14:paraId="023F9241" w14:textId="77777777" w:rsidTr="00F27111">
        <w:tc>
          <w:tcPr>
            <w:tcW w:w="13176" w:type="dxa"/>
          </w:tcPr>
          <w:p w14:paraId="4373CA17" w14:textId="77777777" w:rsidR="00FC0BA8" w:rsidRPr="0031621E" w:rsidRDefault="00FC0BA8" w:rsidP="00F27111">
            <w:pPr>
              <w:rPr>
                <w:sz w:val="20"/>
                <w:szCs w:val="20"/>
              </w:rPr>
            </w:pPr>
            <w:r w:rsidRPr="0031621E">
              <w:rPr>
                <w:sz w:val="20"/>
                <w:szCs w:val="20"/>
              </w:rPr>
              <w:lastRenderedPageBreak/>
              <w:t xml:space="preserve">Sung et al., 2007: Meta-analysis; 4,359 patients (2,204 treated, 2,155 control) in mortality analysis; 4,777 patients (2,413 treated, 2,364 control) in analysis of infection-related mortality. A total of 148 studies were rated on the </w:t>
            </w:r>
            <w:proofErr w:type="spellStart"/>
            <w:r w:rsidRPr="0031621E">
              <w:rPr>
                <w:sz w:val="20"/>
                <w:szCs w:val="20"/>
              </w:rPr>
              <w:t>Jadad</w:t>
            </w:r>
            <w:proofErr w:type="spellEnd"/>
            <w:r w:rsidRPr="0031621E">
              <w:rPr>
                <w:sz w:val="20"/>
                <w:szCs w:val="20"/>
              </w:rPr>
              <w:t xml:space="preserve"> scale for study quality which assesses whether randomization was adequate, double-blinding was performed, and withdrawals and dropouts were described. The median </w:t>
            </w:r>
            <w:proofErr w:type="spellStart"/>
            <w:r w:rsidRPr="0031621E">
              <w:rPr>
                <w:sz w:val="20"/>
                <w:szCs w:val="20"/>
              </w:rPr>
              <w:t>Jadad</w:t>
            </w:r>
            <w:proofErr w:type="spellEnd"/>
            <w:r w:rsidRPr="0031621E">
              <w:rPr>
                <w:sz w:val="20"/>
                <w:szCs w:val="20"/>
              </w:rPr>
              <w:t xml:space="preserve"> score was 2 (range, 0 [lowest quality] to 5 [highest quality]), with substantial interrater agreement (weighted 0.73 [CI, 0.66 to 0.80]). Patients in all included studies were randomized to either CSF, or to placebo or no treatment, but patient and study characteristics were heterogeneous. All-cause mortality, the primary outcome, was defined without heterogeneity, as were most secondary outcomes, but not all outcomes were reported for every study, which may mean there was “selective reporting” and possible bias.  </w:t>
            </w:r>
          </w:p>
          <w:p w14:paraId="4C1CA700" w14:textId="77777777" w:rsidR="00FC0BA8" w:rsidRPr="0031621E" w:rsidRDefault="00FC0BA8" w:rsidP="00F27111">
            <w:pPr>
              <w:rPr>
                <w:rFonts w:cs="Times New Roman"/>
                <w:sz w:val="20"/>
                <w:szCs w:val="20"/>
              </w:rPr>
            </w:pPr>
          </w:p>
        </w:tc>
      </w:tr>
      <w:tr w:rsidR="00FC0BA8" w:rsidRPr="0031621E" w14:paraId="60C3F719" w14:textId="77777777" w:rsidTr="00F27111">
        <w:trPr>
          <w:trHeight w:val="1349"/>
        </w:trPr>
        <w:tc>
          <w:tcPr>
            <w:tcW w:w="13176" w:type="dxa"/>
          </w:tcPr>
          <w:p w14:paraId="5BDA86A0" w14:textId="77777777" w:rsidR="00FC0BA8" w:rsidRPr="0031621E" w:rsidRDefault="00FC0BA8" w:rsidP="00F27111">
            <w:pPr>
              <w:rPr>
                <w:sz w:val="20"/>
                <w:szCs w:val="20"/>
              </w:rPr>
            </w:pPr>
            <w:proofErr w:type="spellStart"/>
            <w:r w:rsidRPr="0031621E">
              <w:rPr>
                <w:sz w:val="20"/>
                <w:szCs w:val="20"/>
              </w:rPr>
              <w:t>Papaldo</w:t>
            </w:r>
            <w:proofErr w:type="spellEnd"/>
            <w:r w:rsidRPr="0031621E">
              <w:rPr>
                <w:sz w:val="20"/>
                <w:szCs w:val="20"/>
              </w:rPr>
              <w:t xml:space="preserve"> et al., 2006: RCT; 506 patients randomly assigned to treatment with G-CSF or no G-CSF; the quality of this RCT was evaluated by Smith et al. (2015) as having an overall risk of bias of “high” based on the following: It was unclear whether the RCT had adequate randomization, sufficient sample size, similar groups, or blinding, and intent-to-treat analyses were not performed. However, the RCT did have validated and reliable measures, and adequate follow-up. In addition, the study may have had significant conflicts of interest. </w:t>
            </w:r>
          </w:p>
          <w:p w14:paraId="696B9F1C" w14:textId="77777777" w:rsidR="00FC0BA8" w:rsidRPr="0031621E" w:rsidRDefault="00FC0BA8" w:rsidP="00F27111">
            <w:pPr>
              <w:rPr>
                <w:rFonts w:cs="Times New Roman"/>
                <w:sz w:val="20"/>
                <w:szCs w:val="20"/>
              </w:rPr>
            </w:pPr>
          </w:p>
        </w:tc>
      </w:tr>
    </w:tbl>
    <w:p w14:paraId="58EB5292" w14:textId="77777777" w:rsidR="00FC0BA8" w:rsidRPr="0031621E" w:rsidRDefault="00FC0BA8" w:rsidP="00FC0BA8">
      <w:pPr>
        <w:ind w:left="0" w:firstLine="0"/>
        <w:rPr>
          <w:rFonts w:cs="Times New Roman"/>
        </w:rPr>
      </w:pPr>
    </w:p>
    <w:p w14:paraId="56CB98BC" w14:textId="77777777" w:rsidR="00FC0BA8" w:rsidRPr="0031621E" w:rsidRDefault="00FC0BA8" w:rsidP="00FC0BA8">
      <w:pPr>
        <w:spacing w:after="200" w:line="276" w:lineRule="auto"/>
        <w:ind w:left="0" w:firstLine="0"/>
      </w:pPr>
      <w:r w:rsidRPr="0031621E">
        <w:br w:type="page"/>
      </w:r>
    </w:p>
    <w:p w14:paraId="5BAF3B23" w14:textId="09399DB9" w:rsidR="00FC0BA8" w:rsidRPr="0031621E" w:rsidRDefault="00823567" w:rsidP="00FC0BA8">
      <w:pPr>
        <w:spacing w:after="200" w:line="276" w:lineRule="auto"/>
        <w:ind w:left="0" w:firstLine="0"/>
      </w:pPr>
      <w:r>
        <w:lastRenderedPageBreak/>
        <w:t xml:space="preserve">Appendix </w:t>
      </w:r>
      <w:r w:rsidR="00FC0BA8" w:rsidRPr="0031621E">
        <w:t>References</w:t>
      </w:r>
    </w:p>
    <w:p w14:paraId="6C7C9B8F" w14:textId="77777777" w:rsidR="00FC0BA8" w:rsidRPr="0031621E" w:rsidRDefault="00FC0BA8" w:rsidP="00FC0BA8">
      <w:pPr>
        <w:spacing w:after="200" w:line="276" w:lineRule="auto"/>
        <w:ind w:left="0" w:firstLine="0"/>
      </w:pPr>
      <w:proofErr w:type="spellStart"/>
      <w:r w:rsidRPr="0031621E">
        <w:t>Aapro</w:t>
      </w:r>
      <w:proofErr w:type="spellEnd"/>
      <w:r w:rsidRPr="0031621E">
        <w:t xml:space="preserve"> MS, </w:t>
      </w:r>
      <w:proofErr w:type="spellStart"/>
      <w:r w:rsidRPr="0031621E">
        <w:t>Bohlius</w:t>
      </w:r>
      <w:proofErr w:type="spellEnd"/>
      <w:r w:rsidRPr="0031621E">
        <w:t xml:space="preserve"> J, Cameron DA, et al: 2010 update of EORTC guidelines for the use of granulocyte-colony stimulating factor to reduce the incidence of chemotherapy-induced febrile neutropenia in adult patients with lymphoproliferative disorders and solid </w:t>
      </w:r>
      <w:proofErr w:type="spellStart"/>
      <w:r w:rsidRPr="0031621E">
        <w:t>tumours</w:t>
      </w:r>
      <w:proofErr w:type="spellEnd"/>
      <w:r w:rsidRPr="0031621E">
        <w:t xml:space="preserve">. </w:t>
      </w:r>
      <w:proofErr w:type="spellStart"/>
      <w:r w:rsidRPr="0031621E">
        <w:t>Eur</w:t>
      </w:r>
      <w:proofErr w:type="spellEnd"/>
      <w:r w:rsidRPr="0031621E">
        <w:t xml:space="preserve"> J Cancer 47:8-32, 2011</w:t>
      </w:r>
    </w:p>
    <w:p w14:paraId="0368A1BB" w14:textId="77777777" w:rsidR="00FC0BA8" w:rsidRPr="0031621E" w:rsidRDefault="00FC0BA8" w:rsidP="00FC0BA8">
      <w:pPr>
        <w:spacing w:after="200" w:line="276" w:lineRule="auto"/>
        <w:ind w:left="0" w:firstLine="0"/>
      </w:pPr>
      <w:proofErr w:type="spellStart"/>
      <w:r w:rsidRPr="0031621E">
        <w:t>Balducci</w:t>
      </w:r>
      <w:proofErr w:type="spellEnd"/>
      <w:r w:rsidRPr="0031621E">
        <w:t xml:space="preserve"> L, Al-</w:t>
      </w:r>
      <w:proofErr w:type="spellStart"/>
      <w:r w:rsidRPr="0031621E">
        <w:t>Halawani</w:t>
      </w:r>
      <w:proofErr w:type="spellEnd"/>
      <w:r w:rsidRPr="0031621E">
        <w:t xml:space="preserve"> H, </w:t>
      </w:r>
      <w:proofErr w:type="spellStart"/>
      <w:r w:rsidRPr="0031621E">
        <w:t>Charu</w:t>
      </w:r>
      <w:proofErr w:type="spellEnd"/>
      <w:r w:rsidRPr="0031621E">
        <w:t xml:space="preserve"> V, et al: Elderly cancer patients receiving chemotherapy benefit from first-cycle </w:t>
      </w:r>
      <w:proofErr w:type="spellStart"/>
      <w:r w:rsidRPr="0031621E">
        <w:t>pegfilgrastim</w:t>
      </w:r>
      <w:proofErr w:type="spellEnd"/>
      <w:r w:rsidRPr="0031621E">
        <w:t>. Oncologist 12:1416-24, 2007</w:t>
      </w:r>
    </w:p>
    <w:p w14:paraId="6011423F" w14:textId="77777777" w:rsidR="00FC0BA8" w:rsidRPr="0031621E" w:rsidRDefault="00FC0BA8" w:rsidP="00FC0BA8">
      <w:pPr>
        <w:spacing w:after="200" w:line="276" w:lineRule="auto"/>
        <w:ind w:left="0" w:firstLine="0"/>
      </w:pPr>
      <w:proofErr w:type="spellStart"/>
      <w:r w:rsidRPr="0031621E">
        <w:t>Bohlius</w:t>
      </w:r>
      <w:proofErr w:type="spellEnd"/>
      <w:r w:rsidRPr="0031621E">
        <w:t xml:space="preserve"> J, </w:t>
      </w:r>
      <w:proofErr w:type="spellStart"/>
      <w:r w:rsidRPr="0031621E">
        <w:t>Herbst</w:t>
      </w:r>
      <w:proofErr w:type="spellEnd"/>
      <w:r w:rsidRPr="0031621E">
        <w:t xml:space="preserve"> C, </w:t>
      </w:r>
      <w:proofErr w:type="spellStart"/>
      <w:r w:rsidRPr="0031621E">
        <w:t>Reiser</w:t>
      </w:r>
      <w:proofErr w:type="spellEnd"/>
      <w:r w:rsidRPr="0031621E">
        <w:t xml:space="preserve"> M, et al: </w:t>
      </w:r>
      <w:proofErr w:type="spellStart"/>
      <w:r w:rsidRPr="0031621E">
        <w:t>Granulopoiesis</w:t>
      </w:r>
      <w:proofErr w:type="spellEnd"/>
      <w:r w:rsidRPr="0031621E">
        <w:t xml:space="preserve">-stimulating factors to prevent adverse effects in the treatment of malignant lymphoma. Cochrane Database </w:t>
      </w:r>
      <w:proofErr w:type="spellStart"/>
      <w:r w:rsidRPr="0031621E">
        <w:t>Syst</w:t>
      </w:r>
      <w:proofErr w:type="spellEnd"/>
      <w:r w:rsidRPr="0031621E">
        <w:t xml:space="preserve"> Rev</w:t>
      </w:r>
      <w:proofErr w:type="gramStart"/>
      <w:r w:rsidRPr="0031621E">
        <w:t>:CD003189</w:t>
      </w:r>
      <w:proofErr w:type="gramEnd"/>
      <w:r w:rsidRPr="0031621E">
        <w:t>, 2008</w:t>
      </w:r>
    </w:p>
    <w:p w14:paraId="11275763" w14:textId="77777777" w:rsidR="00FC0BA8" w:rsidRPr="0031621E" w:rsidRDefault="00FC0BA8" w:rsidP="00FC0BA8">
      <w:pPr>
        <w:spacing w:after="200" w:line="276" w:lineRule="auto"/>
        <w:ind w:left="0" w:firstLine="0"/>
      </w:pPr>
      <w:r w:rsidRPr="0031621E">
        <w:t>Cooper KL, Madan J, Whyte S, et al: Granulocyte colony-stimulating factors for febrile neutropenia prophylaxis following chemotherapy: systematic review and meta-analysis. BMC Cancer 11:404, 2011</w:t>
      </w:r>
    </w:p>
    <w:p w14:paraId="2D50250B" w14:textId="77777777" w:rsidR="00FC0BA8" w:rsidRPr="0031621E" w:rsidRDefault="00FC0BA8" w:rsidP="00FC0BA8">
      <w:pPr>
        <w:spacing w:after="200" w:line="276" w:lineRule="auto"/>
        <w:ind w:left="0" w:firstLine="0"/>
      </w:pPr>
      <w:proofErr w:type="spellStart"/>
      <w:r w:rsidRPr="0031621E">
        <w:t>Herbst</w:t>
      </w:r>
      <w:proofErr w:type="spellEnd"/>
      <w:r w:rsidRPr="0031621E">
        <w:t xml:space="preserve"> C, </w:t>
      </w:r>
      <w:proofErr w:type="spellStart"/>
      <w:r w:rsidRPr="0031621E">
        <w:t>Naumann</w:t>
      </w:r>
      <w:proofErr w:type="spellEnd"/>
      <w:r w:rsidRPr="0031621E">
        <w:t xml:space="preserve"> F, Kruse EB, et al: Prophylactic antibiotics or G-CSF for the prevention of infections and improvement of survival in cancer patients undergoing chemotherapy. Cochrane Database </w:t>
      </w:r>
      <w:proofErr w:type="spellStart"/>
      <w:r w:rsidRPr="0031621E">
        <w:t>Syst</w:t>
      </w:r>
      <w:proofErr w:type="spellEnd"/>
      <w:r w:rsidRPr="0031621E">
        <w:t xml:space="preserve"> Rev</w:t>
      </w:r>
      <w:proofErr w:type="gramStart"/>
      <w:r w:rsidRPr="0031621E">
        <w:t>:CD007107</w:t>
      </w:r>
      <w:proofErr w:type="gramEnd"/>
      <w:r w:rsidRPr="0031621E">
        <w:t>, 2009</w:t>
      </w:r>
    </w:p>
    <w:p w14:paraId="76A9D3AF" w14:textId="77777777" w:rsidR="00FC0BA8" w:rsidRPr="0031621E" w:rsidRDefault="00FC0BA8" w:rsidP="00FC0BA8">
      <w:pPr>
        <w:spacing w:after="200" w:line="276" w:lineRule="auto"/>
        <w:ind w:left="0" w:firstLine="0"/>
      </w:pPr>
      <w:proofErr w:type="spellStart"/>
      <w:r w:rsidRPr="0031621E">
        <w:t>Kirshner</w:t>
      </w:r>
      <w:proofErr w:type="spellEnd"/>
      <w:r w:rsidRPr="0031621E">
        <w:t xml:space="preserve"> JJ, Heckler CE, </w:t>
      </w:r>
      <w:proofErr w:type="spellStart"/>
      <w:r w:rsidRPr="0031621E">
        <w:t>Janelsins</w:t>
      </w:r>
      <w:proofErr w:type="spellEnd"/>
      <w:r w:rsidRPr="0031621E">
        <w:t xml:space="preserve"> MC, et al: Prevention of </w:t>
      </w:r>
      <w:proofErr w:type="spellStart"/>
      <w:r w:rsidRPr="0031621E">
        <w:t>pegfilgrastim</w:t>
      </w:r>
      <w:proofErr w:type="spellEnd"/>
      <w:r w:rsidRPr="0031621E">
        <w:t xml:space="preserve">-induced bone pain: a phase III double-blind placebo-controlled randomized clinical trial of the university of </w:t>
      </w:r>
      <w:proofErr w:type="spellStart"/>
      <w:proofErr w:type="gramStart"/>
      <w:r w:rsidRPr="0031621E">
        <w:t>rochester</w:t>
      </w:r>
      <w:proofErr w:type="spellEnd"/>
      <w:proofErr w:type="gramEnd"/>
      <w:r w:rsidRPr="0031621E">
        <w:t xml:space="preserve"> cancer center clinical community oncology program research base. J </w:t>
      </w:r>
      <w:proofErr w:type="spellStart"/>
      <w:r w:rsidRPr="0031621E">
        <w:t>Clin</w:t>
      </w:r>
      <w:proofErr w:type="spellEnd"/>
      <w:r w:rsidRPr="0031621E">
        <w:t xml:space="preserve"> </w:t>
      </w:r>
      <w:proofErr w:type="spellStart"/>
      <w:r w:rsidRPr="0031621E">
        <w:t>Oncol</w:t>
      </w:r>
      <w:proofErr w:type="spellEnd"/>
      <w:r w:rsidRPr="0031621E">
        <w:t xml:space="preserve"> 30:1974-9, 2012</w:t>
      </w:r>
    </w:p>
    <w:p w14:paraId="6C2AE5B8" w14:textId="77777777" w:rsidR="00FC0BA8" w:rsidRPr="0031621E" w:rsidRDefault="00FC0BA8" w:rsidP="00FC0BA8">
      <w:pPr>
        <w:spacing w:after="200" w:line="276" w:lineRule="auto"/>
        <w:ind w:left="0" w:firstLine="0"/>
      </w:pPr>
      <w:proofErr w:type="spellStart"/>
      <w:r w:rsidRPr="0031621E">
        <w:t>Kuderer</w:t>
      </w:r>
      <w:proofErr w:type="spellEnd"/>
      <w:r w:rsidRPr="0031621E">
        <w:t xml:space="preserve"> NM: Meta-analysis of randomized controlled trials of granulocyte colony-stimulating factor prophylaxis in adult cancer patients receiving chemotherapy. Cancer Treat Res 157:127-43, 2011</w:t>
      </w:r>
    </w:p>
    <w:p w14:paraId="44BBBB81" w14:textId="77777777" w:rsidR="00FC0BA8" w:rsidRPr="0031621E" w:rsidRDefault="00FC0BA8" w:rsidP="00FC0BA8">
      <w:pPr>
        <w:spacing w:after="200" w:line="276" w:lineRule="auto"/>
        <w:ind w:left="0" w:firstLine="0"/>
      </w:pPr>
      <w:proofErr w:type="spellStart"/>
      <w:r w:rsidRPr="0031621E">
        <w:t>Kuderer</w:t>
      </w:r>
      <w:proofErr w:type="spellEnd"/>
      <w:r w:rsidRPr="0031621E">
        <w:t xml:space="preserve"> NM, Dale DC, Crawford J, et al: Impact of primary prophylaxis with granulocyte colony-stimulating factor on febrile neutropenia and mortality in adult cancer patients receiving chemotherapy: a systematic review. J </w:t>
      </w:r>
      <w:proofErr w:type="spellStart"/>
      <w:r w:rsidRPr="0031621E">
        <w:t>Clin</w:t>
      </w:r>
      <w:proofErr w:type="spellEnd"/>
      <w:r w:rsidRPr="0031621E">
        <w:t xml:space="preserve"> </w:t>
      </w:r>
      <w:proofErr w:type="spellStart"/>
      <w:r w:rsidRPr="0031621E">
        <w:t>Oncol</w:t>
      </w:r>
      <w:proofErr w:type="spellEnd"/>
      <w:r w:rsidRPr="0031621E">
        <w:t xml:space="preserve"> 25:3158-67, 2007</w:t>
      </w:r>
    </w:p>
    <w:p w14:paraId="711520D9" w14:textId="77777777" w:rsidR="00FC0BA8" w:rsidRPr="0031621E" w:rsidRDefault="00FC0BA8" w:rsidP="00FC0BA8">
      <w:pPr>
        <w:spacing w:after="200" w:line="276" w:lineRule="auto"/>
        <w:ind w:left="0" w:firstLine="0"/>
      </w:pPr>
      <w:r w:rsidRPr="0031621E">
        <w:t xml:space="preserve">Lyman GH, Dale DC, </w:t>
      </w:r>
      <w:proofErr w:type="spellStart"/>
      <w:r w:rsidRPr="0031621E">
        <w:t>Culakova</w:t>
      </w:r>
      <w:proofErr w:type="spellEnd"/>
      <w:r w:rsidRPr="0031621E">
        <w:t xml:space="preserve"> E, et al: The impact of the granulocyte colony-stimulating factor on chemotherapy dose intensity and cancer survival: a systematic review and meta-analysis of randomized controlled trials. Ann </w:t>
      </w:r>
      <w:proofErr w:type="spellStart"/>
      <w:r w:rsidRPr="0031621E">
        <w:t>Oncol</w:t>
      </w:r>
      <w:proofErr w:type="spellEnd"/>
      <w:r w:rsidRPr="0031621E">
        <w:t xml:space="preserve"> 24:2475-84, 2013</w:t>
      </w:r>
    </w:p>
    <w:p w14:paraId="529A0EA1" w14:textId="77777777" w:rsidR="00FC0BA8" w:rsidRPr="0031621E" w:rsidRDefault="00FC0BA8" w:rsidP="00FC0BA8">
      <w:pPr>
        <w:spacing w:after="200" w:line="276" w:lineRule="auto"/>
        <w:ind w:left="0" w:firstLine="0"/>
      </w:pPr>
      <w:r w:rsidRPr="0031621E">
        <w:t xml:space="preserve">Lyman GH, Dale DC, Wolff DA, et al: Acute myeloid leukemia or myelodysplastic syndrome in randomized controlled clinical trials of cancer chemotherapy with granulocyte colony-stimulating factor: a systematic review. J </w:t>
      </w:r>
      <w:proofErr w:type="spellStart"/>
      <w:r w:rsidRPr="0031621E">
        <w:t>Clin</w:t>
      </w:r>
      <w:proofErr w:type="spellEnd"/>
      <w:r w:rsidRPr="0031621E">
        <w:t xml:space="preserve"> </w:t>
      </w:r>
      <w:proofErr w:type="spellStart"/>
      <w:r w:rsidRPr="0031621E">
        <w:t>Oncol</w:t>
      </w:r>
      <w:proofErr w:type="spellEnd"/>
      <w:r w:rsidRPr="0031621E">
        <w:t xml:space="preserve"> 28:2914-24, 2010</w:t>
      </w:r>
    </w:p>
    <w:p w14:paraId="7B30229B" w14:textId="77777777" w:rsidR="00FC0BA8" w:rsidRPr="0031621E" w:rsidRDefault="00FC0BA8" w:rsidP="00FC0BA8">
      <w:pPr>
        <w:spacing w:after="200" w:line="276" w:lineRule="auto"/>
        <w:ind w:left="0" w:firstLine="0"/>
      </w:pPr>
      <w:proofErr w:type="spellStart"/>
      <w:r w:rsidRPr="0031621E">
        <w:lastRenderedPageBreak/>
        <w:t>Papaldo</w:t>
      </w:r>
      <w:proofErr w:type="spellEnd"/>
      <w:r w:rsidRPr="0031621E">
        <w:t xml:space="preserve"> P, Ferretti G, Di </w:t>
      </w:r>
      <w:proofErr w:type="spellStart"/>
      <w:r w:rsidRPr="0031621E">
        <w:t>Cosimo</w:t>
      </w:r>
      <w:proofErr w:type="spellEnd"/>
      <w:r w:rsidRPr="0031621E">
        <w:t xml:space="preserve"> S, et al: Does granulocyte colony-stimulating factor worsen anemia in early breast cancer patients treated with </w:t>
      </w:r>
      <w:proofErr w:type="spellStart"/>
      <w:r w:rsidRPr="0031621E">
        <w:t>epirubicin</w:t>
      </w:r>
      <w:proofErr w:type="spellEnd"/>
      <w:r w:rsidRPr="0031621E">
        <w:t xml:space="preserve"> and cyclophosphamide? J </w:t>
      </w:r>
      <w:proofErr w:type="spellStart"/>
      <w:r w:rsidRPr="0031621E">
        <w:t>Clin</w:t>
      </w:r>
      <w:proofErr w:type="spellEnd"/>
      <w:r w:rsidRPr="0031621E">
        <w:t xml:space="preserve"> </w:t>
      </w:r>
      <w:proofErr w:type="spellStart"/>
      <w:r w:rsidRPr="0031621E">
        <w:t>Oncol</w:t>
      </w:r>
      <w:proofErr w:type="spellEnd"/>
      <w:r w:rsidRPr="0031621E">
        <w:t xml:space="preserve"> 24:3048-55, 2006</w:t>
      </w:r>
    </w:p>
    <w:p w14:paraId="00AC98A3" w14:textId="77777777" w:rsidR="00FC0BA8" w:rsidRPr="0031621E" w:rsidRDefault="00FC0BA8" w:rsidP="00FC0BA8">
      <w:pPr>
        <w:spacing w:after="200" w:line="276" w:lineRule="auto"/>
        <w:ind w:left="0" w:firstLine="0"/>
      </w:pPr>
      <w:r w:rsidRPr="0031621E">
        <w:t xml:space="preserve">Renner P, </w:t>
      </w:r>
      <w:proofErr w:type="spellStart"/>
      <w:r w:rsidRPr="0031621E">
        <w:t>Milazzo</w:t>
      </w:r>
      <w:proofErr w:type="spellEnd"/>
      <w:r w:rsidRPr="0031621E">
        <w:t xml:space="preserve"> S, Liu JP, et al: Primary prophylactic colony-stimulating factors for the prevention of chemotherapy-induced febrile neutropenia in breast cancer patients. Cochrane Database </w:t>
      </w:r>
      <w:proofErr w:type="spellStart"/>
      <w:r w:rsidRPr="0031621E">
        <w:t>Syst</w:t>
      </w:r>
      <w:proofErr w:type="spellEnd"/>
      <w:r w:rsidRPr="0031621E">
        <w:t xml:space="preserve"> Rev 10:CD007913, 2012</w:t>
      </w:r>
    </w:p>
    <w:p w14:paraId="7868504C" w14:textId="77777777" w:rsidR="00FC0BA8" w:rsidRPr="0031621E" w:rsidRDefault="00FC0BA8" w:rsidP="00FC0BA8">
      <w:pPr>
        <w:spacing w:after="200" w:line="276" w:lineRule="auto"/>
        <w:ind w:left="0" w:firstLine="0"/>
      </w:pPr>
      <w:r w:rsidRPr="0031621E">
        <w:t xml:space="preserve">Sung L, Nathan PC, </w:t>
      </w:r>
      <w:proofErr w:type="spellStart"/>
      <w:r w:rsidRPr="0031621E">
        <w:t>Alibhai</w:t>
      </w:r>
      <w:proofErr w:type="spellEnd"/>
      <w:r w:rsidRPr="0031621E">
        <w:t xml:space="preserve"> SM, et al: Meta-analysis: effect of prophylactic hematopoietic colony-stimulating factors on mortality and outcomes of infection. Ann Intern Med 147:400-11, 2007</w:t>
      </w:r>
    </w:p>
    <w:p w14:paraId="54DD5E75" w14:textId="77777777" w:rsidR="00FC0BA8" w:rsidRPr="0031621E" w:rsidRDefault="00FC0BA8" w:rsidP="00FC0BA8">
      <w:pPr>
        <w:spacing w:after="200" w:line="276" w:lineRule="auto"/>
        <w:ind w:left="0" w:firstLine="0"/>
      </w:pPr>
      <w:proofErr w:type="spellStart"/>
      <w:r w:rsidRPr="0031621E">
        <w:t>Wildiers</w:t>
      </w:r>
      <w:proofErr w:type="spellEnd"/>
      <w:r w:rsidRPr="0031621E">
        <w:t xml:space="preserve"> H, </w:t>
      </w:r>
      <w:proofErr w:type="spellStart"/>
      <w:r w:rsidRPr="0031621E">
        <w:t>Reiser</w:t>
      </w:r>
      <w:proofErr w:type="spellEnd"/>
      <w:r w:rsidRPr="0031621E">
        <w:t xml:space="preserve"> M: Relative dose intensity of chemotherapy and its impact on outcomes in patients with early breast cancer or aggressive lymphoma. </w:t>
      </w:r>
      <w:proofErr w:type="spellStart"/>
      <w:r w:rsidRPr="0031621E">
        <w:t>Crit</w:t>
      </w:r>
      <w:proofErr w:type="spellEnd"/>
      <w:r w:rsidRPr="0031621E">
        <w:t xml:space="preserve"> Rev </w:t>
      </w:r>
      <w:proofErr w:type="spellStart"/>
      <w:r w:rsidRPr="0031621E">
        <w:t>Oncol</w:t>
      </w:r>
      <w:proofErr w:type="spellEnd"/>
      <w:r w:rsidRPr="0031621E">
        <w:t xml:space="preserve"> </w:t>
      </w:r>
      <w:proofErr w:type="spellStart"/>
      <w:r w:rsidRPr="0031621E">
        <w:t>Hematol</w:t>
      </w:r>
      <w:proofErr w:type="spellEnd"/>
      <w:r w:rsidRPr="0031621E">
        <w:t xml:space="preserve"> 77:221-40, 2011</w:t>
      </w:r>
    </w:p>
    <w:p w14:paraId="4B7D94A1" w14:textId="77777777" w:rsidR="00FC0BA8" w:rsidRPr="0031621E" w:rsidRDefault="00FC0BA8" w:rsidP="00FC0BA8">
      <w:pPr>
        <w:spacing w:after="200" w:line="276" w:lineRule="auto"/>
        <w:ind w:firstLine="0"/>
      </w:pPr>
    </w:p>
    <w:p w14:paraId="2BBBD46F" w14:textId="77777777" w:rsidR="00FC0BA8" w:rsidRDefault="00FC0BA8" w:rsidP="00FC0BA8">
      <w:pPr>
        <w:pStyle w:val="EndNoteBibliography"/>
        <w:rPr>
          <w:noProof/>
        </w:rPr>
      </w:pPr>
    </w:p>
    <w:p w14:paraId="5FD16809" w14:textId="77777777" w:rsidR="00FC0BA8" w:rsidRPr="00EA3AF8" w:rsidRDefault="00FC0BA8" w:rsidP="00FC0BA8">
      <w:pPr>
        <w:pStyle w:val="EndNoteBibliography"/>
        <w:rPr>
          <w:noProof/>
        </w:rPr>
      </w:pPr>
    </w:p>
    <w:p w14:paraId="4AC39EEA" w14:textId="6C1F84EF" w:rsidR="00B72CCF" w:rsidRPr="00710D8D" w:rsidRDefault="00B72CCF" w:rsidP="00EA3AF8">
      <w:pPr>
        <w:pStyle w:val="EndNoteBibliography"/>
        <w:ind w:left="720" w:hanging="720"/>
        <w:rPr>
          <w:color w:val="0000FF"/>
        </w:rPr>
      </w:pPr>
    </w:p>
    <w:sectPr w:rsidR="00B72CCF" w:rsidRPr="00710D8D" w:rsidSect="0031621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1895B" w14:textId="77777777" w:rsidR="00BD3D0D" w:rsidRDefault="00BD3D0D" w:rsidP="007E37A5">
      <w:r>
        <w:separator/>
      </w:r>
    </w:p>
  </w:endnote>
  <w:endnote w:type="continuationSeparator" w:id="0">
    <w:p w14:paraId="4B4E3F6E" w14:textId="77777777" w:rsidR="00BD3D0D" w:rsidRDefault="00BD3D0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dvOT1ef757c0">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4" w14:textId="77777777" w:rsidR="00C87105" w:rsidRDefault="00C87105">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23567">
      <w:rPr>
        <w:noProof/>
      </w:rPr>
      <w:t>20</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50690" w14:textId="77777777" w:rsidR="00BD3D0D" w:rsidRDefault="00BD3D0D" w:rsidP="007E37A5">
      <w:r>
        <w:separator/>
      </w:r>
    </w:p>
  </w:footnote>
  <w:footnote w:type="continuationSeparator" w:id="0">
    <w:p w14:paraId="0FD32749" w14:textId="77777777" w:rsidR="00BD3D0D" w:rsidRDefault="00BD3D0D"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3" w14:textId="77777777" w:rsidR="00C87105" w:rsidRDefault="00C87105"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6315"/>
    <w:multiLevelType w:val="hybridMultilevel"/>
    <w:tmpl w:val="DA9A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4774DB"/>
    <w:multiLevelType w:val="hybridMultilevel"/>
    <w:tmpl w:val="92AE9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72C04"/>
    <w:multiLevelType w:val="hybridMultilevel"/>
    <w:tmpl w:val="831EB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AA17570"/>
    <w:multiLevelType w:val="hybridMultilevel"/>
    <w:tmpl w:val="372A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A72145D"/>
    <w:multiLevelType w:val="hybridMultilevel"/>
    <w:tmpl w:val="F2F8C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0920CD"/>
    <w:multiLevelType w:val="hybridMultilevel"/>
    <w:tmpl w:val="2BC2F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A97D0F"/>
    <w:multiLevelType w:val="hybridMultilevel"/>
    <w:tmpl w:val="FF6A2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82D1B86"/>
    <w:multiLevelType w:val="hybridMultilevel"/>
    <w:tmpl w:val="2F0E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6"/>
  </w:num>
  <w:num w:numId="6">
    <w:abstractNumId w:val="5"/>
  </w:num>
  <w:num w:numId="7">
    <w:abstractNumId w:val="14"/>
  </w:num>
  <w:num w:numId="8">
    <w:abstractNumId w:val="13"/>
  </w:num>
  <w:num w:numId="9">
    <w:abstractNumId w:val="8"/>
  </w:num>
  <w:num w:numId="10">
    <w:abstractNumId w:val="0"/>
  </w:num>
  <w:num w:numId="11">
    <w:abstractNumId w:val="15"/>
  </w:num>
  <w:num w:numId="12">
    <w:abstractNumId w:val="11"/>
  </w:num>
  <w:num w:numId="13">
    <w:abstractNumId w:val="10"/>
  </w:num>
  <w:num w:numId="14">
    <w:abstractNumId w:val="1"/>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ztx59ewdb9xd95ezwe95spa5z9x5sze52wde&quot;&gt;ASCO Guideline 2015&lt;record-ids&gt;&lt;item&gt;3&lt;/item&gt;&lt;item&gt;4&lt;/item&gt;&lt;item&gt;6&lt;/item&gt;&lt;item&gt;8&lt;/item&gt;&lt;item&gt;9&lt;/item&gt;&lt;item&gt;10&lt;/item&gt;&lt;item&gt;11&lt;/item&gt;&lt;item&gt;12&lt;/item&gt;&lt;item&gt;14&lt;/item&gt;&lt;item&gt;15&lt;/item&gt;&lt;item&gt;16&lt;/item&gt;&lt;item&gt;18&lt;/item&gt;&lt;item&gt;19&lt;/item&gt;&lt;item&gt;25&lt;/item&gt;&lt;item&gt;30&lt;/item&gt;&lt;item&gt;31&lt;/item&gt;&lt;item&gt;32&lt;/item&gt;&lt;item&gt;34&lt;/item&gt;&lt;item&gt;35&lt;/item&gt;&lt;item&gt;36&lt;/item&gt;&lt;/record-ids&gt;&lt;/item&gt;&lt;/Libraries&gt;"/>
  </w:docVars>
  <w:rsids>
    <w:rsidRoot w:val="00496AF8"/>
    <w:rsid w:val="00006E72"/>
    <w:rsid w:val="000126CE"/>
    <w:rsid w:val="00015986"/>
    <w:rsid w:val="00015C4A"/>
    <w:rsid w:val="00015E16"/>
    <w:rsid w:val="000160E6"/>
    <w:rsid w:val="00022C44"/>
    <w:rsid w:val="00024526"/>
    <w:rsid w:val="00027F8B"/>
    <w:rsid w:val="00030F43"/>
    <w:rsid w:val="00040A0F"/>
    <w:rsid w:val="00040DCF"/>
    <w:rsid w:val="0004168D"/>
    <w:rsid w:val="00050D23"/>
    <w:rsid w:val="00052C0B"/>
    <w:rsid w:val="00061CF3"/>
    <w:rsid w:val="00063601"/>
    <w:rsid w:val="000660BB"/>
    <w:rsid w:val="0006774A"/>
    <w:rsid w:val="00071FBE"/>
    <w:rsid w:val="00073079"/>
    <w:rsid w:val="00074502"/>
    <w:rsid w:val="00075646"/>
    <w:rsid w:val="0007593F"/>
    <w:rsid w:val="0008202B"/>
    <w:rsid w:val="00085A99"/>
    <w:rsid w:val="00087D02"/>
    <w:rsid w:val="00092B50"/>
    <w:rsid w:val="000935DB"/>
    <w:rsid w:val="00094EF5"/>
    <w:rsid w:val="00095013"/>
    <w:rsid w:val="00095EC9"/>
    <w:rsid w:val="00096A37"/>
    <w:rsid w:val="000A0810"/>
    <w:rsid w:val="000A274E"/>
    <w:rsid w:val="000B290A"/>
    <w:rsid w:val="000B2EE7"/>
    <w:rsid w:val="000B4DF5"/>
    <w:rsid w:val="000B627F"/>
    <w:rsid w:val="000B6E51"/>
    <w:rsid w:val="000D0711"/>
    <w:rsid w:val="000D649E"/>
    <w:rsid w:val="000D6D06"/>
    <w:rsid w:val="000E41FE"/>
    <w:rsid w:val="000E50C9"/>
    <w:rsid w:val="000E6FC9"/>
    <w:rsid w:val="000F74A7"/>
    <w:rsid w:val="00103968"/>
    <w:rsid w:val="00104ED4"/>
    <w:rsid w:val="0010540F"/>
    <w:rsid w:val="00112856"/>
    <w:rsid w:val="00114848"/>
    <w:rsid w:val="00120934"/>
    <w:rsid w:val="00123888"/>
    <w:rsid w:val="00123BDA"/>
    <w:rsid w:val="00125A73"/>
    <w:rsid w:val="0012734A"/>
    <w:rsid w:val="00132070"/>
    <w:rsid w:val="00133052"/>
    <w:rsid w:val="0014080C"/>
    <w:rsid w:val="0014092B"/>
    <w:rsid w:val="001410AE"/>
    <w:rsid w:val="00141875"/>
    <w:rsid w:val="00141DC9"/>
    <w:rsid w:val="0014347E"/>
    <w:rsid w:val="0014427B"/>
    <w:rsid w:val="00144B4B"/>
    <w:rsid w:val="00144E54"/>
    <w:rsid w:val="00154438"/>
    <w:rsid w:val="001551F6"/>
    <w:rsid w:val="0015535B"/>
    <w:rsid w:val="00162036"/>
    <w:rsid w:val="001632DD"/>
    <w:rsid w:val="0017196A"/>
    <w:rsid w:val="001733DE"/>
    <w:rsid w:val="00175B74"/>
    <w:rsid w:val="00176E60"/>
    <w:rsid w:val="00182094"/>
    <w:rsid w:val="00194D9A"/>
    <w:rsid w:val="00196C87"/>
    <w:rsid w:val="001A196B"/>
    <w:rsid w:val="001A1CA4"/>
    <w:rsid w:val="001A2DF3"/>
    <w:rsid w:val="001A6D05"/>
    <w:rsid w:val="001A7D2E"/>
    <w:rsid w:val="001B28AC"/>
    <w:rsid w:val="001B38BF"/>
    <w:rsid w:val="001B57A4"/>
    <w:rsid w:val="001B772D"/>
    <w:rsid w:val="001C0BEF"/>
    <w:rsid w:val="001D0B6F"/>
    <w:rsid w:val="001D453E"/>
    <w:rsid w:val="001D5B5D"/>
    <w:rsid w:val="001D7695"/>
    <w:rsid w:val="001E0A74"/>
    <w:rsid w:val="001E2A6A"/>
    <w:rsid w:val="001E6153"/>
    <w:rsid w:val="001F17B7"/>
    <w:rsid w:val="00201FF9"/>
    <w:rsid w:val="00205857"/>
    <w:rsid w:val="00215320"/>
    <w:rsid w:val="00217867"/>
    <w:rsid w:val="0022053C"/>
    <w:rsid w:val="00225B71"/>
    <w:rsid w:val="0022603D"/>
    <w:rsid w:val="00226D99"/>
    <w:rsid w:val="00234D20"/>
    <w:rsid w:val="00234E5F"/>
    <w:rsid w:val="00235ADC"/>
    <w:rsid w:val="00236F87"/>
    <w:rsid w:val="0024204B"/>
    <w:rsid w:val="00245F39"/>
    <w:rsid w:val="00252572"/>
    <w:rsid w:val="002576C4"/>
    <w:rsid w:val="00265702"/>
    <w:rsid w:val="002662B2"/>
    <w:rsid w:val="00266551"/>
    <w:rsid w:val="002717C7"/>
    <w:rsid w:val="002761FD"/>
    <w:rsid w:val="002769D9"/>
    <w:rsid w:val="00281687"/>
    <w:rsid w:val="002861D9"/>
    <w:rsid w:val="002875E9"/>
    <w:rsid w:val="00287EB3"/>
    <w:rsid w:val="00290525"/>
    <w:rsid w:val="002914EC"/>
    <w:rsid w:val="00292FE1"/>
    <w:rsid w:val="00294528"/>
    <w:rsid w:val="0029675A"/>
    <w:rsid w:val="00297781"/>
    <w:rsid w:val="00297DAB"/>
    <w:rsid w:val="002A31ED"/>
    <w:rsid w:val="002A3628"/>
    <w:rsid w:val="002A47BA"/>
    <w:rsid w:val="002A6777"/>
    <w:rsid w:val="002A7140"/>
    <w:rsid w:val="002B06BD"/>
    <w:rsid w:val="002B4D94"/>
    <w:rsid w:val="002C0E48"/>
    <w:rsid w:val="002C0FC6"/>
    <w:rsid w:val="002C4635"/>
    <w:rsid w:val="002C5031"/>
    <w:rsid w:val="002C6F04"/>
    <w:rsid w:val="002C79A4"/>
    <w:rsid w:val="002E09F4"/>
    <w:rsid w:val="002E2177"/>
    <w:rsid w:val="002E2E41"/>
    <w:rsid w:val="002E57BA"/>
    <w:rsid w:val="002E78CD"/>
    <w:rsid w:val="002F20A7"/>
    <w:rsid w:val="003008F4"/>
    <w:rsid w:val="003020E6"/>
    <w:rsid w:val="00302B1D"/>
    <w:rsid w:val="00307FA5"/>
    <w:rsid w:val="00310C42"/>
    <w:rsid w:val="003121F1"/>
    <w:rsid w:val="0031621E"/>
    <w:rsid w:val="00320196"/>
    <w:rsid w:val="00321428"/>
    <w:rsid w:val="00324779"/>
    <w:rsid w:val="00324D64"/>
    <w:rsid w:val="00326FE8"/>
    <w:rsid w:val="00333C10"/>
    <w:rsid w:val="003360E7"/>
    <w:rsid w:val="00336B5C"/>
    <w:rsid w:val="003373D0"/>
    <w:rsid w:val="0034178A"/>
    <w:rsid w:val="003421EE"/>
    <w:rsid w:val="00343C87"/>
    <w:rsid w:val="00350651"/>
    <w:rsid w:val="00352B52"/>
    <w:rsid w:val="0035337C"/>
    <w:rsid w:val="003534DC"/>
    <w:rsid w:val="0035760D"/>
    <w:rsid w:val="00360AE0"/>
    <w:rsid w:val="00363ECC"/>
    <w:rsid w:val="003669B7"/>
    <w:rsid w:val="0036733C"/>
    <w:rsid w:val="00367378"/>
    <w:rsid w:val="00370E05"/>
    <w:rsid w:val="00371C80"/>
    <w:rsid w:val="00372D97"/>
    <w:rsid w:val="00376056"/>
    <w:rsid w:val="0037775D"/>
    <w:rsid w:val="003860F6"/>
    <w:rsid w:val="00387FF1"/>
    <w:rsid w:val="0039020B"/>
    <w:rsid w:val="00392248"/>
    <w:rsid w:val="00395263"/>
    <w:rsid w:val="003956E0"/>
    <w:rsid w:val="0039609A"/>
    <w:rsid w:val="00397500"/>
    <w:rsid w:val="003A61D5"/>
    <w:rsid w:val="003B1CC5"/>
    <w:rsid w:val="003B28D7"/>
    <w:rsid w:val="003B28E0"/>
    <w:rsid w:val="003B65CE"/>
    <w:rsid w:val="003B67EE"/>
    <w:rsid w:val="003B6B61"/>
    <w:rsid w:val="003D0185"/>
    <w:rsid w:val="003D0774"/>
    <w:rsid w:val="003D58C8"/>
    <w:rsid w:val="003E039E"/>
    <w:rsid w:val="003E3482"/>
    <w:rsid w:val="003F7DEE"/>
    <w:rsid w:val="00402DE3"/>
    <w:rsid w:val="004048F2"/>
    <w:rsid w:val="0041281F"/>
    <w:rsid w:val="00412EBF"/>
    <w:rsid w:val="00415B63"/>
    <w:rsid w:val="00415D0E"/>
    <w:rsid w:val="00417075"/>
    <w:rsid w:val="00422917"/>
    <w:rsid w:val="00433A1E"/>
    <w:rsid w:val="00440687"/>
    <w:rsid w:val="0044131D"/>
    <w:rsid w:val="00441ADA"/>
    <w:rsid w:val="00446295"/>
    <w:rsid w:val="00447F4C"/>
    <w:rsid w:val="00454DD9"/>
    <w:rsid w:val="00457A7A"/>
    <w:rsid w:val="00457E46"/>
    <w:rsid w:val="004618D3"/>
    <w:rsid w:val="00461DE3"/>
    <w:rsid w:val="004622EC"/>
    <w:rsid w:val="00462A98"/>
    <w:rsid w:val="00463097"/>
    <w:rsid w:val="004648D2"/>
    <w:rsid w:val="0046503F"/>
    <w:rsid w:val="00466FAE"/>
    <w:rsid w:val="00471F66"/>
    <w:rsid w:val="004737FA"/>
    <w:rsid w:val="00476F9E"/>
    <w:rsid w:val="0048235E"/>
    <w:rsid w:val="00483103"/>
    <w:rsid w:val="0049524B"/>
    <w:rsid w:val="00496AF8"/>
    <w:rsid w:val="00497294"/>
    <w:rsid w:val="00497D1C"/>
    <w:rsid w:val="00497DF1"/>
    <w:rsid w:val="004A2FBF"/>
    <w:rsid w:val="004A575D"/>
    <w:rsid w:val="004B65C6"/>
    <w:rsid w:val="004C2C78"/>
    <w:rsid w:val="004C3AE1"/>
    <w:rsid w:val="004C5AF0"/>
    <w:rsid w:val="004D1DC7"/>
    <w:rsid w:val="004D4DF5"/>
    <w:rsid w:val="004E1875"/>
    <w:rsid w:val="004F1C19"/>
    <w:rsid w:val="004F7D7E"/>
    <w:rsid w:val="00500B0C"/>
    <w:rsid w:val="00506B00"/>
    <w:rsid w:val="00510D2B"/>
    <w:rsid w:val="005120B0"/>
    <w:rsid w:val="00516D24"/>
    <w:rsid w:val="00517300"/>
    <w:rsid w:val="00530D1F"/>
    <w:rsid w:val="00532AAF"/>
    <w:rsid w:val="00537150"/>
    <w:rsid w:val="00540984"/>
    <w:rsid w:val="00542ADC"/>
    <w:rsid w:val="005435A8"/>
    <w:rsid w:val="00543851"/>
    <w:rsid w:val="00544A7A"/>
    <w:rsid w:val="0055559D"/>
    <w:rsid w:val="005569AE"/>
    <w:rsid w:val="00557D92"/>
    <w:rsid w:val="00561CD1"/>
    <w:rsid w:val="00565C47"/>
    <w:rsid w:val="005676E0"/>
    <w:rsid w:val="005751EB"/>
    <w:rsid w:val="005758E6"/>
    <w:rsid w:val="00581A26"/>
    <w:rsid w:val="00581BE2"/>
    <w:rsid w:val="005857F8"/>
    <w:rsid w:val="00586E9C"/>
    <w:rsid w:val="00595DAD"/>
    <w:rsid w:val="005A1688"/>
    <w:rsid w:val="005B0D18"/>
    <w:rsid w:val="005B12C3"/>
    <w:rsid w:val="005B409D"/>
    <w:rsid w:val="005C76B4"/>
    <w:rsid w:val="005D0FDB"/>
    <w:rsid w:val="005D1C45"/>
    <w:rsid w:val="005D25E9"/>
    <w:rsid w:val="005D6D59"/>
    <w:rsid w:val="005E1316"/>
    <w:rsid w:val="005E6216"/>
    <w:rsid w:val="005F26C5"/>
    <w:rsid w:val="00610C65"/>
    <w:rsid w:val="0061594B"/>
    <w:rsid w:val="0061623F"/>
    <w:rsid w:val="00617390"/>
    <w:rsid w:val="006174C8"/>
    <w:rsid w:val="006203B0"/>
    <w:rsid w:val="006225B1"/>
    <w:rsid w:val="00623420"/>
    <w:rsid w:val="00631A88"/>
    <w:rsid w:val="00632114"/>
    <w:rsid w:val="006328F5"/>
    <w:rsid w:val="00634768"/>
    <w:rsid w:val="0063596F"/>
    <w:rsid w:val="006429E0"/>
    <w:rsid w:val="00644CD5"/>
    <w:rsid w:val="0064798E"/>
    <w:rsid w:val="00657D43"/>
    <w:rsid w:val="00663752"/>
    <w:rsid w:val="006650D9"/>
    <w:rsid w:val="006651D0"/>
    <w:rsid w:val="006705C0"/>
    <w:rsid w:val="006709EB"/>
    <w:rsid w:val="0067168F"/>
    <w:rsid w:val="00672824"/>
    <w:rsid w:val="00673DF0"/>
    <w:rsid w:val="0067480B"/>
    <w:rsid w:val="0068184A"/>
    <w:rsid w:val="00682351"/>
    <w:rsid w:val="00683C4F"/>
    <w:rsid w:val="0068508E"/>
    <w:rsid w:val="00695EC0"/>
    <w:rsid w:val="00696076"/>
    <w:rsid w:val="006A3B37"/>
    <w:rsid w:val="006A7DDE"/>
    <w:rsid w:val="006B1281"/>
    <w:rsid w:val="006B27E1"/>
    <w:rsid w:val="006B2A23"/>
    <w:rsid w:val="006B5C51"/>
    <w:rsid w:val="006C19A6"/>
    <w:rsid w:val="006C4B5D"/>
    <w:rsid w:val="006C5ADC"/>
    <w:rsid w:val="006C71E6"/>
    <w:rsid w:val="006C7876"/>
    <w:rsid w:val="006C7F30"/>
    <w:rsid w:val="006D6CC4"/>
    <w:rsid w:val="006E0ED1"/>
    <w:rsid w:val="006E513C"/>
    <w:rsid w:val="006E6FDD"/>
    <w:rsid w:val="006E7F93"/>
    <w:rsid w:val="006F2FF4"/>
    <w:rsid w:val="006F4B7F"/>
    <w:rsid w:val="006F66EB"/>
    <w:rsid w:val="006F760B"/>
    <w:rsid w:val="006F7883"/>
    <w:rsid w:val="0070064D"/>
    <w:rsid w:val="00701CC3"/>
    <w:rsid w:val="00702CA9"/>
    <w:rsid w:val="007067B5"/>
    <w:rsid w:val="00710D8D"/>
    <w:rsid w:val="007119DA"/>
    <w:rsid w:val="0072165E"/>
    <w:rsid w:val="007219CC"/>
    <w:rsid w:val="00724801"/>
    <w:rsid w:val="00725318"/>
    <w:rsid w:val="0072592D"/>
    <w:rsid w:val="00727CC6"/>
    <w:rsid w:val="007306C9"/>
    <w:rsid w:val="00734949"/>
    <w:rsid w:val="007359F4"/>
    <w:rsid w:val="00736AEC"/>
    <w:rsid w:val="00736E0F"/>
    <w:rsid w:val="00741EF6"/>
    <w:rsid w:val="00742C5E"/>
    <w:rsid w:val="007434FA"/>
    <w:rsid w:val="00747DBF"/>
    <w:rsid w:val="00754355"/>
    <w:rsid w:val="007573F0"/>
    <w:rsid w:val="007624AE"/>
    <w:rsid w:val="00765156"/>
    <w:rsid w:val="007663CD"/>
    <w:rsid w:val="00766DEF"/>
    <w:rsid w:val="00767669"/>
    <w:rsid w:val="00770B92"/>
    <w:rsid w:val="00773485"/>
    <w:rsid w:val="00776E8F"/>
    <w:rsid w:val="00776F6D"/>
    <w:rsid w:val="00777FBF"/>
    <w:rsid w:val="00785520"/>
    <w:rsid w:val="00790422"/>
    <w:rsid w:val="00797280"/>
    <w:rsid w:val="00797631"/>
    <w:rsid w:val="007A646F"/>
    <w:rsid w:val="007B2B5A"/>
    <w:rsid w:val="007B33E3"/>
    <w:rsid w:val="007B5AD4"/>
    <w:rsid w:val="007C0297"/>
    <w:rsid w:val="007C1887"/>
    <w:rsid w:val="007C5471"/>
    <w:rsid w:val="007C657C"/>
    <w:rsid w:val="007D086C"/>
    <w:rsid w:val="007D4775"/>
    <w:rsid w:val="007D5939"/>
    <w:rsid w:val="007D5DC6"/>
    <w:rsid w:val="007D668C"/>
    <w:rsid w:val="007E37A5"/>
    <w:rsid w:val="007E47E5"/>
    <w:rsid w:val="007E4E06"/>
    <w:rsid w:val="007F49D8"/>
    <w:rsid w:val="008011C7"/>
    <w:rsid w:val="00805940"/>
    <w:rsid w:val="008063C1"/>
    <w:rsid w:val="00806CF7"/>
    <w:rsid w:val="008119B8"/>
    <w:rsid w:val="008135CB"/>
    <w:rsid w:val="00816287"/>
    <w:rsid w:val="00820157"/>
    <w:rsid w:val="00822A9A"/>
    <w:rsid w:val="00823567"/>
    <w:rsid w:val="00826C53"/>
    <w:rsid w:val="00837121"/>
    <w:rsid w:val="0084382C"/>
    <w:rsid w:val="008471E5"/>
    <w:rsid w:val="00850C35"/>
    <w:rsid w:val="00851466"/>
    <w:rsid w:val="00851DD9"/>
    <w:rsid w:val="0085210D"/>
    <w:rsid w:val="00863E43"/>
    <w:rsid w:val="008647C3"/>
    <w:rsid w:val="008659ED"/>
    <w:rsid w:val="00866220"/>
    <w:rsid w:val="00870987"/>
    <w:rsid w:val="0087564A"/>
    <w:rsid w:val="0088028C"/>
    <w:rsid w:val="00881160"/>
    <w:rsid w:val="0088371C"/>
    <w:rsid w:val="008901EE"/>
    <w:rsid w:val="00894002"/>
    <w:rsid w:val="008A45F3"/>
    <w:rsid w:val="008A4C80"/>
    <w:rsid w:val="008A5197"/>
    <w:rsid w:val="008A66AE"/>
    <w:rsid w:val="008A6EA3"/>
    <w:rsid w:val="008B51D9"/>
    <w:rsid w:val="008B652E"/>
    <w:rsid w:val="008C1D3A"/>
    <w:rsid w:val="008D038A"/>
    <w:rsid w:val="008D09B6"/>
    <w:rsid w:val="008D4435"/>
    <w:rsid w:val="008D611B"/>
    <w:rsid w:val="008E3D29"/>
    <w:rsid w:val="008E7620"/>
    <w:rsid w:val="008F1DC6"/>
    <w:rsid w:val="00905C5B"/>
    <w:rsid w:val="009211B6"/>
    <w:rsid w:val="00921271"/>
    <w:rsid w:val="00923295"/>
    <w:rsid w:val="0092363F"/>
    <w:rsid w:val="00923CAC"/>
    <w:rsid w:val="00924ABD"/>
    <w:rsid w:val="00925F11"/>
    <w:rsid w:val="00933BE2"/>
    <w:rsid w:val="00935265"/>
    <w:rsid w:val="00945C54"/>
    <w:rsid w:val="009464EF"/>
    <w:rsid w:val="0094689F"/>
    <w:rsid w:val="009477D6"/>
    <w:rsid w:val="009533E8"/>
    <w:rsid w:val="00953457"/>
    <w:rsid w:val="00953ED3"/>
    <w:rsid w:val="00961B9A"/>
    <w:rsid w:val="009652C5"/>
    <w:rsid w:val="00965FF6"/>
    <w:rsid w:val="00970BB5"/>
    <w:rsid w:val="00977969"/>
    <w:rsid w:val="00977F92"/>
    <w:rsid w:val="009846D6"/>
    <w:rsid w:val="0098657F"/>
    <w:rsid w:val="009975AE"/>
    <w:rsid w:val="009A3236"/>
    <w:rsid w:val="009A5A0B"/>
    <w:rsid w:val="009A6AC8"/>
    <w:rsid w:val="009B2742"/>
    <w:rsid w:val="009B5A93"/>
    <w:rsid w:val="009B5BEA"/>
    <w:rsid w:val="009B6DAC"/>
    <w:rsid w:val="009C0974"/>
    <w:rsid w:val="009C291F"/>
    <w:rsid w:val="009D044E"/>
    <w:rsid w:val="009D3EA7"/>
    <w:rsid w:val="009D7BA8"/>
    <w:rsid w:val="009E37BD"/>
    <w:rsid w:val="009E6B86"/>
    <w:rsid w:val="009E7F63"/>
    <w:rsid w:val="009F5287"/>
    <w:rsid w:val="00A03301"/>
    <w:rsid w:val="00A06601"/>
    <w:rsid w:val="00A10DF1"/>
    <w:rsid w:val="00A12762"/>
    <w:rsid w:val="00A13867"/>
    <w:rsid w:val="00A14B15"/>
    <w:rsid w:val="00A16436"/>
    <w:rsid w:val="00A24A00"/>
    <w:rsid w:val="00A2606E"/>
    <w:rsid w:val="00A26114"/>
    <w:rsid w:val="00A26FED"/>
    <w:rsid w:val="00A34102"/>
    <w:rsid w:val="00A34787"/>
    <w:rsid w:val="00A34A43"/>
    <w:rsid w:val="00A4188E"/>
    <w:rsid w:val="00A421D4"/>
    <w:rsid w:val="00A44FF0"/>
    <w:rsid w:val="00A50E55"/>
    <w:rsid w:val="00A51089"/>
    <w:rsid w:val="00A57E9F"/>
    <w:rsid w:val="00A62066"/>
    <w:rsid w:val="00A624EE"/>
    <w:rsid w:val="00A6269E"/>
    <w:rsid w:val="00A630AE"/>
    <w:rsid w:val="00A6788E"/>
    <w:rsid w:val="00A67EB1"/>
    <w:rsid w:val="00A702AB"/>
    <w:rsid w:val="00A87015"/>
    <w:rsid w:val="00A91A47"/>
    <w:rsid w:val="00A95D2B"/>
    <w:rsid w:val="00AA25F0"/>
    <w:rsid w:val="00AA280B"/>
    <w:rsid w:val="00AA2F8F"/>
    <w:rsid w:val="00AA5587"/>
    <w:rsid w:val="00AB0819"/>
    <w:rsid w:val="00AB4224"/>
    <w:rsid w:val="00AB6ED7"/>
    <w:rsid w:val="00AB7940"/>
    <w:rsid w:val="00AC047E"/>
    <w:rsid w:val="00AC1E53"/>
    <w:rsid w:val="00AC632D"/>
    <w:rsid w:val="00AD35D7"/>
    <w:rsid w:val="00AD75D5"/>
    <w:rsid w:val="00AD79C8"/>
    <w:rsid w:val="00AD7B06"/>
    <w:rsid w:val="00AE6CE0"/>
    <w:rsid w:val="00AE74A6"/>
    <w:rsid w:val="00AF3B21"/>
    <w:rsid w:val="00AF7EDF"/>
    <w:rsid w:val="00B00F55"/>
    <w:rsid w:val="00B058A6"/>
    <w:rsid w:val="00B0598D"/>
    <w:rsid w:val="00B117D0"/>
    <w:rsid w:val="00B12D93"/>
    <w:rsid w:val="00B13998"/>
    <w:rsid w:val="00B155DC"/>
    <w:rsid w:val="00B300F3"/>
    <w:rsid w:val="00B359EB"/>
    <w:rsid w:val="00B37C57"/>
    <w:rsid w:val="00B37C66"/>
    <w:rsid w:val="00B439DD"/>
    <w:rsid w:val="00B4576E"/>
    <w:rsid w:val="00B512E4"/>
    <w:rsid w:val="00B51BB1"/>
    <w:rsid w:val="00B52E0F"/>
    <w:rsid w:val="00B65B8A"/>
    <w:rsid w:val="00B6638C"/>
    <w:rsid w:val="00B72CCF"/>
    <w:rsid w:val="00B74629"/>
    <w:rsid w:val="00B8316D"/>
    <w:rsid w:val="00B85F58"/>
    <w:rsid w:val="00B91F58"/>
    <w:rsid w:val="00B92E8E"/>
    <w:rsid w:val="00B92EBD"/>
    <w:rsid w:val="00B93FED"/>
    <w:rsid w:val="00BA579E"/>
    <w:rsid w:val="00BB12C9"/>
    <w:rsid w:val="00BB1F6E"/>
    <w:rsid w:val="00BC2084"/>
    <w:rsid w:val="00BC213E"/>
    <w:rsid w:val="00BC36A8"/>
    <w:rsid w:val="00BD158B"/>
    <w:rsid w:val="00BD330D"/>
    <w:rsid w:val="00BD3D0D"/>
    <w:rsid w:val="00BD538B"/>
    <w:rsid w:val="00BE157D"/>
    <w:rsid w:val="00BE2295"/>
    <w:rsid w:val="00BE6373"/>
    <w:rsid w:val="00BF2CB8"/>
    <w:rsid w:val="00BF414F"/>
    <w:rsid w:val="00BF533A"/>
    <w:rsid w:val="00BF755E"/>
    <w:rsid w:val="00C01FD1"/>
    <w:rsid w:val="00C10526"/>
    <w:rsid w:val="00C2163B"/>
    <w:rsid w:val="00C238B8"/>
    <w:rsid w:val="00C26149"/>
    <w:rsid w:val="00C27546"/>
    <w:rsid w:val="00C32143"/>
    <w:rsid w:val="00C42DA9"/>
    <w:rsid w:val="00C46677"/>
    <w:rsid w:val="00C47878"/>
    <w:rsid w:val="00C500CA"/>
    <w:rsid w:val="00C5180E"/>
    <w:rsid w:val="00C53A33"/>
    <w:rsid w:val="00C54E40"/>
    <w:rsid w:val="00C55F56"/>
    <w:rsid w:val="00C57BA4"/>
    <w:rsid w:val="00C60901"/>
    <w:rsid w:val="00C613EB"/>
    <w:rsid w:val="00C63552"/>
    <w:rsid w:val="00C701F3"/>
    <w:rsid w:val="00C70B1F"/>
    <w:rsid w:val="00C7135A"/>
    <w:rsid w:val="00C71C14"/>
    <w:rsid w:val="00C7256E"/>
    <w:rsid w:val="00C757EB"/>
    <w:rsid w:val="00C84623"/>
    <w:rsid w:val="00C87105"/>
    <w:rsid w:val="00C92490"/>
    <w:rsid w:val="00C94C67"/>
    <w:rsid w:val="00CA60CF"/>
    <w:rsid w:val="00CA67B6"/>
    <w:rsid w:val="00CA7F16"/>
    <w:rsid w:val="00CB06C9"/>
    <w:rsid w:val="00CB1E41"/>
    <w:rsid w:val="00CB271C"/>
    <w:rsid w:val="00CB47D1"/>
    <w:rsid w:val="00CC22CD"/>
    <w:rsid w:val="00CC3204"/>
    <w:rsid w:val="00CC6AA8"/>
    <w:rsid w:val="00CE4F96"/>
    <w:rsid w:val="00CF0AB1"/>
    <w:rsid w:val="00CF4B9B"/>
    <w:rsid w:val="00CF55E6"/>
    <w:rsid w:val="00CF772F"/>
    <w:rsid w:val="00D02EE7"/>
    <w:rsid w:val="00D048DB"/>
    <w:rsid w:val="00D12832"/>
    <w:rsid w:val="00D14F0B"/>
    <w:rsid w:val="00D178CA"/>
    <w:rsid w:val="00D205FA"/>
    <w:rsid w:val="00D24D95"/>
    <w:rsid w:val="00D25DB1"/>
    <w:rsid w:val="00D31F33"/>
    <w:rsid w:val="00D3311C"/>
    <w:rsid w:val="00D363D0"/>
    <w:rsid w:val="00D47C0D"/>
    <w:rsid w:val="00D53405"/>
    <w:rsid w:val="00D5457B"/>
    <w:rsid w:val="00D61F55"/>
    <w:rsid w:val="00D716CC"/>
    <w:rsid w:val="00D72995"/>
    <w:rsid w:val="00D73516"/>
    <w:rsid w:val="00D73F15"/>
    <w:rsid w:val="00D836C8"/>
    <w:rsid w:val="00D93B2C"/>
    <w:rsid w:val="00DA7FA2"/>
    <w:rsid w:val="00DB0268"/>
    <w:rsid w:val="00DB6724"/>
    <w:rsid w:val="00DC2297"/>
    <w:rsid w:val="00DC2D8D"/>
    <w:rsid w:val="00DD37A9"/>
    <w:rsid w:val="00DE1F5D"/>
    <w:rsid w:val="00DE50D8"/>
    <w:rsid w:val="00DE6E22"/>
    <w:rsid w:val="00DE7A59"/>
    <w:rsid w:val="00DF0A23"/>
    <w:rsid w:val="00DF1125"/>
    <w:rsid w:val="00DF1907"/>
    <w:rsid w:val="00DF278A"/>
    <w:rsid w:val="00DF33FB"/>
    <w:rsid w:val="00DF4F33"/>
    <w:rsid w:val="00DF6975"/>
    <w:rsid w:val="00E05B7D"/>
    <w:rsid w:val="00E1664B"/>
    <w:rsid w:val="00E30D12"/>
    <w:rsid w:val="00E3394E"/>
    <w:rsid w:val="00E35241"/>
    <w:rsid w:val="00E41417"/>
    <w:rsid w:val="00E52F68"/>
    <w:rsid w:val="00E536D3"/>
    <w:rsid w:val="00E53DD2"/>
    <w:rsid w:val="00E57BE2"/>
    <w:rsid w:val="00E62A95"/>
    <w:rsid w:val="00E63F87"/>
    <w:rsid w:val="00E6441D"/>
    <w:rsid w:val="00E746A2"/>
    <w:rsid w:val="00E76C8A"/>
    <w:rsid w:val="00E9043B"/>
    <w:rsid w:val="00E90D06"/>
    <w:rsid w:val="00E935D7"/>
    <w:rsid w:val="00E97E59"/>
    <w:rsid w:val="00EA3AF8"/>
    <w:rsid w:val="00EA79C9"/>
    <w:rsid w:val="00EB0C60"/>
    <w:rsid w:val="00EB66AC"/>
    <w:rsid w:val="00EC0F4A"/>
    <w:rsid w:val="00EC2247"/>
    <w:rsid w:val="00EC6217"/>
    <w:rsid w:val="00ED7253"/>
    <w:rsid w:val="00EE1F87"/>
    <w:rsid w:val="00EE3931"/>
    <w:rsid w:val="00EE41E7"/>
    <w:rsid w:val="00EE5AF6"/>
    <w:rsid w:val="00EF06CE"/>
    <w:rsid w:val="00EF0DBD"/>
    <w:rsid w:val="00EF20A1"/>
    <w:rsid w:val="00EF2CEF"/>
    <w:rsid w:val="00EF5215"/>
    <w:rsid w:val="00EF744C"/>
    <w:rsid w:val="00F1092D"/>
    <w:rsid w:val="00F121B0"/>
    <w:rsid w:val="00F15003"/>
    <w:rsid w:val="00F15FB5"/>
    <w:rsid w:val="00F16A43"/>
    <w:rsid w:val="00F2080B"/>
    <w:rsid w:val="00F23F5C"/>
    <w:rsid w:val="00F24C89"/>
    <w:rsid w:val="00F25D90"/>
    <w:rsid w:val="00F40187"/>
    <w:rsid w:val="00F42C20"/>
    <w:rsid w:val="00F431D8"/>
    <w:rsid w:val="00F51164"/>
    <w:rsid w:val="00F5681C"/>
    <w:rsid w:val="00F67706"/>
    <w:rsid w:val="00F71473"/>
    <w:rsid w:val="00F75527"/>
    <w:rsid w:val="00F820D7"/>
    <w:rsid w:val="00F92D75"/>
    <w:rsid w:val="00F94384"/>
    <w:rsid w:val="00F97327"/>
    <w:rsid w:val="00FA1910"/>
    <w:rsid w:val="00FA296F"/>
    <w:rsid w:val="00FA2EAE"/>
    <w:rsid w:val="00FA7323"/>
    <w:rsid w:val="00FA7700"/>
    <w:rsid w:val="00FB00AC"/>
    <w:rsid w:val="00FB291D"/>
    <w:rsid w:val="00FB73D6"/>
    <w:rsid w:val="00FC0BA8"/>
    <w:rsid w:val="00FC322E"/>
    <w:rsid w:val="00FC32D3"/>
    <w:rsid w:val="00FC6737"/>
    <w:rsid w:val="00FD4D82"/>
    <w:rsid w:val="00FD55F2"/>
    <w:rsid w:val="00FE4315"/>
    <w:rsid w:val="00FE57AE"/>
    <w:rsid w:val="00FE7B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08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F16"/>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447F4C"/>
    <w:pPr>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rsid w:val="00506B00"/>
    <w:pPr>
      <w:jc w:val="center"/>
    </w:pPr>
    <w:rPr>
      <w:rFonts w:ascii="Calibri" w:hAnsi="Calibri"/>
    </w:rPr>
  </w:style>
  <w:style w:type="paragraph" w:customStyle="1" w:styleId="EndNoteBibliography">
    <w:name w:val="EndNote Bibliography"/>
    <w:basedOn w:val="Normal"/>
    <w:rsid w:val="00506B00"/>
    <w:rPr>
      <w:rFonts w:ascii="Calibri" w:hAnsi="Calibri"/>
    </w:rPr>
  </w:style>
  <w:style w:type="table" w:customStyle="1" w:styleId="TableGrid2">
    <w:name w:val="Table Grid2"/>
    <w:basedOn w:val="TableNormal"/>
    <w:next w:val="TableGrid"/>
    <w:uiPriority w:val="59"/>
    <w:rsid w:val="0031621E"/>
    <w:pPr>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F16"/>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447F4C"/>
    <w:pPr>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rsid w:val="00506B00"/>
    <w:pPr>
      <w:jc w:val="center"/>
    </w:pPr>
    <w:rPr>
      <w:rFonts w:ascii="Calibri" w:hAnsi="Calibri"/>
    </w:rPr>
  </w:style>
  <w:style w:type="paragraph" w:customStyle="1" w:styleId="EndNoteBibliography">
    <w:name w:val="EndNote Bibliography"/>
    <w:basedOn w:val="Normal"/>
    <w:rsid w:val="00506B00"/>
    <w:rPr>
      <w:rFonts w:ascii="Calibri" w:hAnsi="Calibri"/>
    </w:rPr>
  </w:style>
  <w:style w:type="table" w:customStyle="1" w:styleId="TableGrid2">
    <w:name w:val="Table Grid2"/>
    <w:basedOn w:val="TableNormal"/>
    <w:next w:val="TableGrid"/>
    <w:uiPriority w:val="59"/>
    <w:rsid w:val="0031621E"/>
    <w:pPr>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aqaalliance.org/files/PrinciplesofEfficiencyMeasurementApril2006.doc"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jco.ascopubs.org/content/33/28/3199.full.pdf+html"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qualityforum.org/Publications/2010/01/Measurement_Framework__Evaluating_Efficiency_Across_Patient-Focused_Episodes_of_Care.asp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gradeworkinggroup.org/publications/index.htm" TargetMode="External"/><Relationship Id="rId20" Type="http://schemas.openxmlformats.org/officeDocument/2006/relationships/hyperlink" Target="http://jco.ascopubs.org/content/33/28/3199.full.pdf+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instituteforquality.org/sites/instituteforquality.org/files/DATA%20SUPPLEMENT%20WBCGF.pdf" TargetMode="External"/><Relationship Id="rId5" Type="http://schemas.openxmlformats.org/officeDocument/2006/relationships/customXml" Target="../customXml/item5.xml"/><Relationship Id="rId15" Type="http://schemas.openxmlformats.org/officeDocument/2006/relationships/hyperlink" Target="http://www.uspreventiveservicestaskforce.org/methods.htm" TargetMode="External"/><Relationship Id="rId23" Type="http://schemas.openxmlformats.org/officeDocument/2006/relationships/hyperlink" Target="http://www.instituteforquality.org/sites/instituteforquality.org/files/DATA%20SUPPLEMENT%20WBCGF.pdf" TargetMode="Externa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spreventiveservicestaskforce.org/uspstf/grades.htm" TargetMode="External"/><Relationship Id="rId22" Type="http://schemas.openxmlformats.org/officeDocument/2006/relationships/image" Target="media/image2.png"/><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dvOT1ef757c0">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7458C"/>
    <w:rsid w:val="000A71C0"/>
    <w:rsid w:val="00103D1D"/>
    <w:rsid w:val="00160241"/>
    <w:rsid w:val="002139D6"/>
    <w:rsid w:val="00270090"/>
    <w:rsid w:val="00296D1C"/>
    <w:rsid w:val="002B5F47"/>
    <w:rsid w:val="00306C25"/>
    <w:rsid w:val="003A1E4B"/>
    <w:rsid w:val="003A3B54"/>
    <w:rsid w:val="00455EB5"/>
    <w:rsid w:val="00461C1C"/>
    <w:rsid w:val="004A2236"/>
    <w:rsid w:val="004E2027"/>
    <w:rsid w:val="005F21F3"/>
    <w:rsid w:val="006106C2"/>
    <w:rsid w:val="0067045B"/>
    <w:rsid w:val="00700A02"/>
    <w:rsid w:val="0073010F"/>
    <w:rsid w:val="007B5055"/>
    <w:rsid w:val="007E0BF3"/>
    <w:rsid w:val="0082515B"/>
    <w:rsid w:val="008629CA"/>
    <w:rsid w:val="008A3468"/>
    <w:rsid w:val="008F5918"/>
    <w:rsid w:val="008F6A9B"/>
    <w:rsid w:val="00905347"/>
    <w:rsid w:val="00A2342D"/>
    <w:rsid w:val="00A40EAD"/>
    <w:rsid w:val="00AB2F53"/>
    <w:rsid w:val="00B34DE4"/>
    <w:rsid w:val="00B61EE7"/>
    <w:rsid w:val="00BE0F2D"/>
    <w:rsid w:val="00C03643"/>
    <w:rsid w:val="00C207DD"/>
    <w:rsid w:val="00C2797F"/>
    <w:rsid w:val="00C65943"/>
    <w:rsid w:val="00C80225"/>
    <w:rsid w:val="00CA5A69"/>
    <w:rsid w:val="00D13839"/>
    <w:rsid w:val="00D228C9"/>
    <w:rsid w:val="00D3423B"/>
    <w:rsid w:val="00DB5324"/>
    <w:rsid w:val="00DE3230"/>
    <w:rsid w:val="00E43404"/>
    <w:rsid w:val="00E9349C"/>
    <w:rsid w:val="00E97654"/>
    <w:rsid w:val="00EA555A"/>
    <w:rsid w:val="00F00366"/>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FBFCCA31D9745A1E2C340E4CC8A0E" ma:contentTypeVersion="7" ma:contentTypeDescription="Create a new document." ma:contentTypeScope="" ma:versionID="a4991e0cb0411206d282d7ea06aec458">
  <xsd:schema xmlns:xsd="http://www.w3.org/2001/XMLSchema" xmlns:xs="http://www.w3.org/2001/XMLSchema" xmlns:p="http://schemas.microsoft.com/office/2006/metadata/properties" xmlns:ns2="36faa46a-c32a-4e76-8967-241cd91695fa" targetNamespace="http://schemas.microsoft.com/office/2006/metadata/properties" ma:root="true" ma:fieldsID="02fba42e6fa5714b86de9896b72afbb6" ns2:_="">
    <xsd:import namespace="36faa46a-c32a-4e76-8967-241cd91695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aa46a-c32a-4e76-8967-241cd91695f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6faa46a-c32a-4e76-8967-241cd91695fa">ECA5PWAFM45H-75-143</_dlc_DocId>
    <_dlc_DocIdUrl xmlns="36faa46a-c32a-4e76-8967-241cd91695fa">
      <Url>https://teamspace.rand.org/health/amgen/_layouts/15/DocIdRedir.aspx?ID=ECA5PWAFM45H-75-143</Url>
      <Description>ECA5PWAFM45H-75-143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49760-C791-4A0D-8B36-09BE725D6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aa46a-c32a-4e76-8967-241cd91695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3.xml><?xml version="1.0" encoding="utf-8"?>
<ds:datastoreItem xmlns:ds="http://schemas.openxmlformats.org/officeDocument/2006/customXml" ds:itemID="{7D1B7F60-9890-4314-950D-C50DCBD6061D}">
  <ds:schemaRefs>
    <ds:schemaRef ds:uri="http://schemas.microsoft.com/office/2006/metadata/properties"/>
    <ds:schemaRef ds:uri="http://schemas.microsoft.com/office/infopath/2007/PartnerControls"/>
    <ds:schemaRef ds:uri="36faa46a-c32a-4e76-8967-241cd91695fa"/>
  </ds:schemaRefs>
</ds:datastoreItem>
</file>

<file path=customXml/itemProps4.xml><?xml version="1.0" encoding="utf-8"?>
<ds:datastoreItem xmlns:ds="http://schemas.openxmlformats.org/officeDocument/2006/customXml" ds:itemID="{D6600800-5446-479E-BA1C-64444519962B}">
  <ds:schemaRefs>
    <ds:schemaRef ds:uri="http://schemas.microsoft.com/sharepoint/events"/>
  </ds:schemaRefs>
</ds:datastoreItem>
</file>

<file path=customXml/itemProps5.xml><?xml version="1.0" encoding="utf-8"?>
<ds:datastoreItem xmlns:ds="http://schemas.openxmlformats.org/officeDocument/2006/customXml" ds:itemID="{A076FF65-B4E9-4C10-9E71-0039912A1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16034</Words>
  <Characters>91400</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107220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Liz Sloss</cp:lastModifiedBy>
  <cp:revision>2</cp:revision>
  <dcterms:created xsi:type="dcterms:W3CDTF">2016-03-11T14:46:00Z</dcterms:created>
  <dcterms:modified xsi:type="dcterms:W3CDTF">2016-03-11T14:46:00Z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0x0101004FCFBFCCA31D9745A1E2C340E4CC8A0E</vt:lpwstr>
  </property>
  <property fmtid="{D5CDD505-2E9C-101B-9397-08002B2CF9AE}" pid="3" name="_dlc_DocIdItemGuid">
    <vt:lpwstr>6b03c758-9917-409f-b213-6edc77aae943</vt:lpwstr>
  </property>
</Properties>
</file>