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39BA6899" w14:textId="4D7D268D" w:rsidR="00105D8B" w:rsidRPr="00A25024" w:rsidRDefault="00105D8B" w:rsidP="00105D8B">
      <w:pPr>
        <w:contextualSpacing/>
        <w:rPr>
          <w:rFonts w:cstheme="minorHAnsi"/>
          <w:noProof/>
        </w:rPr>
      </w:pPr>
      <w:r w:rsidRPr="00A25024">
        <w:rPr>
          <w:rFonts w:cstheme="minorHAnsi"/>
          <w:b/>
          <w:noProof/>
        </w:rPr>
        <w:t>Measure Title</w:t>
      </w:r>
      <w:r w:rsidRPr="00FC5565">
        <w:rPr>
          <w:rFonts w:cstheme="minorHAnsi"/>
          <w:noProof/>
          <w:color w:val="1F497D" w:themeColor="text2"/>
        </w:rPr>
        <w:t xml:space="preserve">:  </w:t>
      </w:r>
      <w:sdt>
        <w:sdtPr>
          <w:rPr>
            <w:rStyle w:val="Style1"/>
            <w:rFonts w:cstheme="minorHAnsi"/>
            <w:color w:val="1F497D" w:themeColor="text2"/>
          </w:rPr>
          <w:id w:val="-882640736"/>
          <w:placeholder>
            <w:docPart w:val="00949831315D4E1BAFC508BD77E32A40"/>
          </w:placeholder>
        </w:sdtPr>
        <w:sdtEndPr>
          <w:rPr>
            <w:rStyle w:val="DefaultParagraphFont"/>
            <w:noProof/>
          </w:rPr>
        </w:sdtEndPr>
        <w:sdtContent>
          <w:r w:rsidR="00FC5565" w:rsidRPr="00FC5565">
            <w:rPr>
              <w:rStyle w:val="Style1"/>
              <w:rFonts w:cstheme="minorHAnsi"/>
              <w:color w:val="1F497D" w:themeColor="text2"/>
            </w:rPr>
            <w:t xml:space="preserve">PACE </w:t>
          </w:r>
          <w:r w:rsidR="00251924" w:rsidRPr="00FC5565">
            <w:rPr>
              <w:rStyle w:val="Style1"/>
              <w:rFonts w:cstheme="minorHAnsi"/>
              <w:color w:val="1F497D" w:themeColor="text2"/>
            </w:rPr>
            <w:t xml:space="preserve">Participant </w:t>
          </w:r>
          <w:r w:rsidR="00765F64" w:rsidRPr="00FC5565">
            <w:rPr>
              <w:rStyle w:val="Style1"/>
              <w:rFonts w:cstheme="minorHAnsi"/>
              <w:color w:val="1F497D" w:themeColor="text2"/>
            </w:rPr>
            <w:t>Fall Rate</w:t>
          </w:r>
        </w:sdtContent>
      </w:sdt>
    </w:p>
    <w:p w14:paraId="3F4B9B6A" w14:textId="129F33A3"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color w:val="1F497D" w:themeColor="text2"/>
          </w:rPr>
          <w:id w:val="-1689821638"/>
          <w:placeholder>
            <w:docPart w:val="D0A5AE3409394D21BA5FA5F27780E302"/>
          </w:placeholder>
          <w:date w:fullDate="2016-05-13T00:00:00Z">
            <w:dateFormat w:val="M/d/yyyy"/>
            <w:lid w:val="en-US"/>
            <w:storeMappedDataAs w:val="dateTime"/>
            <w:calendar w:val="gregorian"/>
          </w:date>
        </w:sdtPr>
        <w:sdtEndPr>
          <w:rPr>
            <w:rStyle w:val="DefaultParagraphFont"/>
            <w:noProof/>
            <w:u w:val="none"/>
          </w:rPr>
        </w:sdtEndPr>
        <w:sdtContent>
          <w:r w:rsidR="00765F64" w:rsidRPr="00EE5DC6">
            <w:rPr>
              <w:rStyle w:val="Style2"/>
              <w:rFonts w:cstheme="minorHAnsi"/>
              <w:color w:val="1F497D" w:themeColor="text2"/>
            </w:rPr>
            <w:t>5/13/2016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F36BE8"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04577BC7" w:rsidR="00CD364B" w:rsidRPr="00B82A57" w:rsidRDefault="00F36BE8"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DD7130">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F36BE8"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F36BE8"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F36BE8"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F36BE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0F825667" w:rsidR="00A01494" w:rsidRPr="00A01494" w:rsidRDefault="00F36BE8"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3A6288DE" w:rsidR="00A01494" w:rsidRPr="00A01494" w:rsidRDefault="00F36BE8"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77777777" w:rsidR="00A01494" w:rsidRPr="00A01494" w:rsidRDefault="00F36BE8"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7777777" w:rsidR="00A01494" w:rsidRPr="00A01494" w:rsidRDefault="00F36BE8"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F36BE8"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F36BE8"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316F6C90" w:rsidR="00A01494" w:rsidRPr="00A01494" w:rsidRDefault="00F36BE8"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5E533B06" w:rsidR="00A01494" w:rsidRPr="00A01494" w:rsidRDefault="00F36BE8"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F36BE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F36BE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F36BE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F36BE8"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p w14:paraId="78B7DDC3" w14:textId="5E49E1BE"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color w:val="1F497D" w:themeColor="text2"/>
          </w:rPr>
          <w:id w:val="950514773"/>
          <w:text/>
        </w:sdtPr>
        <w:sdtEndPr>
          <w:rPr>
            <w:rStyle w:val="DefaultParagraphFont"/>
            <w:rFonts w:cstheme="minorHAnsi"/>
          </w:rPr>
        </w:sdtEndPr>
        <w:sdtContent>
          <w:r w:rsidR="00581998" w:rsidRPr="00EE5DC6">
            <w:rPr>
              <w:rStyle w:val="Style1"/>
              <w:color w:val="1F497D" w:themeColor="text2"/>
            </w:rPr>
            <w:t>January 1, 2015 through March 31, 2015</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F36BE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F36BE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F36BE8"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F36BE8"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7777777" w:rsidR="000414E8" w:rsidRPr="00A01494" w:rsidRDefault="00F36BE8"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7777777" w:rsidR="000414E8" w:rsidRPr="00A01494" w:rsidRDefault="00F36BE8"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F36BE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F36BE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6C12344" w:rsidR="000414E8" w:rsidRPr="00A01494" w:rsidRDefault="00F36BE8" w:rsidP="00765F64">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color w:val="1F497D" w:themeColor="text2"/>
                </w:rPr>
                <w:id w:val="1923679898"/>
                <w:text/>
              </w:sdtPr>
              <w:sdtEndPr>
                <w:rPr>
                  <w:rStyle w:val="DefaultParagraphFont"/>
                  <w:rFonts w:cstheme="minorHAnsi"/>
                  <w:bCs/>
                </w:rPr>
              </w:sdtEndPr>
              <w:sdtContent>
                <w:r w:rsidR="00765F64" w:rsidRPr="00EE5DC6">
                  <w:rPr>
                    <w:rStyle w:val="Style1"/>
                    <w:color w:val="1F497D" w:themeColor="text2"/>
                  </w:rPr>
                  <w:t>PACE Organization</w:t>
                </w:r>
              </w:sdtContent>
            </w:sdt>
          </w:p>
        </w:tc>
        <w:tc>
          <w:tcPr>
            <w:tcW w:w="5028" w:type="dxa"/>
          </w:tcPr>
          <w:p w14:paraId="41B17C78" w14:textId="3D031722" w:rsidR="000414E8" w:rsidRPr="00A01494" w:rsidRDefault="00F36BE8" w:rsidP="00D6141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Fonts w:cstheme="minorHAnsi"/>
                  <w:bCs/>
                  <w:color w:val="1F497D" w:themeColor="text2"/>
                </w:rPr>
                <w:id w:val="2034217519"/>
                <w:text/>
              </w:sdtPr>
              <w:sdtEndPr/>
              <w:sdtContent>
                <w:r w:rsidR="00765F64" w:rsidRPr="00765F64">
                  <w:rPr>
                    <w:rFonts w:cstheme="minorHAnsi"/>
                    <w:bCs/>
                    <w:color w:val="1F497D" w:themeColor="text2"/>
                  </w:rPr>
                  <w:t>PACE Organization</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1C50F6C" w14:textId="77777777" w:rsidR="00765F64" w:rsidRDefault="00765F64" w:rsidP="00DB3627">
      <w:pPr>
        <w:autoSpaceDE w:val="0"/>
        <w:autoSpaceDN w:val="0"/>
        <w:adjustRightInd w:val="0"/>
        <w:spacing w:after="0" w:line="240" w:lineRule="auto"/>
        <w:rPr>
          <w:rFonts w:cstheme="minorHAnsi"/>
          <w:bCs/>
        </w:rPr>
      </w:pPr>
    </w:p>
    <w:p w14:paraId="373D6048" w14:textId="51DAC1BB" w:rsidR="00765F64" w:rsidRDefault="00765F64" w:rsidP="00765F64">
      <w:pPr>
        <w:autoSpaceDE w:val="0"/>
        <w:autoSpaceDN w:val="0"/>
        <w:adjustRightInd w:val="0"/>
        <w:spacing w:after="0" w:line="240" w:lineRule="auto"/>
        <w:rPr>
          <w:rFonts w:cstheme="minorHAnsi"/>
          <w:bCs/>
          <w:color w:val="1F497D" w:themeColor="text2"/>
        </w:rPr>
      </w:pPr>
      <w:r w:rsidRPr="00C27260">
        <w:rPr>
          <w:rFonts w:eastAsia="Trebuchet MS" w:cs="Trebuchet MS"/>
          <w:color w:val="1F497D" w:themeColor="text2"/>
        </w:rPr>
        <w:t xml:space="preserve">A sample of 50 sites was randomly selected out of a total of 114 PACE sites. Additionally, the oldest and two newest PACE sites were included in the sample.  </w:t>
      </w:r>
      <w:r w:rsidRPr="00C70ED6">
        <w:rPr>
          <w:rFonts w:eastAsia="Trebuchet MS" w:cs="Trebuchet MS"/>
          <w:color w:val="1F497D" w:themeColor="text2"/>
        </w:rPr>
        <w:t xml:space="preserve">A total of </w:t>
      </w:r>
      <w:r>
        <w:rPr>
          <w:rFonts w:eastAsia="Trebuchet MS" w:cs="Trebuchet MS"/>
          <w:color w:val="1F497D" w:themeColor="text2"/>
        </w:rPr>
        <w:t xml:space="preserve">34 </w:t>
      </w:r>
      <w:r w:rsidRPr="00C70ED6">
        <w:rPr>
          <w:rFonts w:eastAsia="Trebuchet MS" w:cs="Trebuchet MS"/>
          <w:color w:val="1F497D" w:themeColor="text2"/>
        </w:rPr>
        <w:t>of these sites submitted data from January</w:t>
      </w:r>
      <w:r>
        <w:rPr>
          <w:rFonts w:eastAsia="Trebuchet MS" w:cs="Trebuchet MS"/>
          <w:color w:val="1F497D" w:themeColor="text2"/>
        </w:rPr>
        <w:t xml:space="preserve"> - March</w:t>
      </w:r>
      <w:r w:rsidRPr="00C70ED6">
        <w:rPr>
          <w:rFonts w:eastAsia="Trebuchet MS" w:cs="Trebuchet MS"/>
          <w:color w:val="1F497D" w:themeColor="text2"/>
        </w:rPr>
        <w:t xml:space="preserve"> 2015 for</w:t>
      </w:r>
      <w:r>
        <w:rPr>
          <w:rFonts w:eastAsia="Trebuchet MS" w:cs="Trebuchet MS"/>
          <w:color w:val="1F497D" w:themeColor="text2"/>
        </w:rPr>
        <w:t xml:space="preserve"> the Fall Rate</w:t>
      </w:r>
      <w:r w:rsidR="00EE5DC6">
        <w:rPr>
          <w:rFonts w:eastAsia="Trebuchet MS" w:cs="Trebuchet MS"/>
          <w:color w:val="1F497D" w:themeColor="text2"/>
        </w:rPr>
        <w:t>, with these sites having a minimum census size of 1, and a maximum of 854 participants (median = 190)</w:t>
      </w:r>
      <w:r>
        <w:rPr>
          <w:rFonts w:eastAsia="Trebuchet MS" w:cs="Trebuchet MS"/>
          <w:color w:val="1F497D" w:themeColor="text2"/>
        </w:rPr>
        <w:t>.  T</w:t>
      </w:r>
      <w:r w:rsidRPr="00C70ED6">
        <w:rPr>
          <w:rFonts w:eastAsia="Trebuchet MS" w:cs="Trebuchet MS"/>
          <w:color w:val="1F497D" w:themeColor="text2"/>
        </w:rPr>
        <w:t>here was one (1) large outlier with 24.79 falls per 1,000 participant days.  This site has an unusually low number of participant days (121) because it had only one (1) participant in January and February 2015 and two (2) participants in March 2015. This sit</w:t>
      </w:r>
      <w:r>
        <w:rPr>
          <w:rFonts w:eastAsia="Trebuchet MS" w:cs="Trebuchet MS"/>
          <w:color w:val="1F497D" w:themeColor="text2"/>
        </w:rPr>
        <w:t xml:space="preserve">e was excluded from the analysis and </w:t>
      </w:r>
      <w:r w:rsidRPr="00C70ED6">
        <w:rPr>
          <w:rFonts w:eastAsia="Trebuchet MS" w:cs="Trebuchet MS"/>
          <w:color w:val="1F497D" w:themeColor="text2"/>
        </w:rPr>
        <w:t xml:space="preserve">site-level descriptive statistics for total participant days and total fall rates. </w:t>
      </w:r>
      <w:r>
        <w:rPr>
          <w:rFonts w:cstheme="minorHAnsi"/>
          <w:bCs/>
          <w:color w:val="1F497D" w:themeColor="text2"/>
        </w:rPr>
        <w:t>Characteristics of the PACE Organizations which submitted data are shown in Table 1 below.</w:t>
      </w:r>
    </w:p>
    <w:p w14:paraId="0BB3CB9C" w14:textId="77777777" w:rsidR="001359A3" w:rsidRDefault="001359A3" w:rsidP="001359A3">
      <w:pPr>
        <w:pStyle w:val="TableCaption"/>
        <w:rPr>
          <w:rFonts w:cstheme="minorHAnsi"/>
          <w:bCs w:val="0"/>
        </w:rPr>
      </w:pPr>
      <w:proofErr w:type="gramStart"/>
      <w:r>
        <w:lastRenderedPageBreak/>
        <w:t>Table 1.</w:t>
      </w:r>
      <w:proofErr w:type="gramEnd"/>
      <w:r>
        <w:t xml:space="preserve"> Characteristics of PACE Organizations Participating in Testing</w:t>
      </w:r>
    </w:p>
    <w:tbl>
      <w:tblPr>
        <w:tblStyle w:val="EconometricaTableStyle"/>
        <w:tblW w:w="0" w:type="auto"/>
        <w:tblInd w:w="-230" w:type="dxa"/>
        <w:tblLayout w:type="fixed"/>
        <w:tblLook w:val="04A0" w:firstRow="1" w:lastRow="0" w:firstColumn="1" w:lastColumn="0" w:noHBand="0" w:noVBand="1"/>
      </w:tblPr>
      <w:tblGrid>
        <w:gridCol w:w="4152"/>
        <w:gridCol w:w="1236"/>
      </w:tblGrid>
      <w:tr w:rsidR="00765F64" w:rsidRPr="00015C4C" w14:paraId="20397848" w14:textId="77777777" w:rsidTr="00765F64">
        <w:trPr>
          <w:cnfStyle w:val="100000000000" w:firstRow="1" w:lastRow="0" w:firstColumn="0" w:lastColumn="0" w:oddVBand="0" w:evenVBand="0" w:oddHBand="0" w:evenHBand="0" w:firstRowFirstColumn="0" w:firstRowLastColumn="0" w:lastRowFirstColumn="0" w:lastRowLastColumn="0"/>
        </w:trPr>
        <w:tc>
          <w:tcPr>
            <w:tcW w:w="4152" w:type="dxa"/>
          </w:tcPr>
          <w:p w14:paraId="27C805FC" w14:textId="77777777" w:rsidR="00765F64" w:rsidRPr="00015C4C" w:rsidRDefault="00765F64" w:rsidP="00E83CED">
            <w:pPr>
              <w:pStyle w:val="TableColumnHeading"/>
              <w:rPr>
                <w:b w:val="0"/>
              </w:rPr>
            </w:pPr>
            <w:r w:rsidRPr="00015C4C">
              <w:t>Category</w:t>
            </w:r>
          </w:p>
        </w:tc>
        <w:tc>
          <w:tcPr>
            <w:tcW w:w="1236" w:type="dxa"/>
          </w:tcPr>
          <w:p w14:paraId="3F9A5EF3" w14:textId="27CBFDF5" w:rsidR="00765F64" w:rsidRPr="00015C4C" w:rsidRDefault="00765F64" w:rsidP="00E83CED">
            <w:pPr>
              <w:pStyle w:val="TableColumnHeading"/>
              <w:rPr>
                <w:b w:val="0"/>
                <w:i/>
              </w:rPr>
            </w:pPr>
            <w:r w:rsidRPr="00015C4C">
              <w:rPr>
                <w:i/>
              </w:rPr>
              <w:t>N</w:t>
            </w:r>
            <w:r>
              <w:rPr>
                <w:i/>
              </w:rPr>
              <w:t xml:space="preserve"> (%)</w:t>
            </w:r>
          </w:p>
        </w:tc>
      </w:tr>
      <w:tr w:rsidR="00765F64" w:rsidRPr="00015C4C" w14:paraId="2044F483" w14:textId="77777777" w:rsidTr="00765F64">
        <w:trPr>
          <w:cnfStyle w:val="000000100000" w:firstRow="0" w:lastRow="0" w:firstColumn="0" w:lastColumn="0" w:oddVBand="0" w:evenVBand="0" w:oddHBand="1" w:evenHBand="0" w:firstRowFirstColumn="0" w:firstRowLastColumn="0" w:lastRowFirstColumn="0" w:lastRowLastColumn="0"/>
        </w:trPr>
        <w:tc>
          <w:tcPr>
            <w:tcW w:w="4152" w:type="dxa"/>
            <w:tcBorders>
              <w:bottom w:val="single" w:sz="4" w:space="0" w:color="000075"/>
              <w:right w:val="nil"/>
            </w:tcBorders>
            <w:shd w:val="clear" w:color="auto" w:fill="DBDBDB"/>
          </w:tcPr>
          <w:p w14:paraId="57C81A20" w14:textId="77777777" w:rsidR="00765F64" w:rsidRPr="001359A3" w:rsidRDefault="00765F64" w:rsidP="00E83CED">
            <w:pPr>
              <w:pStyle w:val="TableCell-SubheadingText"/>
              <w:rPr>
                <w:rFonts w:asciiTheme="minorHAnsi" w:hAnsiTheme="minorHAnsi"/>
                <w:sz w:val="22"/>
                <w:szCs w:val="22"/>
              </w:rPr>
            </w:pPr>
            <w:r w:rsidRPr="001359A3">
              <w:rPr>
                <w:rFonts w:asciiTheme="minorHAnsi" w:hAnsiTheme="minorHAnsi"/>
                <w:sz w:val="22"/>
                <w:szCs w:val="22"/>
              </w:rPr>
              <w:t>Affiliated with Academic Medical Center</w:t>
            </w:r>
          </w:p>
        </w:tc>
        <w:tc>
          <w:tcPr>
            <w:tcW w:w="1236" w:type="dxa"/>
            <w:tcBorders>
              <w:left w:val="nil"/>
              <w:bottom w:val="single" w:sz="4" w:space="0" w:color="000075"/>
              <w:right w:val="nil"/>
            </w:tcBorders>
            <w:shd w:val="clear" w:color="auto" w:fill="DBDBDB"/>
          </w:tcPr>
          <w:p w14:paraId="329F31C4" w14:textId="77777777" w:rsidR="00765F64" w:rsidRPr="001359A3" w:rsidRDefault="00765F64" w:rsidP="00E83CED">
            <w:pPr>
              <w:pStyle w:val="TableCell-SubheadingText"/>
              <w:rPr>
                <w:rFonts w:asciiTheme="minorHAnsi" w:hAnsiTheme="minorHAnsi"/>
                <w:sz w:val="22"/>
                <w:szCs w:val="22"/>
              </w:rPr>
            </w:pPr>
          </w:p>
        </w:tc>
      </w:tr>
      <w:tr w:rsidR="00765F64" w:rsidRPr="00015C4C" w14:paraId="5F8EA25E" w14:textId="77777777" w:rsidTr="00765F64">
        <w:tc>
          <w:tcPr>
            <w:tcW w:w="4152" w:type="dxa"/>
            <w:tcBorders>
              <w:bottom w:val="single" w:sz="4" w:space="0" w:color="000075"/>
            </w:tcBorders>
            <w:shd w:val="clear" w:color="auto" w:fill="E1F8FF"/>
          </w:tcPr>
          <w:p w14:paraId="106503EF" w14:textId="77777777" w:rsidR="00765F64" w:rsidRPr="001359A3" w:rsidRDefault="00765F64" w:rsidP="00E83CED">
            <w:pPr>
              <w:ind w:left="245"/>
              <w:rPr>
                <w:rFonts w:asciiTheme="minorHAnsi" w:hAnsiTheme="minorHAnsi" w:cs="Arial"/>
                <w:sz w:val="22"/>
                <w:szCs w:val="22"/>
              </w:rPr>
            </w:pPr>
            <w:r w:rsidRPr="001359A3">
              <w:rPr>
                <w:rFonts w:asciiTheme="minorHAnsi" w:hAnsiTheme="minorHAnsi" w:cs="Arial"/>
                <w:sz w:val="22"/>
                <w:szCs w:val="22"/>
              </w:rPr>
              <w:t>Yes</w:t>
            </w:r>
          </w:p>
        </w:tc>
        <w:tc>
          <w:tcPr>
            <w:tcW w:w="1236" w:type="dxa"/>
            <w:tcBorders>
              <w:bottom w:val="single" w:sz="4" w:space="0" w:color="000075"/>
            </w:tcBorders>
            <w:shd w:val="clear" w:color="auto" w:fill="E1F8FF"/>
          </w:tcPr>
          <w:p w14:paraId="0E54A019" w14:textId="57DA5D38" w:rsidR="00765F64" w:rsidRPr="001359A3" w:rsidRDefault="00765F64" w:rsidP="00765F64">
            <w:pPr>
              <w:tabs>
                <w:tab w:val="decimal" w:pos="247"/>
              </w:tabs>
              <w:jc w:val="center"/>
              <w:rPr>
                <w:rFonts w:asciiTheme="minorHAnsi" w:hAnsiTheme="minorHAnsi" w:cs="Arial"/>
                <w:sz w:val="22"/>
                <w:szCs w:val="22"/>
              </w:rPr>
            </w:pPr>
            <w:r w:rsidRPr="001359A3">
              <w:rPr>
                <w:rFonts w:asciiTheme="minorHAnsi" w:hAnsiTheme="minorHAnsi" w:cs="Arial"/>
                <w:sz w:val="22"/>
                <w:szCs w:val="22"/>
              </w:rPr>
              <w:t>3 (8.8)</w:t>
            </w:r>
          </w:p>
        </w:tc>
      </w:tr>
      <w:tr w:rsidR="00765F64" w:rsidRPr="00015C4C" w14:paraId="4E38EB2D" w14:textId="77777777" w:rsidTr="00765F64">
        <w:trPr>
          <w:cnfStyle w:val="000000100000" w:firstRow="0" w:lastRow="0" w:firstColumn="0" w:lastColumn="0" w:oddVBand="0" w:evenVBand="0" w:oddHBand="1" w:evenHBand="0" w:firstRowFirstColumn="0" w:firstRowLastColumn="0" w:lastRowFirstColumn="0" w:lastRowLastColumn="0"/>
        </w:trPr>
        <w:tc>
          <w:tcPr>
            <w:tcW w:w="4152" w:type="dxa"/>
            <w:tcBorders>
              <w:bottom w:val="single" w:sz="4" w:space="0" w:color="000075"/>
            </w:tcBorders>
            <w:shd w:val="clear" w:color="auto" w:fill="auto"/>
          </w:tcPr>
          <w:p w14:paraId="7DF7CE54" w14:textId="77777777" w:rsidR="00765F64" w:rsidRPr="001359A3" w:rsidRDefault="00765F64" w:rsidP="00E83CED">
            <w:pPr>
              <w:ind w:left="245"/>
              <w:rPr>
                <w:rFonts w:asciiTheme="minorHAnsi" w:hAnsiTheme="minorHAnsi" w:cs="Arial"/>
                <w:sz w:val="22"/>
                <w:szCs w:val="22"/>
              </w:rPr>
            </w:pPr>
            <w:r w:rsidRPr="001359A3">
              <w:rPr>
                <w:rFonts w:asciiTheme="minorHAnsi" w:hAnsiTheme="minorHAnsi" w:cs="Arial"/>
                <w:sz w:val="22"/>
                <w:szCs w:val="22"/>
              </w:rPr>
              <w:t>No</w:t>
            </w:r>
          </w:p>
        </w:tc>
        <w:tc>
          <w:tcPr>
            <w:tcW w:w="1236" w:type="dxa"/>
            <w:tcBorders>
              <w:bottom w:val="single" w:sz="4" w:space="0" w:color="000075"/>
            </w:tcBorders>
            <w:shd w:val="clear" w:color="auto" w:fill="auto"/>
          </w:tcPr>
          <w:p w14:paraId="26B37915" w14:textId="6F37168A" w:rsidR="00765F64" w:rsidRPr="001359A3" w:rsidRDefault="00765F64" w:rsidP="00765F64">
            <w:pPr>
              <w:tabs>
                <w:tab w:val="decimal" w:pos="247"/>
              </w:tabs>
              <w:jc w:val="center"/>
              <w:rPr>
                <w:rFonts w:asciiTheme="minorHAnsi" w:hAnsiTheme="minorHAnsi" w:cs="Arial"/>
                <w:sz w:val="22"/>
                <w:szCs w:val="22"/>
              </w:rPr>
            </w:pPr>
            <w:r w:rsidRPr="001359A3">
              <w:rPr>
                <w:rFonts w:asciiTheme="minorHAnsi" w:hAnsiTheme="minorHAnsi" w:cs="Arial"/>
                <w:sz w:val="22"/>
                <w:szCs w:val="22"/>
              </w:rPr>
              <w:t>29 (85.3)</w:t>
            </w:r>
          </w:p>
        </w:tc>
      </w:tr>
      <w:tr w:rsidR="00765F64" w:rsidRPr="00015C4C" w14:paraId="6238E8E0" w14:textId="77777777" w:rsidTr="00765F64">
        <w:tc>
          <w:tcPr>
            <w:tcW w:w="4152" w:type="dxa"/>
            <w:tcBorders>
              <w:bottom w:val="single" w:sz="4" w:space="0" w:color="000075"/>
            </w:tcBorders>
            <w:shd w:val="clear" w:color="auto" w:fill="E1F8FF"/>
          </w:tcPr>
          <w:p w14:paraId="78A3014D" w14:textId="77777777" w:rsidR="00765F64" w:rsidRPr="001359A3" w:rsidRDefault="00765F64" w:rsidP="00E83CED">
            <w:pPr>
              <w:ind w:left="245"/>
              <w:rPr>
                <w:rFonts w:asciiTheme="minorHAnsi" w:hAnsiTheme="minorHAnsi" w:cs="Arial"/>
                <w:sz w:val="22"/>
                <w:szCs w:val="22"/>
              </w:rPr>
            </w:pPr>
            <w:r w:rsidRPr="001359A3">
              <w:rPr>
                <w:rFonts w:asciiTheme="minorHAnsi" w:hAnsiTheme="minorHAnsi" w:cs="Arial"/>
                <w:sz w:val="22"/>
                <w:szCs w:val="22"/>
              </w:rPr>
              <w:t>Unknown</w:t>
            </w:r>
          </w:p>
        </w:tc>
        <w:tc>
          <w:tcPr>
            <w:tcW w:w="1236" w:type="dxa"/>
            <w:tcBorders>
              <w:bottom w:val="single" w:sz="4" w:space="0" w:color="000075"/>
            </w:tcBorders>
            <w:shd w:val="clear" w:color="auto" w:fill="E1F8FF"/>
          </w:tcPr>
          <w:p w14:paraId="2075CCA7" w14:textId="2F68AD3C" w:rsidR="00765F64" w:rsidRPr="001359A3" w:rsidRDefault="00765F64" w:rsidP="00765F64">
            <w:pPr>
              <w:tabs>
                <w:tab w:val="decimal" w:pos="247"/>
              </w:tabs>
              <w:jc w:val="center"/>
              <w:rPr>
                <w:rFonts w:asciiTheme="minorHAnsi" w:hAnsiTheme="minorHAnsi" w:cs="Arial"/>
                <w:sz w:val="22"/>
                <w:szCs w:val="22"/>
              </w:rPr>
            </w:pPr>
            <w:r w:rsidRPr="001359A3">
              <w:rPr>
                <w:rFonts w:asciiTheme="minorHAnsi" w:hAnsiTheme="minorHAnsi" w:cs="Arial"/>
                <w:sz w:val="22"/>
                <w:szCs w:val="22"/>
              </w:rPr>
              <w:t>1 (2.9)</w:t>
            </w:r>
          </w:p>
        </w:tc>
      </w:tr>
      <w:tr w:rsidR="00765F64" w:rsidRPr="00015C4C" w14:paraId="1D9BA504" w14:textId="77777777" w:rsidTr="00765F64">
        <w:trPr>
          <w:cnfStyle w:val="000000100000" w:firstRow="0" w:lastRow="0" w:firstColumn="0" w:lastColumn="0" w:oddVBand="0" w:evenVBand="0" w:oddHBand="1" w:evenHBand="0" w:firstRowFirstColumn="0" w:firstRowLastColumn="0" w:lastRowFirstColumn="0" w:lastRowLastColumn="0"/>
        </w:trPr>
        <w:tc>
          <w:tcPr>
            <w:tcW w:w="4152" w:type="dxa"/>
            <w:tcBorders>
              <w:bottom w:val="single" w:sz="4" w:space="0" w:color="000075"/>
              <w:right w:val="nil"/>
            </w:tcBorders>
            <w:shd w:val="clear" w:color="auto" w:fill="DBDBDB"/>
          </w:tcPr>
          <w:p w14:paraId="3C4ABAC8" w14:textId="77777777" w:rsidR="00765F64" w:rsidRPr="001359A3" w:rsidRDefault="00765F64" w:rsidP="00E83CED">
            <w:pPr>
              <w:pStyle w:val="TableCell-SubheadingText"/>
              <w:rPr>
                <w:rFonts w:asciiTheme="minorHAnsi" w:hAnsiTheme="minorHAnsi"/>
                <w:sz w:val="22"/>
                <w:szCs w:val="22"/>
              </w:rPr>
            </w:pPr>
            <w:r w:rsidRPr="001359A3">
              <w:rPr>
                <w:rFonts w:asciiTheme="minorHAnsi" w:hAnsiTheme="minorHAnsi"/>
                <w:sz w:val="22"/>
                <w:szCs w:val="22"/>
              </w:rPr>
              <w:t>Location</w:t>
            </w:r>
          </w:p>
        </w:tc>
        <w:tc>
          <w:tcPr>
            <w:tcW w:w="1236" w:type="dxa"/>
            <w:tcBorders>
              <w:left w:val="nil"/>
              <w:bottom w:val="single" w:sz="4" w:space="0" w:color="000075"/>
              <w:right w:val="nil"/>
            </w:tcBorders>
            <w:shd w:val="clear" w:color="auto" w:fill="DBDBDB"/>
          </w:tcPr>
          <w:p w14:paraId="19EC6998" w14:textId="77777777" w:rsidR="00765F64" w:rsidRPr="001359A3" w:rsidRDefault="00765F64" w:rsidP="00765F64">
            <w:pPr>
              <w:pStyle w:val="TableCell-SubheadingText"/>
              <w:jc w:val="center"/>
              <w:rPr>
                <w:rFonts w:asciiTheme="minorHAnsi" w:hAnsiTheme="minorHAnsi"/>
                <w:sz w:val="22"/>
                <w:szCs w:val="22"/>
              </w:rPr>
            </w:pPr>
          </w:p>
        </w:tc>
      </w:tr>
      <w:tr w:rsidR="00765F64" w:rsidRPr="00015C4C" w14:paraId="60DAA879" w14:textId="77777777" w:rsidTr="00765F64">
        <w:tc>
          <w:tcPr>
            <w:tcW w:w="4152" w:type="dxa"/>
            <w:tcBorders>
              <w:bottom w:val="single" w:sz="4" w:space="0" w:color="000075"/>
            </w:tcBorders>
            <w:shd w:val="clear" w:color="auto" w:fill="E1F8FF"/>
          </w:tcPr>
          <w:p w14:paraId="77165827" w14:textId="77777777" w:rsidR="00765F64" w:rsidRPr="001359A3" w:rsidRDefault="00765F64" w:rsidP="00E83CED">
            <w:pPr>
              <w:ind w:left="245"/>
              <w:rPr>
                <w:rFonts w:asciiTheme="minorHAnsi" w:hAnsiTheme="minorHAnsi" w:cs="Arial"/>
                <w:sz w:val="22"/>
                <w:szCs w:val="22"/>
              </w:rPr>
            </w:pPr>
            <w:r w:rsidRPr="001359A3">
              <w:rPr>
                <w:rFonts w:asciiTheme="minorHAnsi" w:hAnsiTheme="minorHAnsi" w:cs="Arial"/>
                <w:sz w:val="22"/>
                <w:szCs w:val="22"/>
              </w:rPr>
              <w:t>Metropolitan</w:t>
            </w:r>
          </w:p>
        </w:tc>
        <w:tc>
          <w:tcPr>
            <w:tcW w:w="1236" w:type="dxa"/>
            <w:tcBorders>
              <w:bottom w:val="single" w:sz="4" w:space="0" w:color="000075"/>
            </w:tcBorders>
            <w:shd w:val="clear" w:color="auto" w:fill="E1F8FF"/>
          </w:tcPr>
          <w:p w14:paraId="2F40B7DF" w14:textId="5DCAAF70" w:rsidR="00765F64" w:rsidRPr="001359A3" w:rsidRDefault="00765F64" w:rsidP="00765F64">
            <w:pPr>
              <w:tabs>
                <w:tab w:val="decimal" w:pos="247"/>
              </w:tabs>
              <w:jc w:val="center"/>
              <w:rPr>
                <w:rFonts w:asciiTheme="minorHAnsi" w:hAnsiTheme="minorHAnsi" w:cs="Arial"/>
                <w:sz w:val="22"/>
                <w:szCs w:val="22"/>
              </w:rPr>
            </w:pPr>
            <w:r w:rsidRPr="001359A3">
              <w:rPr>
                <w:rFonts w:asciiTheme="minorHAnsi" w:hAnsiTheme="minorHAnsi" w:cs="Arial"/>
                <w:sz w:val="22"/>
                <w:szCs w:val="22"/>
              </w:rPr>
              <w:t>27 (79.4)</w:t>
            </w:r>
          </w:p>
        </w:tc>
      </w:tr>
      <w:tr w:rsidR="00765F64" w:rsidRPr="00015C4C" w14:paraId="74018B98" w14:textId="77777777" w:rsidTr="00765F64">
        <w:trPr>
          <w:cnfStyle w:val="000000100000" w:firstRow="0" w:lastRow="0" w:firstColumn="0" w:lastColumn="0" w:oddVBand="0" w:evenVBand="0" w:oddHBand="1" w:evenHBand="0" w:firstRowFirstColumn="0" w:firstRowLastColumn="0" w:lastRowFirstColumn="0" w:lastRowLastColumn="0"/>
        </w:trPr>
        <w:tc>
          <w:tcPr>
            <w:tcW w:w="4152" w:type="dxa"/>
            <w:tcBorders>
              <w:bottom w:val="single" w:sz="4" w:space="0" w:color="000075"/>
            </w:tcBorders>
            <w:shd w:val="clear" w:color="auto" w:fill="auto"/>
          </w:tcPr>
          <w:p w14:paraId="3F7E0838" w14:textId="77777777" w:rsidR="00765F64" w:rsidRPr="001359A3" w:rsidRDefault="00765F64" w:rsidP="00E83CED">
            <w:pPr>
              <w:ind w:left="245"/>
              <w:rPr>
                <w:rFonts w:asciiTheme="minorHAnsi" w:hAnsiTheme="minorHAnsi" w:cs="Arial"/>
                <w:sz w:val="22"/>
                <w:szCs w:val="22"/>
              </w:rPr>
            </w:pPr>
            <w:proofErr w:type="spellStart"/>
            <w:r w:rsidRPr="001359A3">
              <w:rPr>
                <w:rFonts w:asciiTheme="minorHAnsi" w:hAnsiTheme="minorHAnsi" w:cs="Arial"/>
                <w:sz w:val="22"/>
                <w:szCs w:val="22"/>
              </w:rPr>
              <w:t>Micropolitan</w:t>
            </w:r>
            <w:proofErr w:type="spellEnd"/>
          </w:p>
        </w:tc>
        <w:tc>
          <w:tcPr>
            <w:tcW w:w="1236" w:type="dxa"/>
            <w:tcBorders>
              <w:bottom w:val="single" w:sz="4" w:space="0" w:color="000075"/>
            </w:tcBorders>
            <w:shd w:val="clear" w:color="auto" w:fill="auto"/>
          </w:tcPr>
          <w:p w14:paraId="610E1326" w14:textId="3297F59B" w:rsidR="00765F64" w:rsidRPr="001359A3" w:rsidRDefault="00765F64" w:rsidP="00765F64">
            <w:pPr>
              <w:tabs>
                <w:tab w:val="decimal" w:pos="247"/>
              </w:tabs>
              <w:jc w:val="center"/>
              <w:rPr>
                <w:rFonts w:asciiTheme="minorHAnsi" w:hAnsiTheme="minorHAnsi" w:cs="Arial"/>
                <w:sz w:val="22"/>
                <w:szCs w:val="22"/>
              </w:rPr>
            </w:pPr>
            <w:r w:rsidRPr="001359A3">
              <w:rPr>
                <w:rFonts w:asciiTheme="minorHAnsi" w:hAnsiTheme="minorHAnsi" w:cs="Arial"/>
                <w:sz w:val="22"/>
                <w:szCs w:val="22"/>
              </w:rPr>
              <w:t>2 (5.9)</w:t>
            </w:r>
          </w:p>
        </w:tc>
      </w:tr>
      <w:tr w:rsidR="00765F64" w:rsidRPr="00015C4C" w14:paraId="400B944A" w14:textId="77777777" w:rsidTr="00765F64">
        <w:tc>
          <w:tcPr>
            <w:tcW w:w="4152" w:type="dxa"/>
            <w:shd w:val="clear" w:color="auto" w:fill="E1F8FF"/>
          </w:tcPr>
          <w:p w14:paraId="7A552A8B" w14:textId="77777777" w:rsidR="00765F64" w:rsidRPr="001359A3" w:rsidRDefault="00765F64" w:rsidP="00E83CED">
            <w:pPr>
              <w:ind w:left="245"/>
              <w:rPr>
                <w:rFonts w:asciiTheme="minorHAnsi" w:hAnsiTheme="minorHAnsi" w:cs="Arial"/>
                <w:sz w:val="22"/>
                <w:szCs w:val="22"/>
              </w:rPr>
            </w:pPr>
            <w:r w:rsidRPr="001359A3">
              <w:rPr>
                <w:rFonts w:asciiTheme="minorHAnsi" w:hAnsiTheme="minorHAnsi" w:cs="Arial"/>
                <w:sz w:val="22"/>
                <w:szCs w:val="22"/>
              </w:rPr>
              <w:t>Non-metropolitan</w:t>
            </w:r>
          </w:p>
        </w:tc>
        <w:tc>
          <w:tcPr>
            <w:tcW w:w="1236" w:type="dxa"/>
            <w:shd w:val="clear" w:color="auto" w:fill="E1F8FF"/>
          </w:tcPr>
          <w:p w14:paraId="304E1F17" w14:textId="03B2A2DF" w:rsidR="00765F64" w:rsidRPr="001359A3" w:rsidRDefault="00765F64" w:rsidP="00765F64">
            <w:pPr>
              <w:tabs>
                <w:tab w:val="decimal" w:pos="247"/>
              </w:tabs>
              <w:jc w:val="center"/>
              <w:rPr>
                <w:rFonts w:asciiTheme="minorHAnsi" w:hAnsiTheme="minorHAnsi" w:cs="Arial"/>
                <w:sz w:val="22"/>
                <w:szCs w:val="22"/>
              </w:rPr>
            </w:pPr>
            <w:r w:rsidRPr="001359A3">
              <w:rPr>
                <w:rFonts w:asciiTheme="minorHAnsi" w:hAnsiTheme="minorHAnsi" w:cs="Arial"/>
                <w:sz w:val="22"/>
                <w:szCs w:val="22"/>
              </w:rPr>
              <w:t>4 (11.8)</w:t>
            </w:r>
          </w:p>
        </w:tc>
      </w:tr>
    </w:tbl>
    <w:p w14:paraId="3CDDE5DC" w14:textId="77777777" w:rsidR="00765F64" w:rsidRDefault="00765F64" w:rsidP="00DB3627">
      <w:pPr>
        <w:autoSpaceDE w:val="0"/>
        <w:autoSpaceDN w:val="0"/>
        <w:adjustRightInd w:val="0"/>
        <w:spacing w:after="0" w:line="240" w:lineRule="auto"/>
        <w:rPr>
          <w:rFonts w:cstheme="minorHAnsi"/>
          <w:bCs/>
        </w:rPr>
      </w:pPr>
    </w:p>
    <w:p w14:paraId="6D95178A" w14:textId="77777777" w:rsidR="002B5016" w:rsidRPr="00A25024" w:rsidRDefault="002B5016" w:rsidP="00DB3627">
      <w:pPr>
        <w:autoSpaceDE w:val="0"/>
        <w:autoSpaceDN w:val="0"/>
        <w:adjustRightInd w:val="0"/>
        <w:spacing w:after="0" w:line="240" w:lineRule="auto"/>
        <w:rPr>
          <w:rFonts w:cstheme="minorHAnsi"/>
          <w:bCs/>
        </w:rPr>
      </w:pPr>
    </w:p>
    <w:p w14:paraId="22C73399" w14:textId="77777777" w:rsidR="000B6B8F"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AAD317D" w14:textId="77777777" w:rsidR="00B51014" w:rsidRDefault="00B51014" w:rsidP="00DB3627">
      <w:pPr>
        <w:autoSpaceDE w:val="0"/>
        <w:autoSpaceDN w:val="0"/>
        <w:adjustRightInd w:val="0"/>
        <w:spacing w:after="0" w:line="240" w:lineRule="auto"/>
        <w:rPr>
          <w:rFonts w:cstheme="minorHAnsi"/>
          <w:bCs/>
        </w:rPr>
      </w:pPr>
    </w:p>
    <w:p w14:paraId="31504255" w14:textId="62FE87BD" w:rsidR="00B51014" w:rsidRPr="00B51014" w:rsidRDefault="00B51014" w:rsidP="00DB3627">
      <w:pPr>
        <w:autoSpaceDE w:val="0"/>
        <w:autoSpaceDN w:val="0"/>
        <w:adjustRightInd w:val="0"/>
        <w:spacing w:after="0" w:line="240" w:lineRule="auto"/>
        <w:rPr>
          <w:rFonts w:cstheme="minorHAnsi"/>
          <w:bCs/>
          <w:color w:val="1F497D" w:themeColor="text2"/>
        </w:rPr>
      </w:pPr>
      <w:r>
        <w:rPr>
          <w:rFonts w:cstheme="minorHAnsi"/>
          <w:bCs/>
          <w:color w:val="1F497D" w:themeColor="text2"/>
        </w:rPr>
        <w:t xml:space="preserve">Data were collected </w:t>
      </w:r>
      <w:r w:rsidR="00581998">
        <w:rPr>
          <w:rFonts w:cstheme="minorHAnsi"/>
          <w:bCs/>
          <w:color w:val="1F497D" w:themeColor="text2"/>
        </w:rPr>
        <w:t xml:space="preserve">on </w:t>
      </w:r>
      <w:r>
        <w:rPr>
          <w:rFonts w:cstheme="minorHAnsi"/>
          <w:bCs/>
          <w:color w:val="1F497D" w:themeColor="text2"/>
        </w:rPr>
        <w:t xml:space="preserve">a total of </w:t>
      </w:r>
      <w:r w:rsidR="00581998">
        <w:rPr>
          <w:rFonts w:cstheme="minorHAnsi"/>
          <w:bCs/>
          <w:color w:val="1F497D" w:themeColor="text2"/>
        </w:rPr>
        <w:t>1,995</w:t>
      </w:r>
      <w:r w:rsidR="000C7EB3">
        <w:rPr>
          <w:rFonts w:cstheme="minorHAnsi"/>
          <w:bCs/>
          <w:color w:val="1F497D" w:themeColor="text2"/>
        </w:rPr>
        <w:t xml:space="preserve"> </w:t>
      </w:r>
      <w:r w:rsidR="00581998">
        <w:rPr>
          <w:rFonts w:cstheme="minorHAnsi"/>
          <w:bCs/>
          <w:color w:val="1F497D" w:themeColor="text2"/>
        </w:rPr>
        <w:t>falls</w:t>
      </w:r>
      <w:r>
        <w:rPr>
          <w:rFonts w:cstheme="minorHAnsi"/>
          <w:bCs/>
          <w:color w:val="1F497D" w:themeColor="text2"/>
        </w:rPr>
        <w:t xml:space="preserve">.  </w:t>
      </w:r>
      <w:r w:rsidRPr="00B51014">
        <w:rPr>
          <w:rFonts w:cstheme="minorHAnsi"/>
          <w:bCs/>
          <w:color w:val="1F497D" w:themeColor="text2"/>
        </w:rPr>
        <w:t>Many PACE organizations operate multiple program sites. To minimize respondent burden, organizations with multiple sites were instructed to report</w:t>
      </w:r>
      <w:r w:rsidR="00251924">
        <w:rPr>
          <w:rFonts w:cstheme="minorHAnsi"/>
          <w:bCs/>
          <w:color w:val="1F497D" w:themeColor="text2"/>
        </w:rPr>
        <w:t xml:space="preserve"> falls</w:t>
      </w:r>
      <w:r w:rsidRPr="00B51014">
        <w:rPr>
          <w:rFonts w:cstheme="minorHAnsi"/>
          <w:bCs/>
          <w:color w:val="1F497D" w:themeColor="text2"/>
        </w:rPr>
        <w:t xml:space="preserve"> data for</w:t>
      </w:r>
      <w:r>
        <w:rPr>
          <w:rFonts w:cstheme="minorHAnsi"/>
          <w:bCs/>
          <w:color w:val="1F497D" w:themeColor="text2"/>
        </w:rPr>
        <w:t xml:space="preserve"> participants at</w:t>
      </w:r>
      <w:r w:rsidRPr="00B51014">
        <w:rPr>
          <w:rFonts w:cstheme="minorHAnsi"/>
          <w:bCs/>
          <w:color w:val="1F497D" w:themeColor="text2"/>
        </w:rPr>
        <w:t xml:space="preserve"> their oldest site. </w:t>
      </w:r>
      <w:r>
        <w:rPr>
          <w:rFonts w:cstheme="minorHAnsi"/>
          <w:bCs/>
          <w:color w:val="1F497D" w:themeColor="text2"/>
        </w:rPr>
        <w:t xml:space="preserve"> Participants at</w:t>
      </w:r>
      <w:r w:rsidRPr="00B51014">
        <w:rPr>
          <w:rFonts w:cstheme="minorHAnsi"/>
          <w:bCs/>
          <w:color w:val="1F497D" w:themeColor="text2"/>
        </w:rPr>
        <w:t xml:space="preserve"> other sites were excluded from data reporting.</w:t>
      </w:r>
      <w:r w:rsidR="004B1E14">
        <w:rPr>
          <w:rFonts w:cstheme="minorHAnsi"/>
          <w:bCs/>
          <w:color w:val="1F497D" w:themeColor="text2"/>
        </w:rPr>
        <w:t xml:space="preserve"> Characteristics or participants with falls are shown in Table 2.</w:t>
      </w:r>
    </w:p>
    <w:p w14:paraId="2F6A1CCD" w14:textId="77777777" w:rsidR="000B6B8F" w:rsidRDefault="000B6B8F" w:rsidP="00DB3627">
      <w:pPr>
        <w:autoSpaceDE w:val="0"/>
        <w:autoSpaceDN w:val="0"/>
        <w:adjustRightInd w:val="0"/>
        <w:spacing w:after="0" w:line="240" w:lineRule="auto"/>
        <w:rPr>
          <w:rFonts w:cstheme="minorHAnsi"/>
          <w:bCs/>
        </w:rPr>
      </w:pPr>
    </w:p>
    <w:p w14:paraId="34540703" w14:textId="40133CCB" w:rsidR="000B6B8F" w:rsidRDefault="000B6B8F" w:rsidP="000B6B8F">
      <w:pPr>
        <w:pStyle w:val="TableCaption"/>
        <w:rPr>
          <w:ins w:id="11" w:author="Windows User" w:date="2016-05-11T14:35:00Z"/>
        </w:rPr>
      </w:pPr>
      <w:bookmarkStart w:id="12" w:name="_Ref443034793"/>
      <w:bookmarkStart w:id="13" w:name="_Toc443390549"/>
      <w:r>
        <w:t>Table 2</w:t>
      </w:r>
      <w:bookmarkEnd w:id="12"/>
      <w:r w:rsidRPr="00BB73A8">
        <w:t>:</w:t>
      </w:r>
      <w:r>
        <w:t xml:space="preserve"> </w:t>
      </w:r>
      <w:r w:rsidRPr="00C60DF7">
        <w:t>Characteristics</w:t>
      </w:r>
      <w:r>
        <w:t xml:space="preserve"> of Participants </w:t>
      </w:r>
      <w:proofErr w:type="gramStart"/>
      <w:r>
        <w:t>W</w:t>
      </w:r>
      <w:r w:rsidRPr="00C60DF7">
        <w:t>ith</w:t>
      </w:r>
      <w:proofErr w:type="gramEnd"/>
      <w:r>
        <w:t xml:space="preserve"> </w:t>
      </w:r>
      <w:r w:rsidRPr="00C60DF7">
        <w:t>Falls</w:t>
      </w:r>
      <w:r>
        <w:t xml:space="preserve"> a</w:t>
      </w:r>
      <w:r w:rsidRPr="00C60DF7">
        <w:t>nd</w:t>
      </w:r>
      <w:r>
        <w:t xml:space="preserve"> </w:t>
      </w:r>
      <w:r w:rsidRPr="00C60DF7">
        <w:t>Characteristics</w:t>
      </w:r>
      <w:r>
        <w:t xml:space="preserve"> o</w:t>
      </w:r>
      <w:r w:rsidRPr="00C60DF7">
        <w:t>f</w:t>
      </w:r>
      <w:r>
        <w:t xml:space="preserve"> </w:t>
      </w:r>
      <w:r w:rsidRPr="00C60DF7">
        <w:t>Falls</w:t>
      </w:r>
      <w:bookmarkEnd w:id="13"/>
    </w:p>
    <w:tbl>
      <w:tblPr>
        <w:tblStyle w:val="EconometricaTableStyle"/>
        <w:tblW w:w="9360" w:type="dxa"/>
        <w:tblLayout w:type="fixed"/>
        <w:tblLook w:val="04A0" w:firstRow="1" w:lastRow="0" w:firstColumn="1" w:lastColumn="0" w:noHBand="0" w:noVBand="1"/>
      </w:tblPr>
      <w:tblGrid>
        <w:gridCol w:w="4995"/>
        <w:gridCol w:w="2538"/>
        <w:gridCol w:w="1827"/>
      </w:tblGrid>
      <w:tr w:rsidR="000B6B8F" w:rsidRPr="00215918" w14:paraId="1DF50533" w14:textId="77777777" w:rsidTr="000C7EB3">
        <w:trPr>
          <w:cnfStyle w:val="100000000000" w:firstRow="1" w:lastRow="0" w:firstColumn="0" w:lastColumn="0" w:oddVBand="0" w:evenVBand="0" w:oddHBand="0" w:evenHBand="0" w:firstRowFirstColumn="0" w:firstRowLastColumn="0" w:lastRowFirstColumn="0" w:lastRowLastColumn="0"/>
        </w:trPr>
        <w:tc>
          <w:tcPr>
            <w:tcW w:w="4995" w:type="dxa"/>
            <w:noWrap/>
            <w:hideMark/>
          </w:tcPr>
          <w:p w14:paraId="169DD173" w14:textId="77777777" w:rsidR="000B6B8F" w:rsidRPr="009A1D42" w:rsidRDefault="000B6B8F" w:rsidP="00E83CED">
            <w:pPr>
              <w:pStyle w:val="TableColumnHeading"/>
            </w:pPr>
            <w:r w:rsidRPr="009A1D42">
              <w:t>Participant-Level</w:t>
            </w:r>
            <w:r>
              <w:t xml:space="preserve"> </w:t>
            </w:r>
            <w:r w:rsidRPr="009A1D42">
              <w:t>Characteristic</w:t>
            </w:r>
            <w:r>
              <w:t xml:space="preserve"> </w:t>
            </w:r>
            <w:r w:rsidRPr="009A1D42">
              <w:t>(n</w:t>
            </w:r>
            <w:r>
              <w:t xml:space="preserve"> </w:t>
            </w:r>
            <w:r w:rsidRPr="009A1D42">
              <w:t>=</w:t>
            </w:r>
            <w:r>
              <w:t xml:space="preserve"> </w:t>
            </w:r>
            <w:r w:rsidRPr="009A1D42">
              <w:t>587)</w:t>
            </w:r>
          </w:p>
        </w:tc>
        <w:tc>
          <w:tcPr>
            <w:tcW w:w="4365" w:type="dxa"/>
            <w:gridSpan w:val="2"/>
            <w:noWrap/>
            <w:hideMark/>
          </w:tcPr>
          <w:p w14:paraId="3F78F252" w14:textId="77777777" w:rsidR="000B6B8F" w:rsidRPr="009A1D42" w:rsidRDefault="000B6B8F" w:rsidP="00E83CED">
            <w:pPr>
              <w:pStyle w:val="TableColumnHeading"/>
            </w:pPr>
            <w:r w:rsidRPr="009A1D42">
              <w:t>Summary</w:t>
            </w:r>
            <w:r>
              <w:t xml:space="preserve"> </w:t>
            </w:r>
            <w:r w:rsidRPr="009A1D42">
              <w:t>Statistics</w:t>
            </w:r>
          </w:p>
        </w:tc>
      </w:tr>
      <w:tr w:rsidR="000C7EB3" w:rsidRPr="009A1D42" w14:paraId="2EFCD1FA" w14:textId="77777777" w:rsidTr="000C7EB3">
        <w:trPr>
          <w:cnfStyle w:val="000000100000" w:firstRow="0" w:lastRow="0" w:firstColumn="0" w:lastColumn="0" w:oddVBand="0" w:evenVBand="0" w:oddHBand="1" w:evenHBand="0" w:firstRowFirstColumn="0" w:firstRowLastColumn="0" w:lastRowFirstColumn="0" w:lastRowLastColumn="0"/>
        </w:trPr>
        <w:tc>
          <w:tcPr>
            <w:tcW w:w="4995" w:type="dxa"/>
            <w:hideMark/>
          </w:tcPr>
          <w:p w14:paraId="79C9352C" w14:textId="77777777" w:rsidR="000C7EB3" w:rsidRPr="009A1D42" w:rsidRDefault="000C7EB3" w:rsidP="00D23B1A">
            <w:pPr>
              <w:pStyle w:val="TableCellText"/>
            </w:pPr>
            <w:r w:rsidRPr="009A1D42">
              <w:t>Age</w:t>
            </w:r>
            <w:r>
              <w:t xml:space="preserve"> </w:t>
            </w:r>
            <w:r w:rsidRPr="009A1D42">
              <w:t>(years)</w:t>
            </w:r>
          </w:p>
        </w:tc>
        <w:tc>
          <w:tcPr>
            <w:tcW w:w="2538" w:type="dxa"/>
            <w:hideMark/>
          </w:tcPr>
          <w:p w14:paraId="3709D045" w14:textId="77777777" w:rsidR="000C7EB3" w:rsidRPr="009A1D42" w:rsidRDefault="000C7EB3" w:rsidP="00D23B1A">
            <w:pPr>
              <w:pStyle w:val="TableCellText"/>
            </w:pPr>
            <w:r w:rsidRPr="009A1D42">
              <w:t>Mean</w:t>
            </w:r>
            <w:r>
              <w:t xml:space="preserve"> </w:t>
            </w:r>
            <w:r w:rsidRPr="009A1D42">
              <w:t>(SD)</w:t>
            </w:r>
            <w:r>
              <w:t xml:space="preserve"> </w:t>
            </w:r>
          </w:p>
          <w:p w14:paraId="0E87C781" w14:textId="77777777" w:rsidR="000C7EB3" w:rsidRPr="009A1D42" w:rsidRDefault="000C7EB3" w:rsidP="00D23B1A">
            <w:pPr>
              <w:pStyle w:val="TableCellText"/>
            </w:pPr>
            <w:r w:rsidRPr="009A1D42">
              <w:t>Median</w:t>
            </w:r>
            <w:r>
              <w:t xml:space="preserve"> </w:t>
            </w:r>
            <w:r w:rsidRPr="009A1D42">
              <w:t>(Min</w:t>
            </w:r>
            <w:r>
              <w:t xml:space="preserve"> </w:t>
            </w:r>
            <w:r w:rsidRPr="009A1D42">
              <w:t>Max)</w:t>
            </w:r>
          </w:p>
        </w:tc>
        <w:tc>
          <w:tcPr>
            <w:tcW w:w="1827" w:type="dxa"/>
          </w:tcPr>
          <w:p w14:paraId="09FD4A93" w14:textId="77777777" w:rsidR="000C7EB3" w:rsidRPr="009A1D42" w:rsidRDefault="000C7EB3" w:rsidP="00D23B1A">
            <w:pPr>
              <w:pStyle w:val="TableCellNumbers"/>
            </w:pPr>
            <w:r w:rsidRPr="009A1D42">
              <w:t>77.54</w:t>
            </w:r>
            <w:r>
              <w:t xml:space="preserve"> </w:t>
            </w:r>
            <w:r w:rsidRPr="009A1D42">
              <w:t>(10.20)</w:t>
            </w:r>
          </w:p>
          <w:p w14:paraId="5522B168" w14:textId="77777777" w:rsidR="000C7EB3" w:rsidRPr="009A1D42" w:rsidRDefault="000C7EB3" w:rsidP="00D23B1A">
            <w:pPr>
              <w:pStyle w:val="TableCellNumbers"/>
            </w:pPr>
            <w:r w:rsidRPr="009A1D42">
              <w:t>79</w:t>
            </w:r>
            <w:r>
              <w:t xml:space="preserve"> </w:t>
            </w:r>
            <w:r w:rsidRPr="009A1D42">
              <w:t>(56,</w:t>
            </w:r>
            <w:r>
              <w:t xml:space="preserve"> </w:t>
            </w:r>
            <w:r w:rsidRPr="009A1D42">
              <w:t>99)</w:t>
            </w:r>
          </w:p>
        </w:tc>
      </w:tr>
      <w:tr w:rsidR="000C7EB3" w:rsidRPr="009A1D42" w14:paraId="42BDF9AF" w14:textId="77777777" w:rsidTr="000C7EB3">
        <w:tc>
          <w:tcPr>
            <w:tcW w:w="4995" w:type="dxa"/>
            <w:hideMark/>
          </w:tcPr>
          <w:p w14:paraId="34102C94" w14:textId="77777777" w:rsidR="000C7EB3" w:rsidRPr="009A1D42" w:rsidRDefault="000C7EB3" w:rsidP="00D23B1A">
            <w:pPr>
              <w:pStyle w:val="TableCellText"/>
            </w:pPr>
            <w:r w:rsidRPr="009A1D42">
              <w:t>Gender</w:t>
            </w:r>
            <w:r>
              <w:t xml:space="preserve"> </w:t>
            </w:r>
          </w:p>
        </w:tc>
        <w:tc>
          <w:tcPr>
            <w:tcW w:w="2538" w:type="dxa"/>
            <w:hideMark/>
          </w:tcPr>
          <w:p w14:paraId="6B8AEB8D" w14:textId="77777777" w:rsidR="000C7EB3" w:rsidRPr="009A1D42" w:rsidRDefault="000C7EB3" w:rsidP="00D23B1A">
            <w:pPr>
              <w:pStyle w:val="TableCellText"/>
            </w:pPr>
            <w:r w:rsidRPr="009A1D42">
              <w:t>Male</w:t>
            </w:r>
          </w:p>
          <w:p w14:paraId="4B7B6C7E" w14:textId="77777777" w:rsidR="000C7EB3" w:rsidRPr="009A1D42" w:rsidRDefault="000C7EB3" w:rsidP="00D23B1A">
            <w:pPr>
              <w:pStyle w:val="TableCellText"/>
            </w:pPr>
            <w:r w:rsidRPr="009A1D42">
              <w:t>Female</w:t>
            </w:r>
            <w:r>
              <w:t xml:space="preserve"> </w:t>
            </w:r>
          </w:p>
        </w:tc>
        <w:tc>
          <w:tcPr>
            <w:tcW w:w="1827" w:type="dxa"/>
          </w:tcPr>
          <w:p w14:paraId="58FE09BE" w14:textId="77777777" w:rsidR="000C7EB3" w:rsidRPr="009A1D42" w:rsidRDefault="000C7EB3" w:rsidP="00D23B1A">
            <w:pPr>
              <w:pStyle w:val="TableCellNumbers"/>
            </w:pPr>
            <w:r w:rsidRPr="009A1D42">
              <w:t>178</w:t>
            </w:r>
            <w:r>
              <w:t xml:space="preserve"> </w:t>
            </w:r>
            <w:r w:rsidRPr="009A1D42">
              <w:t>(30.32%)</w:t>
            </w:r>
          </w:p>
          <w:p w14:paraId="24C8B46A" w14:textId="77777777" w:rsidR="000C7EB3" w:rsidRPr="009A1D42" w:rsidRDefault="000C7EB3" w:rsidP="00D23B1A">
            <w:pPr>
              <w:pStyle w:val="TableCellNumbers"/>
            </w:pPr>
            <w:r w:rsidRPr="009A1D42">
              <w:t>409</w:t>
            </w:r>
            <w:r>
              <w:t xml:space="preserve"> </w:t>
            </w:r>
            <w:r w:rsidRPr="009A1D42">
              <w:t>(69.68%)</w:t>
            </w:r>
          </w:p>
        </w:tc>
      </w:tr>
      <w:tr w:rsidR="000C7EB3" w:rsidRPr="009A1D42" w14:paraId="63B6A469" w14:textId="77777777" w:rsidTr="000C7EB3">
        <w:trPr>
          <w:cnfStyle w:val="000000100000" w:firstRow="0" w:lastRow="0" w:firstColumn="0" w:lastColumn="0" w:oddVBand="0" w:evenVBand="0" w:oddHBand="1" w:evenHBand="0" w:firstRowFirstColumn="0" w:firstRowLastColumn="0" w:lastRowFirstColumn="0" w:lastRowLastColumn="0"/>
        </w:trPr>
        <w:tc>
          <w:tcPr>
            <w:tcW w:w="4995" w:type="dxa"/>
            <w:hideMark/>
          </w:tcPr>
          <w:p w14:paraId="0D208ABD" w14:textId="77777777" w:rsidR="000C7EB3" w:rsidRPr="009A1D42" w:rsidRDefault="000C7EB3" w:rsidP="00D23B1A">
            <w:pPr>
              <w:pStyle w:val="TableCellText"/>
            </w:pPr>
            <w:r w:rsidRPr="009A1D42">
              <w:t>Total</w:t>
            </w:r>
            <w:r>
              <w:t xml:space="preserve"> </w:t>
            </w:r>
            <w:r w:rsidRPr="009A1D42">
              <w:t>number</w:t>
            </w:r>
            <w:r>
              <w:t xml:space="preserve"> </w:t>
            </w:r>
            <w:r w:rsidRPr="009A1D42">
              <w:t>of</w:t>
            </w:r>
            <w:r>
              <w:t xml:space="preserve"> </w:t>
            </w:r>
            <w:r w:rsidRPr="009A1D42">
              <w:t>falls</w:t>
            </w:r>
            <w:r>
              <w:t xml:space="preserve"> </w:t>
            </w:r>
            <w:r w:rsidRPr="009A1D42">
              <w:t>in</w:t>
            </w:r>
            <w:r>
              <w:t xml:space="preserve"> </w:t>
            </w:r>
            <w:r w:rsidRPr="009A1D42">
              <w:t>March</w:t>
            </w:r>
            <w:r>
              <w:t xml:space="preserve"> </w:t>
            </w:r>
            <w:r w:rsidRPr="009A1D42">
              <w:t>2015</w:t>
            </w:r>
            <w:r>
              <w:t xml:space="preserve"> </w:t>
            </w:r>
          </w:p>
        </w:tc>
        <w:tc>
          <w:tcPr>
            <w:tcW w:w="2538" w:type="dxa"/>
            <w:hideMark/>
          </w:tcPr>
          <w:p w14:paraId="3477382C" w14:textId="77777777" w:rsidR="000C7EB3" w:rsidRPr="009A1D42" w:rsidRDefault="000C7EB3" w:rsidP="00D23B1A">
            <w:pPr>
              <w:pStyle w:val="TableCellText"/>
            </w:pPr>
            <w:r w:rsidRPr="009A1D42">
              <w:t>Mean</w:t>
            </w:r>
            <w:r>
              <w:t xml:space="preserve"> </w:t>
            </w:r>
            <w:r w:rsidRPr="009A1D42">
              <w:t>(SD)</w:t>
            </w:r>
          </w:p>
          <w:p w14:paraId="5CB2BCB6" w14:textId="77777777" w:rsidR="000C7EB3" w:rsidRPr="009A1D42" w:rsidRDefault="000C7EB3" w:rsidP="00D23B1A">
            <w:pPr>
              <w:pStyle w:val="TableCellText"/>
            </w:pPr>
            <w:r w:rsidRPr="009A1D42">
              <w:t>Median</w:t>
            </w:r>
            <w:r>
              <w:t xml:space="preserve"> </w:t>
            </w:r>
            <w:r w:rsidRPr="009A1D42">
              <w:t>(Min</w:t>
            </w:r>
            <w:r>
              <w:t xml:space="preserve"> </w:t>
            </w:r>
            <w:r w:rsidRPr="009A1D42">
              <w:t>Max)</w:t>
            </w:r>
          </w:p>
          <w:p w14:paraId="4FFE6BF5" w14:textId="77777777" w:rsidR="000C7EB3" w:rsidRPr="009A1D42" w:rsidRDefault="000C7EB3" w:rsidP="00D23B1A">
            <w:pPr>
              <w:pStyle w:val="TableCellText"/>
            </w:pPr>
            <w:r w:rsidRPr="009A1D42">
              <w:t>0</w:t>
            </w:r>
          </w:p>
          <w:p w14:paraId="6E8067AC" w14:textId="77777777" w:rsidR="000C7EB3" w:rsidRPr="009A1D42" w:rsidRDefault="000C7EB3" w:rsidP="00D23B1A">
            <w:pPr>
              <w:pStyle w:val="TableCellText"/>
            </w:pPr>
            <w:r w:rsidRPr="009A1D42">
              <w:t>1</w:t>
            </w:r>
          </w:p>
          <w:p w14:paraId="4F16313D" w14:textId="77777777" w:rsidR="000C7EB3" w:rsidRPr="009A1D42" w:rsidRDefault="000C7EB3" w:rsidP="00D23B1A">
            <w:pPr>
              <w:pStyle w:val="TableCellText"/>
            </w:pPr>
            <w:r w:rsidRPr="009A1D42">
              <w:t>2+</w:t>
            </w:r>
          </w:p>
        </w:tc>
        <w:tc>
          <w:tcPr>
            <w:tcW w:w="1827" w:type="dxa"/>
          </w:tcPr>
          <w:p w14:paraId="216BBF76" w14:textId="77777777" w:rsidR="000C7EB3" w:rsidRPr="009A1D42" w:rsidRDefault="000C7EB3" w:rsidP="00D23B1A">
            <w:pPr>
              <w:pStyle w:val="TableCellNumbers"/>
            </w:pPr>
            <w:r w:rsidRPr="009A1D42">
              <w:t>1.25</w:t>
            </w:r>
            <w:r>
              <w:t xml:space="preserve"> </w:t>
            </w:r>
            <w:r w:rsidRPr="009A1D42">
              <w:t>(0.64)</w:t>
            </w:r>
          </w:p>
          <w:p w14:paraId="3D9CE497" w14:textId="77777777" w:rsidR="000C7EB3" w:rsidRPr="009A1D42" w:rsidRDefault="000C7EB3" w:rsidP="00D23B1A">
            <w:pPr>
              <w:pStyle w:val="TableCellNumbers"/>
            </w:pPr>
            <w:r w:rsidRPr="009A1D42">
              <w:t>1</w:t>
            </w:r>
            <w:r>
              <w:t xml:space="preserve"> </w:t>
            </w:r>
            <w:r w:rsidRPr="009A1D42">
              <w:t>(1,</w:t>
            </w:r>
            <w:r>
              <w:t xml:space="preserve"> </w:t>
            </w:r>
            <w:r w:rsidRPr="009A1D42">
              <w:t>6)</w:t>
            </w:r>
          </w:p>
          <w:p w14:paraId="46FA3CB6" w14:textId="77777777" w:rsidR="000C7EB3" w:rsidRPr="009A1D42" w:rsidRDefault="000C7EB3" w:rsidP="00D23B1A">
            <w:pPr>
              <w:pStyle w:val="TableCellNumbers"/>
            </w:pPr>
            <w:r w:rsidRPr="009A1D42">
              <w:t>0</w:t>
            </w:r>
            <w:r>
              <w:t xml:space="preserve"> </w:t>
            </w:r>
            <w:r w:rsidRPr="009A1D42">
              <w:t>(0.00%)</w:t>
            </w:r>
          </w:p>
          <w:p w14:paraId="08F7F361" w14:textId="77777777" w:rsidR="000C7EB3" w:rsidRPr="009A1D42" w:rsidRDefault="000C7EB3" w:rsidP="00D23B1A">
            <w:pPr>
              <w:pStyle w:val="TableCellNumbers"/>
            </w:pPr>
            <w:r w:rsidRPr="009A1D42">
              <w:t>483</w:t>
            </w:r>
            <w:r>
              <w:t xml:space="preserve"> </w:t>
            </w:r>
            <w:r w:rsidRPr="009A1D42">
              <w:t>(82.30%)</w:t>
            </w:r>
          </w:p>
          <w:p w14:paraId="2B407AE0" w14:textId="77777777" w:rsidR="000C7EB3" w:rsidRPr="009A1D42" w:rsidRDefault="000C7EB3" w:rsidP="00D23B1A">
            <w:pPr>
              <w:pStyle w:val="TableCellNumbers"/>
            </w:pPr>
            <w:r w:rsidRPr="009A1D42">
              <w:t>104</w:t>
            </w:r>
            <w:r>
              <w:t xml:space="preserve"> </w:t>
            </w:r>
            <w:r w:rsidRPr="009A1D42">
              <w:t>(17.70%)</w:t>
            </w:r>
          </w:p>
        </w:tc>
      </w:tr>
      <w:tr w:rsidR="000C7EB3" w:rsidRPr="009A1D42" w14:paraId="2741D8A5" w14:textId="77777777" w:rsidTr="000C7EB3">
        <w:tc>
          <w:tcPr>
            <w:tcW w:w="4995" w:type="dxa"/>
            <w:tcBorders>
              <w:bottom w:val="single" w:sz="4" w:space="0" w:color="000075"/>
            </w:tcBorders>
            <w:hideMark/>
          </w:tcPr>
          <w:p w14:paraId="70CE4375" w14:textId="77777777" w:rsidR="000C7EB3" w:rsidRPr="009A1D42" w:rsidRDefault="000C7EB3" w:rsidP="00D23B1A">
            <w:pPr>
              <w:pStyle w:val="TableCellText"/>
            </w:pPr>
            <w:r w:rsidRPr="009A1D42">
              <w:t>Total</w:t>
            </w:r>
            <w:r>
              <w:t xml:space="preserve"> </w:t>
            </w:r>
            <w:r w:rsidRPr="009A1D42">
              <w:t>number</w:t>
            </w:r>
            <w:r>
              <w:t xml:space="preserve"> </w:t>
            </w:r>
            <w:r w:rsidRPr="009A1D42">
              <w:t>of</w:t>
            </w:r>
            <w:r>
              <w:t xml:space="preserve"> </w:t>
            </w:r>
            <w:r w:rsidRPr="009A1D42">
              <w:t>falls</w:t>
            </w:r>
            <w:r>
              <w:t xml:space="preserve"> </w:t>
            </w:r>
            <w:r w:rsidRPr="009A1D42">
              <w:t>with</w:t>
            </w:r>
            <w:r>
              <w:t xml:space="preserve"> </w:t>
            </w:r>
            <w:r w:rsidRPr="009A1D42">
              <w:t>injury</w:t>
            </w:r>
            <w:r>
              <w:t xml:space="preserve"> </w:t>
            </w:r>
            <w:r w:rsidRPr="009A1D42">
              <w:t>in</w:t>
            </w:r>
            <w:r>
              <w:t xml:space="preserve"> </w:t>
            </w:r>
            <w:r w:rsidRPr="009A1D42">
              <w:t>March</w:t>
            </w:r>
            <w:r>
              <w:t xml:space="preserve"> </w:t>
            </w:r>
            <w:r w:rsidRPr="009A1D42">
              <w:t>2015</w:t>
            </w:r>
          </w:p>
        </w:tc>
        <w:tc>
          <w:tcPr>
            <w:tcW w:w="2538" w:type="dxa"/>
            <w:tcBorders>
              <w:bottom w:val="single" w:sz="4" w:space="0" w:color="000075"/>
            </w:tcBorders>
            <w:hideMark/>
          </w:tcPr>
          <w:p w14:paraId="33FECE40" w14:textId="77777777" w:rsidR="000C7EB3" w:rsidRPr="009A1D42" w:rsidRDefault="000C7EB3" w:rsidP="00D23B1A">
            <w:pPr>
              <w:pStyle w:val="TableCellText"/>
            </w:pPr>
            <w:r w:rsidRPr="009A1D42">
              <w:t>Mean</w:t>
            </w:r>
            <w:r>
              <w:t xml:space="preserve"> </w:t>
            </w:r>
            <w:r w:rsidRPr="009A1D42">
              <w:t>(SD)</w:t>
            </w:r>
          </w:p>
          <w:p w14:paraId="513B328F" w14:textId="77777777" w:rsidR="000C7EB3" w:rsidRPr="009A1D42" w:rsidRDefault="000C7EB3" w:rsidP="00D23B1A">
            <w:pPr>
              <w:pStyle w:val="TableCellText"/>
            </w:pPr>
            <w:r w:rsidRPr="009A1D42">
              <w:t>Median</w:t>
            </w:r>
            <w:r>
              <w:t xml:space="preserve"> </w:t>
            </w:r>
            <w:r w:rsidRPr="009A1D42">
              <w:t>(Min</w:t>
            </w:r>
            <w:r>
              <w:t xml:space="preserve"> </w:t>
            </w:r>
            <w:r w:rsidRPr="009A1D42">
              <w:t>Max)</w:t>
            </w:r>
          </w:p>
          <w:p w14:paraId="670F7276" w14:textId="77777777" w:rsidR="000C7EB3" w:rsidRPr="009A1D42" w:rsidRDefault="000C7EB3" w:rsidP="00D23B1A">
            <w:pPr>
              <w:pStyle w:val="TableCellText"/>
            </w:pPr>
            <w:r w:rsidRPr="009A1D42">
              <w:t>0</w:t>
            </w:r>
          </w:p>
          <w:p w14:paraId="56A702E4" w14:textId="77777777" w:rsidR="000C7EB3" w:rsidRPr="009A1D42" w:rsidRDefault="000C7EB3" w:rsidP="00D23B1A">
            <w:pPr>
              <w:pStyle w:val="TableCellText"/>
            </w:pPr>
            <w:r w:rsidRPr="009A1D42">
              <w:t>1</w:t>
            </w:r>
          </w:p>
          <w:p w14:paraId="6026BF7D" w14:textId="77777777" w:rsidR="000C7EB3" w:rsidRPr="009A1D42" w:rsidRDefault="000C7EB3" w:rsidP="00D23B1A">
            <w:pPr>
              <w:pStyle w:val="TableCellText"/>
            </w:pPr>
            <w:r w:rsidRPr="009A1D42">
              <w:t>2+</w:t>
            </w:r>
          </w:p>
        </w:tc>
        <w:tc>
          <w:tcPr>
            <w:tcW w:w="1827" w:type="dxa"/>
            <w:tcBorders>
              <w:bottom w:val="single" w:sz="4" w:space="0" w:color="000075"/>
            </w:tcBorders>
          </w:tcPr>
          <w:p w14:paraId="498D165F" w14:textId="77777777" w:rsidR="000C7EB3" w:rsidRPr="009A1D42" w:rsidRDefault="000C7EB3" w:rsidP="00D23B1A">
            <w:pPr>
              <w:pStyle w:val="TableCellNumbers"/>
            </w:pPr>
            <w:r w:rsidRPr="009A1D42">
              <w:t>0.54</w:t>
            </w:r>
            <w:r>
              <w:t xml:space="preserve"> </w:t>
            </w:r>
            <w:r w:rsidRPr="009A1D42">
              <w:t>(0.61)</w:t>
            </w:r>
          </w:p>
          <w:p w14:paraId="44A00CEF" w14:textId="77777777" w:rsidR="000C7EB3" w:rsidRPr="009A1D42" w:rsidRDefault="000C7EB3" w:rsidP="00D23B1A">
            <w:pPr>
              <w:pStyle w:val="TableCellNumbers"/>
            </w:pPr>
            <w:r w:rsidRPr="009A1D42">
              <w:t>18.5</w:t>
            </w:r>
            <w:r>
              <w:t xml:space="preserve"> </w:t>
            </w:r>
            <w:r w:rsidRPr="009A1D42">
              <w:t>(2,</w:t>
            </w:r>
            <w:r>
              <w:t xml:space="preserve"> </w:t>
            </w:r>
            <w:r w:rsidRPr="009A1D42">
              <w:t>71)</w:t>
            </w:r>
          </w:p>
          <w:p w14:paraId="4B1CFF2C" w14:textId="77777777" w:rsidR="000C7EB3" w:rsidRPr="009A1D42" w:rsidRDefault="000C7EB3" w:rsidP="00D23B1A">
            <w:pPr>
              <w:pStyle w:val="TableCellNumbers"/>
            </w:pPr>
            <w:r w:rsidRPr="009A1D42">
              <w:t>301</w:t>
            </w:r>
            <w:r>
              <w:t xml:space="preserve"> </w:t>
            </w:r>
            <w:r w:rsidRPr="009A1D42">
              <w:t>(51.30%)</w:t>
            </w:r>
          </w:p>
          <w:p w14:paraId="3276065D" w14:textId="77777777" w:rsidR="000C7EB3" w:rsidRPr="009A1D42" w:rsidRDefault="000C7EB3" w:rsidP="00D23B1A">
            <w:pPr>
              <w:pStyle w:val="TableCellNumbers"/>
            </w:pPr>
            <w:r w:rsidRPr="009A1D42">
              <w:t>258</w:t>
            </w:r>
            <w:r>
              <w:t xml:space="preserve"> </w:t>
            </w:r>
            <w:r w:rsidRPr="009A1D42">
              <w:t>(44.00%)</w:t>
            </w:r>
          </w:p>
          <w:p w14:paraId="74DEED48" w14:textId="77777777" w:rsidR="000C7EB3" w:rsidRPr="009A1D42" w:rsidRDefault="000C7EB3" w:rsidP="00D23B1A">
            <w:pPr>
              <w:pStyle w:val="TableCellNumbers"/>
            </w:pPr>
            <w:r w:rsidRPr="009A1D42">
              <w:t>28</w:t>
            </w:r>
            <w:r>
              <w:t xml:space="preserve"> </w:t>
            </w:r>
            <w:r w:rsidRPr="009A1D42">
              <w:t>(4.70%)</w:t>
            </w:r>
          </w:p>
        </w:tc>
      </w:tr>
    </w:tbl>
    <w:p w14:paraId="0BB50392" w14:textId="4F133877"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9B41452" w14:textId="77777777" w:rsidR="00B51014" w:rsidRDefault="00B51014" w:rsidP="00E37E1B">
      <w:pPr>
        <w:autoSpaceDE w:val="0"/>
        <w:autoSpaceDN w:val="0"/>
        <w:adjustRightInd w:val="0"/>
        <w:spacing w:after="0" w:line="240" w:lineRule="auto"/>
        <w:rPr>
          <w:rFonts w:cstheme="minorHAnsi"/>
          <w:bCs/>
        </w:rPr>
      </w:pPr>
    </w:p>
    <w:p w14:paraId="5C7C3114" w14:textId="77777777" w:rsidR="00B51014" w:rsidRDefault="00B51014" w:rsidP="00B46386">
      <w:pPr>
        <w:autoSpaceDE w:val="0"/>
        <w:autoSpaceDN w:val="0"/>
        <w:adjustRightInd w:val="0"/>
        <w:spacing w:after="0" w:line="240" w:lineRule="auto"/>
        <w:rPr>
          <w:rFonts w:cstheme="minorHAnsi"/>
          <w:bCs/>
        </w:rPr>
      </w:pPr>
    </w:p>
    <w:p w14:paraId="76293C96" w14:textId="68F88921" w:rsidR="00B46386" w:rsidRDefault="00B51014" w:rsidP="00B46386">
      <w:pPr>
        <w:keepLines/>
        <w:spacing w:line="240" w:lineRule="auto"/>
        <w:rPr>
          <w:rFonts w:cstheme="minorHAnsi"/>
          <w:bCs/>
          <w:color w:val="1F497D" w:themeColor="text2"/>
        </w:rPr>
      </w:pPr>
      <w:r w:rsidRPr="00B51014">
        <w:rPr>
          <w:rFonts w:cstheme="minorHAnsi"/>
          <w:bCs/>
          <w:color w:val="1F497D" w:themeColor="text2"/>
        </w:rPr>
        <w:lastRenderedPageBreak/>
        <w:t xml:space="preserve">For content validity nine experts in academia and 24 experts who are on the Technical Expert Panel for the PACE project were invited to voluntarily review the content validity of the measure instructions. Of them, 12 experts, including 10 TEP experts and 2 academic experts, independently evaluated content validity of the total falls/falls with injury measure instructions.  </w:t>
      </w:r>
    </w:p>
    <w:p w14:paraId="52B89715" w14:textId="2C69DC1F" w:rsidR="00B51014" w:rsidRDefault="00B51014" w:rsidP="00B46386">
      <w:pPr>
        <w:autoSpaceDE w:val="0"/>
        <w:autoSpaceDN w:val="0"/>
        <w:adjustRightInd w:val="0"/>
        <w:spacing w:after="0" w:line="240" w:lineRule="auto"/>
        <w:rPr>
          <w:rFonts w:cstheme="minorHAnsi"/>
          <w:bCs/>
        </w:rPr>
      </w:pPr>
      <w:r w:rsidRPr="00B51014">
        <w:rPr>
          <w:rFonts w:cstheme="minorHAnsi"/>
          <w:bCs/>
          <w:color w:val="1F497D" w:themeColor="text2"/>
        </w:rPr>
        <w:t xml:space="preserve">For reliability </w:t>
      </w:r>
      <w:r w:rsidR="003825EF">
        <w:rPr>
          <w:rFonts w:cstheme="minorHAnsi"/>
          <w:bCs/>
          <w:color w:val="1F497D" w:themeColor="text2"/>
        </w:rPr>
        <w:t xml:space="preserve">testing </w:t>
      </w:r>
      <w:r w:rsidRPr="00B51014">
        <w:rPr>
          <w:rFonts w:eastAsia="Trebuchet MS" w:cs="Trebuchet MS"/>
          <w:color w:val="1F497D" w:themeColor="text2"/>
        </w:rPr>
        <w:t>a sample of 50 sites was randomly selected out of a total of 114 PACE sites. Additionally, the oldest and two newest PACE sites were included in the sample.  A total of 34 of these sites submitted data from January - March 2015 for the Fall Rate.  There was one (1) large outlier with 24.79 falls per 1,000 participant days.  This site has an unusually low number of participant days (121) because it had only one (1) participant in January and February 2015 and two (2) participants in March 2015</w:t>
      </w:r>
      <w:r w:rsidRPr="00C70ED6">
        <w:rPr>
          <w:rFonts w:eastAsia="Trebuchet MS" w:cs="Trebuchet MS"/>
          <w:color w:val="1F497D" w:themeColor="text2"/>
        </w:rPr>
        <w:t>.</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w:t>
      </w:r>
      <w:proofErr w:type="gramStart"/>
      <w:r>
        <w:rPr>
          <w:rFonts w:cstheme="minorHAnsi"/>
          <w:bCs/>
        </w:rPr>
        <w:t>For example, patient-reported data (e.g., income, education, language), proxy variables when SDS data are not collected from each patient (e.g. census tract), or patient community characteristics (e.g. percent vacant housing, crime rate).</w:t>
      </w:r>
      <w:proofErr w:type="gramEnd"/>
      <w:r>
        <w:rPr>
          <w:rFonts w:cstheme="minorHAnsi"/>
          <w:bCs/>
        </w:rPr>
        <w:t xml:space="preserve"> </w:t>
      </w:r>
    </w:p>
    <w:p w14:paraId="742E6088" w14:textId="77777777" w:rsidR="003825EF" w:rsidRDefault="003825EF" w:rsidP="00E37E1B">
      <w:pPr>
        <w:autoSpaceDE w:val="0"/>
        <w:autoSpaceDN w:val="0"/>
        <w:adjustRightInd w:val="0"/>
        <w:spacing w:after="0" w:line="240" w:lineRule="auto"/>
        <w:rPr>
          <w:rFonts w:cstheme="minorHAnsi"/>
          <w:bCs/>
        </w:rPr>
      </w:pPr>
    </w:p>
    <w:p w14:paraId="00F683C9" w14:textId="77777777" w:rsidR="003825EF" w:rsidRPr="00F94281" w:rsidRDefault="003825EF" w:rsidP="003825EF">
      <w:pPr>
        <w:autoSpaceDE w:val="0"/>
        <w:autoSpaceDN w:val="0"/>
        <w:adjustRightInd w:val="0"/>
        <w:spacing w:after="0" w:line="240" w:lineRule="auto"/>
        <w:rPr>
          <w:rFonts w:cstheme="minorHAnsi"/>
          <w:bCs/>
          <w:color w:val="1F497D" w:themeColor="text2"/>
        </w:rPr>
      </w:pPr>
      <w:r w:rsidRPr="00F94281">
        <w:rPr>
          <w:rFonts w:cstheme="minorHAnsi"/>
          <w:bCs/>
          <w:color w:val="1F497D" w:themeColor="text2"/>
        </w:rPr>
        <w:t xml:space="preserve">The patient level demographic variables collected were age (top coded at 90) and gender.  </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4F40FFCA"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825EF">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BA1B5F9" w14:textId="77777777" w:rsidR="003825EF" w:rsidRDefault="003825EF" w:rsidP="008C54A9">
      <w:pPr>
        <w:autoSpaceDE w:val="0"/>
        <w:autoSpaceDN w:val="0"/>
        <w:adjustRightInd w:val="0"/>
        <w:spacing w:after="0" w:line="240" w:lineRule="auto"/>
        <w:rPr>
          <w:rFonts w:cstheme="minorHAnsi"/>
          <w:bCs/>
        </w:rPr>
      </w:pPr>
    </w:p>
    <w:p w14:paraId="4952A095" w14:textId="37A72F00" w:rsidR="003825EF" w:rsidRDefault="003825EF" w:rsidP="003825EF">
      <w:pPr>
        <w:autoSpaceDE w:val="0"/>
        <w:autoSpaceDN w:val="0"/>
        <w:adjustRightInd w:val="0"/>
        <w:spacing w:after="0" w:line="240" w:lineRule="auto"/>
        <w:rPr>
          <w:rFonts w:cstheme="minorHAnsi"/>
          <w:bCs/>
          <w:color w:val="1F497D" w:themeColor="text2"/>
        </w:rPr>
      </w:pPr>
      <w:r w:rsidRPr="00503D12">
        <w:rPr>
          <w:rFonts w:cstheme="minorHAnsi"/>
          <w:bCs/>
          <w:color w:val="1F497D" w:themeColor="text2"/>
        </w:rPr>
        <w:t xml:space="preserve">Site-level reliability of </w:t>
      </w:r>
      <w:r w:rsidR="00D70BF1">
        <w:rPr>
          <w:rFonts w:cstheme="minorHAnsi"/>
          <w:bCs/>
          <w:color w:val="1F497D" w:themeColor="text2"/>
        </w:rPr>
        <w:t>the</w:t>
      </w:r>
      <w:r w:rsidRPr="00503D12">
        <w:rPr>
          <w:rFonts w:cstheme="minorHAnsi"/>
          <w:bCs/>
          <w:color w:val="1F497D" w:themeColor="text2"/>
        </w:rPr>
        <w:t xml:space="preserve"> measure was assessed using the signal-to-noise analysis approach. This approach was originally proposed by Adams for normally distr</w:t>
      </w:r>
      <w:r>
        <w:rPr>
          <w:rFonts w:cstheme="minorHAnsi"/>
          <w:bCs/>
          <w:color w:val="1F497D" w:themeColor="text2"/>
        </w:rPr>
        <w:t xml:space="preserve">ibuted data using a mixed model </w:t>
      </w:r>
      <w:r w:rsidR="00EE5DC6">
        <w:rPr>
          <w:rFonts w:cstheme="minorHAnsi"/>
          <w:bCs/>
          <w:color w:val="1F497D" w:themeColor="text2"/>
        </w:rPr>
        <w:t>(Adam, 2009)</w:t>
      </w:r>
      <w:r>
        <w:rPr>
          <w:rFonts w:cstheme="minorHAnsi"/>
          <w:bCs/>
          <w:color w:val="1F497D" w:themeColor="text2"/>
        </w:rPr>
        <w:t xml:space="preserve">. </w:t>
      </w:r>
      <w:r w:rsidRPr="00503D12">
        <w:rPr>
          <w:rFonts w:cstheme="minorHAnsi"/>
          <w:bCs/>
          <w:color w:val="1F497D" w:themeColor="text2"/>
        </w:rPr>
        <w:t xml:space="preserve"> The assessment of reliability for the pressure ulcer rate will use a similar approach modified for binary outcomes.</w:t>
      </w:r>
    </w:p>
    <w:p w14:paraId="01E75D1C" w14:textId="77777777" w:rsidR="003825EF" w:rsidRPr="00503D12" w:rsidRDefault="003825EF" w:rsidP="003825EF">
      <w:pPr>
        <w:autoSpaceDE w:val="0"/>
        <w:autoSpaceDN w:val="0"/>
        <w:adjustRightInd w:val="0"/>
        <w:spacing w:after="0" w:line="240" w:lineRule="auto"/>
        <w:rPr>
          <w:rFonts w:cstheme="minorHAnsi"/>
          <w:bCs/>
          <w:color w:val="1F497D" w:themeColor="text2"/>
        </w:rPr>
      </w:pPr>
    </w:p>
    <w:p w14:paraId="23EB9AA5" w14:textId="77777777" w:rsidR="003825EF" w:rsidRDefault="003825EF" w:rsidP="003825EF">
      <w:pPr>
        <w:autoSpaceDE w:val="0"/>
        <w:autoSpaceDN w:val="0"/>
        <w:adjustRightInd w:val="0"/>
        <w:spacing w:after="0" w:line="240" w:lineRule="auto"/>
        <w:rPr>
          <w:rFonts w:cstheme="minorHAnsi"/>
          <w:bCs/>
          <w:color w:val="1F497D" w:themeColor="text2"/>
        </w:rPr>
      </w:pPr>
      <w:r w:rsidRPr="00503D12">
        <w:rPr>
          <w:rFonts w:cstheme="minorHAnsi"/>
          <w:bCs/>
          <w:color w:val="1F497D" w:themeColor="text2"/>
        </w:rPr>
        <w:t xml:space="preserve">The signal-to-noise analysis, which is appropriate for the measures, quantifies the amount of variation in performance due to differences in sites (signal), as opposed to differences due to random variation within each site (noise). The signal-to-noise method results in a reliability statistic that ranges from 0 to 1 for each site. A value of 0 indicates that all variation is due to random variation, and a value of 1 indicates that all variation is due to real differences in site performance. The signal-to-noise approach for reliability assessment depends on the normality assumption for the distributions of these rates. For PACE-acquired pressure ulcer rates, the distributions are not normal. </w:t>
      </w:r>
      <w:r>
        <w:rPr>
          <w:rFonts w:cstheme="minorHAnsi"/>
          <w:bCs/>
          <w:color w:val="1F497D" w:themeColor="text2"/>
        </w:rPr>
        <w:t>One s</w:t>
      </w:r>
      <w:r w:rsidRPr="00503D12">
        <w:rPr>
          <w:rFonts w:cstheme="minorHAnsi"/>
          <w:bCs/>
          <w:color w:val="1F497D" w:themeColor="text2"/>
        </w:rPr>
        <w:t>ites with fewer than 20 participants reviewed for pressure ulcers w</w:t>
      </w:r>
      <w:r>
        <w:rPr>
          <w:rFonts w:cstheme="minorHAnsi"/>
          <w:bCs/>
          <w:color w:val="1F497D" w:themeColor="text2"/>
        </w:rPr>
        <w:t>as</w:t>
      </w:r>
      <w:r w:rsidRPr="00503D12">
        <w:rPr>
          <w:rFonts w:cstheme="minorHAnsi"/>
          <w:bCs/>
          <w:color w:val="1F497D" w:themeColor="text2"/>
        </w:rPr>
        <w:t xml:space="preserve"> excluded from analysis.</w:t>
      </w:r>
    </w:p>
    <w:p w14:paraId="20986A83" w14:textId="77777777" w:rsidR="003825EF" w:rsidRDefault="003825EF" w:rsidP="003825EF">
      <w:pPr>
        <w:autoSpaceDE w:val="0"/>
        <w:autoSpaceDN w:val="0"/>
        <w:adjustRightInd w:val="0"/>
        <w:spacing w:after="0" w:line="240" w:lineRule="auto"/>
        <w:rPr>
          <w:rFonts w:cstheme="minorHAnsi"/>
          <w:bCs/>
          <w:color w:val="1F497D" w:themeColor="text2"/>
        </w:rPr>
      </w:pPr>
    </w:p>
    <w:p w14:paraId="58DED2F3" w14:textId="77777777" w:rsidR="00EE5DC6" w:rsidRDefault="00EE5DC6" w:rsidP="00EE5DC6">
      <w:pPr>
        <w:autoSpaceDE w:val="0"/>
        <w:autoSpaceDN w:val="0"/>
        <w:adjustRightInd w:val="0"/>
        <w:spacing w:after="0" w:line="240" w:lineRule="auto"/>
        <w:rPr>
          <w:rFonts w:cstheme="minorHAnsi"/>
          <w:bCs/>
          <w:color w:val="1F497D" w:themeColor="text2"/>
        </w:rPr>
      </w:pPr>
      <w:r>
        <w:rPr>
          <w:rFonts w:cstheme="minorHAnsi"/>
          <w:bCs/>
          <w:color w:val="1F497D" w:themeColor="text2"/>
        </w:rPr>
        <w:t>Citation:</w:t>
      </w:r>
    </w:p>
    <w:p w14:paraId="123AE169" w14:textId="774F8B6A" w:rsidR="003825EF" w:rsidRPr="00EE5DC6" w:rsidRDefault="003825EF" w:rsidP="00EE5DC6">
      <w:pPr>
        <w:autoSpaceDE w:val="0"/>
        <w:autoSpaceDN w:val="0"/>
        <w:adjustRightInd w:val="0"/>
        <w:spacing w:after="0" w:line="240" w:lineRule="auto"/>
        <w:rPr>
          <w:ins w:id="14" w:author="Windows User" w:date="2016-05-11T14:41:00Z"/>
          <w:rFonts w:cstheme="minorHAnsi"/>
          <w:bCs/>
          <w:color w:val="1F497D" w:themeColor="text2"/>
        </w:rPr>
      </w:pPr>
      <w:proofErr w:type="gramStart"/>
      <w:r w:rsidRPr="00EE5DC6">
        <w:rPr>
          <w:rFonts w:cstheme="minorHAnsi"/>
          <w:bCs/>
          <w:color w:val="1F497D" w:themeColor="text2"/>
        </w:rPr>
        <w:lastRenderedPageBreak/>
        <w:t>Adams J. L. (2009).</w:t>
      </w:r>
      <w:proofErr w:type="gramEnd"/>
      <w:r w:rsidRPr="00EE5DC6">
        <w:rPr>
          <w:rFonts w:cstheme="minorHAnsi"/>
          <w:bCs/>
          <w:color w:val="1F497D" w:themeColor="text2"/>
        </w:rPr>
        <w:t xml:space="preserve"> The reliability of provider profiling: a tutorial. RAND Corporation, Santa Monica.</w:t>
      </w:r>
    </w:p>
    <w:p w14:paraId="5EF15EBE" w14:textId="77777777" w:rsidR="00A24034" w:rsidRPr="00EE5DC6" w:rsidRDefault="00A24034" w:rsidP="00EE5DC6">
      <w:pPr>
        <w:autoSpaceDE w:val="0"/>
        <w:autoSpaceDN w:val="0"/>
        <w:adjustRightInd w:val="0"/>
        <w:spacing w:after="0" w:line="240" w:lineRule="auto"/>
        <w:rPr>
          <w:rFonts w:cstheme="minorHAnsi"/>
          <w:bCs/>
          <w:color w:val="1F497D" w:themeColor="text2"/>
        </w:rPr>
      </w:pPr>
    </w:p>
    <w:p w14:paraId="77E626FF" w14:textId="77777777" w:rsidR="003825EF"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F7EF2FC" w14:textId="77777777" w:rsidR="003825EF" w:rsidRDefault="003825EF" w:rsidP="008C54A9">
      <w:pPr>
        <w:autoSpaceDE w:val="0"/>
        <w:autoSpaceDN w:val="0"/>
        <w:adjustRightInd w:val="0"/>
        <w:spacing w:after="0" w:line="240" w:lineRule="auto"/>
        <w:rPr>
          <w:rFonts w:cstheme="minorHAnsi"/>
          <w:bCs/>
        </w:rPr>
      </w:pPr>
    </w:p>
    <w:p w14:paraId="66A0BE6C" w14:textId="41B4F024" w:rsidR="003825EF" w:rsidRDefault="003825EF" w:rsidP="003825EF">
      <w:pPr>
        <w:autoSpaceDE w:val="0"/>
        <w:autoSpaceDN w:val="0"/>
        <w:adjustRightInd w:val="0"/>
        <w:spacing w:after="0" w:line="240" w:lineRule="auto"/>
        <w:rPr>
          <w:rFonts w:cstheme="minorHAnsi"/>
          <w:bCs/>
          <w:color w:val="1F497D" w:themeColor="text2"/>
        </w:rPr>
      </w:pPr>
      <w:r w:rsidRPr="00884CE9">
        <w:rPr>
          <w:rFonts w:cstheme="minorHAnsi"/>
          <w:bCs/>
          <w:color w:val="1F497D" w:themeColor="text2"/>
        </w:rPr>
        <w:t xml:space="preserve">Table </w:t>
      </w:r>
      <w:r>
        <w:rPr>
          <w:rFonts w:cstheme="minorHAnsi"/>
          <w:bCs/>
          <w:color w:val="1F497D" w:themeColor="text2"/>
        </w:rPr>
        <w:t>3</w:t>
      </w:r>
      <w:r w:rsidRPr="00884CE9">
        <w:rPr>
          <w:rFonts w:cstheme="minorHAnsi"/>
          <w:bCs/>
          <w:color w:val="1F497D" w:themeColor="text2"/>
        </w:rPr>
        <w:t xml:space="preserve"> summarizes the reliability assessment results. </w:t>
      </w:r>
      <w:r>
        <w:rPr>
          <w:rFonts w:cstheme="minorHAnsi"/>
          <w:bCs/>
          <w:color w:val="1F497D" w:themeColor="text2"/>
        </w:rPr>
        <w:t>The</w:t>
      </w:r>
      <w:r w:rsidRPr="00884CE9">
        <w:rPr>
          <w:rFonts w:cstheme="minorHAnsi"/>
          <w:bCs/>
          <w:color w:val="1F497D" w:themeColor="text2"/>
        </w:rPr>
        <w:t xml:space="preserve"> mean reliability score for </w:t>
      </w:r>
      <w:r>
        <w:rPr>
          <w:rFonts w:cstheme="minorHAnsi"/>
          <w:bCs/>
          <w:color w:val="1F497D" w:themeColor="text2"/>
        </w:rPr>
        <w:t xml:space="preserve">the Fall Rate was 0.83. </w:t>
      </w:r>
      <w:r w:rsidRPr="003825EF">
        <w:rPr>
          <w:color w:val="1F497D" w:themeColor="text2"/>
        </w:rPr>
        <w:t>When we plotted the reliability scores versus the total participant days (</w:t>
      </w:r>
      <w:r w:rsidRPr="003825EF">
        <w:rPr>
          <w:color w:val="1F497D" w:themeColor="text2"/>
        </w:rPr>
        <w:fldChar w:fldCharType="begin"/>
      </w:r>
      <w:r w:rsidRPr="003825EF">
        <w:rPr>
          <w:color w:val="1F497D" w:themeColor="text2"/>
        </w:rPr>
        <w:instrText xml:space="preserve"> REF _Ref447538172 \h </w:instrText>
      </w:r>
      <w:r w:rsidRPr="003825EF">
        <w:rPr>
          <w:color w:val="1F497D" w:themeColor="text2"/>
        </w:rPr>
      </w:r>
      <w:r w:rsidRPr="003825EF">
        <w:rPr>
          <w:color w:val="1F497D" w:themeColor="text2"/>
        </w:rPr>
        <w:fldChar w:fldCharType="separate"/>
      </w:r>
      <w:r w:rsidRPr="003825EF">
        <w:rPr>
          <w:color w:val="1F497D" w:themeColor="text2"/>
        </w:rPr>
        <w:t xml:space="preserve">Figure </w:t>
      </w:r>
      <w:r w:rsidRPr="003825EF">
        <w:rPr>
          <w:color w:val="1F497D" w:themeColor="text2"/>
        </w:rPr>
        <w:fldChar w:fldCharType="end"/>
      </w:r>
      <w:r>
        <w:rPr>
          <w:color w:val="1F497D" w:themeColor="text2"/>
        </w:rPr>
        <w:t>1</w:t>
      </w:r>
      <w:r w:rsidRPr="003825EF">
        <w:rPr>
          <w:color w:val="1F497D" w:themeColor="text2"/>
        </w:rPr>
        <w:t>), there was a highly significant direct association between the reliability score of the Total Fall Rate and total participant days (</w:t>
      </w:r>
      <w:r w:rsidRPr="003825EF">
        <w:rPr>
          <w:i/>
          <w:color w:val="1F497D" w:themeColor="text2"/>
        </w:rPr>
        <w:t>r</w:t>
      </w:r>
      <w:r w:rsidRPr="003825EF">
        <w:rPr>
          <w:rFonts w:eastAsia="Times New Roman"/>
          <w:bCs/>
          <w:i/>
          <w:color w:val="1F497D" w:themeColor="text2"/>
          <w:szCs w:val="20"/>
        </w:rPr>
        <w:t>=</w:t>
      </w:r>
      <w:r w:rsidRPr="003825EF">
        <w:rPr>
          <w:color w:val="1F497D" w:themeColor="text2"/>
        </w:rPr>
        <w:t xml:space="preserve">0.66, </w:t>
      </w:r>
      <w:r w:rsidRPr="003825EF">
        <w:rPr>
          <w:i/>
          <w:color w:val="1F497D" w:themeColor="text2"/>
        </w:rPr>
        <w:t>p</w:t>
      </w:r>
      <w:r w:rsidRPr="003825EF">
        <w:rPr>
          <w:color w:val="1F497D" w:themeColor="text2"/>
        </w:rPr>
        <w:t>&lt;0.001).</w:t>
      </w:r>
    </w:p>
    <w:p w14:paraId="0166ADA0" w14:textId="77777777" w:rsidR="003825EF" w:rsidRDefault="003825EF" w:rsidP="008C54A9">
      <w:pPr>
        <w:autoSpaceDE w:val="0"/>
        <w:autoSpaceDN w:val="0"/>
        <w:adjustRightInd w:val="0"/>
        <w:spacing w:after="0" w:line="240" w:lineRule="auto"/>
        <w:rPr>
          <w:rFonts w:cstheme="minorHAnsi"/>
          <w:bCs/>
        </w:rPr>
      </w:pPr>
    </w:p>
    <w:p w14:paraId="5B1F78D0" w14:textId="77777777" w:rsidR="003825EF" w:rsidRPr="003467B4" w:rsidRDefault="003825EF" w:rsidP="003825EF">
      <w:pPr>
        <w:pStyle w:val="TableCaption"/>
      </w:pPr>
      <w:bookmarkStart w:id="15" w:name="_Ref444180797"/>
      <w:bookmarkStart w:id="16" w:name="_Toc447615651"/>
      <w:bookmarkStart w:id="17" w:name="_Toc447615677"/>
      <w:proofErr w:type="gramStart"/>
      <w:r w:rsidRPr="003467B4">
        <w:t xml:space="preserve">Table </w:t>
      </w:r>
      <w:r w:rsidR="00F36BE8">
        <w:fldChar w:fldCharType="begin"/>
      </w:r>
      <w:r w:rsidR="00F36BE8">
        <w:instrText xml:space="preserve"> SEQ Table \* ARABIC </w:instrText>
      </w:r>
      <w:r w:rsidR="00F36BE8">
        <w:fldChar w:fldCharType="separate"/>
      </w:r>
      <w:r>
        <w:rPr>
          <w:noProof/>
        </w:rPr>
        <w:t>3</w:t>
      </w:r>
      <w:r w:rsidR="00F36BE8">
        <w:rPr>
          <w:noProof/>
        </w:rPr>
        <w:fldChar w:fldCharType="end"/>
      </w:r>
      <w:bookmarkEnd w:id="15"/>
      <w:r>
        <w:t>.</w:t>
      </w:r>
      <w:proofErr w:type="gramEnd"/>
      <w:r>
        <w:tab/>
      </w:r>
      <w:r w:rsidRPr="003467B4">
        <w:t>Signal-to-Noise Assessment of Reliability of the 3-</w:t>
      </w:r>
      <w:r>
        <w:t>M</w:t>
      </w:r>
      <w:r w:rsidRPr="003467B4">
        <w:t>onth Total Fall Rate</w:t>
      </w:r>
      <w:bookmarkEnd w:id="16"/>
      <w:bookmarkEnd w:id="17"/>
    </w:p>
    <w:tbl>
      <w:tblPr>
        <w:tblStyle w:val="EconometricaTableStyle"/>
        <w:tblW w:w="0" w:type="auto"/>
        <w:tblLook w:val="04A0" w:firstRow="1" w:lastRow="0" w:firstColumn="1" w:lastColumn="0" w:noHBand="0" w:noVBand="1"/>
      </w:tblPr>
      <w:tblGrid>
        <w:gridCol w:w="3716"/>
        <w:gridCol w:w="2266"/>
        <w:gridCol w:w="1797"/>
        <w:gridCol w:w="1797"/>
      </w:tblGrid>
      <w:tr w:rsidR="003825EF" w:rsidRPr="003467B4" w14:paraId="662C81D0" w14:textId="77777777" w:rsidTr="00E83CED">
        <w:trPr>
          <w:cnfStyle w:val="100000000000" w:firstRow="1" w:lastRow="0" w:firstColumn="0" w:lastColumn="0" w:oddVBand="0" w:evenVBand="0" w:oddHBand="0" w:evenHBand="0" w:firstRowFirstColumn="0" w:firstRowLastColumn="0" w:lastRowFirstColumn="0" w:lastRowLastColumn="0"/>
          <w:trHeight w:val="281"/>
        </w:trPr>
        <w:tc>
          <w:tcPr>
            <w:tcW w:w="3716" w:type="dxa"/>
          </w:tcPr>
          <w:p w14:paraId="616AAB6A" w14:textId="77777777" w:rsidR="003825EF" w:rsidRPr="001359A3" w:rsidRDefault="003825EF" w:rsidP="00E83CED">
            <w:pPr>
              <w:pStyle w:val="TableColumnHeading"/>
              <w:rPr>
                <w:rFonts w:asciiTheme="minorHAnsi" w:eastAsia="Times New Roman" w:hAnsiTheme="minorHAnsi" w:cs="Arial"/>
                <w:bCs w:val="0"/>
                <w:color w:val="auto"/>
                <w:sz w:val="22"/>
                <w:szCs w:val="22"/>
              </w:rPr>
            </w:pPr>
            <w:r w:rsidRPr="001359A3">
              <w:rPr>
                <w:rFonts w:asciiTheme="minorHAnsi" w:eastAsia="Times New Roman" w:hAnsiTheme="minorHAnsi" w:cs="Arial"/>
                <w:bCs w:val="0"/>
                <w:color w:val="auto"/>
                <w:sz w:val="22"/>
                <w:szCs w:val="22"/>
              </w:rPr>
              <w:t>Measures</w:t>
            </w:r>
          </w:p>
        </w:tc>
        <w:tc>
          <w:tcPr>
            <w:tcW w:w="2266" w:type="dxa"/>
          </w:tcPr>
          <w:p w14:paraId="543EDD5E" w14:textId="77777777" w:rsidR="003825EF" w:rsidRPr="001359A3" w:rsidRDefault="003825EF" w:rsidP="00E83CED">
            <w:pPr>
              <w:pStyle w:val="TableColumnHeading"/>
              <w:rPr>
                <w:rFonts w:asciiTheme="minorHAnsi" w:eastAsia="Times New Roman" w:hAnsiTheme="minorHAnsi" w:cs="Arial"/>
                <w:bCs w:val="0"/>
                <w:color w:val="auto"/>
                <w:sz w:val="22"/>
                <w:szCs w:val="22"/>
              </w:rPr>
            </w:pPr>
            <w:r w:rsidRPr="001359A3">
              <w:rPr>
                <w:rFonts w:asciiTheme="minorHAnsi" w:eastAsia="Times New Roman" w:hAnsiTheme="minorHAnsi" w:cs="Arial"/>
                <w:bCs w:val="0"/>
                <w:color w:val="auto"/>
                <w:sz w:val="22"/>
                <w:szCs w:val="22"/>
              </w:rPr>
              <w:t>Reliability Score: Mean (SD)</w:t>
            </w:r>
          </w:p>
        </w:tc>
        <w:tc>
          <w:tcPr>
            <w:tcW w:w="1797" w:type="dxa"/>
          </w:tcPr>
          <w:p w14:paraId="0ABF5384" w14:textId="77777777" w:rsidR="003825EF" w:rsidRPr="001359A3" w:rsidRDefault="003825EF" w:rsidP="00E83CED">
            <w:pPr>
              <w:pStyle w:val="TableColumnHeading"/>
              <w:rPr>
                <w:rFonts w:asciiTheme="minorHAnsi" w:eastAsia="Times New Roman" w:hAnsiTheme="minorHAnsi" w:cs="Arial"/>
                <w:bCs w:val="0"/>
                <w:color w:val="auto"/>
                <w:sz w:val="22"/>
                <w:szCs w:val="22"/>
              </w:rPr>
            </w:pPr>
            <w:r w:rsidRPr="001359A3">
              <w:rPr>
                <w:rFonts w:asciiTheme="minorHAnsi" w:eastAsia="Times New Roman" w:hAnsiTheme="minorHAnsi" w:cs="Arial"/>
                <w:bCs w:val="0"/>
                <w:color w:val="auto"/>
                <w:sz w:val="22"/>
                <w:szCs w:val="22"/>
              </w:rPr>
              <w:t>Median</w:t>
            </w:r>
          </w:p>
        </w:tc>
        <w:tc>
          <w:tcPr>
            <w:tcW w:w="1797" w:type="dxa"/>
          </w:tcPr>
          <w:p w14:paraId="68F3A5CC" w14:textId="77777777" w:rsidR="003825EF" w:rsidRPr="001359A3" w:rsidRDefault="003825EF" w:rsidP="00E83CED">
            <w:pPr>
              <w:pStyle w:val="TableColumnHeading"/>
              <w:rPr>
                <w:rFonts w:asciiTheme="minorHAnsi" w:eastAsia="Times New Roman" w:hAnsiTheme="minorHAnsi" w:cs="Arial"/>
                <w:bCs w:val="0"/>
                <w:color w:val="auto"/>
                <w:sz w:val="22"/>
                <w:szCs w:val="22"/>
              </w:rPr>
            </w:pPr>
            <w:r w:rsidRPr="001359A3">
              <w:rPr>
                <w:rFonts w:asciiTheme="minorHAnsi" w:eastAsia="Times New Roman" w:hAnsiTheme="minorHAnsi" w:cs="Arial"/>
                <w:bCs w:val="0"/>
                <w:color w:val="auto"/>
                <w:sz w:val="22"/>
                <w:szCs w:val="22"/>
              </w:rPr>
              <w:t>Minimum, Maximum</w:t>
            </w:r>
          </w:p>
        </w:tc>
      </w:tr>
      <w:tr w:rsidR="003825EF" w:rsidRPr="003467B4" w14:paraId="0D630BF1" w14:textId="77777777" w:rsidTr="00E83CED">
        <w:trPr>
          <w:cnfStyle w:val="000000100000" w:firstRow="0" w:lastRow="0" w:firstColumn="0" w:lastColumn="0" w:oddVBand="0" w:evenVBand="0" w:oddHBand="1" w:evenHBand="0" w:firstRowFirstColumn="0" w:firstRowLastColumn="0" w:lastRowFirstColumn="0" w:lastRowLastColumn="0"/>
          <w:trHeight w:val="281"/>
        </w:trPr>
        <w:tc>
          <w:tcPr>
            <w:tcW w:w="3716" w:type="dxa"/>
          </w:tcPr>
          <w:p w14:paraId="547CE852" w14:textId="77777777" w:rsidR="003825EF" w:rsidRPr="001359A3" w:rsidRDefault="003825EF" w:rsidP="00E83CED">
            <w:pPr>
              <w:pStyle w:val="TableCellText"/>
              <w:rPr>
                <w:rFonts w:asciiTheme="minorHAnsi" w:eastAsia="Times New Roman" w:hAnsiTheme="minorHAnsi"/>
                <w:bCs w:val="0"/>
                <w:sz w:val="22"/>
                <w:szCs w:val="22"/>
              </w:rPr>
            </w:pPr>
            <w:r w:rsidRPr="001359A3">
              <w:rPr>
                <w:rFonts w:asciiTheme="minorHAnsi" w:eastAsia="Times New Roman" w:hAnsiTheme="minorHAnsi"/>
                <w:bCs w:val="0"/>
                <w:sz w:val="22"/>
                <w:szCs w:val="22"/>
              </w:rPr>
              <w:t>Total participant fall rate (</w:t>
            </w:r>
            <w:r w:rsidRPr="001359A3">
              <w:rPr>
                <w:rFonts w:asciiTheme="minorHAnsi" w:eastAsia="Times New Roman" w:hAnsiTheme="minorHAnsi"/>
                <w:bCs w:val="0"/>
                <w:i/>
                <w:sz w:val="22"/>
                <w:szCs w:val="22"/>
              </w:rPr>
              <w:t>n=</w:t>
            </w:r>
            <w:r w:rsidRPr="001359A3">
              <w:rPr>
                <w:rFonts w:asciiTheme="minorHAnsi" w:eastAsia="Times New Roman" w:hAnsiTheme="minorHAnsi"/>
                <w:bCs w:val="0"/>
                <w:sz w:val="22"/>
                <w:szCs w:val="22"/>
              </w:rPr>
              <w:t>33)</w:t>
            </w:r>
          </w:p>
        </w:tc>
        <w:tc>
          <w:tcPr>
            <w:tcW w:w="2266" w:type="dxa"/>
          </w:tcPr>
          <w:p w14:paraId="56E970DF" w14:textId="77777777" w:rsidR="003825EF" w:rsidRPr="001359A3" w:rsidRDefault="003825EF" w:rsidP="00E83CED">
            <w:pPr>
              <w:pStyle w:val="TableCellYear"/>
              <w:rPr>
                <w:rFonts w:asciiTheme="minorHAnsi" w:eastAsia="Times New Roman" w:hAnsiTheme="minorHAnsi"/>
                <w:sz w:val="22"/>
                <w:szCs w:val="22"/>
              </w:rPr>
            </w:pPr>
            <w:r w:rsidRPr="001359A3">
              <w:rPr>
                <w:rFonts w:asciiTheme="minorHAnsi" w:eastAsia="Times New Roman" w:hAnsiTheme="minorHAnsi"/>
                <w:sz w:val="22"/>
                <w:szCs w:val="22"/>
              </w:rPr>
              <w:t>0.83 (0.10)</w:t>
            </w:r>
          </w:p>
        </w:tc>
        <w:tc>
          <w:tcPr>
            <w:tcW w:w="1797" w:type="dxa"/>
          </w:tcPr>
          <w:p w14:paraId="549C081B" w14:textId="77777777" w:rsidR="003825EF" w:rsidRPr="001359A3" w:rsidRDefault="003825EF" w:rsidP="00E83CED">
            <w:pPr>
              <w:pStyle w:val="TableCellYear"/>
              <w:rPr>
                <w:rFonts w:asciiTheme="minorHAnsi" w:eastAsia="Times New Roman" w:hAnsiTheme="minorHAnsi"/>
                <w:sz w:val="22"/>
                <w:szCs w:val="22"/>
              </w:rPr>
            </w:pPr>
            <w:r w:rsidRPr="001359A3">
              <w:rPr>
                <w:rFonts w:asciiTheme="minorHAnsi" w:eastAsia="Times New Roman" w:hAnsiTheme="minorHAnsi"/>
                <w:sz w:val="22"/>
                <w:szCs w:val="22"/>
              </w:rPr>
              <w:t>0.82</w:t>
            </w:r>
          </w:p>
        </w:tc>
        <w:tc>
          <w:tcPr>
            <w:tcW w:w="1797" w:type="dxa"/>
          </w:tcPr>
          <w:p w14:paraId="00EFDFA2" w14:textId="77777777" w:rsidR="003825EF" w:rsidRPr="001359A3" w:rsidRDefault="003825EF" w:rsidP="00E83CED">
            <w:pPr>
              <w:pStyle w:val="TableCellYear"/>
              <w:rPr>
                <w:rFonts w:asciiTheme="minorHAnsi" w:eastAsia="Times New Roman" w:hAnsiTheme="minorHAnsi"/>
                <w:sz w:val="22"/>
                <w:szCs w:val="22"/>
              </w:rPr>
            </w:pPr>
            <w:r w:rsidRPr="001359A3">
              <w:rPr>
                <w:rFonts w:asciiTheme="minorHAnsi" w:eastAsia="Times New Roman" w:hAnsiTheme="minorHAnsi"/>
                <w:sz w:val="22"/>
                <w:szCs w:val="22"/>
              </w:rPr>
              <w:t>0.55, 0.98</w:t>
            </w:r>
          </w:p>
        </w:tc>
      </w:tr>
    </w:tbl>
    <w:p w14:paraId="5B2A8EDC" w14:textId="2BCDD7F9" w:rsidR="007422FD" w:rsidRPr="00A25024" w:rsidRDefault="007422FD" w:rsidP="008C54A9">
      <w:pPr>
        <w:autoSpaceDE w:val="0"/>
        <w:autoSpaceDN w:val="0"/>
        <w:adjustRightInd w:val="0"/>
        <w:spacing w:after="0" w:line="240" w:lineRule="auto"/>
        <w:rPr>
          <w:rFonts w:cstheme="minorHAnsi"/>
          <w:bCs/>
        </w:rPr>
      </w:pPr>
    </w:p>
    <w:p w14:paraId="2BD1AB3B" w14:textId="5BB2645D" w:rsidR="003825EF" w:rsidRPr="007C424E" w:rsidRDefault="003825EF" w:rsidP="00EE5DC6">
      <w:pPr>
        <w:pStyle w:val="FigureCaption"/>
        <w:jc w:val="left"/>
      </w:pPr>
      <w:bookmarkStart w:id="18" w:name="_Ref447538172"/>
      <w:bookmarkStart w:id="19" w:name="_Toc447615759"/>
      <w:proofErr w:type="gramStart"/>
      <w:r>
        <w:t xml:space="preserve">Figure </w:t>
      </w:r>
      <w:bookmarkEnd w:id="18"/>
      <w:r>
        <w:t>1.</w:t>
      </w:r>
      <w:proofErr w:type="gramEnd"/>
      <w:r w:rsidRPr="007C424E">
        <w:t xml:space="preserve"> Signal-to-Noise </w:t>
      </w:r>
      <w:r>
        <w:t>R</w:t>
      </w:r>
      <w:r w:rsidRPr="007C424E">
        <w:t xml:space="preserve">eliability </w:t>
      </w:r>
      <w:r>
        <w:t>S</w:t>
      </w:r>
      <w:r w:rsidRPr="007C424E">
        <w:t>cores</w:t>
      </w:r>
      <w:r w:rsidR="00EE5DC6">
        <w:t xml:space="preserve"> </w:t>
      </w:r>
      <w:r w:rsidRPr="007C424E">
        <w:t xml:space="preserve">of </w:t>
      </w:r>
      <w:r>
        <w:t>T</w:t>
      </w:r>
      <w:r w:rsidRPr="007C424E">
        <w:t xml:space="preserve">otal </w:t>
      </w:r>
      <w:r>
        <w:t>F</w:t>
      </w:r>
      <w:r w:rsidRPr="007C424E">
        <w:t xml:space="preserve">all </w:t>
      </w:r>
      <w:r>
        <w:t>R</w:t>
      </w:r>
      <w:r w:rsidRPr="007C424E">
        <w:t xml:space="preserve">ates of 33 PACE </w:t>
      </w:r>
      <w:r>
        <w:t>S</w:t>
      </w:r>
      <w:r w:rsidRPr="007C424E">
        <w:t>ites</w:t>
      </w:r>
      <w:bookmarkEnd w:id="19"/>
    </w:p>
    <w:p w14:paraId="25A2C75C" w14:textId="77777777" w:rsidR="003825EF" w:rsidRDefault="003825EF" w:rsidP="00EE5DC6">
      <w:pPr>
        <w:spacing w:after="0"/>
      </w:pPr>
      <w:r>
        <w:rPr>
          <w:noProof/>
        </w:rPr>
        <w:drawing>
          <wp:inline distT="0" distB="0" distL="0" distR="0" wp14:anchorId="15EC88D9" wp14:editId="2E4AB4D7">
            <wp:extent cx="4419600" cy="32351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7408" cy="3233586"/>
                    </a:xfrm>
                    <a:prstGeom prst="rect">
                      <a:avLst/>
                    </a:prstGeom>
                    <a:noFill/>
                    <a:ln>
                      <a:noFill/>
                    </a:ln>
                  </pic:spPr>
                </pic:pic>
              </a:graphicData>
            </a:graphic>
          </wp:inline>
        </w:drawing>
      </w:r>
    </w:p>
    <w:p w14:paraId="70C6CE7D" w14:textId="77777777" w:rsidR="003825EF" w:rsidRPr="00EE5DC6" w:rsidRDefault="003825EF" w:rsidP="00EE5DC6">
      <w:pPr>
        <w:pStyle w:val="TableNote"/>
        <w:ind w:left="90" w:right="1440"/>
        <w:rPr>
          <w:rFonts w:asciiTheme="minorHAnsi" w:hAnsiTheme="minorHAnsi"/>
          <w:color w:val="1F497D" w:themeColor="text2"/>
          <w:sz w:val="22"/>
          <w:szCs w:val="22"/>
        </w:rPr>
      </w:pPr>
      <w:r w:rsidRPr="00EE5DC6">
        <w:rPr>
          <w:rFonts w:asciiTheme="minorHAnsi" w:hAnsiTheme="minorHAnsi"/>
          <w:color w:val="1F497D" w:themeColor="text2"/>
          <w:sz w:val="22"/>
          <w:szCs w:val="22"/>
        </w:rPr>
        <w:t>Note: A reliability score of 0.8 or higher is considered high, and a reliability score between 0.7 and 0.8 is considered acceptable.</w:t>
      </w:r>
    </w:p>
    <w:p w14:paraId="67AAECB4" w14:textId="77777777" w:rsidR="003825EF"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0BC196F0" w14:textId="77777777" w:rsidR="003825EF" w:rsidRDefault="003825EF" w:rsidP="00DB3627">
      <w:pPr>
        <w:autoSpaceDE w:val="0"/>
        <w:autoSpaceDN w:val="0"/>
        <w:adjustRightInd w:val="0"/>
        <w:spacing w:after="0" w:line="240" w:lineRule="auto"/>
        <w:rPr>
          <w:rFonts w:cstheme="minorHAnsi"/>
          <w:bCs/>
        </w:rPr>
      </w:pPr>
    </w:p>
    <w:p w14:paraId="73DB02FB" w14:textId="28B8D04F" w:rsidR="003825EF" w:rsidRPr="00C0798B" w:rsidRDefault="003825EF" w:rsidP="00EE5DC6">
      <w:pPr>
        <w:autoSpaceDE w:val="0"/>
        <w:autoSpaceDN w:val="0"/>
        <w:adjustRightInd w:val="0"/>
        <w:spacing w:after="0" w:line="240" w:lineRule="auto"/>
        <w:rPr>
          <w:rFonts w:cstheme="minorHAnsi"/>
          <w:bCs/>
          <w:color w:val="1F497D" w:themeColor="text2"/>
        </w:rPr>
      </w:pPr>
      <w:r w:rsidRPr="00C0798B">
        <w:rPr>
          <w:rFonts w:cstheme="minorHAnsi"/>
          <w:bCs/>
          <w:color w:val="1F497D" w:themeColor="text2"/>
        </w:rPr>
        <w:t xml:space="preserve">The mean reliability score of the three (3)-month total participant fall rate was 0.83, higher than the cutoff value of 0.8 for high reliability, suggesting the three (3)-month fall rate is reliable in differentiating PACE sites. The median of the estimated reliability score was 0.82, the minimum was 0.55, and the maximum was 0.98. There are four (4) sites with reliability scores lower than the acceptable cutoff value </w:t>
      </w:r>
      <w:r w:rsidRPr="00C0798B">
        <w:rPr>
          <w:rFonts w:cstheme="minorHAnsi"/>
          <w:bCs/>
          <w:color w:val="1F497D" w:themeColor="text2"/>
        </w:rPr>
        <w:lastRenderedPageBreak/>
        <w:t>of 0.7, suggesting the fall rates of these sites contained too much noise to differentiate these sites from other sites.</w:t>
      </w:r>
    </w:p>
    <w:p w14:paraId="3C3B9A0E" w14:textId="77777777" w:rsidR="00C0798B" w:rsidRPr="00C0798B" w:rsidRDefault="00C0798B" w:rsidP="00EE5DC6">
      <w:pPr>
        <w:autoSpaceDE w:val="0"/>
        <w:autoSpaceDN w:val="0"/>
        <w:adjustRightInd w:val="0"/>
        <w:spacing w:after="0" w:line="240" w:lineRule="auto"/>
        <w:rPr>
          <w:rFonts w:cstheme="minorHAnsi"/>
          <w:bCs/>
          <w:color w:val="1F497D" w:themeColor="text2"/>
        </w:rPr>
      </w:pPr>
    </w:p>
    <w:p w14:paraId="7A9BE8C4" w14:textId="2D7C857A" w:rsidR="003825EF" w:rsidRPr="00C0798B" w:rsidRDefault="003825EF" w:rsidP="00EE5DC6">
      <w:pPr>
        <w:autoSpaceDE w:val="0"/>
        <w:autoSpaceDN w:val="0"/>
        <w:adjustRightInd w:val="0"/>
        <w:spacing w:after="0" w:line="240" w:lineRule="auto"/>
        <w:rPr>
          <w:rFonts w:cstheme="minorHAnsi"/>
          <w:bCs/>
          <w:color w:val="1F497D" w:themeColor="text2"/>
        </w:rPr>
      </w:pPr>
      <w:r w:rsidRPr="00C0798B">
        <w:rPr>
          <w:rFonts w:cstheme="minorHAnsi"/>
          <w:bCs/>
          <w:color w:val="1F497D" w:themeColor="text2"/>
        </w:rPr>
        <w:t>Reliability scores are strongly affected by the total participant days. When we plotted the reliability scores versus the total participant days (Figure 1 in section 2a2.3</w:t>
      </w:r>
      <w:r w:rsidRPr="00C0798B">
        <w:rPr>
          <w:rFonts w:cstheme="minorHAnsi"/>
          <w:b/>
          <w:bCs/>
          <w:color w:val="1F497D" w:themeColor="text2"/>
        </w:rPr>
        <w:t xml:space="preserve"> </w:t>
      </w:r>
      <w:r w:rsidRPr="00C0798B">
        <w:rPr>
          <w:rFonts w:cstheme="minorHAnsi"/>
          <w:bCs/>
          <w:color w:val="1F497D" w:themeColor="text2"/>
        </w:rPr>
        <w:t xml:space="preserve">above), there was a highly significant direct association between the reliability score of the Total Fall Rate and total participant days (r=0.66, p&lt;0.001). All four (4) sites with reliability scores less than 0.7 were sites that had fewer than 8,000 total participant days. Knowing that five (5) of the 33 sites reported data </w:t>
      </w:r>
      <w:r w:rsidR="007D1E5B" w:rsidRPr="00C0798B">
        <w:rPr>
          <w:rFonts w:cstheme="minorHAnsi"/>
          <w:bCs/>
          <w:color w:val="1F497D" w:themeColor="text2"/>
        </w:rPr>
        <w:t>for March</w:t>
      </w:r>
      <w:r w:rsidRPr="00C0798B">
        <w:rPr>
          <w:rFonts w:cstheme="minorHAnsi"/>
          <w:bCs/>
          <w:color w:val="1F497D" w:themeColor="text2"/>
        </w:rPr>
        <w:t xml:space="preserve"> but not </w:t>
      </w:r>
      <w:r w:rsidR="007D1E5B" w:rsidRPr="00C0798B">
        <w:rPr>
          <w:rFonts w:cstheme="minorHAnsi"/>
          <w:bCs/>
          <w:color w:val="1F497D" w:themeColor="text2"/>
        </w:rPr>
        <w:t xml:space="preserve">for January and February, </w:t>
      </w:r>
      <w:r w:rsidRPr="00C0798B">
        <w:rPr>
          <w:rFonts w:cstheme="minorHAnsi"/>
          <w:bCs/>
          <w:color w:val="1F497D" w:themeColor="text2"/>
        </w:rPr>
        <w:t xml:space="preserve"> and two (2) of them had reliability scores less than 0.7, we expect reliability scores for these sites would have been higher if they provided data </w:t>
      </w:r>
      <w:r w:rsidR="007D1E5B" w:rsidRPr="00C0798B">
        <w:rPr>
          <w:rFonts w:cstheme="minorHAnsi"/>
          <w:bCs/>
          <w:color w:val="1F497D" w:themeColor="text2"/>
        </w:rPr>
        <w:t>for all three months</w:t>
      </w:r>
      <w:r w:rsidRPr="00C0798B">
        <w:rPr>
          <w:rFonts w:cstheme="minorHAnsi"/>
          <w:bCs/>
          <w:color w:val="1F497D" w:themeColor="text2"/>
        </w:rPr>
        <w:t xml:space="preserve">. We also expect the reliability scores for all would have been higher if we collected information on falls during a longer period time (six (6) months or a year) or if more participants were enrolled in the sites. </w:t>
      </w:r>
    </w:p>
    <w:p w14:paraId="39467E39" w14:textId="77777777" w:rsidR="003825EF" w:rsidRPr="003825EF" w:rsidRDefault="003825EF" w:rsidP="003825EF">
      <w:pPr>
        <w:autoSpaceDE w:val="0"/>
        <w:autoSpaceDN w:val="0"/>
        <w:adjustRightInd w:val="0"/>
        <w:spacing w:after="0" w:line="240" w:lineRule="auto"/>
        <w:rPr>
          <w:rFonts w:cstheme="minorHAnsi"/>
          <w:bCs/>
        </w:rPr>
      </w:pP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4C1A982"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3B7DB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777777" w:rsidR="00696262" w:rsidRPr="00A25024" w:rsidRDefault="00F36BE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4490D2DE" w:rsidR="000574AB" w:rsidRPr="00A25024" w:rsidRDefault="00F36BE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3B7DB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CAB9576" w14:textId="122D958A" w:rsidR="00B46386" w:rsidRDefault="00B46386" w:rsidP="00B46386">
      <w:pPr>
        <w:keepLines/>
        <w:spacing w:line="240" w:lineRule="auto"/>
        <w:rPr>
          <w:rFonts w:cstheme="minorHAnsi"/>
          <w:bCs/>
          <w:color w:val="1F497D" w:themeColor="text2"/>
        </w:rPr>
      </w:pPr>
      <w:r w:rsidRPr="00B46386">
        <w:rPr>
          <w:rFonts w:cstheme="minorHAnsi"/>
          <w:bCs/>
          <w:color w:val="1F497D" w:themeColor="text2"/>
        </w:rPr>
        <w:t>Content validity was assessed using a panel of</w:t>
      </w:r>
      <w:r w:rsidR="00FE7FAE">
        <w:rPr>
          <w:rFonts w:cstheme="minorHAnsi"/>
          <w:bCs/>
          <w:color w:val="1F497D" w:themeColor="text2"/>
        </w:rPr>
        <w:t xml:space="preserve"> 12</w:t>
      </w:r>
      <w:r w:rsidRPr="00B46386">
        <w:rPr>
          <w:rFonts w:cstheme="minorHAnsi"/>
          <w:bCs/>
          <w:color w:val="1F497D" w:themeColor="text2"/>
        </w:rPr>
        <w:t xml:space="preserve"> experts to: (1) quantify experts’ degree of agreement regarding the content of the measure instructions (i.e., PACE Measure Instructions) and (2) obtain experts’ narrative comments on the measure instructions.  </w:t>
      </w:r>
      <w:r w:rsidRPr="00B46386">
        <w:rPr>
          <w:color w:val="1F497D" w:themeColor="text2"/>
        </w:rPr>
        <w:t xml:space="preserve">Based on the findings from content validity testing with expert review, we revised the measure. The revised instructions were distributed to PACE sample sites for pilot data collection. </w:t>
      </w:r>
    </w:p>
    <w:p w14:paraId="22F87589" w14:textId="77613EA5" w:rsidR="00B46386" w:rsidRDefault="00B46386" w:rsidP="00B46386">
      <w:pPr>
        <w:autoSpaceDE w:val="0"/>
        <w:autoSpaceDN w:val="0"/>
        <w:adjustRightInd w:val="0"/>
        <w:spacing w:after="0" w:line="240" w:lineRule="auto"/>
        <w:rPr>
          <w:rFonts w:cstheme="minorHAnsi"/>
          <w:bCs/>
          <w:color w:val="1F497D" w:themeColor="text2"/>
        </w:rPr>
      </w:pPr>
      <w:r w:rsidRPr="00B46386">
        <w:rPr>
          <w:rFonts w:cstheme="minorHAnsi"/>
          <w:bCs/>
          <w:color w:val="1F497D" w:themeColor="text2"/>
        </w:rPr>
        <w:t xml:space="preserve">Content and face validity of the measure was analyzed by calculating item-level content validity indices (I-CVIs). </w:t>
      </w:r>
      <w:proofErr w:type="gramStart"/>
      <w:r w:rsidRPr="00B46386">
        <w:rPr>
          <w:rFonts w:cstheme="minorHAnsi"/>
          <w:bCs/>
          <w:color w:val="1F497D" w:themeColor="text2"/>
        </w:rPr>
        <w:t>The I</w:t>
      </w:r>
      <w:proofErr w:type="gramEnd"/>
      <w:r w:rsidRPr="00B46386">
        <w:rPr>
          <w:rFonts w:cstheme="minorHAnsi"/>
          <w:bCs/>
          <w:color w:val="1F497D" w:themeColor="text2"/>
        </w:rPr>
        <w:t>-CVI indicates the proportion of experts who consider the item as content (or face) valid. Experts rated content/face validity using a 4-point scale: 1 = very low (major modification needed), 2 = low (some modification needed), 3 = high (no modification needed but could be improved with minor changes), and 4 = very high (no modification needed). I-CVI is computed for each item by counting the number of experts giving a rating of 3 or 4 and dividing the number by the total number of experts (</w:t>
      </w:r>
      <w:proofErr w:type="spellStart"/>
      <w:r w:rsidRPr="00B46386">
        <w:rPr>
          <w:rFonts w:cstheme="minorHAnsi"/>
          <w:bCs/>
          <w:color w:val="1F497D" w:themeColor="text2"/>
        </w:rPr>
        <w:t>Polit</w:t>
      </w:r>
      <w:proofErr w:type="spellEnd"/>
      <w:r w:rsidRPr="00B46386">
        <w:rPr>
          <w:rFonts w:cstheme="minorHAnsi"/>
          <w:bCs/>
          <w:color w:val="1F497D" w:themeColor="text2"/>
        </w:rPr>
        <w:t xml:space="preserve">, Beck, &amp; Owen, 2007). </w:t>
      </w:r>
    </w:p>
    <w:p w14:paraId="671E7276" w14:textId="77777777" w:rsidR="00731B3F" w:rsidRPr="00B46386" w:rsidRDefault="00731B3F" w:rsidP="00B46386">
      <w:pPr>
        <w:autoSpaceDE w:val="0"/>
        <w:autoSpaceDN w:val="0"/>
        <w:adjustRightInd w:val="0"/>
        <w:spacing w:after="0" w:line="240" w:lineRule="auto"/>
        <w:rPr>
          <w:rFonts w:cstheme="minorHAnsi"/>
          <w:bCs/>
          <w:color w:val="1F497D" w:themeColor="text2"/>
        </w:rPr>
      </w:pPr>
    </w:p>
    <w:p w14:paraId="375CC474" w14:textId="15460C3D" w:rsidR="00B46386" w:rsidRDefault="00B46386" w:rsidP="00B46386">
      <w:pPr>
        <w:autoSpaceDE w:val="0"/>
        <w:autoSpaceDN w:val="0"/>
        <w:adjustRightInd w:val="0"/>
        <w:spacing w:after="0" w:line="240" w:lineRule="auto"/>
        <w:rPr>
          <w:rFonts w:cstheme="minorHAnsi"/>
          <w:bCs/>
          <w:color w:val="1F497D" w:themeColor="text2"/>
        </w:rPr>
      </w:pPr>
      <w:r w:rsidRPr="00B46386">
        <w:rPr>
          <w:rFonts w:cstheme="minorHAnsi"/>
          <w:bCs/>
          <w:color w:val="1F497D" w:themeColor="text2"/>
        </w:rPr>
        <w:t>Content validity reviewed by TEP and academic experts was systematically assessed in terms applicability</w:t>
      </w:r>
      <w:r w:rsidR="00BC2FCE">
        <w:rPr>
          <w:rFonts w:cstheme="minorHAnsi"/>
          <w:bCs/>
          <w:color w:val="1F497D" w:themeColor="text2"/>
        </w:rPr>
        <w:t xml:space="preserve"> to PACE programs</w:t>
      </w:r>
      <w:r w:rsidRPr="00B46386">
        <w:rPr>
          <w:rFonts w:cstheme="minorHAnsi"/>
          <w:bCs/>
          <w:color w:val="1F497D" w:themeColor="text2"/>
        </w:rPr>
        <w:t xml:space="preserve">. </w:t>
      </w:r>
    </w:p>
    <w:p w14:paraId="7ED6E347" w14:textId="77777777" w:rsidR="00ED092B" w:rsidRDefault="00ED092B" w:rsidP="00FE7FAE">
      <w:pPr>
        <w:spacing w:after="0" w:line="240" w:lineRule="auto"/>
        <w:rPr>
          <w:rFonts w:cs="Times New Roman"/>
          <w:color w:val="1F497D" w:themeColor="text2"/>
        </w:rPr>
      </w:pPr>
    </w:p>
    <w:p w14:paraId="05BC020B" w14:textId="77777777" w:rsidR="00FE7FAE" w:rsidRDefault="00FE7FAE" w:rsidP="00FE7FAE">
      <w:pPr>
        <w:spacing w:after="0" w:line="240" w:lineRule="auto"/>
        <w:rPr>
          <w:rFonts w:cs="Times New Roman"/>
          <w:color w:val="1F497D" w:themeColor="text2"/>
        </w:rPr>
      </w:pPr>
      <w:r>
        <w:rPr>
          <w:rFonts w:cs="Times New Roman"/>
          <w:color w:val="1F497D" w:themeColor="text2"/>
        </w:rPr>
        <w:t>Citation:</w:t>
      </w:r>
    </w:p>
    <w:p w14:paraId="18A707DC" w14:textId="77777777" w:rsidR="00FE7FAE" w:rsidRPr="00AD50E3" w:rsidRDefault="00FE7FAE" w:rsidP="00FE7FAE">
      <w:pPr>
        <w:spacing w:line="240" w:lineRule="auto"/>
        <w:rPr>
          <w:rFonts w:cs="Times New Roman"/>
          <w:color w:val="1F497D" w:themeColor="text2"/>
        </w:rPr>
      </w:pPr>
      <w:proofErr w:type="spellStart"/>
      <w:r w:rsidRPr="00AD50E3">
        <w:rPr>
          <w:rFonts w:cs="Times New Roman"/>
          <w:color w:val="1F497D" w:themeColor="text2"/>
        </w:rPr>
        <w:lastRenderedPageBreak/>
        <w:t>Polit</w:t>
      </w:r>
      <w:proofErr w:type="spellEnd"/>
      <w:r w:rsidRPr="00AD50E3">
        <w:rPr>
          <w:rFonts w:cs="Times New Roman"/>
          <w:color w:val="1F497D" w:themeColor="text2"/>
        </w:rPr>
        <w:t xml:space="preserve">, D. F., Beck, C. T., &amp; Owen, S. V. (2007). Is the CVI an acceptable indicator of content validity? </w:t>
      </w:r>
      <w:proofErr w:type="gramStart"/>
      <w:r w:rsidRPr="00AD50E3">
        <w:rPr>
          <w:rFonts w:cs="Times New Roman"/>
          <w:color w:val="1F497D" w:themeColor="text2"/>
        </w:rPr>
        <w:t>Appraisal and recommendations.</w:t>
      </w:r>
      <w:proofErr w:type="gramEnd"/>
      <w:r w:rsidRPr="00AD50E3">
        <w:rPr>
          <w:rFonts w:cs="Times New Roman"/>
          <w:color w:val="1F497D" w:themeColor="text2"/>
        </w:rPr>
        <w:t xml:space="preserve">  </w:t>
      </w:r>
      <w:proofErr w:type="gramStart"/>
      <w:r w:rsidRPr="00AD50E3">
        <w:rPr>
          <w:rFonts w:cs="Times New Roman"/>
          <w:i/>
          <w:color w:val="1F497D" w:themeColor="text2"/>
        </w:rPr>
        <w:t>Research in Nursing &amp; Health.</w:t>
      </w:r>
      <w:proofErr w:type="gramEnd"/>
      <w:r w:rsidRPr="00AD50E3">
        <w:rPr>
          <w:rFonts w:cs="Times New Roman"/>
          <w:i/>
          <w:color w:val="1F497D" w:themeColor="text2"/>
        </w:rPr>
        <w:t xml:space="preserve"> 30</w:t>
      </w:r>
      <w:r w:rsidRPr="00AD50E3">
        <w:rPr>
          <w:rFonts w:cs="Times New Roman"/>
          <w:color w:val="1F497D" w:themeColor="text2"/>
        </w:rPr>
        <w:t xml:space="preserve">, 459-467.  </w:t>
      </w:r>
    </w:p>
    <w:p w14:paraId="5B0E9D2D"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014D0F21" w14:textId="1A35345A" w:rsidR="00731B3F" w:rsidRPr="00FE7FAE" w:rsidRDefault="00731B3F" w:rsidP="00731B3F">
      <w:pPr>
        <w:rPr>
          <w:color w:val="1F497D" w:themeColor="text2"/>
        </w:rPr>
      </w:pPr>
      <w:r w:rsidRPr="00FE7FAE">
        <w:rPr>
          <w:color w:val="1F497D" w:themeColor="text2"/>
        </w:rPr>
        <w:fldChar w:fldCharType="begin"/>
      </w:r>
      <w:r w:rsidRPr="00FE7FAE">
        <w:rPr>
          <w:color w:val="1F497D" w:themeColor="text2"/>
        </w:rPr>
        <w:instrText xml:space="preserve"> REF _Ref443391278 \h </w:instrText>
      </w:r>
      <w:r w:rsidRPr="00FE7FAE">
        <w:rPr>
          <w:color w:val="1F497D" w:themeColor="text2"/>
        </w:rPr>
      </w:r>
      <w:r w:rsidRPr="00FE7FAE">
        <w:rPr>
          <w:color w:val="1F497D" w:themeColor="text2"/>
        </w:rPr>
        <w:fldChar w:fldCharType="separate"/>
      </w:r>
      <w:r w:rsidRPr="00FE7FAE">
        <w:rPr>
          <w:color w:val="1F497D" w:themeColor="text2"/>
        </w:rPr>
        <w:t xml:space="preserve">Table </w:t>
      </w:r>
      <w:r w:rsidRPr="00FE7FAE">
        <w:rPr>
          <w:color w:val="1F497D" w:themeColor="text2"/>
        </w:rPr>
        <w:fldChar w:fldCharType="end"/>
      </w:r>
      <w:r w:rsidRPr="00FE7FAE">
        <w:rPr>
          <w:color w:val="1F497D" w:themeColor="text2"/>
        </w:rPr>
        <w:t>4 dis</w:t>
      </w:r>
      <w:r w:rsidR="00E83CED" w:rsidRPr="00FE7FAE">
        <w:rPr>
          <w:color w:val="1F497D" w:themeColor="text2"/>
        </w:rPr>
        <w:t>plays I-CVIs for the Fall Rate</w:t>
      </w:r>
      <w:r w:rsidRPr="00FE7FAE">
        <w:rPr>
          <w:color w:val="1F497D" w:themeColor="text2"/>
        </w:rPr>
        <w:t xml:space="preserve"> measure</w:t>
      </w:r>
      <w:r w:rsidR="00FE7FAE">
        <w:rPr>
          <w:color w:val="1F497D" w:themeColor="text2"/>
        </w:rPr>
        <w:t>.</w:t>
      </w:r>
      <w:r w:rsidRPr="00FE7FAE">
        <w:rPr>
          <w:color w:val="1F497D" w:themeColor="text2"/>
        </w:rPr>
        <w:t xml:space="preserve"> </w:t>
      </w:r>
    </w:p>
    <w:p w14:paraId="044A02D0" w14:textId="65810D30" w:rsidR="00731B3F" w:rsidRDefault="00731B3F" w:rsidP="00731B3F">
      <w:pPr>
        <w:pStyle w:val="TableCaption"/>
        <w:tabs>
          <w:tab w:val="clear" w:pos="1008"/>
          <w:tab w:val="left" w:pos="1260"/>
        </w:tabs>
        <w:ind w:left="1260" w:hanging="1260"/>
      </w:pPr>
      <w:bookmarkStart w:id="20" w:name="_Ref443391278"/>
      <w:bookmarkStart w:id="21" w:name="_Toc443390568"/>
      <w:r>
        <w:t xml:space="preserve">Table </w:t>
      </w:r>
      <w:bookmarkEnd w:id="20"/>
      <w:r>
        <w:t>4:</w:t>
      </w:r>
      <w:r>
        <w:tab/>
      </w:r>
      <w:r w:rsidRPr="001275B7">
        <w:t xml:space="preserve">Content Validity Results </w:t>
      </w:r>
      <w:r w:rsidR="00BC2FCE">
        <w:t xml:space="preserve">From Experts </w:t>
      </w:r>
      <w:r w:rsidRPr="001275B7">
        <w:t xml:space="preserve">for Data Elements in the </w:t>
      </w:r>
      <w:r w:rsidR="00581998">
        <w:t xml:space="preserve">PACE </w:t>
      </w:r>
      <w:r w:rsidR="00EE5DC6">
        <w:t xml:space="preserve">Participant </w:t>
      </w:r>
      <w:r w:rsidR="00E83CED">
        <w:t>F</w:t>
      </w:r>
      <w:r w:rsidRPr="001275B7">
        <w:t>all</w:t>
      </w:r>
      <w:r w:rsidR="00E83CED">
        <w:t xml:space="preserve"> Rate</w:t>
      </w:r>
      <w:r w:rsidRPr="001275B7">
        <w:t xml:space="preserve"> </w:t>
      </w:r>
      <w:bookmarkEnd w:id="21"/>
    </w:p>
    <w:tbl>
      <w:tblPr>
        <w:tblStyle w:val="EconometricaTableStyle"/>
        <w:tblW w:w="0" w:type="auto"/>
        <w:tblLook w:val="04A0" w:firstRow="1" w:lastRow="0" w:firstColumn="1" w:lastColumn="0" w:noHBand="0" w:noVBand="1"/>
      </w:tblPr>
      <w:tblGrid>
        <w:gridCol w:w="6595"/>
        <w:gridCol w:w="2995"/>
      </w:tblGrid>
      <w:tr w:rsidR="00EE5DC6" w:rsidRPr="00FF2968" w14:paraId="291A37C3" w14:textId="77777777" w:rsidTr="00EE5DC6">
        <w:trPr>
          <w:cnfStyle w:val="100000000000" w:firstRow="1" w:lastRow="0" w:firstColumn="0" w:lastColumn="0" w:oddVBand="0" w:evenVBand="0" w:oddHBand="0" w:evenHBand="0" w:firstRowFirstColumn="0" w:firstRowLastColumn="0" w:lastRowFirstColumn="0" w:lastRowLastColumn="0"/>
          <w:tblHeader/>
        </w:trPr>
        <w:tc>
          <w:tcPr>
            <w:tcW w:w="6595" w:type="dxa"/>
          </w:tcPr>
          <w:p w14:paraId="265AA448" w14:textId="0C2EEB32" w:rsidR="00EE5DC6" w:rsidRPr="00FF2968" w:rsidRDefault="00EE5DC6" w:rsidP="00E83CED">
            <w:pPr>
              <w:pStyle w:val="TableColumnHeading"/>
              <w:rPr>
                <w:b w:val="0"/>
              </w:rPr>
            </w:pPr>
            <w:r>
              <w:t>Fall Rate</w:t>
            </w:r>
            <w:r w:rsidRPr="00FF2968">
              <w:t xml:space="preserve"> Data Element</w:t>
            </w:r>
          </w:p>
        </w:tc>
        <w:tc>
          <w:tcPr>
            <w:tcW w:w="2995" w:type="dxa"/>
          </w:tcPr>
          <w:p w14:paraId="4709A76E" w14:textId="77777777" w:rsidR="00EE5DC6" w:rsidRPr="00FF2968" w:rsidRDefault="00EE5DC6" w:rsidP="00E83CED">
            <w:pPr>
              <w:pStyle w:val="TableColumnHeading"/>
              <w:rPr>
                <w:b w:val="0"/>
              </w:rPr>
            </w:pPr>
            <w:r w:rsidRPr="00FF2968">
              <w:t>I-CVI</w:t>
            </w:r>
          </w:p>
        </w:tc>
      </w:tr>
      <w:tr w:rsidR="00EE5DC6" w:rsidRPr="001359A3" w14:paraId="0B95E3A7" w14:textId="77777777" w:rsidTr="00EE5DC6">
        <w:trPr>
          <w:cnfStyle w:val="000000100000" w:firstRow="0" w:lastRow="0" w:firstColumn="0" w:lastColumn="0" w:oddVBand="0" w:evenVBand="0" w:oddHBand="1" w:evenHBand="0" w:firstRowFirstColumn="0" w:firstRowLastColumn="0" w:lastRowFirstColumn="0" w:lastRowLastColumn="0"/>
        </w:trPr>
        <w:tc>
          <w:tcPr>
            <w:tcW w:w="6595" w:type="dxa"/>
            <w:tcBorders>
              <w:bottom w:val="single" w:sz="4" w:space="0" w:color="000075"/>
            </w:tcBorders>
          </w:tcPr>
          <w:p w14:paraId="6DD9F95F" w14:textId="77777777" w:rsidR="00EE5DC6" w:rsidRPr="001359A3" w:rsidRDefault="00EE5DC6" w:rsidP="00E83CED">
            <w:pPr>
              <w:pStyle w:val="TableCellText"/>
              <w:rPr>
                <w:rFonts w:asciiTheme="minorHAnsi" w:hAnsiTheme="minorHAnsi"/>
                <w:sz w:val="22"/>
                <w:szCs w:val="22"/>
              </w:rPr>
            </w:pPr>
            <w:r w:rsidRPr="001359A3">
              <w:rPr>
                <w:rFonts w:asciiTheme="minorHAnsi" w:hAnsiTheme="minorHAnsi"/>
                <w:sz w:val="22"/>
                <w:szCs w:val="22"/>
              </w:rPr>
              <w:t>Measure description</w:t>
            </w:r>
          </w:p>
        </w:tc>
        <w:tc>
          <w:tcPr>
            <w:tcW w:w="2995" w:type="dxa"/>
            <w:tcBorders>
              <w:bottom w:val="single" w:sz="4" w:space="0" w:color="000075"/>
            </w:tcBorders>
          </w:tcPr>
          <w:p w14:paraId="46C368EB" w14:textId="77777777" w:rsidR="00EE5DC6" w:rsidRPr="001359A3" w:rsidRDefault="00EE5DC6" w:rsidP="00E83CED">
            <w:pPr>
              <w:pStyle w:val="TableCellYear"/>
              <w:rPr>
                <w:rFonts w:asciiTheme="minorHAnsi" w:hAnsiTheme="minorHAnsi"/>
                <w:sz w:val="22"/>
                <w:szCs w:val="22"/>
              </w:rPr>
            </w:pPr>
            <w:r w:rsidRPr="001359A3">
              <w:rPr>
                <w:rFonts w:asciiTheme="minorHAnsi" w:hAnsiTheme="minorHAnsi"/>
                <w:sz w:val="22"/>
                <w:szCs w:val="22"/>
              </w:rPr>
              <w:t>1.0 (6/6)</w:t>
            </w:r>
          </w:p>
        </w:tc>
      </w:tr>
      <w:tr w:rsidR="00EE5DC6" w:rsidRPr="001359A3" w14:paraId="417BD9BD" w14:textId="77777777" w:rsidTr="00EE5DC6">
        <w:tc>
          <w:tcPr>
            <w:tcW w:w="6595" w:type="dxa"/>
            <w:shd w:val="clear" w:color="auto" w:fill="auto"/>
          </w:tcPr>
          <w:p w14:paraId="104B2BC1" w14:textId="77777777" w:rsidR="00EE5DC6" w:rsidRPr="001359A3" w:rsidRDefault="00EE5DC6" w:rsidP="00E83CED">
            <w:pPr>
              <w:pStyle w:val="TableCellText"/>
              <w:rPr>
                <w:rFonts w:asciiTheme="minorHAnsi" w:hAnsiTheme="minorHAnsi"/>
                <w:sz w:val="22"/>
                <w:szCs w:val="22"/>
              </w:rPr>
            </w:pPr>
            <w:r w:rsidRPr="001359A3">
              <w:rPr>
                <w:rFonts w:asciiTheme="minorHAnsi" w:hAnsiTheme="minorHAnsi"/>
                <w:sz w:val="22"/>
                <w:szCs w:val="22"/>
              </w:rPr>
              <w:t>Definitions:</w:t>
            </w:r>
          </w:p>
          <w:p w14:paraId="2EDA336D" w14:textId="77777777" w:rsidR="00EE5DC6" w:rsidRPr="001359A3" w:rsidRDefault="00EE5DC6" w:rsidP="00E83CED">
            <w:pPr>
              <w:pStyle w:val="TableBullet1-SingleLineLast"/>
              <w:rPr>
                <w:rFonts w:asciiTheme="minorHAnsi" w:hAnsiTheme="minorHAnsi"/>
                <w:sz w:val="22"/>
                <w:szCs w:val="22"/>
              </w:rPr>
            </w:pPr>
            <w:r w:rsidRPr="001359A3">
              <w:rPr>
                <w:rFonts w:asciiTheme="minorHAnsi" w:hAnsiTheme="minorHAnsi"/>
                <w:sz w:val="22"/>
                <w:szCs w:val="22"/>
              </w:rPr>
              <w:t>Numerator</w:t>
            </w:r>
          </w:p>
        </w:tc>
        <w:tc>
          <w:tcPr>
            <w:tcW w:w="2995" w:type="dxa"/>
            <w:shd w:val="clear" w:color="auto" w:fill="auto"/>
          </w:tcPr>
          <w:p w14:paraId="0060BE57" w14:textId="77777777" w:rsidR="00EE5DC6" w:rsidRPr="001359A3" w:rsidRDefault="00EE5DC6" w:rsidP="00E83CED">
            <w:pPr>
              <w:pStyle w:val="TableCellYear"/>
              <w:rPr>
                <w:rFonts w:asciiTheme="minorHAnsi" w:hAnsiTheme="minorHAnsi"/>
                <w:sz w:val="22"/>
                <w:szCs w:val="22"/>
              </w:rPr>
            </w:pPr>
            <w:r w:rsidRPr="001359A3">
              <w:rPr>
                <w:rFonts w:asciiTheme="minorHAnsi" w:hAnsiTheme="minorHAnsi"/>
                <w:sz w:val="22"/>
                <w:szCs w:val="22"/>
              </w:rPr>
              <w:t>1.0 (10/10)</w:t>
            </w:r>
          </w:p>
        </w:tc>
      </w:tr>
      <w:tr w:rsidR="00EE5DC6" w:rsidRPr="001359A3" w14:paraId="320AEE85" w14:textId="77777777" w:rsidTr="00EE5DC6">
        <w:trPr>
          <w:cnfStyle w:val="000000100000" w:firstRow="0" w:lastRow="0" w:firstColumn="0" w:lastColumn="0" w:oddVBand="0" w:evenVBand="0" w:oddHBand="1" w:evenHBand="0" w:firstRowFirstColumn="0" w:firstRowLastColumn="0" w:lastRowFirstColumn="0" w:lastRowLastColumn="0"/>
        </w:trPr>
        <w:tc>
          <w:tcPr>
            <w:tcW w:w="6595" w:type="dxa"/>
            <w:shd w:val="clear" w:color="auto" w:fill="auto"/>
          </w:tcPr>
          <w:p w14:paraId="475D0C58" w14:textId="77777777" w:rsidR="00EE5DC6" w:rsidRPr="001359A3" w:rsidRDefault="00EE5DC6" w:rsidP="00E83CED">
            <w:pPr>
              <w:pStyle w:val="TableBullet1-SingleLineLast"/>
              <w:rPr>
                <w:rFonts w:asciiTheme="minorHAnsi" w:hAnsiTheme="minorHAnsi"/>
                <w:sz w:val="22"/>
                <w:szCs w:val="22"/>
              </w:rPr>
            </w:pPr>
            <w:r w:rsidRPr="001359A3">
              <w:rPr>
                <w:rFonts w:asciiTheme="minorHAnsi" w:hAnsiTheme="minorHAnsi"/>
                <w:sz w:val="22"/>
                <w:szCs w:val="22"/>
              </w:rPr>
              <w:t xml:space="preserve">Denominator </w:t>
            </w:r>
          </w:p>
        </w:tc>
        <w:tc>
          <w:tcPr>
            <w:tcW w:w="2995" w:type="dxa"/>
            <w:shd w:val="clear" w:color="auto" w:fill="auto"/>
          </w:tcPr>
          <w:p w14:paraId="79A236EC" w14:textId="77777777" w:rsidR="00EE5DC6" w:rsidRPr="001359A3" w:rsidRDefault="00EE5DC6" w:rsidP="00E83CED">
            <w:pPr>
              <w:pStyle w:val="TableCellYear"/>
              <w:rPr>
                <w:rFonts w:asciiTheme="minorHAnsi" w:hAnsiTheme="minorHAnsi"/>
                <w:sz w:val="22"/>
                <w:szCs w:val="22"/>
              </w:rPr>
            </w:pPr>
            <w:r w:rsidRPr="001359A3">
              <w:rPr>
                <w:rFonts w:asciiTheme="minorHAnsi" w:hAnsiTheme="minorHAnsi"/>
                <w:sz w:val="22"/>
                <w:szCs w:val="22"/>
              </w:rPr>
              <w:t>.90 (9/10)</w:t>
            </w:r>
          </w:p>
        </w:tc>
      </w:tr>
      <w:tr w:rsidR="00EE5DC6" w:rsidRPr="001359A3" w14:paraId="0BD79A65" w14:textId="77777777" w:rsidTr="00EE5DC6">
        <w:tc>
          <w:tcPr>
            <w:tcW w:w="6595" w:type="dxa"/>
            <w:tcBorders>
              <w:bottom w:val="single" w:sz="4" w:space="0" w:color="000075"/>
            </w:tcBorders>
            <w:shd w:val="clear" w:color="auto" w:fill="E1F8FF"/>
          </w:tcPr>
          <w:p w14:paraId="33F90353" w14:textId="77777777" w:rsidR="00EE5DC6" w:rsidRPr="001359A3" w:rsidRDefault="00EE5DC6" w:rsidP="00E83CED">
            <w:pPr>
              <w:pStyle w:val="TableCellText"/>
              <w:rPr>
                <w:rFonts w:asciiTheme="minorHAnsi" w:hAnsiTheme="minorHAnsi"/>
                <w:sz w:val="22"/>
                <w:szCs w:val="22"/>
              </w:rPr>
            </w:pPr>
            <w:r w:rsidRPr="001359A3">
              <w:rPr>
                <w:rFonts w:asciiTheme="minorHAnsi" w:hAnsiTheme="minorHAnsi"/>
                <w:sz w:val="22"/>
                <w:szCs w:val="22"/>
              </w:rPr>
              <w:t>Measure calculation</w:t>
            </w:r>
          </w:p>
        </w:tc>
        <w:tc>
          <w:tcPr>
            <w:tcW w:w="2995" w:type="dxa"/>
            <w:tcBorders>
              <w:bottom w:val="single" w:sz="4" w:space="0" w:color="000075"/>
            </w:tcBorders>
            <w:shd w:val="clear" w:color="auto" w:fill="E1F8FF"/>
          </w:tcPr>
          <w:p w14:paraId="6EDC1C22" w14:textId="5D767604" w:rsidR="00EE5DC6" w:rsidRPr="001359A3" w:rsidRDefault="00EE5DC6" w:rsidP="00E83CED">
            <w:pPr>
              <w:pStyle w:val="TableCellYear"/>
              <w:rPr>
                <w:rFonts w:asciiTheme="minorHAnsi" w:hAnsiTheme="minorHAnsi"/>
                <w:sz w:val="22"/>
                <w:szCs w:val="22"/>
              </w:rPr>
            </w:pPr>
            <w:r w:rsidRPr="001359A3">
              <w:rPr>
                <w:rFonts w:asciiTheme="minorHAnsi" w:hAnsiTheme="minorHAnsi"/>
                <w:sz w:val="22"/>
                <w:szCs w:val="22"/>
              </w:rPr>
              <w:t>.86 (6/7)</w:t>
            </w:r>
          </w:p>
        </w:tc>
      </w:tr>
      <w:tr w:rsidR="00EE5DC6" w:rsidRPr="001359A3" w14:paraId="42FE6B36" w14:textId="77777777" w:rsidTr="00EE5DC6">
        <w:trPr>
          <w:cnfStyle w:val="000000100000" w:firstRow="0" w:lastRow="0" w:firstColumn="0" w:lastColumn="0" w:oddVBand="0" w:evenVBand="0" w:oddHBand="1" w:evenHBand="0" w:firstRowFirstColumn="0" w:firstRowLastColumn="0" w:lastRowFirstColumn="0" w:lastRowLastColumn="0"/>
        </w:trPr>
        <w:tc>
          <w:tcPr>
            <w:tcW w:w="6595" w:type="dxa"/>
            <w:tcBorders>
              <w:bottom w:val="single" w:sz="4" w:space="0" w:color="000075"/>
            </w:tcBorders>
            <w:shd w:val="clear" w:color="auto" w:fill="auto"/>
          </w:tcPr>
          <w:p w14:paraId="3FEC4A2F" w14:textId="77777777" w:rsidR="00EE5DC6" w:rsidRPr="001359A3" w:rsidRDefault="00EE5DC6" w:rsidP="00E83CED">
            <w:pPr>
              <w:pStyle w:val="TableCell-SubheadingText"/>
              <w:rPr>
                <w:rFonts w:asciiTheme="minorHAnsi" w:hAnsiTheme="minorHAnsi"/>
                <w:sz w:val="22"/>
                <w:szCs w:val="22"/>
              </w:rPr>
            </w:pPr>
            <w:r w:rsidRPr="001359A3">
              <w:rPr>
                <w:rFonts w:asciiTheme="minorHAnsi" w:hAnsiTheme="minorHAnsi"/>
                <w:sz w:val="22"/>
                <w:szCs w:val="22"/>
              </w:rPr>
              <w:t>Exclusion criteria:</w:t>
            </w:r>
          </w:p>
          <w:p w14:paraId="66E6BE72" w14:textId="77777777" w:rsidR="00EE5DC6" w:rsidRPr="001359A3" w:rsidRDefault="00EE5DC6" w:rsidP="00E83CED">
            <w:pPr>
              <w:pStyle w:val="TableBullet1-SingleLineLast"/>
              <w:rPr>
                <w:rFonts w:asciiTheme="minorHAnsi" w:hAnsiTheme="minorHAnsi"/>
                <w:sz w:val="22"/>
                <w:szCs w:val="22"/>
              </w:rPr>
            </w:pPr>
            <w:r w:rsidRPr="001359A3">
              <w:rPr>
                <w:rFonts w:asciiTheme="minorHAnsi" w:hAnsiTheme="minorHAnsi"/>
                <w:sz w:val="22"/>
                <w:szCs w:val="22"/>
              </w:rPr>
              <w:t>Falls by staff, visitors, or others who were not PACE participants.</w:t>
            </w:r>
          </w:p>
        </w:tc>
        <w:tc>
          <w:tcPr>
            <w:tcW w:w="2995" w:type="dxa"/>
            <w:tcBorders>
              <w:bottom w:val="single" w:sz="4" w:space="0" w:color="000075"/>
            </w:tcBorders>
            <w:shd w:val="clear" w:color="auto" w:fill="auto"/>
          </w:tcPr>
          <w:p w14:paraId="1A448743" w14:textId="77777777" w:rsidR="00EE5DC6" w:rsidRPr="001359A3" w:rsidRDefault="00EE5DC6" w:rsidP="00E83CED">
            <w:pPr>
              <w:pStyle w:val="TableCellYear"/>
              <w:rPr>
                <w:rFonts w:asciiTheme="minorHAnsi" w:hAnsiTheme="minorHAnsi"/>
                <w:sz w:val="22"/>
                <w:szCs w:val="22"/>
              </w:rPr>
            </w:pPr>
            <w:r w:rsidRPr="001359A3">
              <w:rPr>
                <w:rFonts w:asciiTheme="minorHAnsi" w:hAnsiTheme="minorHAnsi"/>
                <w:sz w:val="22"/>
                <w:szCs w:val="22"/>
              </w:rPr>
              <w:t>1.0 (2/2)</w:t>
            </w:r>
          </w:p>
        </w:tc>
      </w:tr>
      <w:tr w:rsidR="00731B3F" w:rsidRPr="001359A3" w14:paraId="75A8249B" w14:textId="77777777" w:rsidTr="00EE5DC6">
        <w:tc>
          <w:tcPr>
            <w:tcW w:w="6595" w:type="dxa"/>
            <w:shd w:val="clear" w:color="auto" w:fill="E1F8FF"/>
          </w:tcPr>
          <w:p w14:paraId="277C37C3" w14:textId="77777777" w:rsidR="00731B3F" w:rsidRPr="001359A3" w:rsidRDefault="00731B3F" w:rsidP="00E83CED">
            <w:pPr>
              <w:pStyle w:val="TableCell-SubheadingText"/>
              <w:rPr>
                <w:rFonts w:asciiTheme="minorHAnsi" w:hAnsiTheme="minorHAnsi"/>
                <w:b w:val="0"/>
                <w:sz w:val="22"/>
                <w:szCs w:val="22"/>
              </w:rPr>
            </w:pPr>
            <w:r w:rsidRPr="001359A3">
              <w:rPr>
                <w:rFonts w:asciiTheme="minorHAnsi" w:hAnsiTheme="minorHAnsi"/>
                <w:b w:val="0"/>
                <w:sz w:val="22"/>
                <w:szCs w:val="22"/>
              </w:rPr>
              <w:t>Overall applicability of the indicator to the PACE participants and PACE sites</w:t>
            </w:r>
          </w:p>
        </w:tc>
        <w:tc>
          <w:tcPr>
            <w:tcW w:w="2995" w:type="dxa"/>
            <w:shd w:val="clear" w:color="auto" w:fill="E1F8FF"/>
          </w:tcPr>
          <w:p w14:paraId="637409C8" w14:textId="77777777" w:rsidR="00731B3F" w:rsidRPr="001359A3" w:rsidRDefault="00731B3F" w:rsidP="00E83CED">
            <w:pPr>
              <w:pStyle w:val="TableCellYear"/>
              <w:rPr>
                <w:rFonts w:asciiTheme="minorHAnsi" w:hAnsiTheme="minorHAnsi"/>
                <w:sz w:val="22"/>
                <w:szCs w:val="22"/>
              </w:rPr>
            </w:pPr>
            <w:r w:rsidRPr="001359A3">
              <w:rPr>
                <w:rFonts w:asciiTheme="minorHAnsi" w:hAnsiTheme="minorHAnsi"/>
                <w:sz w:val="22"/>
                <w:szCs w:val="22"/>
              </w:rPr>
              <w:t>.92 (11/12)</w:t>
            </w:r>
          </w:p>
        </w:tc>
      </w:tr>
    </w:tbl>
    <w:p w14:paraId="04E33F14" w14:textId="77777777" w:rsidR="00731B3F" w:rsidRPr="001359A3" w:rsidRDefault="00731B3F" w:rsidP="00731B3F">
      <w:pPr>
        <w:pStyle w:val="TableNote"/>
        <w:rPr>
          <w:rFonts w:asciiTheme="minorHAnsi" w:eastAsia="Times New Roman" w:hAnsiTheme="minorHAnsi"/>
          <w:color w:val="1F497D" w:themeColor="text2"/>
          <w:sz w:val="22"/>
          <w:szCs w:val="22"/>
        </w:rPr>
      </w:pPr>
      <w:r w:rsidRPr="001359A3">
        <w:rPr>
          <w:rFonts w:asciiTheme="minorHAnsi" w:eastAsia="Times New Roman" w:hAnsiTheme="minorHAnsi"/>
          <w:color w:val="1F497D" w:themeColor="text2"/>
          <w:sz w:val="22"/>
          <w:szCs w:val="22"/>
        </w:rPr>
        <w:t>Note: I-CVI = item-level content validity index; I-CVI/</w:t>
      </w:r>
      <w:proofErr w:type="spellStart"/>
      <w:r w:rsidRPr="001359A3">
        <w:rPr>
          <w:rFonts w:asciiTheme="minorHAnsi" w:eastAsia="Times New Roman" w:hAnsiTheme="minorHAnsi"/>
          <w:color w:val="1F497D" w:themeColor="text2"/>
          <w:sz w:val="22"/>
          <w:szCs w:val="22"/>
        </w:rPr>
        <w:t>ave</w:t>
      </w:r>
      <w:proofErr w:type="spellEnd"/>
      <w:r w:rsidRPr="001359A3">
        <w:rPr>
          <w:rFonts w:asciiTheme="minorHAnsi" w:eastAsia="Times New Roman" w:hAnsiTheme="minorHAnsi"/>
          <w:color w:val="1F497D" w:themeColor="text2"/>
          <w:sz w:val="22"/>
          <w:szCs w:val="22"/>
        </w:rPr>
        <w:t xml:space="preserve"> = average of I-CVIs. Each parenthesis indicates the number of experts who rated the data element as 3 or 4 divided by the total number of experts who responded. </w:t>
      </w:r>
    </w:p>
    <w:p w14:paraId="674EE709" w14:textId="77777777" w:rsidR="00731B3F" w:rsidRDefault="00092566" w:rsidP="00731B3F">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161A1780" w14:textId="590229CC" w:rsidR="00731B3F" w:rsidRPr="00731B3F" w:rsidRDefault="007422FD" w:rsidP="00731B3F">
      <w:pPr>
        <w:autoSpaceDE w:val="0"/>
        <w:autoSpaceDN w:val="0"/>
        <w:adjustRightInd w:val="0"/>
        <w:spacing w:after="0" w:line="240" w:lineRule="auto"/>
        <w:rPr>
          <w:rFonts w:cstheme="minorHAnsi"/>
          <w:bCs/>
          <w:color w:val="1F497D" w:themeColor="text2"/>
        </w:rPr>
      </w:pPr>
      <w:r w:rsidRPr="00A25024">
        <w:rPr>
          <w:rFonts w:cstheme="minorHAnsi"/>
          <w:bCs/>
        </w:rPr>
        <w:br/>
      </w:r>
      <w:proofErr w:type="spellStart"/>
      <w:r w:rsidR="00731B3F" w:rsidRPr="00731B3F">
        <w:rPr>
          <w:rFonts w:cstheme="minorHAnsi"/>
          <w:bCs/>
          <w:color w:val="1F497D" w:themeColor="text2"/>
        </w:rPr>
        <w:t>Polit</w:t>
      </w:r>
      <w:proofErr w:type="spellEnd"/>
      <w:r w:rsidR="00731B3F" w:rsidRPr="00731B3F">
        <w:rPr>
          <w:rFonts w:cstheme="minorHAnsi"/>
          <w:bCs/>
          <w:color w:val="1F497D" w:themeColor="text2"/>
        </w:rPr>
        <w:t xml:space="preserve"> et al. (2007) suggested that items with good or acceptable content (or face) validity should have an I-CVI of .78 or higher from three or more experts’ review. Based on this, we used .78 as a cutoff point to determine acceptable content (or face) validity. Another evaluation criterion was based on Lynn (1986). Lynn (1986) argued that the disagreement is accepted only if “six or more experts” gave an item a rating of 1 (very low) or 2 (low).</w:t>
      </w:r>
    </w:p>
    <w:p w14:paraId="02043BEE" w14:textId="77777777" w:rsidR="00731B3F" w:rsidRPr="00731B3F" w:rsidRDefault="00731B3F" w:rsidP="00731B3F">
      <w:pPr>
        <w:spacing w:after="0" w:line="240" w:lineRule="auto"/>
        <w:rPr>
          <w:color w:val="1F497D" w:themeColor="text2"/>
        </w:rPr>
      </w:pPr>
    </w:p>
    <w:p w14:paraId="417DCBDB" w14:textId="6638700B" w:rsidR="00731B3F" w:rsidRPr="00731B3F" w:rsidRDefault="00731B3F">
      <w:pPr>
        <w:spacing w:after="0" w:line="240" w:lineRule="auto"/>
        <w:rPr>
          <w:color w:val="1F497D" w:themeColor="text2"/>
        </w:rPr>
      </w:pPr>
      <w:r w:rsidRPr="00731B3F">
        <w:rPr>
          <w:color w:val="1F497D" w:themeColor="text2"/>
        </w:rPr>
        <w:t xml:space="preserve">The findings showed acceptable content validity for the measure descriptions, definitions, measure calculations, and exclusion criteria, </w:t>
      </w:r>
      <w:r w:rsidR="00586742">
        <w:rPr>
          <w:color w:val="1F497D" w:themeColor="text2"/>
        </w:rPr>
        <w:t>with</w:t>
      </w:r>
      <w:r w:rsidRPr="00731B3F">
        <w:rPr>
          <w:color w:val="1F497D" w:themeColor="text2"/>
        </w:rPr>
        <w:t xml:space="preserve"> the I-CVIs all greater than .78. </w:t>
      </w:r>
    </w:p>
    <w:p w14:paraId="35F7323C" w14:textId="77777777" w:rsidR="00731B3F" w:rsidRPr="00731B3F" w:rsidRDefault="00731B3F" w:rsidP="00731B3F">
      <w:pPr>
        <w:spacing w:after="0" w:line="240" w:lineRule="auto"/>
        <w:rPr>
          <w:color w:val="1F497D" w:themeColor="text2"/>
        </w:rPr>
      </w:pPr>
    </w:p>
    <w:p w14:paraId="01795F93" w14:textId="2A080ED4" w:rsidR="00731B3F" w:rsidRDefault="00731B3F" w:rsidP="00731B3F">
      <w:pPr>
        <w:spacing w:after="0" w:line="240" w:lineRule="auto"/>
        <w:rPr>
          <w:color w:val="1F497D" w:themeColor="text2"/>
        </w:rPr>
      </w:pPr>
      <w:r w:rsidRPr="00731B3F">
        <w:rPr>
          <w:color w:val="1F497D" w:themeColor="text2"/>
        </w:rPr>
        <w:t xml:space="preserve">Overall, experts reported good content validity regarding the overall applicability of the total fall to the PACE sites and participants (I-CVI = .92). </w:t>
      </w:r>
    </w:p>
    <w:p w14:paraId="256F5528" w14:textId="77777777" w:rsidR="00FE7FAE" w:rsidRDefault="00FE7FAE" w:rsidP="00731B3F">
      <w:pPr>
        <w:spacing w:after="0" w:line="240" w:lineRule="auto"/>
        <w:rPr>
          <w:color w:val="1F497D" w:themeColor="text2"/>
        </w:rPr>
      </w:pPr>
    </w:p>
    <w:p w14:paraId="3C065C04" w14:textId="77777777" w:rsidR="00FE7FAE" w:rsidRDefault="00FE7FAE" w:rsidP="00FE7FAE">
      <w:pPr>
        <w:spacing w:after="0" w:line="240" w:lineRule="auto"/>
        <w:ind w:left="720" w:hanging="720"/>
        <w:rPr>
          <w:rFonts w:cs="Times New Roman"/>
          <w:color w:val="1F497D" w:themeColor="text2"/>
        </w:rPr>
      </w:pPr>
      <w:r>
        <w:rPr>
          <w:rFonts w:cs="Times New Roman"/>
          <w:color w:val="1F497D" w:themeColor="text2"/>
        </w:rPr>
        <w:t>Citations:</w:t>
      </w:r>
    </w:p>
    <w:p w14:paraId="5B04D074" w14:textId="77777777" w:rsidR="00FE7FAE" w:rsidRPr="00463A4D" w:rsidRDefault="00FE7FAE" w:rsidP="00FE7FAE">
      <w:pPr>
        <w:spacing w:line="240" w:lineRule="auto"/>
        <w:ind w:left="720" w:hanging="720"/>
        <w:rPr>
          <w:rFonts w:cs="Times New Roman"/>
        </w:rPr>
      </w:pPr>
      <w:proofErr w:type="gramStart"/>
      <w:r w:rsidRPr="000B07B8">
        <w:rPr>
          <w:rFonts w:cs="Times New Roman"/>
          <w:color w:val="1F497D" w:themeColor="text2"/>
        </w:rPr>
        <w:t>Lynn, M. (1986).</w:t>
      </w:r>
      <w:proofErr w:type="gramEnd"/>
      <w:r w:rsidRPr="000B07B8">
        <w:rPr>
          <w:rFonts w:cs="Times New Roman"/>
          <w:color w:val="1F497D" w:themeColor="text2"/>
        </w:rPr>
        <w:t xml:space="preserve"> </w:t>
      </w:r>
      <w:proofErr w:type="gramStart"/>
      <w:r w:rsidRPr="000B07B8">
        <w:rPr>
          <w:rFonts w:cs="Times New Roman"/>
          <w:color w:val="1F497D" w:themeColor="text2"/>
        </w:rPr>
        <w:t>Determination and quantification of content validity.</w:t>
      </w:r>
      <w:proofErr w:type="gramEnd"/>
      <w:r w:rsidRPr="000B07B8">
        <w:rPr>
          <w:rFonts w:cs="Times New Roman"/>
          <w:color w:val="1F497D" w:themeColor="text2"/>
        </w:rPr>
        <w:t xml:space="preserve"> </w:t>
      </w:r>
      <w:proofErr w:type="gramStart"/>
      <w:r w:rsidRPr="000B07B8">
        <w:rPr>
          <w:rFonts w:cs="Times New Roman"/>
          <w:i/>
          <w:color w:val="1F497D" w:themeColor="text2"/>
        </w:rPr>
        <w:t>Nursing Research, 35,</w:t>
      </w:r>
      <w:r w:rsidRPr="000B07B8">
        <w:rPr>
          <w:rFonts w:cs="Times New Roman"/>
          <w:color w:val="1F497D" w:themeColor="text2"/>
        </w:rPr>
        <w:t xml:space="preserve"> 381</w:t>
      </w:r>
      <w:r w:rsidRPr="000B07B8">
        <w:rPr>
          <w:color w:val="1F497D" w:themeColor="text2"/>
        </w:rPr>
        <w:t>–</w:t>
      </w:r>
      <w:r w:rsidRPr="000B07B8">
        <w:rPr>
          <w:rFonts w:cs="Times New Roman"/>
          <w:color w:val="1F497D" w:themeColor="text2"/>
        </w:rPr>
        <w:t>385.</w:t>
      </w:r>
      <w:proofErr w:type="gramEnd"/>
      <w:r w:rsidRPr="00463A4D">
        <w:rPr>
          <w:rFonts w:cs="Times New Roman"/>
        </w:rPr>
        <w:t xml:space="preserve"> </w:t>
      </w:r>
    </w:p>
    <w:p w14:paraId="62BDEB86" w14:textId="77777777" w:rsidR="00FE7FAE" w:rsidRDefault="00FE7FAE" w:rsidP="00FE7FAE">
      <w:pPr>
        <w:autoSpaceDE w:val="0"/>
        <w:autoSpaceDN w:val="0"/>
        <w:adjustRightInd w:val="0"/>
        <w:spacing w:after="0" w:line="240" w:lineRule="auto"/>
        <w:rPr>
          <w:rFonts w:cstheme="minorHAnsi"/>
          <w:bCs/>
          <w:color w:val="1F497D" w:themeColor="text2"/>
        </w:rPr>
      </w:pPr>
      <w:proofErr w:type="spellStart"/>
      <w:r w:rsidRPr="000B07B8">
        <w:rPr>
          <w:rFonts w:cstheme="minorHAnsi"/>
          <w:bCs/>
          <w:color w:val="1F497D" w:themeColor="text2"/>
        </w:rPr>
        <w:t>Polit</w:t>
      </w:r>
      <w:proofErr w:type="spellEnd"/>
      <w:r w:rsidRPr="000B07B8">
        <w:rPr>
          <w:rFonts w:cstheme="minorHAnsi"/>
          <w:bCs/>
          <w:color w:val="1F497D" w:themeColor="text2"/>
        </w:rPr>
        <w:t xml:space="preserve">, D. F., Beck, C. T., &amp; Owen, S. V. (2007). Is the CVI an acceptable indicator of content validity? </w:t>
      </w:r>
      <w:proofErr w:type="gramStart"/>
      <w:r w:rsidRPr="000B07B8">
        <w:rPr>
          <w:rFonts w:cstheme="minorHAnsi"/>
          <w:bCs/>
          <w:color w:val="1F497D" w:themeColor="text2"/>
        </w:rPr>
        <w:t>Appraisal and recommendations.</w:t>
      </w:r>
      <w:proofErr w:type="gramEnd"/>
      <w:r w:rsidRPr="000B07B8">
        <w:rPr>
          <w:rFonts w:cstheme="minorHAnsi"/>
          <w:bCs/>
          <w:color w:val="1F497D" w:themeColor="text2"/>
        </w:rPr>
        <w:t xml:space="preserve">  </w:t>
      </w:r>
      <w:proofErr w:type="gramStart"/>
      <w:r w:rsidRPr="000B07B8">
        <w:rPr>
          <w:rFonts w:cstheme="minorHAnsi"/>
          <w:bCs/>
          <w:color w:val="1F497D" w:themeColor="text2"/>
        </w:rPr>
        <w:t>Research in Nursing &amp; Health.</w:t>
      </w:r>
      <w:proofErr w:type="gramEnd"/>
      <w:r w:rsidRPr="000B07B8">
        <w:rPr>
          <w:rFonts w:cstheme="minorHAnsi"/>
          <w:bCs/>
          <w:color w:val="1F497D" w:themeColor="text2"/>
        </w:rPr>
        <w:t xml:space="preserve"> 30, 459-467.  </w:t>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2853F14C"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B4638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18936ABB" w14:textId="75ADE46B" w:rsidR="00833325" w:rsidRDefault="00092566" w:rsidP="00DB3627">
      <w:pPr>
        <w:autoSpaceDE w:val="0"/>
        <w:autoSpaceDN w:val="0"/>
        <w:adjustRightInd w:val="0"/>
        <w:spacing w:after="0" w:line="240" w:lineRule="auto"/>
        <w:rPr>
          <w:rFonts w:cstheme="minorHAnsi"/>
          <w:bCs/>
          <w:color w:val="1F497D" w:themeColor="text2"/>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833325" w:rsidRPr="00A25024">
        <w:rPr>
          <w:rFonts w:cstheme="minorHAnsi"/>
          <w:bCs/>
        </w:rPr>
        <w:t>)</w:t>
      </w:r>
      <w:proofErr w:type="gramEnd"/>
      <w:r w:rsidR="00833325" w:rsidRPr="00A25024">
        <w:rPr>
          <w:rFonts w:cstheme="minorHAnsi"/>
          <w:bCs/>
        </w:rPr>
        <w:br/>
      </w:r>
      <w:r w:rsidR="00BC79AF" w:rsidRPr="00897292">
        <w:rPr>
          <w:rFonts w:cstheme="minorHAnsi"/>
          <w:bCs/>
          <w:color w:val="1F497D" w:themeColor="text2"/>
        </w:rPr>
        <w:t>Not tested.  Excluding falls for people other than PACE participants</w:t>
      </w:r>
      <w:r w:rsidR="002101FB">
        <w:rPr>
          <w:rFonts w:cstheme="minorHAnsi"/>
          <w:bCs/>
          <w:color w:val="1F497D" w:themeColor="text2"/>
        </w:rPr>
        <w:t xml:space="preserve"> and falls back to a bed or chair are</w:t>
      </w:r>
      <w:r w:rsidR="00BC79AF" w:rsidRPr="00897292">
        <w:rPr>
          <w:rFonts w:cstheme="minorHAnsi"/>
          <w:bCs/>
          <w:color w:val="1F497D" w:themeColor="text2"/>
        </w:rPr>
        <w:t xml:space="preserve"> relatively straightforward and don’t warrant testing.  </w:t>
      </w:r>
    </w:p>
    <w:p w14:paraId="06262110" w14:textId="77777777" w:rsidR="00FE7FAE" w:rsidRPr="00A25024" w:rsidRDefault="00FE7FAE" w:rsidP="00DB3627">
      <w:pPr>
        <w:autoSpaceDE w:val="0"/>
        <w:autoSpaceDN w:val="0"/>
        <w:adjustRightInd w:val="0"/>
        <w:spacing w:after="0" w:line="240" w:lineRule="auto"/>
        <w:rPr>
          <w:rFonts w:cstheme="minorHAnsi"/>
          <w:bCs/>
        </w:rPr>
      </w:pPr>
    </w:p>
    <w:p w14:paraId="7FCF1769" w14:textId="77777777" w:rsidR="00FE7FAE"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A723C28" w14:textId="271C0DF6" w:rsidR="007422FD" w:rsidRDefault="00FE7FAE" w:rsidP="00092566">
      <w:pPr>
        <w:autoSpaceDE w:val="0"/>
        <w:autoSpaceDN w:val="0"/>
        <w:adjustRightInd w:val="0"/>
        <w:spacing w:after="0" w:line="240" w:lineRule="auto"/>
        <w:rPr>
          <w:rFonts w:cstheme="minorHAnsi"/>
          <w:bCs/>
        </w:rPr>
      </w:pPr>
      <w:r>
        <w:rPr>
          <w:rFonts w:cstheme="minorHAnsi"/>
          <w:bCs/>
          <w:color w:val="1F497D" w:themeColor="text2"/>
        </w:rPr>
        <w:t>Not applicable.</w:t>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6E78DA38" w14:textId="7C9811A5"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76082B4F" w14:textId="70E9F0CF" w:rsidR="00FE7FAE" w:rsidRPr="00A25024" w:rsidRDefault="00FE7FAE" w:rsidP="00DB3627">
      <w:pPr>
        <w:autoSpaceDE w:val="0"/>
        <w:autoSpaceDN w:val="0"/>
        <w:adjustRightInd w:val="0"/>
        <w:spacing w:after="0" w:line="240" w:lineRule="auto"/>
        <w:rPr>
          <w:rFonts w:cstheme="minorHAnsi"/>
          <w:bCs/>
        </w:rPr>
      </w:pPr>
      <w:r>
        <w:rPr>
          <w:rFonts w:cstheme="minorHAnsi"/>
          <w:bCs/>
          <w:color w:val="1F497D" w:themeColor="text2"/>
        </w:rPr>
        <w:t>Not applicable.</w:t>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22" w:name="section2b4"/>
      <w:bookmarkEnd w:id="2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77777777" w:rsidR="00033038" w:rsidRPr="005232D6" w:rsidRDefault="00F36BE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F36BE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6C37B5E5" w:rsidR="00743E46" w:rsidRPr="005232D6" w:rsidRDefault="00F36BE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CE620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b w:val="0"/>
            <w:color w:val="1F497D" w:themeColor="text2"/>
            <w:u w:val="none"/>
          </w:rPr>
          <w:id w:val="-52006544"/>
          <w:text/>
        </w:sdtPr>
        <w:sdtEndPr>
          <w:rPr>
            <w:rStyle w:val="DefaultParagraphFont"/>
            <w:rFonts w:asciiTheme="minorHAnsi" w:hAnsiTheme="minorHAnsi" w:cstheme="minorHAnsi"/>
            <w:b/>
            <w:bCs/>
          </w:rPr>
        </w:sdtEndPr>
        <w:sdtContent>
          <w:r w:rsidR="00FE7FAE" w:rsidRPr="00FE7FAE">
            <w:rPr>
              <w:rStyle w:val="Style4"/>
              <w:b w:val="0"/>
              <w:color w:val="1F497D" w:themeColor="text2"/>
              <w:u w:val="none"/>
            </w:rPr>
            <w:t>2</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F36BE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15BADFFF" w:rsidR="00092566"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3D2FF79A" w14:textId="0AA90A57" w:rsidR="00FE7FAE" w:rsidRPr="00A25024" w:rsidRDefault="00FE7FAE" w:rsidP="00092566">
      <w:pPr>
        <w:autoSpaceDE w:val="0"/>
        <w:autoSpaceDN w:val="0"/>
        <w:adjustRightInd w:val="0"/>
        <w:spacing w:after="0" w:line="240" w:lineRule="auto"/>
        <w:rPr>
          <w:rFonts w:cstheme="minorHAnsi"/>
          <w:bCs/>
        </w:rPr>
      </w:pPr>
      <w:r>
        <w:rPr>
          <w:rFonts w:cstheme="minorHAnsi"/>
          <w:bCs/>
          <w:color w:val="1F497D" w:themeColor="text2"/>
        </w:rPr>
        <w:t>Not applicable.</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66F435E7" w14:textId="77777777" w:rsidR="00FE7FAE" w:rsidRDefault="00092566" w:rsidP="00FE7FAE">
      <w:pPr>
        <w:spacing w:after="0" w:line="240" w:lineRule="auto"/>
        <w:rPr>
          <w:highlight w:val="yellow"/>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473EEA80" w14:textId="41C4C5A5" w:rsidR="00D23B1A" w:rsidRPr="00FE7FAE" w:rsidRDefault="00D23B1A" w:rsidP="00FE7FAE">
      <w:pPr>
        <w:spacing w:after="0" w:line="240" w:lineRule="auto"/>
        <w:rPr>
          <w:color w:val="1F497D" w:themeColor="text2"/>
        </w:rPr>
      </w:pPr>
      <w:r w:rsidRPr="00FE7FAE">
        <w:rPr>
          <w:color w:val="1F497D" w:themeColor="text2"/>
        </w:rPr>
        <w:t>Risk stratification was used rather than risk adjustment. Stratification was based on PACE site characteristics</w:t>
      </w:r>
      <w:r w:rsidRPr="00FE7FAE">
        <w:rPr>
          <w:rFonts w:cs="Arial"/>
          <w:color w:val="1F497D" w:themeColor="text2"/>
        </w:rPr>
        <w:t>, such as census and years in operation</w:t>
      </w:r>
      <w:r w:rsidRPr="00FE7FAE">
        <w:rPr>
          <w:color w:val="1F497D" w:themeColor="text2"/>
        </w:rPr>
        <w:t>. Because PACE participants are frail elderly in each site, they may be considered a single population, not requiring risk adjustment to account for different populations across PACE sites.</w:t>
      </w:r>
      <w:r w:rsidRPr="00FE7FAE">
        <w:rPr>
          <w:rFonts w:cs="Arial"/>
          <w:color w:val="1F497D" w:themeColor="text2"/>
        </w:rPr>
        <w:t xml:space="preserve"> Further data collection could result in additional risk stratification.</w:t>
      </w:r>
    </w:p>
    <w:p w14:paraId="53B6FC67" w14:textId="77777777" w:rsidR="00D23B1A" w:rsidRPr="00FE7FAE" w:rsidRDefault="00D23B1A" w:rsidP="00FE7FAE">
      <w:pPr>
        <w:keepNext/>
        <w:spacing w:after="0" w:line="240" w:lineRule="auto"/>
        <w:rPr>
          <w:color w:val="1F497D" w:themeColor="text2"/>
        </w:rPr>
      </w:pPr>
      <w:r w:rsidRPr="00FE7FAE">
        <w:rPr>
          <w:color w:val="1F497D" w:themeColor="text2"/>
        </w:rPr>
        <w:lastRenderedPageBreak/>
        <w:t>Two demographic variables—age and gender—were collected so that the potential for sociodemographic adjustment can be assessed.</w:t>
      </w:r>
    </w:p>
    <w:p w14:paraId="2DFDD555" w14:textId="77777777" w:rsidR="00D23B1A" w:rsidRPr="00FE7FAE" w:rsidRDefault="00D23B1A" w:rsidP="00FE7FAE">
      <w:pPr>
        <w:pStyle w:val="ListParagraph"/>
        <w:keepNext/>
        <w:numPr>
          <w:ilvl w:val="0"/>
          <w:numId w:val="32"/>
        </w:numPr>
        <w:spacing w:after="0" w:line="240" w:lineRule="auto"/>
        <w:contextualSpacing w:val="0"/>
        <w:jc w:val="both"/>
        <w:rPr>
          <w:color w:val="1F497D" w:themeColor="text2"/>
        </w:rPr>
      </w:pPr>
      <w:r w:rsidRPr="00FE7FAE">
        <w:rPr>
          <w:color w:val="1F497D" w:themeColor="text2"/>
        </w:rPr>
        <w:t>Age is defined as the participant age at the end of the reporting month. It is to be recorded in single years from 55 through 89. To comply with Health Insurance Portability and Accountability Act (HIPAA requirements), all participants aged 90 and above will be top coded at 90.</w:t>
      </w:r>
    </w:p>
    <w:p w14:paraId="4736A190" w14:textId="5C703943" w:rsidR="00092566" w:rsidRDefault="00D23B1A" w:rsidP="00FE7FAE">
      <w:pPr>
        <w:pStyle w:val="ListParagraph"/>
        <w:numPr>
          <w:ilvl w:val="0"/>
          <w:numId w:val="32"/>
        </w:numPr>
        <w:spacing w:after="0" w:line="240" w:lineRule="auto"/>
        <w:contextualSpacing w:val="0"/>
        <w:jc w:val="both"/>
        <w:rPr>
          <w:color w:val="1F497D" w:themeColor="text2"/>
        </w:rPr>
      </w:pPr>
      <w:r w:rsidRPr="00FE7FAE">
        <w:rPr>
          <w:color w:val="1F497D" w:themeColor="text2"/>
        </w:rPr>
        <w:t>Gender is to be classified as male or female.</w:t>
      </w:r>
    </w:p>
    <w:p w14:paraId="50178446" w14:textId="77777777" w:rsidR="00FE7FAE" w:rsidRPr="00FE7FAE" w:rsidRDefault="00FE7FAE" w:rsidP="00FE7FAE">
      <w:pPr>
        <w:pStyle w:val="ListParagraph"/>
        <w:spacing w:after="0" w:line="240" w:lineRule="auto"/>
        <w:contextualSpacing w:val="0"/>
        <w:jc w:val="both"/>
        <w:rPr>
          <w:color w:val="1F497D" w:themeColor="text2"/>
        </w:rPr>
      </w:pPr>
    </w:p>
    <w:p w14:paraId="208FCCE1" w14:textId="7B9A2F86" w:rsidR="00D23B1A" w:rsidRPr="00FE7FAE" w:rsidRDefault="00D23B1A" w:rsidP="00FE7FAE">
      <w:pPr>
        <w:autoSpaceDE w:val="0"/>
        <w:autoSpaceDN w:val="0"/>
        <w:adjustRightInd w:val="0"/>
        <w:spacing w:after="0" w:line="240" w:lineRule="auto"/>
        <w:rPr>
          <w:color w:val="1F497D" w:themeColor="text2"/>
        </w:rPr>
      </w:pPr>
      <w:r w:rsidRPr="00FE7FAE">
        <w:rPr>
          <w:color w:val="1F497D" w:themeColor="text2"/>
        </w:rPr>
        <w:t>We examined correlations among total fall rates and PACE site characteristics. Pearson product-moment correlation coefficient, or “</w:t>
      </w:r>
      <w:r w:rsidRPr="00FE7FAE">
        <w:rPr>
          <w:i/>
          <w:color w:val="1F497D" w:themeColor="text2"/>
        </w:rPr>
        <w:t>r</w:t>
      </w:r>
      <w:r w:rsidRPr="00FE7FAE">
        <w:rPr>
          <w:color w:val="1F497D" w:themeColor="text2"/>
        </w:rPr>
        <w:t xml:space="preserve">”, was used.  Pearson’s </w:t>
      </w:r>
      <w:r w:rsidRPr="00FE7FAE">
        <w:rPr>
          <w:i/>
          <w:color w:val="1F497D" w:themeColor="text2"/>
        </w:rPr>
        <w:t>r</w:t>
      </w:r>
      <w:r w:rsidRPr="00FE7FAE">
        <w:rPr>
          <w:color w:val="1F497D" w:themeColor="text2"/>
        </w:rPr>
        <w:t xml:space="preserve"> is a measure of the strength and direction of the linear relationship between two variables. To interpret the correlations between variables, we used the following parameters: </w:t>
      </w:r>
      <w:r w:rsidRPr="00FE7FAE">
        <w:rPr>
          <w:i/>
          <w:iCs/>
          <w:color w:val="1F497D" w:themeColor="text2"/>
        </w:rPr>
        <w:t>r</w:t>
      </w:r>
      <w:r w:rsidRPr="00FE7FAE">
        <w:rPr>
          <w:color w:val="1F497D" w:themeColor="text2"/>
        </w:rPr>
        <w:t xml:space="preserve"> = 0.80 or higher is a very strong relationship; </w:t>
      </w:r>
      <w:r w:rsidRPr="00FE7FAE">
        <w:rPr>
          <w:i/>
          <w:iCs/>
          <w:color w:val="1F497D" w:themeColor="text2"/>
        </w:rPr>
        <w:t>r</w:t>
      </w:r>
      <w:r w:rsidRPr="00FE7FAE">
        <w:rPr>
          <w:color w:val="1F497D" w:themeColor="text2"/>
        </w:rPr>
        <w:t xml:space="preserve"> = 0.60-0.79 is a strong relationship; </w:t>
      </w:r>
      <w:r w:rsidRPr="00FE7FAE">
        <w:rPr>
          <w:i/>
          <w:iCs/>
          <w:color w:val="1F497D" w:themeColor="text2"/>
        </w:rPr>
        <w:t>r</w:t>
      </w:r>
      <w:r w:rsidRPr="00FE7FAE">
        <w:rPr>
          <w:color w:val="1F497D" w:themeColor="text2"/>
        </w:rPr>
        <w:t xml:space="preserve"> = 0.40-0.59 is a moderate relationship; </w:t>
      </w:r>
      <w:r w:rsidRPr="00FE7FAE">
        <w:rPr>
          <w:i/>
          <w:iCs/>
          <w:color w:val="1F497D" w:themeColor="text2"/>
        </w:rPr>
        <w:t>r</w:t>
      </w:r>
      <w:r w:rsidRPr="00FE7FAE">
        <w:rPr>
          <w:color w:val="1F497D" w:themeColor="text2"/>
        </w:rPr>
        <w:t xml:space="preserve"> = 0.20-0.39 is a weak relationship; and </w:t>
      </w:r>
      <w:r w:rsidRPr="00FE7FAE">
        <w:rPr>
          <w:i/>
          <w:iCs/>
          <w:color w:val="1F497D" w:themeColor="text2"/>
        </w:rPr>
        <w:t>r</w:t>
      </w:r>
      <w:r w:rsidRPr="00FE7FAE">
        <w:rPr>
          <w:color w:val="1F497D" w:themeColor="text2"/>
        </w:rPr>
        <w:t xml:space="preserve"> &lt; 0.19 is a very weak relationship. </w:t>
      </w:r>
      <w:proofErr w:type="gramStart"/>
      <w:r w:rsidRPr="00FE7FAE">
        <w:rPr>
          <w:color w:val="1F497D" w:themeColor="text2"/>
        </w:rPr>
        <w:t>(Evans, 1996).</w:t>
      </w:r>
      <w:proofErr w:type="gramEnd"/>
    </w:p>
    <w:p w14:paraId="33A092F9" w14:textId="77777777" w:rsidR="00D23B1A" w:rsidRPr="00FE7FAE" w:rsidRDefault="00D23B1A" w:rsidP="00FE7FAE">
      <w:pPr>
        <w:autoSpaceDE w:val="0"/>
        <w:autoSpaceDN w:val="0"/>
        <w:adjustRightInd w:val="0"/>
        <w:spacing w:after="0" w:line="240" w:lineRule="auto"/>
        <w:rPr>
          <w:color w:val="1F497D" w:themeColor="text2"/>
        </w:rPr>
      </w:pPr>
    </w:p>
    <w:p w14:paraId="0D4E7698" w14:textId="77777777" w:rsidR="00FE7FAE" w:rsidRPr="00FE7FAE" w:rsidRDefault="00FE7FAE" w:rsidP="00FE7FAE">
      <w:pPr>
        <w:spacing w:after="0" w:line="240" w:lineRule="auto"/>
        <w:rPr>
          <w:rFonts w:eastAsia="Times New Roman" w:cs="Times New Roman"/>
          <w:color w:val="1F497D" w:themeColor="text2"/>
        </w:rPr>
      </w:pPr>
      <w:r w:rsidRPr="00FE7FAE">
        <w:rPr>
          <w:rFonts w:eastAsia="Times New Roman" w:cs="Times New Roman"/>
          <w:color w:val="1F497D" w:themeColor="text2"/>
        </w:rPr>
        <w:t>Citation:</w:t>
      </w:r>
    </w:p>
    <w:p w14:paraId="15E0E4C9" w14:textId="1628504E" w:rsidR="00001D73" w:rsidRDefault="00D23B1A" w:rsidP="00FE7FAE">
      <w:pPr>
        <w:spacing w:after="0" w:line="240" w:lineRule="auto"/>
        <w:rPr>
          <w:color w:val="1F497D" w:themeColor="text2"/>
        </w:rPr>
      </w:pPr>
      <w:r w:rsidRPr="00FE7FAE">
        <w:rPr>
          <w:rFonts w:eastAsia="Times New Roman" w:cs="Times New Roman"/>
          <w:color w:val="1F497D" w:themeColor="text2"/>
        </w:rPr>
        <w:t xml:space="preserve">Evans, J.D. (1996). </w:t>
      </w:r>
      <w:proofErr w:type="gramStart"/>
      <w:r w:rsidRPr="00FE7FAE">
        <w:rPr>
          <w:rFonts w:eastAsia="Times New Roman" w:cs="Times New Roman"/>
          <w:color w:val="1F497D" w:themeColor="text2"/>
        </w:rPr>
        <w:t>Straightforward statistics for the behavioral sciences.</w:t>
      </w:r>
      <w:proofErr w:type="gramEnd"/>
      <w:r w:rsidRPr="00FE7FAE">
        <w:rPr>
          <w:rFonts w:eastAsia="Times New Roman" w:cs="Times New Roman"/>
          <w:color w:val="1F497D" w:themeColor="text2"/>
        </w:rPr>
        <w:t xml:space="preserve"> Pacific Gro</w:t>
      </w:r>
      <w:r w:rsidRPr="00FE7FAE">
        <w:rPr>
          <w:color w:val="1F497D" w:themeColor="text2"/>
        </w:rPr>
        <w:t>ve, CA: Brooks/Cole Publishing.</w:t>
      </w:r>
    </w:p>
    <w:p w14:paraId="313A4055" w14:textId="77777777" w:rsidR="00FE7FAE" w:rsidRPr="00FE7FAE" w:rsidRDefault="00FE7FAE" w:rsidP="00FE7FAE">
      <w:pPr>
        <w:spacing w:after="0" w:line="240" w:lineRule="auto"/>
        <w:rPr>
          <w:rFonts w:eastAsia="Times New Roman" w:cs="Times New Roman"/>
          <w:color w:val="1F497D" w:themeColor="text2"/>
        </w:rPr>
      </w:pPr>
    </w:p>
    <w:p w14:paraId="1B52C3E8" w14:textId="77777777" w:rsidR="001359A3" w:rsidRDefault="00092566" w:rsidP="00001D73">
      <w:pPr>
        <w:autoSpaceDE w:val="0"/>
        <w:autoSpaceDN w:val="0"/>
        <w:adjustRightInd w:val="0"/>
        <w:spacing w:after="0" w:line="240" w:lineRule="auto"/>
        <w:rPr>
          <w:rFonts w:cstheme="minorHAnsi"/>
          <w:bCs/>
          <w:color w:val="1F497D" w:themeColor="text2"/>
        </w:rPr>
      </w:pPr>
      <w:r w:rsidRPr="00FE7FAE">
        <w:rPr>
          <w:rFonts w:cstheme="minorHAnsi"/>
          <w:b/>
          <w:bCs/>
        </w:rPr>
        <w:t>2b4.4</w:t>
      </w:r>
      <w:r w:rsidR="00193F21" w:rsidRPr="00FE7FAE">
        <w:rPr>
          <w:rFonts w:cstheme="minorHAnsi"/>
          <w:b/>
          <w:bCs/>
        </w:rPr>
        <w:t>a</w:t>
      </w:r>
      <w:r w:rsidRPr="00FE7FAE">
        <w:rPr>
          <w:rFonts w:cstheme="minorHAnsi"/>
          <w:b/>
          <w:bCs/>
        </w:rPr>
        <w:t xml:space="preserve">. </w:t>
      </w:r>
      <w:proofErr w:type="gramStart"/>
      <w:r w:rsidRPr="00FE7FAE">
        <w:rPr>
          <w:rFonts w:cstheme="minorHAnsi"/>
          <w:b/>
          <w:bCs/>
        </w:rPr>
        <w:t>What</w:t>
      </w:r>
      <w:proofErr w:type="gramEnd"/>
      <w:r w:rsidRPr="00FE7FAE">
        <w:rPr>
          <w:rFonts w:cstheme="minorHAnsi"/>
          <w:b/>
          <w:bCs/>
        </w:rPr>
        <w:t xml:space="preserve"> were the statistical results of the analyses used to select risk factors?</w:t>
      </w:r>
      <w:r w:rsidR="00001D73" w:rsidRPr="00FE7FAE">
        <w:rPr>
          <w:rFonts w:cstheme="minorHAnsi"/>
          <w:b/>
          <w:bCs/>
        </w:rPr>
        <w:br/>
      </w:r>
    </w:p>
    <w:p w14:paraId="58745CB7" w14:textId="513267C8" w:rsidR="00D23B1A" w:rsidRDefault="001359A3" w:rsidP="00001D73">
      <w:pPr>
        <w:autoSpaceDE w:val="0"/>
        <w:autoSpaceDN w:val="0"/>
        <w:adjustRightInd w:val="0"/>
        <w:spacing w:after="0" w:line="240" w:lineRule="auto"/>
        <w:rPr>
          <w:rFonts w:cstheme="minorHAnsi"/>
          <w:bCs/>
          <w:color w:val="1F497D" w:themeColor="text2"/>
        </w:rPr>
      </w:pPr>
      <w:r>
        <w:rPr>
          <w:rFonts w:cstheme="minorHAnsi"/>
          <w:bCs/>
          <w:color w:val="1F497D" w:themeColor="text2"/>
        </w:rPr>
        <w:t>Table 2 shows that characteristics of participants with falls, and total number of falls per participant.</w:t>
      </w:r>
    </w:p>
    <w:p w14:paraId="2A85274E" w14:textId="77777777" w:rsidR="001359A3" w:rsidRPr="001359A3" w:rsidRDefault="001359A3" w:rsidP="00001D73">
      <w:pPr>
        <w:autoSpaceDE w:val="0"/>
        <w:autoSpaceDN w:val="0"/>
        <w:adjustRightInd w:val="0"/>
        <w:spacing w:after="0" w:line="240" w:lineRule="auto"/>
        <w:rPr>
          <w:rFonts w:cstheme="minorHAnsi"/>
          <w:bCs/>
          <w:color w:val="1F497D" w:themeColor="text2"/>
        </w:rPr>
      </w:pPr>
    </w:p>
    <w:p w14:paraId="7635399E" w14:textId="77777777" w:rsidR="00D23B1A" w:rsidRPr="001359A3" w:rsidRDefault="00D23B1A" w:rsidP="001359A3">
      <w:pPr>
        <w:pStyle w:val="TableCaption"/>
        <w:rPr>
          <w:sz w:val="22"/>
          <w:szCs w:val="22"/>
        </w:rPr>
      </w:pPr>
      <w:r w:rsidRPr="001359A3">
        <w:rPr>
          <w:sz w:val="22"/>
          <w:szCs w:val="22"/>
        </w:rPr>
        <w:t xml:space="preserve">Table </w:t>
      </w:r>
      <w:r w:rsidRPr="001359A3">
        <w:rPr>
          <w:sz w:val="22"/>
          <w:szCs w:val="22"/>
        </w:rPr>
        <w:fldChar w:fldCharType="begin"/>
      </w:r>
      <w:r w:rsidRPr="001359A3">
        <w:rPr>
          <w:sz w:val="22"/>
          <w:szCs w:val="22"/>
        </w:rPr>
        <w:instrText xml:space="preserve"> SEQ Table \* ARABIC </w:instrText>
      </w:r>
      <w:r w:rsidRPr="001359A3">
        <w:rPr>
          <w:sz w:val="22"/>
          <w:szCs w:val="22"/>
        </w:rPr>
        <w:fldChar w:fldCharType="separate"/>
      </w:r>
      <w:r w:rsidRPr="001359A3">
        <w:rPr>
          <w:noProof/>
          <w:sz w:val="22"/>
          <w:szCs w:val="22"/>
        </w:rPr>
        <w:t>2</w:t>
      </w:r>
      <w:r w:rsidRPr="001359A3">
        <w:rPr>
          <w:noProof/>
          <w:sz w:val="22"/>
          <w:szCs w:val="22"/>
        </w:rPr>
        <w:fldChar w:fldCharType="end"/>
      </w:r>
      <w:r w:rsidRPr="001359A3">
        <w:rPr>
          <w:sz w:val="22"/>
          <w:szCs w:val="22"/>
        </w:rPr>
        <w:t xml:space="preserve">: Characteristics of Participants </w:t>
      </w:r>
      <w:proofErr w:type="gramStart"/>
      <w:r w:rsidRPr="001359A3">
        <w:rPr>
          <w:sz w:val="22"/>
          <w:szCs w:val="22"/>
        </w:rPr>
        <w:t>With</w:t>
      </w:r>
      <w:proofErr w:type="gramEnd"/>
      <w:r w:rsidRPr="001359A3">
        <w:rPr>
          <w:sz w:val="22"/>
          <w:szCs w:val="22"/>
        </w:rPr>
        <w:t xml:space="preserve"> Falls and Characteristics of Falls</w:t>
      </w:r>
    </w:p>
    <w:tbl>
      <w:tblPr>
        <w:tblStyle w:val="EconometricaTableStyle"/>
        <w:tblW w:w="9360" w:type="dxa"/>
        <w:tblLayout w:type="fixed"/>
        <w:tblLook w:val="04A0" w:firstRow="1" w:lastRow="0" w:firstColumn="1" w:lastColumn="0" w:noHBand="0" w:noVBand="1"/>
      </w:tblPr>
      <w:tblGrid>
        <w:gridCol w:w="4995"/>
        <w:gridCol w:w="2538"/>
        <w:gridCol w:w="1827"/>
      </w:tblGrid>
      <w:tr w:rsidR="00D23B1A" w:rsidRPr="00FE7FAE" w14:paraId="4D7C6BFA" w14:textId="77777777" w:rsidTr="00FE7FAE">
        <w:trPr>
          <w:cnfStyle w:val="100000000000" w:firstRow="1" w:lastRow="0" w:firstColumn="0" w:lastColumn="0" w:oddVBand="0" w:evenVBand="0" w:oddHBand="0" w:evenHBand="0" w:firstRowFirstColumn="0" w:firstRowLastColumn="0" w:lastRowFirstColumn="0" w:lastRowLastColumn="0"/>
        </w:trPr>
        <w:tc>
          <w:tcPr>
            <w:tcW w:w="4995" w:type="dxa"/>
            <w:noWrap/>
            <w:hideMark/>
          </w:tcPr>
          <w:p w14:paraId="72F05231" w14:textId="77777777" w:rsidR="00D23B1A" w:rsidRPr="001359A3" w:rsidRDefault="00D23B1A" w:rsidP="00D23B1A">
            <w:pPr>
              <w:pStyle w:val="TableColumnHeading"/>
              <w:rPr>
                <w:rFonts w:cs="Arial"/>
                <w:color w:val="auto"/>
                <w:sz w:val="22"/>
                <w:szCs w:val="22"/>
              </w:rPr>
            </w:pPr>
            <w:r w:rsidRPr="001359A3">
              <w:rPr>
                <w:rFonts w:cs="Arial"/>
                <w:color w:val="auto"/>
                <w:sz w:val="22"/>
                <w:szCs w:val="22"/>
              </w:rPr>
              <w:t>Participant-Level Characteristic (</w:t>
            </w:r>
            <w:r w:rsidRPr="001359A3">
              <w:rPr>
                <w:rFonts w:cs="Arial"/>
                <w:i/>
                <w:color w:val="auto"/>
                <w:sz w:val="22"/>
                <w:szCs w:val="22"/>
              </w:rPr>
              <w:t>n</w:t>
            </w:r>
            <w:r w:rsidRPr="001359A3">
              <w:rPr>
                <w:rFonts w:cs="Arial"/>
                <w:color w:val="auto"/>
                <w:sz w:val="22"/>
                <w:szCs w:val="22"/>
              </w:rPr>
              <w:t> = 587)</w:t>
            </w:r>
          </w:p>
        </w:tc>
        <w:tc>
          <w:tcPr>
            <w:tcW w:w="4365" w:type="dxa"/>
            <w:gridSpan w:val="2"/>
            <w:noWrap/>
            <w:hideMark/>
          </w:tcPr>
          <w:p w14:paraId="088E1305" w14:textId="77777777" w:rsidR="00D23B1A" w:rsidRPr="001359A3" w:rsidRDefault="00D23B1A" w:rsidP="00D23B1A">
            <w:pPr>
              <w:pStyle w:val="TableColumnHeading"/>
              <w:rPr>
                <w:rFonts w:cs="Arial"/>
                <w:color w:val="auto"/>
                <w:sz w:val="22"/>
                <w:szCs w:val="22"/>
              </w:rPr>
            </w:pPr>
            <w:r w:rsidRPr="001359A3">
              <w:rPr>
                <w:rFonts w:cs="Arial"/>
                <w:color w:val="auto"/>
                <w:sz w:val="22"/>
                <w:szCs w:val="22"/>
              </w:rPr>
              <w:t>Summary Statistics</w:t>
            </w:r>
          </w:p>
        </w:tc>
      </w:tr>
      <w:tr w:rsidR="00D23B1A" w:rsidRPr="00FE7FAE" w14:paraId="6A6FCDF7" w14:textId="77777777" w:rsidTr="00FE7FAE">
        <w:trPr>
          <w:cnfStyle w:val="000000100000" w:firstRow="0" w:lastRow="0" w:firstColumn="0" w:lastColumn="0" w:oddVBand="0" w:evenVBand="0" w:oddHBand="1" w:evenHBand="0" w:firstRowFirstColumn="0" w:firstRowLastColumn="0" w:lastRowFirstColumn="0" w:lastRowLastColumn="0"/>
        </w:trPr>
        <w:tc>
          <w:tcPr>
            <w:tcW w:w="4995" w:type="dxa"/>
            <w:hideMark/>
          </w:tcPr>
          <w:p w14:paraId="39472266"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Age (years)</w:t>
            </w:r>
          </w:p>
        </w:tc>
        <w:tc>
          <w:tcPr>
            <w:tcW w:w="2538" w:type="dxa"/>
            <w:hideMark/>
          </w:tcPr>
          <w:p w14:paraId="78FF6EF4"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 xml:space="preserve">Mean (SD) </w:t>
            </w:r>
          </w:p>
          <w:p w14:paraId="7A5086EA"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Median (Min Max)</w:t>
            </w:r>
          </w:p>
        </w:tc>
        <w:tc>
          <w:tcPr>
            <w:tcW w:w="1827" w:type="dxa"/>
          </w:tcPr>
          <w:p w14:paraId="7E54BE02"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77.54 (10.20)</w:t>
            </w:r>
          </w:p>
          <w:p w14:paraId="140A4E70"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79 (56, 99)</w:t>
            </w:r>
          </w:p>
        </w:tc>
      </w:tr>
      <w:tr w:rsidR="00D23B1A" w:rsidRPr="00FE7FAE" w14:paraId="26C8A5B3" w14:textId="77777777" w:rsidTr="00FE7FAE">
        <w:tc>
          <w:tcPr>
            <w:tcW w:w="4995" w:type="dxa"/>
            <w:hideMark/>
          </w:tcPr>
          <w:p w14:paraId="5E3D6E2C"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 xml:space="preserve">Gender </w:t>
            </w:r>
          </w:p>
        </w:tc>
        <w:tc>
          <w:tcPr>
            <w:tcW w:w="2538" w:type="dxa"/>
            <w:hideMark/>
          </w:tcPr>
          <w:p w14:paraId="75B867F8"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Male</w:t>
            </w:r>
          </w:p>
          <w:p w14:paraId="3E799B11"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 xml:space="preserve">Female </w:t>
            </w:r>
          </w:p>
        </w:tc>
        <w:tc>
          <w:tcPr>
            <w:tcW w:w="1827" w:type="dxa"/>
          </w:tcPr>
          <w:p w14:paraId="5A3EAC52"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178 (30.32%)</w:t>
            </w:r>
          </w:p>
          <w:p w14:paraId="3165BB21"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409 (69.68%)</w:t>
            </w:r>
          </w:p>
        </w:tc>
      </w:tr>
      <w:tr w:rsidR="00D23B1A" w:rsidRPr="00FE7FAE" w14:paraId="500F4C88" w14:textId="77777777" w:rsidTr="00FE7FAE">
        <w:trPr>
          <w:cnfStyle w:val="000000100000" w:firstRow="0" w:lastRow="0" w:firstColumn="0" w:lastColumn="0" w:oddVBand="0" w:evenVBand="0" w:oddHBand="1" w:evenHBand="0" w:firstRowFirstColumn="0" w:firstRowLastColumn="0" w:lastRowFirstColumn="0" w:lastRowLastColumn="0"/>
        </w:trPr>
        <w:tc>
          <w:tcPr>
            <w:tcW w:w="4995" w:type="dxa"/>
            <w:hideMark/>
          </w:tcPr>
          <w:p w14:paraId="7A898D27"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 xml:space="preserve">Total number of falls in March 2015 </w:t>
            </w:r>
          </w:p>
        </w:tc>
        <w:tc>
          <w:tcPr>
            <w:tcW w:w="2538" w:type="dxa"/>
            <w:hideMark/>
          </w:tcPr>
          <w:p w14:paraId="09F91C2A"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Mean (SD)</w:t>
            </w:r>
          </w:p>
          <w:p w14:paraId="34BA28A3"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Median (Min Max)</w:t>
            </w:r>
          </w:p>
          <w:p w14:paraId="64B5C397"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0</w:t>
            </w:r>
          </w:p>
          <w:p w14:paraId="2C1D518C"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1</w:t>
            </w:r>
          </w:p>
          <w:p w14:paraId="7BCE2B97" w14:textId="77777777" w:rsidR="00D23B1A" w:rsidRPr="001359A3" w:rsidRDefault="00D23B1A" w:rsidP="00D23B1A">
            <w:pPr>
              <w:pStyle w:val="TableCellText"/>
              <w:keepNext/>
              <w:rPr>
                <w:rFonts w:asciiTheme="minorHAnsi" w:hAnsiTheme="minorHAnsi"/>
                <w:sz w:val="22"/>
                <w:szCs w:val="22"/>
              </w:rPr>
            </w:pPr>
            <w:r w:rsidRPr="001359A3">
              <w:rPr>
                <w:rFonts w:asciiTheme="minorHAnsi" w:hAnsiTheme="minorHAnsi"/>
                <w:sz w:val="22"/>
                <w:szCs w:val="22"/>
              </w:rPr>
              <w:t>2+</w:t>
            </w:r>
          </w:p>
        </w:tc>
        <w:tc>
          <w:tcPr>
            <w:tcW w:w="1827" w:type="dxa"/>
          </w:tcPr>
          <w:p w14:paraId="2F6B47DA"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1.25 (0.64)</w:t>
            </w:r>
          </w:p>
          <w:p w14:paraId="41B043BF"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1 (1, 6)</w:t>
            </w:r>
          </w:p>
          <w:p w14:paraId="2223D027"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0 (0.00%)</w:t>
            </w:r>
          </w:p>
          <w:p w14:paraId="52F532DF"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483 (82.30%)</w:t>
            </w:r>
          </w:p>
          <w:p w14:paraId="23AD7286" w14:textId="77777777" w:rsidR="00D23B1A" w:rsidRPr="001359A3" w:rsidRDefault="00D23B1A" w:rsidP="00D23B1A">
            <w:pPr>
              <w:pStyle w:val="TableCellNumbers"/>
              <w:keepNext/>
              <w:rPr>
                <w:rFonts w:asciiTheme="minorHAnsi" w:hAnsiTheme="minorHAnsi"/>
                <w:sz w:val="22"/>
                <w:szCs w:val="22"/>
              </w:rPr>
            </w:pPr>
            <w:r w:rsidRPr="001359A3">
              <w:rPr>
                <w:rFonts w:asciiTheme="minorHAnsi" w:hAnsiTheme="minorHAnsi"/>
                <w:sz w:val="22"/>
                <w:szCs w:val="22"/>
              </w:rPr>
              <w:t>104 (17.70%)</w:t>
            </w:r>
          </w:p>
        </w:tc>
      </w:tr>
    </w:tbl>
    <w:p w14:paraId="0315CBB9" w14:textId="77777777" w:rsidR="00D23B1A" w:rsidRPr="00FE7FAE" w:rsidRDefault="00D23B1A" w:rsidP="00001D73">
      <w:pPr>
        <w:autoSpaceDE w:val="0"/>
        <w:autoSpaceDN w:val="0"/>
        <w:adjustRightInd w:val="0"/>
        <w:spacing w:after="0" w:line="240" w:lineRule="auto"/>
        <w:rPr>
          <w:rFonts w:cstheme="minorHAnsi"/>
          <w:bCs/>
        </w:rPr>
      </w:pPr>
    </w:p>
    <w:p w14:paraId="6CED9BE3" w14:textId="4DBBE136" w:rsidR="00022B0C" w:rsidRPr="00FE7FAE" w:rsidRDefault="00D23B1A" w:rsidP="00FE7FAE">
      <w:pPr>
        <w:autoSpaceDE w:val="0"/>
        <w:autoSpaceDN w:val="0"/>
        <w:adjustRightInd w:val="0"/>
        <w:spacing w:after="0" w:line="240" w:lineRule="auto"/>
        <w:rPr>
          <w:color w:val="1F497D" w:themeColor="text2"/>
        </w:rPr>
      </w:pPr>
      <w:r w:rsidRPr="00FE7FAE">
        <w:rPr>
          <w:color w:val="1F497D" w:themeColor="text2"/>
        </w:rPr>
        <w:t xml:space="preserve">Figure </w:t>
      </w:r>
      <w:r w:rsidR="00022B0C" w:rsidRPr="00FE7FAE">
        <w:rPr>
          <w:color w:val="1F497D" w:themeColor="text2"/>
        </w:rPr>
        <w:t>1</w:t>
      </w:r>
      <w:r w:rsidRPr="00FE7FAE">
        <w:rPr>
          <w:color w:val="1F497D" w:themeColor="text2"/>
        </w:rPr>
        <w:t xml:space="preserve"> shows the correlations between total fall rate and the mean age of PACE site participants. Figure </w:t>
      </w:r>
      <w:r w:rsidR="00022B0C" w:rsidRPr="00FE7FAE">
        <w:rPr>
          <w:color w:val="1F497D" w:themeColor="text2"/>
        </w:rPr>
        <w:t>2</w:t>
      </w:r>
      <w:r w:rsidRPr="00FE7FAE">
        <w:rPr>
          <w:color w:val="1F497D" w:themeColor="text2"/>
        </w:rPr>
        <w:t xml:space="preserve"> shows the correlation between total fall rate and the mean proportion of males by PACE site. Both PACE-site participant characteristics had a very weak cor</w:t>
      </w:r>
      <w:r w:rsidR="00FE7FAE" w:rsidRPr="00FE7FAE">
        <w:rPr>
          <w:color w:val="1F497D" w:themeColor="text2"/>
        </w:rPr>
        <w:t>relation with total fall rates.</w:t>
      </w:r>
    </w:p>
    <w:p w14:paraId="3BBBBB32" w14:textId="77777777" w:rsidR="00FE7FAE" w:rsidRDefault="00FE7FAE" w:rsidP="00FE7FAE">
      <w:pPr>
        <w:pStyle w:val="Caption"/>
        <w:spacing w:after="0"/>
        <w:rPr>
          <w:rStyle w:val="FigureCaptionChar"/>
          <w:sz w:val="22"/>
          <w:szCs w:val="22"/>
        </w:rPr>
      </w:pPr>
    </w:p>
    <w:p w14:paraId="5D7CB054" w14:textId="77777777" w:rsidR="00FE7FAE" w:rsidRDefault="00D23B1A" w:rsidP="00FE7FAE">
      <w:pPr>
        <w:pStyle w:val="Caption"/>
        <w:spacing w:after="0"/>
        <w:rPr>
          <w:rFonts w:cs="Arial"/>
          <w:b w:val="0"/>
          <w:color w:val="auto"/>
          <w:sz w:val="22"/>
          <w:szCs w:val="22"/>
        </w:rPr>
      </w:pPr>
      <w:r w:rsidRPr="00FE7FAE">
        <w:rPr>
          <w:rStyle w:val="FigureCaptionChar"/>
          <w:sz w:val="22"/>
          <w:szCs w:val="22"/>
        </w:rPr>
        <w:t xml:space="preserve">Figure </w:t>
      </w:r>
      <w:r w:rsidRPr="00FE7FAE">
        <w:rPr>
          <w:rStyle w:val="FigureCaptionChar"/>
          <w:sz w:val="22"/>
          <w:szCs w:val="22"/>
        </w:rPr>
        <w:fldChar w:fldCharType="begin"/>
      </w:r>
      <w:r w:rsidRPr="00FE7FAE">
        <w:rPr>
          <w:rStyle w:val="FigureCaptionChar"/>
          <w:sz w:val="22"/>
          <w:szCs w:val="22"/>
        </w:rPr>
        <w:instrText xml:space="preserve"> SEQ Figure \* ARABIC </w:instrText>
      </w:r>
      <w:r w:rsidRPr="00FE7FAE">
        <w:rPr>
          <w:rStyle w:val="FigureCaptionChar"/>
          <w:sz w:val="22"/>
          <w:szCs w:val="22"/>
        </w:rPr>
        <w:fldChar w:fldCharType="separate"/>
      </w:r>
      <w:r w:rsidRPr="00FE7FAE">
        <w:rPr>
          <w:rStyle w:val="FigureCaptionChar"/>
          <w:sz w:val="22"/>
          <w:szCs w:val="22"/>
        </w:rPr>
        <w:t>1</w:t>
      </w:r>
      <w:r w:rsidRPr="00FE7FAE">
        <w:rPr>
          <w:rStyle w:val="FigureCaptionChar"/>
          <w:sz w:val="22"/>
          <w:szCs w:val="22"/>
        </w:rPr>
        <w:fldChar w:fldCharType="end"/>
      </w:r>
      <w:r w:rsidRPr="00FE7FAE">
        <w:rPr>
          <w:rStyle w:val="FigureCaptionChar"/>
          <w:sz w:val="22"/>
          <w:szCs w:val="22"/>
        </w:rPr>
        <w:t>: Correlation Between Total Fall Rates and Mean Age (r= 0.08, n=32)</w:t>
      </w:r>
      <w:r w:rsidR="00022B0C" w:rsidRPr="00FE7FAE">
        <w:rPr>
          <w:rStyle w:val="FigureCaptionChar"/>
          <w:sz w:val="22"/>
          <w:szCs w:val="22"/>
        </w:rPr>
        <w:t>.</w:t>
      </w:r>
      <w:r w:rsidR="00022B0C" w:rsidRPr="00FE7FAE">
        <w:rPr>
          <w:color w:val="auto"/>
          <w:sz w:val="22"/>
          <w:szCs w:val="22"/>
        </w:rPr>
        <w:t xml:space="preserve"> </w:t>
      </w:r>
    </w:p>
    <w:p w14:paraId="0E2EC061" w14:textId="13856D18" w:rsidR="00D23B1A" w:rsidRPr="00FE7FAE" w:rsidRDefault="00022B0C" w:rsidP="00FE7FAE">
      <w:pPr>
        <w:pStyle w:val="Caption"/>
        <w:spacing w:after="0"/>
        <w:rPr>
          <w:color w:val="1F497D" w:themeColor="text2"/>
          <w:sz w:val="22"/>
          <w:szCs w:val="22"/>
        </w:rPr>
      </w:pPr>
      <w:r w:rsidRPr="00FE7FAE">
        <w:rPr>
          <w:rFonts w:cs="Arial"/>
          <w:b w:val="0"/>
          <w:color w:val="1F497D" w:themeColor="text2"/>
          <w:sz w:val="22"/>
          <w:szCs w:val="22"/>
        </w:rPr>
        <w:t>Mean age was calculated by site-level mean age of participants having falls.</w:t>
      </w:r>
    </w:p>
    <w:p w14:paraId="3296F0BA" w14:textId="77777777" w:rsidR="00D23B1A" w:rsidRPr="00FE7FAE" w:rsidRDefault="00D23B1A" w:rsidP="00D23B1A">
      <w:pPr>
        <w:spacing w:after="0"/>
        <w:jc w:val="center"/>
      </w:pPr>
      <w:r w:rsidRPr="00FE7FAE">
        <w:rPr>
          <w:noProof/>
        </w:rPr>
        <w:lastRenderedPageBreak/>
        <w:drawing>
          <wp:inline distT="0" distB="0" distL="0" distR="0" wp14:anchorId="17B202BC" wp14:editId="231FA610">
            <wp:extent cx="4002124" cy="29260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2124" cy="2926080"/>
                    </a:xfrm>
                    <a:prstGeom prst="rect">
                      <a:avLst/>
                    </a:prstGeom>
                    <a:noFill/>
                    <a:ln>
                      <a:noFill/>
                    </a:ln>
                  </pic:spPr>
                </pic:pic>
              </a:graphicData>
            </a:graphic>
          </wp:inline>
        </w:drawing>
      </w:r>
    </w:p>
    <w:p w14:paraId="3A7AE50D" w14:textId="53CB7744" w:rsidR="00D23B1A" w:rsidRPr="001359A3" w:rsidRDefault="00D23B1A" w:rsidP="00022B0C">
      <w:pPr>
        <w:spacing w:after="0"/>
        <w:ind w:left="1440"/>
        <w:rPr>
          <w:rFonts w:cs="Arial"/>
          <w:color w:val="1F497D" w:themeColor="text2"/>
        </w:rPr>
      </w:pPr>
      <w:r w:rsidRPr="001359A3">
        <w:rPr>
          <w:rFonts w:cs="Arial"/>
          <w:color w:val="1F497D" w:themeColor="text2"/>
        </w:rPr>
        <w:t>Note: One PACE site excluded from scatterplot because of outlier data.</w:t>
      </w:r>
    </w:p>
    <w:p w14:paraId="3AAD635E" w14:textId="77777777" w:rsidR="00CE620D" w:rsidRPr="00FE7FAE" w:rsidRDefault="00CE620D" w:rsidP="00001D73">
      <w:pPr>
        <w:autoSpaceDE w:val="0"/>
        <w:autoSpaceDN w:val="0"/>
        <w:adjustRightInd w:val="0"/>
        <w:spacing w:after="0" w:line="240" w:lineRule="auto"/>
        <w:rPr>
          <w:rFonts w:cstheme="minorHAnsi"/>
          <w:b/>
          <w:bCs/>
        </w:rPr>
      </w:pPr>
    </w:p>
    <w:p w14:paraId="67C06CB3" w14:textId="1115D918" w:rsidR="00022B0C" w:rsidRPr="00FE7FAE" w:rsidRDefault="00022B0C" w:rsidP="00022B0C">
      <w:pPr>
        <w:pStyle w:val="Caption"/>
        <w:rPr>
          <w:color w:val="auto"/>
          <w:sz w:val="22"/>
          <w:szCs w:val="22"/>
        </w:rPr>
      </w:pPr>
      <w:r w:rsidRPr="00FE7FAE">
        <w:rPr>
          <w:rStyle w:val="FigureCaptionChar"/>
          <w:sz w:val="22"/>
          <w:szCs w:val="22"/>
        </w:rPr>
        <w:t xml:space="preserve">Figure </w:t>
      </w:r>
      <w:r w:rsidRPr="00FE7FAE">
        <w:rPr>
          <w:rStyle w:val="FigureCaptionChar"/>
          <w:sz w:val="22"/>
          <w:szCs w:val="22"/>
        </w:rPr>
        <w:fldChar w:fldCharType="begin"/>
      </w:r>
      <w:r w:rsidRPr="00FE7FAE">
        <w:rPr>
          <w:rStyle w:val="FigureCaptionChar"/>
          <w:sz w:val="22"/>
          <w:szCs w:val="22"/>
        </w:rPr>
        <w:instrText xml:space="preserve"> SEQ Figure \* ARABIC </w:instrText>
      </w:r>
      <w:r w:rsidRPr="00FE7FAE">
        <w:rPr>
          <w:rStyle w:val="FigureCaptionChar"/>
          <w:sz w:val="22"/>
          <w:szCs w:val="22"/>
        </w:rPr>
        <w:fldChar w:fldCharType="separate"/>
      </w:r>
      <w:r w:rsidRPr="00FE7FAE">
        <w:rPr>
          <w:rStyle w:val="FigureCaptionChar"/>
          <w:sz w:val="22"/>
          <w:szCs w:val="22"/>
        </w:rPr>
        <w:t>2</w:t>
      </w:r>
      <w:r w:rsidRPr="00FE7FAE">
        <w:rPr>
          <w:rStyle w:val="FigureCaptionChar"/>
          <w:sz w:val="22"/>
          <w:szCs w:val="22"/>
        </w:rPr>
        <w:fldChar w:fldCharType="end"/>
      </w:r>
      <w:r w:rsidRPr="00FE7FAE">
        <w:rPr>
          <w:rStyle w:val="FigureCaptionChar"/>
          <w:sz w:val="22"/>
          <w:szCs w:val="22"/>
        </w:rPr>
        <w:t xml:space="preserve">: Correlation Between Total Fall Rates and Mean Proportion of Male (r = –0.14, n = 32). </w:t>
      </w:r>
      <w:r w:rsidRPr="001359A3">
        <w:rPr>
          <w:rFonts w:cs="Arial"/>
          <w:b w:val="0"/>
          <w:color w:val="1F497D" w:themeColor="text2"/>
          <w:sz w:val="22"/>
          <w:szCs w:val="22"/>
        </w:rPr>
        <w:t>Mean proportion of male was calculated by site-level mean proportion of males having falls. Negative correlation indicates that sites having more males with falls were likely to have lower rates of total falls.</w:t>
      </w:r>
    </w:p>
    <w:p w14:paraId="5C170DCE" w14:textId="77777777" w:rsidR="00022B0C" w:rsidRPr="00FE7FAE" w:rsidRDefault="00022B0C" w:rsidP="00022B0C">
      <w:pPr>
        <w:spacing w:after="0"/>
        <w:jc w:val="center"/>
      </w:pPr>
      <w:r w:rsidRPr="00FE7FAE">
        <w:rPr>
          <w:noProof/>
        </w:rPr>
        <w:drawing>
          <wp:inline distT="0" distB="0" distL="0" distR="0" wp14:anchorId="397DAC0D" wp14:editId="253E3EAC">
            <wp:extent cx="4002121" cy="29260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2121" cy="2926080"/>
                    </a:xfrm>
                    <a:prstGeom prst="rect">
                      <a:avLst/>
                    </a:prstGeom>
                    <a:noFill/>
                    <a:ln>
                      <a:noFill/>
                    </a:ln>
                  </pic:spPr>
                </pic:pic>
              </a:graphicData>
            </a:graphic>
          </wp:inline>
        </w:drawing>
      </w:r>
    </w:p>
    <w:p w14:paraId="7EF93546" w14:textId="019969AD" w:rsidR="00022B0C" w:rsidRPr="001359A3" w:rsidRDefault="00022B0C" w:rsidP="00022B0C">
      <w:pPr>
        <w:spacing w:after="0"/>
        <w:ind w:left="1440" w:right="1440"/>
        <w:rPr>
          <w:rFonts w:cs="Arial"/>
        </w:rPr>
      </w:pPr>
      <w:r w:rsidRPr="001359A3">
        <w:rPr>
          <w:rFonts w:cs="Arial"/>
          <w:color w:val="1F497D" w:themeColor="text2"/>
        </w:rPr>
        <w:t>Note: One PACE site excluded from scatterplot because of outlier data</w:t>
      </w:r>
      <w:r w:rsidRPr="001359A3">
        <w:rPr>
          <w:rFonts w:cs="Arial"/>
        </w:rPr>
        <w:t>.</w:t>
      </w:r>
    </w:p>
    <w:p w14:paraId="168F9493" w14:textId="77777777" w:rsidR="00022B0C" w:rsidRDefault="00022B0C" w:rsidP="00001D73">
      <w:pPr>
        <w:autoSpaceDE w:val="0"/>
        <w:autoSpaceDN w:val="0"/>
        <w:adjustRightInd w:val="0"/>
        <w:spacing w:after="0" w:line="240" w:lineRule="auto"/>
        <w:rPr>
          <w:rFonts w:cstheme="minorHAnsi"/>
          <w:b/>
          <w:bCs/>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3049CE79" w14:textId="77777777" w:rsidR="00FE7FAE" w:rsidRPr="00FE7FAE" w:rsidRDefault="00FE7FAE" w:rsidP="00FE7FAE">
      <w:pPr>
        <w:spacing w:after="0" w:line="240" w:lineRule="auto"/>
        <w:rPr>
          <w:rFonts w:cstheme="minorHAnsi"/>
          <w:bCs/>
          <w:color w:val="1F497D" w:themeColor="text2"/>
        </w:rPr>
      </w:pPr>
    </w:p>
    <w:p w14:paraId="657DD8A4" w14:textId="77777777" w:rsidR="00FC1D26" w:rsidRPr="00FE7FAE" w:rsidRDefault="0059347E" w:rsidP="00FE7FAE">
      <w:pPr>
        <w:spacing w:after="0" w:line="240" w:lineRule="auto"/>
        <w:rPr>
          <w:color w:val="1F497D" w:themeColor="text2"/>
        </w:rPr>
      </w:pPr>
      <w:r w:rsidRPr="00FE7FAE">
        <w:rPr>
          <w:rFonts w:cstheme="minorHAnsi"/>
          <w:bCs/>
          <w:color w:val="1F497D" w:themeColor="text2"/>
        </w:rPr>
        <w:lastRenderedPageBreak/>
        <w:t xml:space="preserve">Both mean age and mean percent male were weakly correlated with fall rates (r = 0.08 and r = -0.14, respectively). </w:t>
      </w:r>
      <w:r w:rsidR="00FC1D26" w:rsidRPr="00FE7FAE">
        <w:rPr>
          <w:color w:val="1F497D" w:themeColor="text2"/>
        </w:rPr>
        <w:t xml:space="preserve">After implementation of the measure, we will continue to collect data to determine the usefulness of risk-stratification based on age and gender. </w:t>
      </w:r>
    </w:p>
    <w:p w14:paraId="629B8181" w14:textId="5BCF19AB" w:rsidR="00CE620D" w:rsidRPr="00FE7FAE" w:rsidRDefault="00CE620D" w:rsidP="00FE7FAE">
      <w:pPr>
        <w:autoSpaceDE w:val="0"/>
        <w:autoSpaceDN w:val="0"/>
        <w:adjustRightInd w:val="0"/>
        <w:spacing w:after="0" w:line="240" w:lineRule="auto"/>
        <w:rPr>
          <w:rFonts w:cstheme="minorHAnsi"/>
          <w:bCs/>
          <w:color w:val="1F497D" w:themeColor="text2"/>
        </w:rPr>
      </w:pPr>
    </w:p>
    <w:p w14:paraId="52FC98F1" w14:textId="77777777" w:rsidR="009A3147"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6889782C" w14:textId="3F843CE1" w:rsidR="00092566" w:rsidRDefault="00092566" w:rsidP="00092566">
      <w:pPr>
        <w:autoSpaceDE w:val="0"/>
        <w:autoSpaceDN w:val="0"/>
        <w:adjustRightInd w:val="0"/>
        <w:spacing w:after="0" w:line="240" w:lineRule="auto"/>
        <w:rPr>
          <w:rFonts w:cstheme="minorHAnsi"/>
          <w:bCs/>
        </w:rPr>
      </w:pPr>
      <w:r w:rsidRPr="00A25024">
        <w:rPr>
          <w:rFonts w:cstheme="minorHAnsi"/>
          <w:bCs/>
        </w:rPr>
        <w:br/>
      </w:r>
      <w:r w:rsidR="009A3147" w:rsidRPr="009A3147">
        <w:rPr>
          <w:rFonts w:cstheme="minorHAnsi"/>
          <w:bCs/>
          <w:color w:val="1F497D" w:themeColor="text2"/>
        </w:rPr>
        <w:t>Not applicable.</w:t>
      </w:r>
    </w:p>
    <w:p w14:paraId="06208548" w14:textId="77777777" w:rsidR="00CE620D" w:rsidRPr="00A25024" w:rsidRDefault="00CE620D" w:rsidP="00092566">
      <w:pPr>
        <w:autoSpaceDE w:val="0"/>
        <w:autoSpaceDN w:val="0"/>
        <w:adjustRightInd w:val="0"/>
        <w:spacing w:after="0" w:line="240" w:lineRule="auto"/>
        <w:rPr>
          <w:rFonts w:cstheme="minorHAnsi"/>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599E4336"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3F7E7F13" w14:textId="77777777" w:rsidR="00092566" w:rsidRDefault="00743E46" w:rsidP="00092566">
      <w:pPr>
        <w:autoSpaceDE w:val="0"/>
        <w:autoSpaceDN w:val="0"/>
        <w:adjustRightInd w:val="0"/>
        <w:spacing w:after="0" w:line="240" w:lineRule="auto"/>
        <w:rPr>
          <w:rFonts w:cstheme="minorHAnsi"/>
          <w:bCs/>
        </w:rPr>
      </w:pPr>
      <w:bookmarkStart w:id="23" w:name="question2b49"/>
      <w:bookmarkEnd w:id="2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8A495FE" w14:textId="77777777" w:rsidR="001359A3" w:rsidRPr="00A25024" w:rsidRDefault="001359A3" w:rsidP="00092566">
      <w:pPr>
        <w:autoSpaceDE w:val="0"/>
        <w:autoSpaceDN w:val="0"/>
        <w:adjustRightInd w:val="0"/>
        <w:spacing w:after="0" w:line="240" w:lineRule="auto"/>
        <w:rPr>
          <w:rFonts w:cstheme="minorHAnsi"/>
          <w:bCs/>
        </w:rPr>
      </w:pPr>
    </w:p>
    <w:p w14:paraId="72DDBF1C" w14:textId="444EC93B" w:rsidR="00092566" w:rsidRPr="00897292" w:rsidRDefault="00FC1D26" w:rsidP="00CE620D">
      <w:pPr>
        <w:rPr>
          <w:rFonts w:cstheme="minorHAnsi"/>
          <w:bCs/>
          <w:color w:val="1F497D" w:themeColor="text2"/>
        </w:rPr>
      </w:pPr>
      <w:r>
        <w:rPr>
          <w:rFonts w:cstheme="minorHAnsi"/>
          <w:bCs/>
          <w:color w:val="1F497D" w:themeColor="text2"/>
        </w:rPr>
        <w:t xml:space="preserve">Age and sex were found to be </w:t>
      </w:r>
      <w:r w:rsidR="00D01955">
        <w:rPr>
          <w:rFonts w:cstheme="minorHAnsi"/>
          <w:bCs/>
          <w:color w:val="1F497D" w:themeColor="text2"/>
        </w:rPr>
        <w:t xml:space="preserve">only </w:t>
      </w:r>
      <w:r>
        <w:rPr>
          <w:rFonts w:cstheme="minorHAnsi"/>
          <w:bCs/>
          <w:color w:val="1F497D" w:themeColor="text2"/>
        </w:rPr>
        <w:t>weakly correlated with falls rates</w:t>
      </w:r>
      <w:r w:rsidR="00D93F78">
        <w:rPr>
          <w:rFonts w:cstheme="minorHAnsi"/>
          <w:bCs/>
          <w:color w:val="1F497D" w:themeColor="text2"/>
        </w:rPr>
        <w:t xml:space="preserve"> (see </w:t>
      </w:r>
      <w:r w:rsidR="001359A3">
        <w:rPr>
          <w:rFonts w:cstheme="minorHAnsi"/>
          <w:bCs/>
          <w:color w:val="1F497D" w:themeColor="text2"/>
        </w:rPr>
        <w:t>F</w:t>
      </w:r>
      <w:r w:rsidR="00D93F78">
        <w:rPr>
          <w:rFonts w:cstheme="minorHAnsi"/>
          <w:bCs/>
          <w:color w:val="1F497D" w:themeColor="text2"/>
        </w:rPr>
        <w:t xml:space="preserve">igures 1 </w:t>
      </w:r>
      <w:r w:rsidR="001359A3">
        <w:rPr>
          <w:rFonts w:cstheme="minorHAnsi"/>
          <w:bCs/>
          <w:color w:val="1F497D" w:themeColor="text2"/>
        </w:rPr>
        <w:t>and</w:t>
      </w:r>
      <w:r w:rsidR="00D93F78">
        <w:rPr>
          <w:rFonts w:cstheme="minorHAnsi"/>
          <w:bCs/>
          <w:color w:val="1F497D" w:themeColor="text2"/>
        </w:rPr>
        <w:t xml:space="preserve"> 2)</w:t>
      </w:r>
      <w:r>
        <w:rPr>
          <w:rFonts w:cstheme="minorHAnsi"/>
          <w:bCs/>
          <w:color w:val="1F497D" w:themeColor="text2"/>
        </w:rPr>
        <w:t xml:space="preserve">. </w:t>
      </w:r>
    </w:p>
    <w:p w14:paraId="1D8AB527" w14:textId="77777777" w:rsidR="001359A3"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3FF992C1" w14:textId="6D544F0A" w:rsidR="00092566" w:rsidRPr="00A25024" w:rsidRDefault="00092566" w:rsidP="00092566">
      <w:pPr>
        <w:autoSpaceDE w:val="0"/>
        <w:autoSpaceDN w:val="0"/>
        <w:adjustRightInd w:val="0"/>
        <w:spacing w:after="0" w:line="240" w:lineRule="auto"/>
        <w:rPr>
          <w:rFonts w:cstheme="minorHAnsi"/>
          <w:bCs/>
        </w:rPr>
      </w:pPr>
      <w:r w:rsidRPr="00A25024">
        <w:rPr>
          <w:rFonts w:cstheme="minorHAnsi"/>
          <w:bCs/>
        </w:rPr>
        <w:br/>
      </w:r>
      <w:r w:rsidR="00D93F78" w:rsidRPr="001359A3">
        <w:rPr>
          <w:color w:val="1F497D" w:themeColor="text2"/>
        </w:rPr>
        <w:t xml:space="preserve">Adequacy of sex and age to control for differences across PACE sites will be further evaluated after measure implementation with the larger population of PACE sites and participants. </w:t>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24" w:name="section2b5"/>
      <w:bookmarkEnd w:id="24"/>
      <w:r w:rsidRPr="00A25024">
        <w:rPr>
          <w:rFonts w:cstheme="minorHAnsi"/>
          <w:b/>
          <w:bCs/>
        </w:rPr>
        <w:t>2b5. IDENTIFICATION OF STATISTICALLY SIGNIFICANT &amp; MEANINGFUL DIFFERENCES IN PERFORMANCE</w:t>
      </w:r>
    </w:p>
    <w:p w14:paraId="7B9A5936" w14:textId="77777777"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4CF3E9D9" w14:textId="77777777" w:rsidR="00362101" w:rsidRPr="00362101" w:rsidRDefault="00362101" w:rsidP="00362101">
      <w:pPr>
        <w:autoSpaceDE w:val="0"/>
        <w:autoSpaceDN w:val="0"/>
        <w:adjustRightInd w:val="0"/>
        <w:spacing w:after="0" w:line="240" w:lineRule="auto"/>
        <w:rPr>
          <w:rFonts w:cstheme="minorHAnsi"/>
          <w:bCs/>
          <w:color w:val="1F497D" w:themeColor="text2"/>
        </w:rPr>
      </w:pPr>
      <w:r w:rsidRPr="00362101">
        <w:rPr>
          <w:rFonts w:cstheme="minorHAnsi"/>
          <w:bCs/>
          <w:color w:val="1F497D" w:themeColor="text2"/>
        </w:rPr>
        <w:t xml:space="preserve">Due to our small sample size, we did not conduct statistical analyses to determine differences in performance across PACE sites. However, the descriptive statistics indicate that there are differences in total fall rates across PACE sites (mean = 6.25, SD = 6.83, median = 3.93, range = 1.0-32.06). After implementation, we will conduct further analyses to determine significant differences in performance for total fall rates across PACE sites. </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lastRenderedPageBreak/>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4EC926B1" w14:textId="77777777" w:rsidR="001359A3" w:rsidRPr="001D4A37" w:rsidRDefault="001359A3" w:rsidP="001359A3">
      <w:pPr>
        <w:autoSpaceDE w:val="0"/>
        <w:autoSpaceDN w:val="0"/>
        <w:adjustRightInd w:val="0"/>
        <w:spacing w:after="0" w:line="240" w:lineRule="auto"/>
        <w:rPr>
          <w:rFonts w:cstheme="minorHAnsi"/>
          <w:bCs/>
          <w:color w:val="1F497D" w:themeColor="text2"/>
        </w:rPr>
      </w:pPr>
      <w:r>
        <w:rPr>
          <w:rFonts w:cstheme="minorHAnsi"/>
          <w:bCs/>
          <w:color w:val="1F497D" w:themeColor="text2"/>
        </w:rPr>
        <w:t>Not applicable.</w:t>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FCDD5"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15DE4260" w14:textId="77777777" w:rsidR="001359A3" w:rsidRPr="001D4A37" w:rsidRDefault="001359A3" w:rsidP="001359A3">
      <w:pPr>
        <w:autoSpaceDE w:val="0"/>
        <w:autoSpaceDN w:val="0"/>
        <w:adjustRightInd w:val="0"/>
        <w:spacing w:after="0" w:line="240" w:lineRule="auto"/>
        <w:rPr>
          <w:rFonts w:cstheme="minorHAnsi"/>
          <w:bCs/>
          <w:color w:val="1F497D" w:themeColor="text2"/>
        </w:rPr>
      </w:pPr>
      <w:r>
        <w:rPr>
          <w:rFonts w:cstheme="minorHAnsi"/>
          <w:bCs/>
          <w:color w:val="1F497D" w:themeColor="text2"/>
        </w:rPr>
        <w:t>Not applicable.</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72DFD5D2" w14:textId="0C1C1E8F" w:rsidR="000F06B5"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1F0C6B2A" w14:textId="77777777" w:rsidR="0062682F" w:rsidRDefault="0062682F" w:rsidP="0062682F">
      <w:pPr>
        <w:autoSpaceDE w:val="0"/>
        <w:autoSpaceDN w:val="0"/>
        <w:adjustRightInd w:val="0"/>
        <w:spacing w:after="0" w:line="240" w:lineRule="auto"/>
        <w:rPr>
          <w:color w:val="1F497D" w:themeColor="text2"/>
        </w:rPr>
      </w:pPr>
      <w:r>
        <w:rPr>
          <w:color w:val="1F497D" w:themeColor="text2"/>
        </w:rPr>
        <w:t>Not Applicable.</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bookmarkStart w:id="25" w:name="_GoBack"/>
      <w:bookmarkEnd w:id="25"/>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3664813" w14:textId="77777777" w:rsidR="0062682F" w:rsidRDefault="0062682F" w:rsidP="0062682F">
      <w:pPr>
        <w:autoSpaceDE w:val="0"/>
        <w:autoSpaceDN w:val="0"/>
        <w:adjustRightInd w:val="0"/>
        <w:spacing w:after="0" w:line="240" w:lineRule="auto"/>
        <w:rPr>
          <w:color w:val="1F497D" w:themeColor="text2"/>
        </w:rPr>
      </w:pPr>
      <w:r>
        <w:rPr>
          <w:color w:val="1F497D" w:themeColor="text2"/>
        </w:rPr>
        <w:t>Not Applicable.</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35A484DA"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2D1756B6" w14:textId="77777777" w:rsidR="0062682F" w:rsidRDefault="0062682F" w:rsidP="0062682F">
      <w:pPr>
        <w:autoSpaceDE w:val="0"/>
        <w:autoSpaceDN w:val="0"/>
        <w:adjustRightInd w:val="0"/>
        <w:spacing w:after="0" w:line="240" w:lineRule="auto"/>
        <w:rPr>
          <w:color w:val="1F497D" w:themeColor="text2"/>
        </w:rPr>
      </w:pPr>
      <w:r>
        <w:rPr>
          <w:color w:val="1F497D" w:themeColor="text2"/>
        </w:rPr>
        <w:t>Not Applicable.</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35EF7399" w14:textId="77777777" w:rsidR="001359A3" w:rsidRDefault="008F7E67" w:rsidP="001359A3">
      <w:pPr>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w:t>
      </w:r>
      <w:r w:rsidR="00771B2A" w:rsidRPr="006A028C">
        <w:rPr>
          <w:rFonts w:ascii="Calibri" w:eastAsia="Calibri" w:hAnsi="Calibri" w:cs="Calibri"/>
        </w:rPr>
        <w:lastRenderedPageBreak/>
        <w:t xml:space="preserve">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23CEDBC2" w14:textId="687BDA5C" w:rsidR="001359A3" w:rsidRDefault="001359A3" w:rsidP="001359A3">
      <w:pPr>
        <w:autoSpaceDE w:val="0"/>
        <w:autoSpaceDN w:val="0"/>
        <w:adjustRightInd w:val="0"/>
        <w:spacing w:after="0" w:line="240" w:lineRule="auto"/>
        <w:rPr>
          <w:rFonts w:cstheme="minorHAnsi"/>
          <w:bCs/>
        </w:rPr>
      </w:pPr>
      <w:r>
        <w:rPr>
          <w:rFonts w:ascii="Calibri" w:eastAsia="Times New Roman" w:hAnsi="Calibri" w:cs="Times New Roman"/>
          <w:bCs/>
          <w:color w:val="1F497D"/>
        </w:rPr>
        <w:t xml:space="preserve">Because of the small amount of missing data, we did not conduct analyses of responders vs. </w:t>
      </w:r>
      <w:proofErr w:type="spellStart"/>
      <w:r>
        <w:rPr>
          <w:rFonts w:ascii="Calibri" w:eastAsia="Times New Roman" w:hAnsi="Calibri" w:cs="Times New Roman"/>
          <w:bCs/>
          <w:color w:val="1F497D"/>
        </w:rPr>
        <w:t>nonresponders</w:t>
      </w:r>
      <w:proofErr w:type="spellEnd"/>
      <w:r>
        <w:rPr>
          <w:rFonts w:ascii="Calibri" w:eastAsia="Times New Roman" w:hAnsi="Calibri" w:cs="Times New Roman"/>
          <w:bCs/>
          <w:color w:val="1F497D"/>
        </w:rPr>
        <w:t>.</w:t>
      </w: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070C256C" w14:textId="77777777" w:rsidR="00897292"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14:paraId="53E61B91" w14:textId="6E6C149E" w:rsidR="008F7E67" w:rsidRDefault="008F7E67" w:rsidP="008F7E67">
      <w:pPr>
        <w:autoSpaceDE w:val="0"/>
        <w:autoSpaceDN w:val="0"/>
        <w:adjustRightInd w:val="0"/>
        <w:spacing w:after="0" w:line="240" w:lineRule="auto"/>
        <w:rPr>
          <w:rFonts w:cstheme="minorHAnsi"/>
          <w:bCs/>
        </w:rPr>
      </w:pPr>
      <w:r w:rsidRPr="00A25024">
        <w:rPr>
          <w:rFonts w:cstheme="minorHAnsi"/>
          <w:bCs/>
        </w:rPr>
        <w:br/>
      </w:r>
      <w:r w:rsidR="00563C51">
        <w:rPr>
          <w:rFonts w:ascii="Calibri" w:eastAsia="Times New Roman" w:hAnsi="Calibri" w:cs="Times New Roman"/>
          <w:color w:val="1F497D"/>
        </w:rPr>
        <w:t xml:space="preserve">In testing, </w:t>
      </w:r>
      <w:r w:rsidR="00563C51" w:rsidRPr="00274C2D">
        <w:rPr>
          <w:rFonts w:ascii="Calibri" w:eastAsia="Times New Roman" w:hAnsi="Calibri" w:cs="Times New Roman"/>
          <w:bCs/>
          <w:color w:val="1F497D"/>
        </w:rPr>
        <w:t>only 1 site</w:t>
      </w:r>
      <w:r w:rsidR="00563C51">
        <w:rPr>
          <w:rFonts w:ascii="Calibri" w:eastAsia="Times New Roman" w:hAnsi="Calibri" w:cs="Times New Roman"/>
          <w:color w:val="1F497D"/>
        </w:rPr>
        <w:t xml:space="preserve"> did not report falls or injury falls. This site had only 1 participant. Through subsequent follow-up, we determined that this 1 participant did not experience a fall or injury fall even during the data collection period. </w:t>
      </w:r>
      <w:r w:rsidR="00563C51">
        <w:rPr>
          <w:rFonts w:ascii="Calibri" w:eastAsia="Times New Roman" w:hAnsi="Calibri" w:cs="Times New Roman"/>
          <w:bCs/>
          <w:color w:val="1F497D"/>
        </w:rPr>
        <w:t xml:space="preserve">Because of the small amount of missing data, we did not conduct analyses of responders vs. </w:t>
      </w:r>
      <w:proofErr w:type="spellStart"/>
      <w:r w:rsidR="00563C51">
        <w:rPr>
          <w:rFonts w:ascii="Calibri" w:eastAsia="Times New Roman" w:hAnsi="Calibri" w:cs="Times New Roman"/>
          <w:bCs/>
          <w:color w:val="1F497D"/>
        </w:rPr>
        <w:t>nonresponders</w:t>
      </w:r>
      <w:proofErr w:type="spellEnd"/>
      <w:r w:rsidR="00563C51">
        <w:rPr>
          <w:rFonts w:ascii="Calibri" w:eastAsia="Times New Roman" w:hAnsi="Calibri" w:cs="Times New Roman"/>
          <w:bCs/>
          <w:color w:val="1F497D"/>
        </w:rPr>
        <w:t>.</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435FEFCD" w14:textId="527F75CC" w:rsidR="00ED092B" w:rsidRPr="00ED092B" w:rsidRDefault="00ED092B">
      <w:pPr>
        <w:autoSpaceDE w:val="0"/>
        <w:autoSpaceDN w:val="0"/>
        <w:adjustRightInd w:val="0"/>
        <w:spacing w:after="0" w:line="240" w:lineRule="auto"/>
        <w:rPr>
          <w:rFonts w:cstheme="minorHAnsi"/>
          <w:bCs/>
          <w:color w:val="1F497D" w:themeColor="text2"/>
        </w:rPr>
      </w:pPr>
      <w:r w:rsidRPr="00ED092B">
        <w:rPr>
          <w:rFonts w:cstheme="minorHAnsi"/>
          <w:bCs/>
          <w:color w:val="1F497D" w:themeColor="text2"/>
        </w:rPr>
        <w:t>Not applicable.</w:t>
      </w:r>
    </w:p>
    <w:sectPr w:rsidR="00ED092B" w:rsidRPr="00ED092B" w:rsidSect="00EE5DC6">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E848B" w14:textId="77777777" w:rsidR="00F36BE8" w:rsidRDefault="00F36BE8" w:rsidP="005C73CA">
      <w:pPr>
        <w:spacing w:after="0" w:line="240" w:lineRule="auto"/>
      </w:pPr>
      <w:r>
        <w:separator/>
      </w:r>
    </w:p>
  </w:endnote>
  <w:endnote w:type="continuationSeparator" w:id="0">
    <w:p w14:paraId="61E77818" w14:textId="77777777" w:rsidR="00F36BE8" w:rsidRDefault="00F36BE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FE7FAE" w:rsidRDefault="00FE7FAE">
    <w:pPr>
      <w:pStyle w:val="Footer"/>
    </w:pPr>
    <w:r>
      <w:t>Version 6.5 5/1/2015</w:t>
    </w:r>
    <w:r>
      <w:ptab w:relativeTo="margin" w:alignment="right" w:leader="none"/>
    </w:r>
    <w:r>
      <w:fldChar w:fldCharType="begin"/>
    </w:r>
    <w:r>
      <w:instrText xml:space="preserve"> PAGE   \* MERGEFORMAT </w:instrText>
    </w:r>
    <w:r>
      <w:fldChar w:fldCharType="separate"/>
    </w:r>
    <w:r w:rsidR="0062682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5727C" w14:textId="77777777" w:rsidR="00F36BE8" w:rsidRDefault="00F36BE8" w:rsidP="005C73CA">
      <w:pPr>
        <w:spacing w:after="0" w:line="240" w:lineRule="auto"/>
      </w:pPr>
      <w:r>
        <w:separator/>
      </w:r>
    </w:p>
  </w:footnote>
  <w:footnote w:type="continuationSeparator" w:id="0">
    <w:p w14:paraId="69701E9E" w14:textId="77777777" w:rsidR="00F36BE8" w:rsidRDefault="00F36BE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FE7FAE" w:rsidRPr="00105D8B" w:rsidRDefault="00FE7FAE"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E4A52F2"/>
    <w:multiLevelType w:val="hybridMultilevel"/>
    <w:tmpl w:val="34A636C2"/>
    <w:lvl w:ilvl="0" w:tplc="3BF45226">
      <w:start w:val="1"/>
      <w:numFmt w:val="bullet"/>
      <w:pStyle w:val="TableBullet1"/>
      <w:lvlText w:val=""/>
      <w:lvlJc w:val="left"/>
      <w:pPr>
        <w:ind w:left="720" w:hanging="360"/>
      </w:pPr>
      <w:rPr>
        <w:rFonts w:ascii="Symbol" w:hAnsi="Symbol" w:hint="default"/>
      </w:rPr>
    </w:lvl>
    <w:lvl w:ilvl="1" w:tplc="E5929718">
      <w:start w:val="1"/>
      <w:numFmt w:val="bullet"/>
      <w:pStyle w:val="TableBullet2"/>
      <w:lvlText w:val="o"/>
      <w:lvlJc w:val="left"/>
      <w:pPr>
        <w:ind w:left="1440" w:hanging="360"/>
      </w:pPr>
      <w:rPr>
        <w:rFonts w:ascii="Courier New" w:hAnsi="Courier New" w:cs="Courier New" w:hint="default"/>
      </w:rPr>
    </w:lvl>
    <w:lvl w:ilvl="2" w:tplc="0C3CB290">
      <w:start w:val="1"/>
      <w:numFmt w:val="bullet"/>
      <w:pStyle w:val="Table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8C128B"/>
    <w:multiLevelType w:val="hybridMultilevel"/>
    <w:tmpl w:val="4AB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8B2DB8"/>
    <w:multiLevelType w:val="hybridMultilevel"/>
    <w:tmpl w:val="27E288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3"/>
  </w:num>
  <w:num w:numId="3">
    <w:abstractNumId w:val="3"/>
  </w:num>
  <w:num w:numId="4">
    <w:abstractNumId w:val="7"/>
  </w:num>
  <w:num w:numId="5">
    <w:abstractNumId w:val="2"/>
  </w:num>
  <w:num w:numId="6">
    <w:abstractNumId w:val="1"/>
  </w:num>
  <w:num w:numId="7">
    <w:abstractNumId w:val="4"/>
  </w:num>
  <w:num w:numId="8">
    <w:abstractNumId w:val="23"/>
  </w:num>
  <w:num w:numId="9">
    <w:abstractNumId w:val="12"/>
  </w:num>
  <w:num w:numId="10">
    <w:abstractNumId w:val="28"/>
  </w:num>
  <w:num w:numId="11">
    <w:abstractNumId w:val="14"/>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27"/>
  </w:num>
  <w:num w:numId="18">
    <w:abstractNumId w:val="25"/>
  </w:num>
  <w:num w:numId="19">
    <w:abstractNumId w:val="24"/>
  </w:num>
  <w:num w:numId="20">
    <w:abstractNumId w:val="18"/>
  </w:num>
  <w:num w:numId="21">
    <w:abstractNumId w:val="22"/>
  </w:num>
  <w:num w:numId="22">
    <w:abstractNumId w:val="17"/>
  </w:num>
  <w:num w:numId="23">
    <w:abstractNumId w:val="8"/>
  </w:num>
  <w:num w:numId="24">
    <w:abstractNumId w:val="16"/>
  </w:num>
  <w:num w:numId="25">
    <w:abstractNumId w:val="15"/>
  </w:num>
  <w:num w:numId="26">
    <w:abstractNumId w:val="29"/>
  </w:num>
  <w:num w:numId="27">
    <w:abstractNumId w:val="0"/>
  </w:num>
  <w:num w:numId="28">
    <w:abstractNumId w:val="11"/>
  </w:num>
  <w:num w:numId="29">
    <w:abstractNumId w:val="19"/>
  </w:num>
  <w:num w:numId="30">
    <w:abstractNumId w:val="30"/>
  </w:num>
  <w:num w:numId="31">
    <w:abstractNumId w:val="6"/>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2B0C"/>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1AED"/>
    <w:rsid w:val="000775F8"/>
    <w:rsid w:val="00080CF7"/>
    <w:rsid w:val="000851B2"/>
    <w:rsid w:val="00092566"/>
    <w:rsid w:val="000968F8"/>
    <w:rsid w:val="00097012"/>
    <w:rsid w:val="000B032A"/>
    <w:rsid w:val="000B2DF7"/>
    <w:rsid w:val="000B3880"/>
    <w:rsid w:val="000B6B8F"/>
    <w:rsid w:val="000C0FF8"/>
    <w:rsid w:val="000C4743"/>
    <w:rsid w:val="000C7EB3"/>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330FE"/>
    <w:rsid w:val="001359A3"/>
    <w:rsid w:val="00145149"/>
    <w:rsid w:val="00145D4F"/>
    <w:rsid w:val="0014773C"/>
    <w:rsid w:val="0017696D"/>
    <w:rsid w:val="001848FC"/>
    <w:rsid w:val="00186990"/>
    <w:rsid w:val="00193F21"/>
    <w:rsid w:val="001969C5"/>
    <w:rsid w:val="001A6CDD"/>
    <w:rsid w:val="001C12EE"/>
    <w:rsid w:val="001C7B02"/>
    <w:rsid w:val="001E4DD4"/>
    <w:rsid w:val="001E69DC"/>
    <w:rsid w:val="001F169D"/>
    <w:rsid w:val="001F1DA1"/>
    <w:rsid w:val="001F6F93"/>
    <w:rsid w:val="001F7A20"/>
    <w:rsid w:val="002101FB"/>
    <w:rsid w:val="0021054A"/>
    <w:rsid w:val="0021195A"/>
    <w:rsid w:val="00213383"/>
    <w:rsid w:val="00220250"/>
    <w:rsid w:val="0022691B"/>
    <w:rsid w:val="00232163"/>
    <w:rsid w:val="002376F8"/>
    <w:rsid w:val="002408E4"/>
    <w:rsid w:val="00241591"/>
    <w:rsid w:val="00250B4F"/>
    <w:rsid w:val="00251924"/>
    <w:rsid w:val="0025762F"/>
    <w:rsid w:val="00271840"/>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45CBA"/>
    <w:rsid w:val="00346245"/>
    <w:rsid w:val="00356267"/>
    <w:rsid w:val="00356BAD"/>
    <w:rsid w:val="003605B4"/>
    <w:rsid w:val="00362101"/>
    <w:rsid w:val="003627AC"/>
    <w:rsid w:val="00366914"/>
    <w:rsid w:val="00372FE3"/>
    <w:rsid w:val="003755CB"/>
    <w:rsid w:val="003825EF"/>
    <w:rsid w:val="00383F85"/>
    <w:rsid w:val="00387BA1"/>
    <w:rsid w:val="003A306C"/>
    <w:rsid w:val="003A7DE7"/>
    <w:rsid w:val="003B1006"/>
    <w:rsid w:val="003B7DBA"/>
    <w:rsid w:val="003C1741"/>
    <w:rsid w:val="003C5F11"/>
    <w:rsid w:val="003D294B"/>
    <w:rsid w:val="003D6401"/>
    <w:rsid w:val="003E1863"/>
    <w:rsid w:val="00415E18"/>
    <w:rsid w:val="0041606D"/>
    <w:rsid w:val="00416962"/>
    <w:rsid w:val="004348CC"/>
    <w:rsid w:val="00456EBF"/>
    <w:rsid w:val="004658FF"/>
    <w:rsid w:val="00474ED7"/>
    <w:rsid w:val="004756E1"/>
    <w:rsid w:val="0048008A"/>
    <w:rsid w:val="00482252"/>
    <w:rsid w:val="00483E94"/>
    <w:rsid w:val="00484120"/>
    <w:rsid w:val="004853A0"/>
    <w:rsid w:val="00496B5F"/>
    <w:rsid w:val="004A2E10"/>
    <w:rsid w:val="004B17FF"/>
    <w:rsid w:val="004B1BA0"/>
    <w:rsid w:val="004B1E14"/>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46CF1"/>
    <w:rsid w:val="0055007C"/>
    <w:rsid w:val="00554922"/>
    <w:rsid w:val="00555282"/>
    <w:rsid w:val="005560E7"/>
    <w:rsid w:val="005612CC"/>
    <w:rsid w:val="00563029"/>
    <w:rsid w:val="00563C51"/>
    <w:rsid w:val="005663F9"/>
    <w:rsid w:val="00567D12"/>
    <w:rsid w:val="00576062"/>
    <w:rsid w:val="00581998"/>
    <w:rsid w:val="00586742"/>
    <w:rsid w:val="0059347E"/>
    <w:rsid w:val="0059559F"/>
    <w:rsid w:val="005A2F09"/>
    <w:rsid w:val="005A49FF"/>
    <w:rsid w:val="005A7634"/>
    <w:rsid w:val="005B6F04"/>
    <w:rsid w:val="005C0447"/>
    <w:rsid w:val="005C739F"/>
    <w:rsid w:val="005C73CA"/>
    <w:rsid w:val="005D4768"/>
    <w:rsid w:val="005E2CAB"/>
    <w:rsid w:val="005E429E"/>
    <w:rsid w:val="00601ED4"/>
    <w:rsid w:val="006030BC"/>
    <w:rsid w:val="00612866"/>
    <w:rsid w:val="00616EB5"/>
    <w:rsid w:val="00617A27"/>
    <w:rsid w:val="0062682F"/>
    <w:rsid w:val="006269D4"/>
    <w:rsid w:val="006327D8"/>
    <w:rsid w:val="0064070A"/>
    <w:rsid w:val="00643A01"/>
    <w:rsid w:val="006574D2"/>
    <w:rsid w:val="00663563"/>
    <w:rsid w:val="00664E21"/>
    <w:rsid w:val="006676D4"/>
    <w:rsid w:val="00675535"/>
    <w:rsid w:val="00681359"/>
    <w:rsid w:val="0069157C"/>
    <w:rsid w:val="00696262"/>
    <w:rsid w:val="006A471B"/>
    <w:rsid w:val="006C3A4F"/>
    <w:rsid w:val="006C4845"/>
    <w:rsid w:val="006D6BC1"/>
    <w:rsid w:val="006E2BFC"/>
    <w:rsid w:val="006E5C57"/>
    <w:rsid w:val="006F22A5"/>
    <w:rsid w:val="006F7266"/>
    <w:rsid w:val="00702C73"/>
    <w:rsid w:val="00713394"/>
    <w:rsid w:val="00724677"/>
    <w:rsid w:val="00725AC2"/>
    <w:rsid w:val="00731B3F"/>
    <w:rsid w:val="00732880"/>
    <w:rsid w:val="007416B9"/>
    <w:rsid w:val="007422FD"/>
    <w:rsid w:val="00743E46"/>
    <w:rsid w:val="00747C45"/>
    <w:rsid w:val="00756FDB"/>
    <w:rsid w:val="007629B6"/>
    <w:rsid w:val="00765F64"/>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1E5B"/>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97292"/>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3147"/>
    <w:rsid w:val="009A4608"/>
    <w:rsid w:val="009A6A57"/>
    <w:rsid w:val="009A70BF"/>
    <w:rsid w:val="009B1A15"/>
    <w:rsid w:val="009C0852"/>
    <w:rsid w:val="009C13CA"/>
    <w:rsid w:val="009C32C6"/>
    <w:rsid w:val="009C665F"/>
    <w:rsid w:val="009D7E38"/>
    <w:rsid w:val="009E095B"/>
    <w:rsid w:val="009E1846"/>
    <w:rsid w:val="009E7461"/>
    <w:rsid w:val="009E78FF"/>
    <w:rsid w:val="00A01494"/>
    <w:rsid w:val="00A22FA9"/>
    <w:rsid w:val="00A24034"/>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2D1D"/>
    <w:rsid w:val="00B037BA"/>
    <w:rsid w:val="00B20139"/>
    <w:rsid w:val="00B218DA"/>
    <w:rsid w:val="00B342FA"/>
    <w:rsid w:val="00B46386"/>
    <w:rsid w:val="00B51014"/>
    <w:rsid w:val="00B53E8B"/>
    <w:rsid w:val="00B774D2"/>
    <w:rsid w:val="00B8015A"/>
    <w:rsid w:val="00B82A57"/>
    <w:rsid w:val="00BA053B"/>
    <w:rsid w:val="00BA6E2B"/>
    <w:rsid w:val="00BB35AE"/>
    <w:rsid w:val="00BC03A1"/>
    <w:rsid w:val="00BC0D25"/>
    <w:rsid w:val="00BC2FCE"/>
    <w:rsid w:val="00BC79AF"/>
    <w:rsid w:val="00BD2505"/>
    <w:rsid w:val="00BE592D"/>
    <w:rsid w:val="00BF52B0"/>
    <w:rsid w:val="00BF5697"/>
    <w:rsid w:val="00C0798B"/>
    <w:rsid w:val="00C14CCC"/>
    <w:rsid w:val="00C1695E"/>
    <w:rsid w:val="00C22C1C"/>
    <w:rsid w:val="00C33F2E"/>
    <w:rsid w:val="00C34936"/>
    <w:rsid w:val="00C34C14"/>
    <w:rsid w:val="00C355B9"/>
    <w:rsid w:val="00C37EF1"/>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CE620D"/>
    <w:rsid w:val="00CF4CBE"/>
    <w:rsid w:val="00D00344"/>
    <w:rsid w:val="00D01955"/>
    <w:rsid w:val="00D1754D"/>
    <w:rsid w:val="00D2223F"/>
    <w:rsid w:val="00D23B1A"/>
    <w:rsid w:val="00D274A4"/>
    <w:rsid w:val="00D277AF"/>
    <w:rsid w:val="00D31163"/>
    <w:rsid w:val="00D320B1"/>
    <w:rsid w:val="00D33AFD"/>
    <w:rsid w:val="00D36489"/>
    <w:rsid w:val="00D42195"/>
    <w:rsid w:val="00D50704"/>
    <w:rsid w:val="00D5760A"/>
    <w:rsid w:val="00D61410"/>
    <w:rsid w:val="00D63B9E"/>
    <w:rsid w:val="00D70BF1"/>
    <w:rsid w:val="00D8181D"/>
    <w:rsid w:val="00D93F78"/>
    <w:rsid w:val="00D968D8"/>
    <w:rsid w:val="00DA563D"/>
    <w:rsid w:val="00DA7277"/>
    <w:rsid w:val="00DB3627"/>
    <w:rsid w:val="00DB4724"/>
    <w:rsid w:val="00DB6944"/>
    <w:rsid w:val="00DC4746"/>
    <w:rsid w:val="00DD7130"/>
    <w:rsid w:val="00DE7149"/>
    <w:rsid w:val="00E0314C"/>
    <w:rsid w:val="00E1508F"/>
    <w:rsid w:val="00E261DF"/>
    <w:rsid w:val="00E27240"/>
    <w:rsid w:val="00E27EDD"/>
    <w:rsid w:val="00E30584"/>
    <w:rsid w:val="00E310B9"/>
    <w:rsid w:val="00E37E1B"/>
    <w:rsid w:val="00E562C0"/>
    <w:rsid w:val="00E672D6"/>
    <w:rsid w:val="00E76024"/>
    <w:rsid w:val="00E83CED"/>
    <w:rsid w:val="00E856A2"/>
    <w:rsid w:val="00E967AD"/>
    <w:rsid w:val="00E96884"/>
    <w:rsid w:val="00EA5435"/>
    <w:rsid w:val="00EA5F47"/>
    <w:rsid w:val="00EB455E"/>
    <w:rsid w:val="00EC5B7B"/>
    <w:rsid w:val="00EC79DE"/>
    <w:rsid w:val="00ED092B"/>
    <w:rsid w:val="00ED4ACE"/>
    <w:rsid w:val="00EE4D35"/>
    <w:rsid w:val="00EE5DC6"/>
    <w:rsid w:val="00EF2DA7"/>
    <w:rsid w:val="00F02BFD"/>
    <w:rsid w:val="00F1412B"/>
    <w:rsid w:val="00F15BFA"/>
    <w:rsid w:val="00F36BE8"/>
    <w:rsid w:val="00F435AA"/>
    <w:rsid w:val="00F5738A"/>
    <w:rsid w:val="00F612D4"/>
    <w:rsid w:val="00F77553"/>
    <w:rsid w:val="00F77F1D"/>
    <w:rsid w:val="00F87CCB"/>
    <w:rsid w:val="00FA48C7"/>
    <w:rsid w:val="00FB323B"/>
    <w:rsid w:val="00FB35BA"/>
    <w:rsid w:val="00FB51FB"/>
    <w:rsid w:val="00FB73C1"/>
    <w:rsid w:val="00FC1D26"/>
    <w:rsid w:val="00FC5565"/>
    <w:rsid w:val="00FE7FAE"/>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 Paragraph,Proposal Bullet List,Step Style"/>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ListParagraphChar">
    <w:name w:val="List Paragraph Char"/>
    <w:aliases w:val="Bullet List Paragraph Char,Proposal Bullet List Char,Step Style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TableColumnHeading">
    <w:name w:val="Table Column Heading"/>
    <w:link w:val="TableColumnHeadingChar"/>
    <w:qFormat/>
    <w:rsid w:val="00765F64"/>
    <w:pPr>
      <w:keepNext/>
      <w:spacing w:after="0" w:line="240" w:lineRule="auto"/>
      <w:jc w:val="center"/>
    </w:pPr>
    <w:rPr>
      <w:rFonts w:ascii="Arial" w:eastAsiaTheme="majorEastAsia" w:hAnsi="Arial" w:cstheme="majorBidi"/>
      <w:bCs/>
      <w:color w:val="FFFFFF" w:themeColor="background1"/>
      <w:sz w:val="24"/>
      <w:szCs w:val="24"/>
    </w:rPr>
  </w:style>
  <w:style w:type="character" w:customStyle="1" w:styleId="TableColumnHeadingChar">
    <w:name w:val="Table Column Heading Char"/>
    <w:basedOn w:val="DefaultParagraphFont"/>
    <w:link w:val="TableColumnHeading"/>
    <w:rsid w:val="00765F64"/>
    <w:rPr>
      <w:rFonts w:ascii="Arial" w:eastAsiaTheme="majorEastAsia" w:hAnsi="Arial" w:cstheme="majorBidi"/>
      <w:bCs/>
      <w:color w:val="FFFFFF" w:themeColor="background1"/>
      <w:sz w:val="24"/>
      <w:szCs w:val="24"/>
    </w:rPr>
  </w:style>
  <w:style w:type="paragraph" w:customStyle="1" w:styleId="TableCell-SubheadingText">
    <w:name w:val="Table Cell - Subheading Text"/>
    <w:basedOn w:val="Normal"/>
    <w:link w:val="TableCell-SubheadingTextChar"/>
    <w:qFormat/>
    <w:rsid w:val="00765F64"/>
    <w:pPr>
      <w:spacing w:after="0" w:line="240" w:lineRule="auto"/>
    </w:pPr>
    <w:rPr>
      <w:rFonts w:ascii="Arial" w:hAnsi="Arial" w:cs="Arial"/>
      <w:b/>
      <w:color w:val="000075"/>
      <w:sz w:val="20"/>
      <w:szCs w:val="24"/>
    </w:rPr>
  </w:style>
  <w:style w:type="character" w:customStyle="1" w:styleId="TableCell-SubheadingTextChar">
    <w:name w:val="Table Cell - Subheading Text Char"/>
    <w:basedOn w:val="DefaultParagraphFont"/>
    <w:link w:val="TableCell-SubheadingText"/>
    <w:rsid w:val="00765F64"/>
    <w:rPr>
      <w:rFonts w:ascii="Arial" w:hAnsi="Arial" w:cs="Arial"/>
      <w:b/>
      <w:color w:val="000075"/>
      <w:sz w:val="20"/>
      <w:szCs w:val="24"/>
    </w:rPr>
  </w:style>
  <w:style w:type="table" w:customStyle="1" w:styleId="EconometricaTableStyle">
    <w:name w:val="Econometrica Table Style"/>
    <w:basedOn w:val="TableNormal"/>
    <w:uiPriority w:val="99"/>
    <w:rsid w:val="00765F64"/>
    <w:pPr>
      <w:spacing w:after="0" w:line="240" w:lineRule="auto"/>
      <w:jc w:val="both"/>
    </w:pPr>
    <w:rPr>
      <w:rFonts w:ascii="Arial" w:eastAsiaTheme="minorHAnsi" w:hAnsi="Arial"/>
      <w:color w:val="000075"/>
      <w:sz w:val="20"/>
      <w:szCs w:val="24"/>
    </w:rPr>
    <w:tblPr>
      <w:tblStyleRowBandSize w:val="1"/>
      <w:jc w:val="center"/>
      <w:tblBorders>
        <w:top w:val="single" w:sz="4" w:space="0" w:color="000075"/>
        <w:bottom w:val="single" w:sz="4" w:space="0" w:color="000075"/>
        <w:insideH w:val="single" w:sz="4" w:space="0" w:color="000075"/>
        <w:insideV w:val="single" w:sz="4" w:space="0" w:color="000075"/>
      </w:tblBorders>
      <w:tblCellMar>
        <w:top w:w="29" w:type="dxa"/>
        <w:left w:w="115" w:type="dxa"/>
        <w:bottom w:w="29" w:type="dxa"/>
        <w:right w:w="115" w:type="dxa"/>
      </w:tblCellMar>
    </w:tblPr>
    <w:trPr>
      <w:cantSplit/>
      <w:jc w:val="center"/>
    </w:trPr>
    <w:tcPr>
      <w:vAlign w:val="center"/>
    </w:tcPr>
    <w:tblStylePr w:type="firstRow">
      <w:pPr>
        <w:jc w:val="center"/>
      </w:pPr>
      <w:rPr>
        <w:rFonts w:ascii="Arial" w:hAnsi="Arial"/>
        <w:b/>
        <w:color w:val="FFFFFF" w:themeColor="background1"/>
        <w:sz w:val="22"/>
      </w:rPr>
      <w:tblPr/>
      <w:tcPr>
        <w:tcBorders>
          <w:top w:val="single" w:sz="4" w:space="0" w:color="000075"/>
          <w:left w:val="nil"/>
          <w:bottom w:val="single" w:sz="4" w:space="0" w:color="000075"/>
          <w:right w:val="nil"/>
          <w:insideH w:val="single" w:sz="4" w:space="0" w:color="000075"/>
          <w:insideV w:val="single" w:sz="4" w:space="0" w:color="000075"/>
          <w:tl2br w:val="nil"/>
          <w:tr2bl w:val="nil"/>
        </w:tcBorders>
        <w:shd w:val="clear" w:color="auto" w:fill="000075"/>
      </w:tcPr>
    </w:tblStylePr>
    <w:tblStylePr w:type="lastRow">
      <w:rPr>
        <w:b/>
        <w:color w:val="DBDBDB"/>
      </w:rPr>
      <w:tblPr/>
      <w:tcPr>
        <w:tcBorders>
          <w:top w:val="single" w:sz="4" w:space="0" w:color="000075"/>
          <w:left w:val="nil"/>
          <w:bottom w:val="single" w:sz="4" w:space="0" w:color="000075"/>
          <w:right w:val="nil"/>
          <w:insideH w:val="nil"/>
          <w:insideV w:val="single" w:sz="4" w:space="0" w:color="000075"/>
          <w:tl2br w:val="nil"/>
          <w:tr2bl w:val="nil"/>
        </w:tcBorders>
        <w:shd w:val="clear" w:color="auto" w:fill="DBDBDB"/>
      </w:tcPr>
    </w:tblStylePr>
    <w:tblStylePr w:type="band1Horz">
      <w:tblPr/>
      <w:tcPr>
        <w:shd w:val="clear" w:color="auto" w:fill="E1F8FF"/>
      </w:tcPr>
    </w:tblStylePr>
  </w:style>
  <w:style w:type="paragraph" w:customStyle="1" w:styleId="TableCellNumbers">
    <w:name w:val="Table Cell Numbers"/>
    <w:basedOn w:val="Normal"/>
    <w:link w:val="TableCellNumbersChar"/>
    <w:qFormat/>
    <w:rsid w:val="000B6B8F"/>
    <w:pPr>
      <w:spacing w:after="0" w:line="240" w:lineRule="auto"/>
      <w:jc w:val="right"/>
    </w:pPr>
    <w:rPr>
      <w:rFonts w:ascii="Arial" w:hAnsi="Arial" w:cs="Arial"/>
      <w:bCs/>
      <w:color w:val="000075"/>
      <w:sz w:val="20"/>
      <w:szCs w:val="24"/>
    </w:rPr>
  </w:style>
  <w:style w:type="character" w:customStyle="1" w:styleId="TableCellNumbersChar">
    <w:name w:val="Table Cell Numbers Char"/>
    <w:basedOn w:val="DefaultParagraphFont"/>
    <w:link w:val="TableCellNumbers"/>
    <w:rsid w:val="000B6B8F"/>
    <w:rPr>
      <w:rFonts w:ascii="Arial" w:hAnsi="Arial" w:cs="Arial"/>
      <w:bCs/>
      <w:color w:val="000075"/>
      <w:sz w:val="20"/>
      <w:szCs w:val="24"/>
    </w:rPr>
  </w:style>
  <w:style w:type="paragraph" w:customStyle="1" w:styleId="TableCaption">
    <w:name w:val="Table Caption"/>
    <w:basedOn w:val="Caption"/>
    <w:link w:val="TableCaptionChar"/>
    <w:qFormat/>
    <w:rsid w:val="000B6B8F"/>
    <w:pPr>
      <w:keepNext/>
      <w:tabs>
        <w:tab w:val="left" w:pos="1008"/>
      </w:tabs>
      <w:spacing w:after="0"/>
      <w:ind w:left="1008" w:hanging="1008"/>
      <w:jc w:val="both"/>
    </w:pPr>
    <w:rPr>
      <w:rFonts w:ascii="Arial" w:eastAsiaTheme="minorHAnsi" w:hAnsi="Arial"/>
      <w:color w:val="000075"/>
      <w:sz w:val="24"/>
    </w:rPr>
  </w:style>
  <w:style w:type="character" w:customStyle="1" w:styleId="TableCaptionChar">
    <w:name w:val="Table Caption Char"/>
    <w:basedOn w:val="DefaultParagraphFont"/>
    <w:link w:val="TableCaption"/>
    <w:rsid w:val="000B6B8F"/>
    <w:rPr>
      <w:rFonts w:ascii="Arial" w:eastAsiaTheme="minorHAnsi" w:hAnsi="Arial"/>
      <w:b/>
      <w:bCs/>
      <w:color w:val="000075"/>
      <w:sz w:val="24"/>
      <w:szCs w:val="18"/>
    </w:rPr>
  </w:style>
  <w:style w:type="paragraph" w:customStyle="1" w:styleId="TableCellText">
    <w:name w:val="Table Cell Text"/>
    <w:link w:val="TableCellTextChar"/>
    <w:qFormat/>
    <w:rsid w:val="000B6B8F"/>
    <w:pPr>
      <w:spacing w:after="0" w:line="240" w:lineRule="auto"/>
    </w:pPr>
    <w:rPr>
      <w:rFonts w:ascii="Arial" w:hAnsi="Arial" w:cs="Arial"/>
      <w:bCs/>
      <w:color w:val="000075"/>
      <w:sz w:val="20"/>
      <w:szCs w:val="24"/>
    </w:rPr>
  </w:style>
  <w:style w:type="character" w:customStyle="1" w:styleId="TableCellTextChar">
    <w:name w:val="Table Cell Text Char"/>
    <w:basedOn w:val="DefaultParagraphFont"/>
    <w:link w:val="TableCellText"/>
    <w:rsid w:val="000B6B8F"/>
    <w:rPr>
      <w:rFonts w:ascii="Arial" w:hAnsi="Arial" w:cs="Arial"/>
      <w:bCs/>
      <w:color w:val="000075"/>
      <w:sz w:val="20"/>
      <w:szCs w:val="24"/>
    </w:rPr>
  </w:style>
  <w:style w:type="paragraph" w:styleId="Caption">
    <w:name w:val="caption"/>
    <w:basedOn w:val="Normal"/>
    <w:next w:val="Normal"/>
    <w:link w:val="CaptionChar"/>
    <w:uiPriority w:val="35"/>
    <w:unhideWhenUsed/>
    <w:qFormat/>
    <w:rsid w:val="000B6B8F"/>
    <w:pPr>
      <w:spacing w:line="240" w:lineRule="auto"/>
    </w:pPr>
    <w:rPr>
      <w:b/>
      <w:bCs/>
      <w:color w:val="4F81BD" w:themeColor="accent1"/>
      <w:sz w:val="18"/>
      <w:szCs w:val="18"/>
    </w:rPr>
  </w:style>
  <w:style w:type="paragraph" w:customStyle="1" w:styleId="TableCellYear">
    <w:name w:val="Table Cell Year"/>
    <w:basedOn w:val="Normal"/>
    <w:link w:val="TableCellYearChar"/>
    <w:qFormat/>
    <w:rsid w:val="003825EF"/>
    <w:pPr>
      <w:spacing w:after="0" w:line="240" w:lineRule="auto"/>
      <w:jc w:val="center"/>
    </w:pPr>
    <w:rPr>
      <w:rFonts w:ascii="Arial" w:eastAsiaTheme="majorEastAsia" w:hAnsi="Arial" w:cs="Arial"/>
      <w:color w:val="000075"/>
      <w:sz w:val="20"/>
      <w:szCs w:val="24"/>
    </w:rPr>
  </w:style>
  <w:style w:type="character" w:customStyle="1" w:styleId="TableCellYearChar">
    <w:name w:val="Table Cell Year Char"/>
    <w:basedOn w:val="DefaultParagraphFont"/>
    <w:link w:val="TableCellYear"/>
    <w:rsid w:val="003825EF"/>
    <w:rPr>
      <w:rFonts w:ascii="Arial" w:eastAsiaTheme="majorEastAsia" w:hAnsi="Arial" w:cs="Arial"/>
      <w:color w:val="000075"/>
      <w:sz w:val="20"/>
      <w:szCs w:val="24"/>
    </w:rPr>
  </w:style>
  <w:style w:type="paragraph" w:customStyle="1" w:styleId="TableNote">
    <w:name w:val="Table Note"/>
    <w:basedOn w:val="Normal"/>
    <w:link w:val="TableNoteChar"/>
    <w:qFormat/>
    <w:rsid w:val="003825EF"/>
    <w:pPr>
      <w:spacing w:after="240" w:line="240" w:lineRule="auto"/>
      <w:contextualSpacing/>
      <w:jc w:val="both"/>
    </w:pPr>
    <w:rPr>
      <w:rFonts w:ascii="Arial" w:hAnsi="Arial" w:cs="Arial"/>
      <w:bCs/>
      <w:color w:val="000075"/>
      <w:sz w:val="18"/>
      <w:szCs w:val="18"/>
    </w:rPr>
  </w:style>
  <w:style w:type="character" w:customStyle="1" w:styleId="TableNoteChar">
    <w:name w:val="Table Note Char"/>
    <w:basedOn w:val="DefaultParagraphFont"/>
    <w:link w:val="TableNote"/>
    <w:rsid w:val="003825EF"/>
    <w:rPr>
      <w:rFonts w:ascii="Arial" w:hAnsi="Arial" w:cs="Arial"/>
      <w:bCs/>
      <w:color w:val="000075"/>
      <w:sz w:val="18"/>
      <w:szCs w:val="18"/>
    </w:rPr>
  </w:style>
  <w:style w:type="paragraph" w:customStyle="1" w:styleId="FigureCaption">
    <w:name w:val="Figure Caption"/>
    <w:basedOn w:val="Caption"/>
    <w:link w:val="FigureCaptionChar"/>
    <w:qFormat/>
    <w:rsid w:val="003825EF"/>
    <w:pPr>
      <w:keepNext/>
      <w:tabs>
        <w:tab w:val="left" w:pos="1080"/>
      </w:tabs>
      <w:spacing w:after="0"/>
      <w:jc w:val="center"/>
    </w:pPr>
    <w:rPr>
      <w:rFonts w:ascii="Arial" w:eastAsiaTheme="minorHAnsi" w:hAnsi="Arial"/>
      <w:color w:val="000075"/>
      <w:sz w:val="24"/>
    </w:rPr>
  </w:style>
  <w:style w:type="character" w:customStyle="1" w:styleId="FigureCaptionChar">
    <w:name w:val="Figure Caption Char"/>
    <w:basedOn w:val="DefaultParagraphFont"/>
    <w:link w:val="FigureCaption"/>
    <w:rsid w:val="003825EF"/>
    <w:rPr>
      <w:rFonts w:ascii="Arial" w:eastAsiaTheme="minorHAnsi" w:hAnsi="Arial"/>
      <w:b/>
      <w:bCs/>
      <w:color w:val="000075"/>
      <w:sz w:val="24"/>
      <w:szCs w:val="18"/>
    </w:rPr>
  </w:style>
  <w:style w:type="paragraph" w:customStyle="1" w:styleId="TableBullet1">
    <w:name w:val="Table Bullet 1"/>
    <w:basedOn w:val="TableCellYear"/>
    <w:qFormat/>
    <w:rsid w:val="00731B3F"/>
    <w:pPr>
      <w:numPr>
        <w:numId w:val="31"/>
      </w:numPr>
      <w:spacing w:after="120"/>
      <w:ind w:left="259" w:hanging="259"/>
      <w:jc w:val="left"/>
    </w:pPr>
  </w:style>
  <w:style w:type="paragraph" w:customStyle="1" w:styleId="TableBullet2">
    <w:name w:val="Table Bullet 2"/>
    <w:basedOn w:val="TableBullet1"/>
    <w:qFormat/>
    <w:rsid w:val="00731B3F"/>
    <w:pPr>
      <w:numPr>
        <w:ilvl w:val="1"/>
      </w:numPr>
      <w:ind w:left="792" w:hanging="274"/>
    </w:pPr>
  </w:style>
  <w:style w:type="paragraph" w:customStyle="1" w:styleId="TableBullet1-SingleLineLast">
    <w:name w:val="Table Bullet 1 - Single Line/Last"/>
    <w:basedOn w:val="TableBullet1"/>
    <w:link w:val="TableBullet1-SingleLineLastChar"/>
    <w:qFormat/>
    <w:rsid w:val="00731B3F"/>
    <w:pPr>
      <w:spacing w:after="0"/>
    </w:pPr>
  </w:style>
  <w:style w:type="paragraph" w:customStyle="1" w:styleId="TableBullet2-SingleLineLast">
    <w:name w:val="Table Bullet 2 - Single Line/Last"/>
    <w:basedOn w:val="TableBullet2"/>
    <w:link w:val="TableBullet2-SingleLineLastChar"/>
    <w:qFormat/>
    <w:rsid w:val="00731B3F"/>
    <w:pPr>
      <w:spacing w:after="0"/>
    </w:pPr>
  </w:style>
  <w:style w:type="character" w:customStyle="1" w:styleId="TableBullet1-SingleLineLastChar">
    <w:name w:val="Table Bullet 1 - Single Line/Last Char"/>
    <w:basedOn w:val="DefaultParagraphFont"/>
    <w:link w:val="TableBullet1-SingleLineLast"/>
    <w:rsid w:val="00731B3F"/>
    <w:rPr>
      <w:rFonts w:ascii="Arial" w:eastAsiaTheme="majorEastAsia" w:hAnsi="Arial" w:cs="Arial"/>
      <w:color w:val="000075"/>
      <w:sz w:val="20"/>
      <w:szCs w:val="24"/>
    </w:rPr>
  </w:style>
  <w:style w:type="character" w:customStyle="1" w:styleId="TableBullet2-SingleLineLastChar">
    <w:name w:val="Table Bullet 2 - Single Line/Last Char"/>
    <w:basedOn w:val="DefaultParagraphFont"/>
    <w:link w:val="TableBullet2-SingleLineLast"/>
    <w:rsid w:val="00731B3F"/>
    <w:rPr>
      <w:rFonts w:ascii="Arial" w:eastAsiaTheme="majorEastAsia" w:hAnsi="Arial" w:cs="Arial"/>
      <w:color w:val="000075"/>
      <w:sz w:val="20"/>
      <w:szCs w:val="24"/>
    </w:rPr>
  </w:style>
  <w:style w:type="paragraph" w:customStyle="1" w:styleId="TableBullet3">
    <w:name w:val="Table Bullet 3"/>
    <w:basedOn w:val="TableBullet2-SingleLineLast"/>
    <w:qFormat/>
    <w:rsid w:val="00731B3F"/>
    <w:pPr>
      <w:numPr>
        <w:ilvl w:val="2"/>
      </w:numPr>
      <w:tabs>
        <w:tab w:val="num" w:pos="360"/>
      </w:tabs>
      <w:spacing w:after="120"/>
      <w:ind w:left="1311" w:hanging="274"/>
    </w:pPr>
  </w:style>
  <w:style w:type="character" w:customStyle="1" w:styleId="CaptionChar">
    <w:name w:val="Caption Char"/>
    <w:basedOn w:val="DefaultParagraphFont"/>
    <w:link w:val="Caption"/>
    <w:uiPriority w:val="35"/>
    <w:rsid w:val="00D23B1A"/>
    <w:rPr>
      <w:b/>
      <w:bCs/>
      <w:color w:val="4F81BD" w:themeColor="accent1"/>
      <w:sz w:val="18"/>
      <w:szCs w:val="18"/>
    </w:rPr>
  </w:style>
  <w:style w:type="table" w:customStyle="1" w:styleId="OldFormatTable">
    <w:name w:val="Old Format Table"/>
    <w:basedOn w:val="TableNormal"/>
    <w:uiPriority w:val="99"/>
    <w:rsid w:val="00D23B1A"/>
    <w:pPr>
      <w:spacing w:after="0" w:line="240" w:lineRule="auto"/>
    </w:pPr>
    <w:rPr>
      <w:rFonts w:ascii="Arial" w:eastAsia="Times New Roman" w:hAnsi="Arial" w:cs="Times New Roman"/>
      <w:sz w:val="20"/>
      <w:szCs w:val="20"/>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jc w:val="center"/>
      </w:pPr>
      <w:rPr>
        <w:rFonts w:ascii="Arial" w:hAnsi="Arial"/>
        <w:b/>
        <w:i w:val="0"/>
        <w:sz w:val="22"/>
      </w:rPr>
      <w:tblPr/>
      <w:tcPr>
        <w:shd w:val="clear" w:color="auto" w:fill="99CCFF"/>
      </w:tcPr>
    </w:tblStylePr>
    <w:tblStylePr w:type="lastRow">
      <w:rPr>
        <w:rFonts w:ascii="Arial" w:hAnsi="Arial"/>
        <w:b/>
        <w:sz w:val="20"/>
      </w:rPr>
      <w:tblPr/>
      <w:tcPr>
        <w:shd w:val="clear" w:color="auto" w:fill="D9D9D9" w:themeFill="background1" w:themeFillShade="D9"/>
      </w:tcPr>
    </w:tblStylePr>
    <w:tblStylePr w:type="band1Horz">
      <w:rPr>
        <w:rFonts w:ascii="Arial" w:hAnsi="Arial"/>
        <w:sz w:val="20"/>
      </w:rPr>
    </w:tblStylePr>
    <w:tblStylePr w:type="band2Horz">
      <w:rPr>
        <w:rFonts w:ascii="Arial" w:hAnsi="Arial"/>
        <w:sz w:val="20"/>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 Paragraph,Proposal Bullet List,Step Style"/>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ListParagraphChar">
    <w:name w:val="List Paragraph Char"/>
    <w:aliases w:val="Bullet List Paragraph Char,Proposal Bullet List Char,Step Style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TableColumnHeading">
    <w:name w:val="Table Column Heading"/>
    <w:link w:val="TableColumnHeadingChar"/>
    <w:qFormat/>
    <w:rsid w:val="00765F64"/>
    <w:pPr>
      <w:keepNext/>
      <w:spacing w:after="0" w:line="240" w:lineRule="auto"/>
      <w:jc w:val="center"/>
    </w:pPr>
    <w:rPr>
      <w:rFonts w:ascii="Arial" w:eastAsiaTheme="majorEastAsia" w:hAnsi="Arial" w:cstheme="majorBidi"/>
      <w:bCs/>
      <w:color w:val="FFFFFF" w:themeColor="background1"/>
      <w:sz w:val="24"/>
      <w:szCs w:val="24"/>
    </w:rPr>
  </w:style>
  <w:style w:type="character" w:customStyle="1" w:styleId="TableColumnHeadingChar">
    <w:name w:val="Table Column Heading Char"/>
    <w:basedOn w:val="DefaultParagraphFont"/>
    <w:link w:val="TableColumnHeading"/>
    <w:rsid w:val="00765F64"/>
    <w:rPr>
      <w:rFonts w:ascii="Arial" w:eastAsiaTheme="majorEastAsia" w:hAnsi="Arial" w:cstheme="majorBidi"/>
      <w:bCs/>
      <w:color w:val="FFFFFF" w:themeColor="background1"/>
      <w:sz w:val="24"/>
      <w:szCs w:val="24"/>
    </w:rPr>
  </w:style>
  <w:style w:type="paragraph" w:customStyle="1" w:styleId="TableCell-SubheadingText">
    <w:name w:val="Table Cell - Subheading Text"/>
    <w:basedOn w:val="Normal"/>
    <w:link w:val="TableCell-SubheadingTextChar"/>
    <w:qFormat/>
    <w:rsid w:val="00765F64"/>
    <w:pPr>
      <w:spacing w:after="0" w:line="240" w:lineRule="auto"/>
    </w:pPr>
    <w:rPr>
      <w:rFonts w:ascii="Arial" w:hAnsi="Arial" w:cs="Arial"/>
      <w:b/>
      <w:color w:val="000075"/>
      <w:sz w:val="20"/>
      <w:szCs w:val="24"/>
    </w:rPr>
  </w:style>
  <w:style w:type="character" w:customStyle="1" w:styleId="TableCell-SubheadingTextChar">
    <w:name w:val="Table Cell - Subheading Text Char"/>
    <w:basedOn w:val="DefaultParagraphFont"/>
    <w:link w:val="TableCell-SubheadingText"/>
    <w:rsid w:val="00765F64"/>
    <w:rPr>
      <w:rFonts w:ascii="Arial" w:hAnsi="Arial" w:cs="Arial"/>
      <w:b/>
      <w:color w:val="000075"/>
      <w:sz w:val="20"/>
      <w:szCs w:val="24"/>
    </w:rPr>
  </w:style>
  <w:style w:type="table" w:customStyle="1" w:styleId="EconometricaTableStyle">
    <w:name w:val="Econometrica Table Style"/>
    <w:basedOn w:val="TableNormal"/>
    <w:uiPriority w:val="99"/>
    <w:rsid w:val="00765F64"/>
    <w:pPr>
      <w:spacing w:after="0" w:line="240" w:lineRule="auto"/>
      <w:jc w:val="both"/>
    </w:pPr>
    <w:rPr>
      <w:rFonts w:ascii="Arial" w:eastAsiaTheme="minorHAnsi" w:hAnsi="Arial"/>
      <w:color w:val="000075"/>
      <w:sz w:val="20"/>
      <w:szCs w:val="24"/>
    </w:rPr>
    <w:tblPr>
      <w:tblStyleRowBandSize w:val="1"/>
      <w:jc w:val="center"/>
      <w:tblBorders>
        <w:top w:val="single" w:sz="4" w:space="0" w:color="000075"/>
        <w:bottom w:val="single" w:sz="4" w:space="0" w:color="000075"/>
        <w:insideH w:val="single" w:sz="4" w:space="0" w:color="000075"/>
        <w:insideV w:val="single" w:sz="4" w:space="0" w:color="000075"/>
      </w:tblBorders>
      <w:tblCellMar>
        <w:top w:w="29" w:type="dxa"/>
        <w:left w:w="115" w:type="dxa"/>
        <w:bottom w:w="29" w:type="dxa"/>
        <w:right w:w="115" w:type="dxa"/>
      </w:tblCellMar>
    </w:tblPr>
    <w:trPr>
      <w:cantSplit/>
      <w:jc w:val="center"/>
    </w:trPr>
    <w:tcPr>
      <w:vAlign w:val="center"/>
    </w:tcPr>
    <w:tblStylePr w:type="firstRow">
      <w:pPr>
        <w:jc w:val="center"/>
      </w:pPr>
      <w:rPr>
        <w:rFonts w:ascii="Arial" w:hAnsi="Arial"/>
        <w:b/>
        <w:color w:val="FFFFFF" w:themeColor="background1"/>
        <w:sz w:val="22"/>
      </w:rPr>
      <w:tblPr/>
      <w:tcPr>
        <w:tcBorders>
          <w:top w:val="single" w:sz="4" w:space="0" w:color="000075"/>
          <w:left w:val="nil"/>
          <w:bottom w:val="single" w:sz="4" w:space="0" w:color="000075"/>
          <w:right w:val="nil"/>
          <w:insideH w:val="single" w:sz="4" w:space="0" w:color="000075"/>
          <w:insideV w:val="single" w:sz="4" w:space="0" w:color="000075"/>
          <w:tl2br w:val="nil"/>
          <w:tr2bl w:val="nil"/>
        </w:tcBorders>
        <w:shd w:val="clear" w:color="auto" w:fill="000075"/>
      </w:tcPr>
    </w:tblStylePr>
    <w:tblStylePr w:type="lastRow">
      <w:rPr>
        <w:b/>
        <w:color w:val="DBDBDB"/>
      </w:rPr>
      <w:tblPr/>
      <w:tcPr>
        <w:tcBorders>
          <w:top w:val="single" w:sz="4" w:space="0" w:color="000075"/>
          <w:left w:val="nil"/>
          <w:bottom w:val="single" w:sz="4" w:space="0" w:color="000075"/>
          <w:right w:val="nil"/>
          <w:insideH w:val="nil"/>
          <w:insideV w:val="single" w:sz="4" w:space="0" w:color="000075"/>
          <w:tl2br w:val="nil"/>
          <w:tr2bl w:val="nil"/>
        </w:tcBorders>
        <w:shd w:val="clear" w:color="auto" w:fill="DBDBDB"/>
      </w:tcPr>
    </w:tblStylePr>
    <w:tblStylePr w:type="band1Horz">
      <w:tblPr/>
      <w:tcPr>
        <w:shd w:val="clear" w:color="auto" w:fill="E1F8FF"/>
      </w:tcPr>
    </w:tblStylePr>
  </w:style>
  <w:style w:type="paragraph" w:customStyle="1" w:styleId="TableCellNumbers">
    <w:name w:val="Table Cell Numbers"/>
    <w:basedOn w:val="Normal"/>
    <w:link w:val="TableCellNumbersChar"/>
    <w:qFormat/>
    <w:rsid w:val="000B6B8F"/>
    <w:pPr>
      <w:spacing w:after="0" w:line="240" w:lineRule="auto"/>
      <w:jc w:val="right"/>
    </w:pPr>
    <w:rPr>
      <w:rFonts w:ascii="Arial" w:hAnsi="Arial" w:cs="Arial"/>
      <w:bCs/>
      <w:color w:val="000075"/>
      <w:sz w:val="20"/>
      <w:szCs w:val="24"/>
    </w:rPr>
  </w:style>
  <w:style w:type="character" w:customStyle="1" w:styleId="TableCellNumbersChar">
    <w:name w:val="Table Cell Numbers Char"/>
    <w:basedOn w:val="DefaultParagraphFont"/>
    <w:link w:val="TableCellNumbers"/>
    <w:rsid w:val="000B6B8F"/>
    <w:rPr>
      <w:rFonts w:ascii="Arial" w:hAnsi="Arial" w:cs="Arial"/>
      <w:bCs/>
      <w:color w:val="000075"/>
      <w:sz w:val="20"/>
      <w:szCs w:val="24"/>
    </w:rPr>
  </w:style>
  <w:style w:type="paragraph" w:customStyle="1" w:styleId="TableCaption">
    <w:name w:val="Table Caption"/>
    <w:basedOn w:val="Caption"/>
    <w:link w:val="TableCaptionChar"/>
    <w:qFormat/>
    <w:rsid w:val="000B6B8F"/>
    <w:pPr>
      <w:keepNext/>
      <w:tabs>
        <w:tab w:val="left" w:pos="1008"/>
      </w:tabs>
      <w:spacing w:after="0"/>
      <w:ind w:left="1008" w:hanging="1008"/>
      <w:jc w:val="both"/>
    </w:pPr>
    <w:rPr>
      <w:rFonts w:ascii="Arial" w:eastAsiaTheme="minorHAnsi" w:hAnsi="Arial"/>
      <w:color w:val="000075"/>
      <w:sz w:val="24"/>
    </w:rPr>
  </w:style>
  <w:style w:type="character" w:customStyle="1" w:styleId="TableCaptionChar">
    <w:name w:val="Table Caption Char"/>
    <w:basedOn w:val="DefaultParagraphFont"/>
    <w:link w:val="TableCaption"/>
    <w:rsid w:val="000B6B8F"/>
    <w:rPr>
      <w:rFonts w:ascii="Arial" w:eastAsiaTheme="minorHAnsi" w:hAnsi="Arial"/>
      <w:b/>
      <w:bCs/>
      <w:color w:val="000075"/>
      <w:sz w:val="24"/>
      <w:szCs w:val="18"/>
    </w:rPr>
  </w:style>
  <w:style w:type="paragraph" w:customStyle="1" w:styleId="TableCellText">
    <w:name w:val="Table Cell Text"/>
    <w:link w:val="TableCellTextChar"/>
    <w:qFormat/>
    <w:rsid w:val="000B6B8F"/>
    <w:pPr>
      <w:spacing w:after="0" w:line="240" w:lineRule="auto"/>
    </w:pPr>
    <w:rPr>
      <w:rFonts w:ascii="Arial" w:hAnsi="Arial" w:cs="Arial"/>
      <w:bCs/>
      <w:color w:val="000075"/>
      <w:sz w:val="20"/>
      <w:szCs w:val="24"/>
    </w:rPr>
  </w:style>
  <w:style w:type="character" w:customStyle="1" w:styleId="TableCellTextChar">
    <w:name w:val="Table Cell Text Char"/>
    <w:basedOn w:val="DefaultParagraphFont"/>
    <w:link w:val="TableCellText"/>
    <w:rsid w:val="000B6B8F"/>
    <w:rPr>
      <w:rFonts w:ascii="Arial" w:hAnsi="Arial" w:cs="Arial"/>
      <w:bCs/>
      <w:color w:val="000075"/>
      <w:sz w:val="20"/>
      <w:szCs w:val="24"/>
    </w:rPr>
  </w:style>
  <w:style w:type="paragraph" w:styleId="Caption">
    <w:name w:val="caption"/>
    <w:basedOn w:val="Normal"/>
    <w:next w:val="Normal"/>
    <w:link w:val="CaptionChar"/>
    <w:uiPriority w:val="35"/>
    <w:unhideWhenUsed/>
    <w:qFormat/>
    <w:rsid w:val="000B6B8F"/>
    <w:pPr>
      <w:spacing w:line="240" w:lineRule="auto"/>
    </w:pPr>
    <w:rPr>
      <w:b/>
      <w:bCs/>
      <w:color w:val="4F81BD" w:themeColor="accent1"/>
      <w:sz w:val="18"/>
      <w:szCs w:val="18"/>
    </w:rPr>
  </w:style>
  <w:style w:type="paragraph" w:customStyle="1" w:styleId="TableCellYear">
    <w:name w:val="Table Cell Year"/>
    <w:basedOn w:val="Normal"/>
    <w:link w:val="TableCellYearChar"/>
    <w:qFormat/>
    <w:rsid w:val="003825EF"/>
    <w:pPr>
      <w:spacing w:after="0" w:line="240" w:lineRule="auto"/>
      <w:jc w:val="center"/>
    </w:pPr>
    <w:rPr>
      <w:rFonts w:ascii="Arial" w:eastAsiaTheme="majorEastAsia" w:hAnsi="Arial" w:cs="Arial"/>
      <w:color w:val="000075"/>
      <w:sz w:val="20"/>
      <w:szCs w:val="24"/>
    </w:rPr>
  </w:style>
  <w:style w:type="character" w:customStyle="1" w:styleId="TableCellYearChar">
    <w:name w:val="Table Cell Year Char"/>
    <w:basedOn w:val="DefaultParagraphFont"/>
    <w:link w:val="TableCellYear"/>
    <w:rsid w:val="003825EF"/>
    <w:rPr>
      <w:rFonts w:ascii="Arial" w:eastAsiaTheme="majorEastAsia" w:hAnsi="Arial" w:cs="Arial"/>
      <w:color w:val="000075"/>
      <w:sz w:val="20"/>
      <w:szCs w:val="24"/>
    </w:rPr>
  </w:style>
  <w:style w:type="paragraph" w:customStyle="1" w:styleId="TableNote">
    <w:name w:val="Table Note"/>
    <w:basedOn w:val="Normal"/>
    <w:link w:val="TableNoteChar"/>
    <w:qFormat/>
    <w:rsid w:val="003825EF"/>
    <w:pPr>
      <w:spacing w:after="240" w:line="240" w:lineRule="auto"/>
      <w:contextualSpacing/>
      <w:jc w:val="both"/>
    </w:pPr>
    <w:rPr>
      <w:rFonts w:ascii="Arial" w:hAnsi="Arial" w:cs="Arial"/>
      <w:bCs/>
      <w:color w:val="000075"/>
      <w:sz w:val="18"/>
      <w:szCs w:val="18"/>
    </w:rPr>
  </w:style>
  <w:style w:type="character" w:customStyle="1" w:styleId="TableNoteChar">
    <w:name w:val="Table Note Char"/>
    <w:basedOn w:val="DefaultParagraphFont"/>
    <w:link w:val="TableNote"/>
    <w:rsid w:val="003825EF"/>
    <w:rPr>
      <w:rFonts w:ascii="Arial" w:hAnsi="Arial" w:cs="Arial"/>
      <w:bCs/>
      <w:color w:val="000075"/>
      <w:sz w:val="18"/>
      <w:szCs w:val="18"/>
    </w:rPr>
  </w:style>
  <w:style w:type="paragraph" w:customStyle="1" w:styleId="FigureCaption">
    <w:name w:val="Figure Caption"/>
    <w:basedOn w:val="Caption"/>
    <w:link w:val="FigureCaptionChar"/>
    <w:qFormat/>
    <w:rsid w:val="003825EF"/>
    <w:pPr>
      <w:keepNext/>
      <w:tabs>
        <w:tab w:val="left" w:pos="1080"/>
      </w:tabs>
      <w:spacing w:after="0"/>
      <w:jc w:val="center"/>
    </w:pPr>
    <w:rPr>
      <w:rFonts w:ascii="Arial" w:eastAsiaTheme="minorHAnsi" w:hAnsi="Arial"/>
      <w:color w:val="000075"/>
      <w:sz w:val="24"/>
    </w:rPr>
  </w:style>
  <w:style w:type="character" w:customStyle="1" w:styleId="FigureCaptionChar">
    <w:name w:val="Figure Caption Char"/>
    <w:basedOn w:val="DefaultParagraphFont"/>
    <w:link w:val="FigureCaption"/>
    <w:rsid w:val="003825EF"/>
    <w:rPr>
      <w:rFonts w:ascii="Arial" w:eastAsiaTheme="minorHAnsi" w:hAnsi="Arial"/>
      <w:b/>
      <w:bCs/>
      <w:color w:val="000075"/>
      <w:sz w:val="24"/>
      <w:szCs w:val="18"/>
    </w:rPr>
  </w:style>
  <w:style w:type="paragraph" w:customStyle="1" w:styleId="TableBullet1">
    <w:name w:val="Table Bullet 1"/>
    <w:basedOn w:val="TableCellYear"/>
    <w:qFormat/>
    <w:rsid w:val="00731B3F"/>
    <w:pPr>
      <w:numPr>
        <w:numId w:val="31"/>
      </w:numPr>
      <w:spacing w:after="120"/>
      <w:ind w:left="259" w:hanging="259"/>
      <w:jc w:val="left"/>
    </w:pPr>
  </w:style>
  <w:style w:type="paragraph" w:customStyle="1" w:styleId="TableBullet2">
    <w:name w:val="Table Bullet 2"/>
    <w:basedOn w:val="TableBullet1"/>
    <w:qFormat/>
    <w:rsid w:val="00731B3F"/>
    <w:pPr>
      <w:numPr>
        <w:ilvl w:val="1"/>
      </w:numPr>
      <w:ind w:left="792" w:hanging="274"/>
    </w:pPr>
  </w:style>
  <w:style w:type="paragraph" w:customStyle="1" w:styleId="TableBullet1-SingleLineLast">
    <w:name w:val="Table Bullet 1 - Single Line/Last"/>
    <w:basedOn w:val="TableBullet1"/>
    <w:link w:val="TableBullet1-SingleLineLastChar"/>
    <w:qFormat/>
    <w:rsid w:val="00731B3F"/>
    <w:pPr>
      <w:spacing w:after="0"/>
    </w:pPr>
  </w:style>
  <w:style w:type="paragraph" w:customStyle="1" w:styleId="TableBullet2-SingleLineLast">
    <w:name w:val="Table Bullet 2 - Single Line/Last"/>
    <w:basedOn w:val="TableBullet2"/>
    <w:link w:val="TableBullet2-SingleLineLastChar"/>
    <w:qFormat/>
    <w:rsid w:val="00731B3F"/>
    <w:pPr>
      <w:spacing w:after="0"/>
    </w:pPr>
  </w:style>
  <w:style w:type="character" w:customStyle="1" w:styleId="TableBullet1-SingleLineLastChar">
    <w:name w:val="Table Bullet 1 - Single Line/Last Char"/>
    <w:basedOn w:val="DefaultParagraphFont"/>
    <w:link w:val="TableBullet1-SingleLineLast"/>
    <w:rsid w:val="00731B3F"/>
    <w:rPr>
      <w:rFonts w:ascii="Arial" w:eastAsiaTheme="majorEastAsia" w:hAnsi="Arial" w:cs="Arial"/>
      <w:color w:val="000075"/>
      <w:sz w:val="20"/>
      <w:szCs w:val="24"/>
    </w:rPr>
  </w:style>
  <w:style w:type="character" w:customStyle="1" w:styleId="TableBullet2-SingleLineLastChar">
    <w:name w:val="Table Bullet 2 - Single Line/Last Char"/>
    <w:basedOn w:val="DefaultParagraphFont"/>
    <w:link w:val="TableBullet2-SingleLineLast"/>
    <w:rsid w:val="00731B3F"/>
    <w:rPr>
      <w:rFonts w:ascii="Arial" w:eastAsiaTheme="majorEastAsia" w:hAnsi="Arial" w:cs="Arial"/>
      <w:color w:val="000075"/>
      <w:sz w:val="20"/>
      <w:szCs w:val="24"/>
    </w:rPr>
  </w:style>
  <w:style w:type="paragraph" w:customStyle="1" w:styleId="TableBullet3">
    <w:name w:val="Table Bullet 3"/>
    <w:basedOn w:val="TableBullet2-SingleLineLast"/>
    <w:qFormat/>
    <w:rsid w:val="00731B3F"/>
    <w:pPr>
      <w:numPr>
        <w:ilvl w:val="2"/>
      </w:numPr>
      <w:tabs>
        <w:tab w:val="num" w:pos="360"/>
      </w:tabs>
      <w:spacing w:after="120"/>
      <w:ind w:left="1311" w:hanging="274"/>
    </w:pPr>
  </w:style>
  <w:style w:type="character" w:customStyle="1" w:styleId="CaptionChar">
    <w:name w:val="Caption Char"/>
    <w:basedOn w:val="DefaultParagraphFont"/>
    <w:link w:val="Caption"/>
    <w:uiPriority w:val="35"/>
    <w:rsid w:val="00D23B1A"/>
    <w:rPr>
      <w:b/>
      <w:bCs/>
      <w:color w:val="4F81BD" w:themeColor="accent1"/>
      <w:sz w:val="18"/>
      <w:szCs w:val="18"/>
    </w:rPr>
  </w:style>
  <w:style w:type="table" w:customStyle="1" w:styleId="OldFormatTable">
    <w:name w:val="Old Format Table"/>
    <w:basedOn w:val="TableNormal"/>
    <w:uiPriority w:val="99"/>
    <w:rsid w:val="00D23B1A"/>
    <w:pPr>
      <w:spacing w:after="0" w:line="240" w:lineRule="auto"/>
    </w:pPr>
    <w:rPr>
      <w:rFonts w:ascii="Arial" w:eastAsia="Times New Roman" w:hAnsi="Arial" w:cs="Times New Roman"/>
      <w:sz w:val="20"/>
      <w:szCs w:val="20"/>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jc w:val="center"/>
      </w:pPr>
      <w:rPr>
        <w:rFonts w:ascii="Arial" w:hAnsi="Arial"/>
        <w:b/>
        <w:i w:val="0"/>
        <w:sz w:val="22"/>
      </w:rPr>
      <w:tblPr/>
      <w:tcPr>
        <w:shd w:val="clear" w:color="auto" w:fill="99CCFF"/>
      </w:tcPr>
    </w:tblStylePr>
    <w:tblStylePr w:type="lastRow">
      <w:rPr>
        <w:rFonts w:ascii="Arial" w:hAnsi="Arial"/>
        <w:b/>
        <w:sz w:val="20"/>
      </w:rPr>
      <w:tblPr/>
      <w:tcPr>
        <w:shd w:val="clear" w:color="auto" w:fill="D9D9D9" w:themeFill="background1" w:themeFillShade="D9"/>
      </w:tcPr>
    </w:tblStylePr>
    <w:tblStylePr w:type="band1Horz">
      <w:rPr>
        <w:rFonts w:ascii="Arial" w:hAnsi="Arial"/>
        <w:sz w:val="20"/>
      </w:rPr>
    </w:tblStylePr>
    <w:tblStylePr w:type="band2Horz">
      <w:rPr>
        <w:rFonts w:ascii="Arial" w:hAnsi="Arial"/>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83360777">
      <w:bodyDiv w:val="1"/>
      <w:marLeft w:val="0"/>
      <w:marRight w:val="0"/>
      <w:marTop w:val="0"/>
      <w:marBottom w:val="0"/>
      <w:divBdr>
        <w:top w:val="none" w:sz="0" w:space="0" w:color="auto"/>
        <w:left w:val="none" w:sz="0" w:space="0" w:color="auto"/>
        <w:bottom w:val="none" w:sz="0" w:space="0" w:color="auto"/>
        <w:right w:val="none" w:sz="0" w:space="0" w:color="auto"/>
      </w:divBdr>
      <w:divsChild>
        <w:div w:id="721248987">
          <w:marLeft w:val="0"/>
          <w:marRight w:val="0"/>
          <w:marTop w:val="0"/>
          <w:marBottom w:val="0"/>
          <w:divBdr>
            <w:top w:val="none" w:sz="0" w:space="0" w:color="auto"/>
            <w:left w:val="none" w:sz="0" w:space="0" w:color="auto"/>
            <w:bottom w:val="none" w:sz="0" w:space="0" w:color="auto"/>
            <w:right w:val="none" w:sz="0" w:space="0" w:color="auto"/>
          </w:divBdr>
        </w:div>
        <w:div w:id="599065569">
          <w:marLeft w:val="0"/>
          <w:marRight w:val="0"/>
          <w:marTop w:val="0"/>
          <w:marBottom w:val="0"/>
          <w:divBdr>
            <w:top w:val="none" w:sz="0" w:space="0" w:color="auto"/>
            <w:left w:val="none" w:sz="0" w:space="0" w:color="auto"/>
            <w:bottom w:val="none" w:sz="0" w:space="0" w:color="auto"/>
            <w:right w:val="none" w:sz="0" w:space="0" w:color="auto"/>
          </w:divBdr>
        </w:div>
        <w:div w:id="1765497084">
          <w:marLeft w:val="0"/>
          <w:marRight w:val="0"/>
          <w:marTop w:val="0"/>
          <w:marBottom w:val="0"/>
          <w:divBdr>
            <w:top w:val="none" w:sz="0" w:space="0" w:color="auto"/>
            <w:left w:val="none" w:sz="0" w:space="0" w:color="auto"/>
            <w:bottom w:val="none" w:sz="0" w:space="0" w:color="auto"/>
            <w:right w:val="none" w:sz="0" w:space="0" w:color="auto"/>
          </w:divBdr>
        </w:div>
      </w:divsChild>
    </w:div>
    <w:div w:id="210141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2114"/>
    <w:rsid w:val="003840F0"/>
    <w:rsid w:val="003B03B6"/>
    <w:rsid w:val="003B327E"/>
    <w:rsid w:val="00437537"/>
    <w:rsid w:val="004D785E"/>
    <w:rsid w:val="0053654E"/>
    <w:rsid w:val="00632A7E"/>
    <w:rsid w:val="00632AB6"/>
    <w:rsid w:val="00730B33"/>
    <w:rsid w:val="00772B2A"/>
    <w:rsid w:val="007C672A"/>
    <w:rsid w:val="007D4368"/>
    <w:rsid w:val="00822666"/>
    <w:rsid w:val="00823ECC"/>
    <w:rsid w:val="00826796"/>
    <w:rsid w:val="00866C97"/>
    <w:rsid w:val="008B439A"/>
    <w:rsid w:val="009017AE"/>
    <w:rsid w:val="009C542D"/>
    <w:rsid w:val="00A01A18"/>
    <w:rsid w:val="00A81976"/>
    <w:rsid w:val="00A95183"/>
    <w:rsid w:val="00AB4AF7"/>
    <w:rsid w:val="00AD12DF"/>
    <w:rsid w:val="00AD7C4F"/>
    <w:rsid w:val="00B445F5"/>
    <w:rsid w:val="00BD40CB"/>
    <w:rsid w:val="00C0558B"/>
    <w:rsid w:val="00C362A2"/>
    <w:rsid w:val="00C624BB"/>
    <w:rsid w:val="00C842A1"/>
    <w:rsid w:val="00C90121"/>
    <w:rsid w:val="00CA1FE8"/>
    <w:rsid w:val="00CA344F"/>
    <w:rsid w:val="00D1676E"/>
    <w:rsid w:val="00DC0246"/>
    <w:rsid w:val="00E6518A"/>
    <w:rsid w:val="00F540AB"/>
    <w:rsid w:val="00F72EE8"/>
    <w:rsid w:val="00F915BA"/>
    <w:rsid w:val="00F97488"/>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4FA64A-E4E8-468C-AD07-AC8736096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5375</Words>
  <Characters>30643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KMcNealy</cp:lastModifiedBy>
  <cp:revision>6</cp:revision>
  <dcterms:created xsi:type="dcterms:W3CDTF">2016-05-13T20:32:00Z</dcterms:created>
  <dcterms:modified xsi:type="dcterms:W3CDTF">2016-05-13T20:52:00Z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