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5B8DA2F" w14:textId="389284A0"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FB56AB" w:rsidRPr="00FB56AB">
            <w:rPr>
              <w:rStyle w:val="Style1"/>
            </w:rPr>
            <w:t>Concurrent Use of Opioids and Benzodiazepines</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1DA27ABA"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8-03-30T00:00:00Z">
            <w:dateFormat w:val="M/d/yyyy"/>
            <w:lid w:val="en-US"/>
            <w:storeMappedDataAs w:val="dateTime"/>
            <w:calendar w:val="gregorian"/>
          </w:date>
        </w:sdtPr>
        <w:sdtEndPr>
          <w:rPr>
            <w:rStyle w:val="DefaultParagraphFont"/>
            <w:noProof/>
            <w:color w:val="auto"/>
            <w:u w:val="none"/>
          </w:rPr>
        </w:sdtEndPr>
        <w:sdtContent>
          <w:r w:rsidR="00BE4704">
            <w:rPr>
              <w:rStyle w:val="Style2"/>
            </w:rPr>
            <w:t>3/30/2018</w:t>
          </w:r>
        </w:sdtContent>
      </w:sdt>
    </w:p>
    <w:p w14:paraId="55B8DA32" w14:textId="77777777" w:rsidR="00176E60" w:rsidRPr="003B1CC5" w:rsidRDefault="00176E60" w:rsidP="002E2177">
      <w:pPr>
        <w:ind w:left="0" w:firstLine="0"/>
        <w:rPr>
          <w:rStyle w:val="Style2"/>
        </w:rPr>
      </w:pPr>
      <w:bookmarkStart w:id="0" w:name="_GoBack"/>
      <w:bookmarkEnd w:id="0"/>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840980"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840980"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840980"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15B43B63" w:rsidR="00D73685" w:rsidRDefault="00840980"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FB56AB">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sidR="00BF6029">
            <w:rPr>
              <w:rStyle w:val="Style2"/>
              <w:rFonts w:cstheme="minorHAnsi"/>
            </w:rPr>
            <w:t>Con</w:t>
          </w:r>
          <w:r w:rsidR="00315C7E">
            <w:rPr>
              <w:rStyle w:val="Style2"/>
              <w:rFonts w:cstheme="minorHAnsi"/>
            </w:rPr>
            <w:t>current</w:t>
          </w:r>
          <w:r w:rsidR="00BF6029">
            <w:rPr>
              <w:rStyle w:val="Style2"/>
              <w:rFonts w:cstheme="minorHAnsi"/>
            </w:rPr>
            <w:t xml:space="preserve"> use of opioid medications and benzodiazepine medications</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840980"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840980"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0AF06705" w14:textId="77777777" w:rsidR="00315C7E" w:rsidRDefault="00315C7E" w:rsidP="002B06BD">
      <w:pPr>
        <w:ind w:left="432" w:hanging="432"/>
        <w:rPr>
          <w:iCs/>
        </w:rPr>
      </w:pPr>
    </w:p>
    <w:p w14:paraId="43ACED21" w14:textId="54FBA75C" w:rsidR="00315C7E" w:rsidRPr="00106969" w:rsidRDefault="00315C7E" w:rsidP="002B06BD">
      <w:pPr>
        <w:ind w:left="432" w:hanging="432"/>
        <w:rPr>
          <w:iCs/>
          <w:color w:val="0000FF"/>
        </w:rPr>
      </w:pPr>
      <w:r>
        <w:rPr>
          <w:iCs/>
          <w:color w:val="0070C0"/>
        </w:rPr>
        <w:tab/>
      </w:r>
      <w:r w:rsidRPr="00106969">
        <w:rPr>
          <w:iCs/>
          <w:color w:val="0000FF"/>
        </w:rPr>
        <w:t xml:space="preserve">The measured process, concurrent use of opioids and benzodiazepines, correlates with negative health outcomes. </w:t>
      </w:r>
      <w:r w:rsidR="008611B5">
        <w:rPr>
          <w:iCs/>
          <w:color w:val="0000FF"/>
        </w:rPr>
        <w:t xml:space="preserve">Scientific research has identified high-risk prescribing practices that have contributed to the opioid overdose epidemic, including </w:t>
      </w:r>
      <w:r w:rsidR="0039166D">
        <w:rPr>
          <w:iCs/>
          <w:color w:val="0000FF"/>
        </w:rPr>
        <w:t>overlapping opioid and benzodiazepine prescriptions. T</w:t>
      </w:r>
      <w:r w:rsidRPr="00106969">
        <w:rPr>
          <w:iCs/>
          <w:color w:val="0000FF"/>
        </w:rPr>
        <w:t xml:space="preserve">he </w:t>
      </w:r>
      <w:r w:rsidRPr="00106969">
        <w:rPr>
          <w:i/>
          <w:iCs/>
          <w:color w:val="0000FF"/>
        </w:rPr>
        <w:t>Centers for Disease Control and Prevention (CDC) Guideline for Prescribing Opioids for Chronic Pain – United States, 2016</w:t>
      </w:r>
      <w:r w:rsidRPr="00106969">
        <w:rPr>
          <w:iCs/>
          <w:color w:val="0000FF"/>
        </w:rPr>
        <w:t>, provide</w:t>
      </w:r>
      <w:r w:rsidR="000D1D04">
        <w:rPr>
          <w:iCs/>
          <w:color w:val="0000FF"/>
        </w:rPr>
        <w:t>s</w:t>
      </w:r>
      <w:r w:rsidRPr="00106969">
        <w:rPr>
          <w:iCs/>
          <w:color w:val="0000FF"/>
        </w:rPr>
        <w:t xml:space="preserve"> a category A recommendation (applies to all persons; most patients should receive the recommended course of action) that prescribers should avoid concurrent prescriptions of opioids and benzodiazepines. </w:t>
      </w:r>
      <w:r w:rsidR="00F11BA8" w:rsidRPr="00106969">
        <w:rPr>
          <w:iCs/>
          <w:color w:val="0000FF"/>
        </w:rPr>
        <w:t xml:space="preserve">Opioids and benzodiazepines are both central nervous system (CNS) depressants and can increase the risk for severe respiratory depression and fatal overdose. Few medication situations warrant concurrent use of opioids and benzodiazepines, specifically oncology and hospice, which are excluded from the measure. The lack of a therapeutic benefit combined with increased risk </w:t>
      </w:r>
      <w:r w:rsidR="00EF377E" w:rsidRPr="00106969">
        <w:rPr>
          <w:iCs/>
          <w:color w:val="0000FF"/>
        </w:rPr>
        <w:t xml:space="preserve">for overdose </w:t>
      </w:r>
      <w:r w:rsidR="006C0260" w:rsidRPr="00106969">
        <w:rPr>
          <w:iCs/>
          <w:color w:val="0000FF"/>
        </w:rPr>
        <w:t xml:space="preserve">is </w:t>
      </w:r>
      <w:r w:rsidR="00EF377E" w:rsidRPr="00106969">
        <w:rPr>
          <w:iCs/>
          <w:color w:val="0000FF"/>
        </w:rPr>
        <w:t>the rationale to support</w:t>
      </w:r>
      <w:r w:rsidR="00F11BA8" w:rsidRPr="00106969">
        <w:rPr>
          <w:iCs/>
          <w:color w:val="0000FF"/>
        </w:rPr>
        <w:t xml:space="preserve"> this process measure.</w:t>
      </w:r>
    </w:p>
    <w:p w14:paraId="55B8DA5B" w14:textId="77777777" w:rsidR="002B06BD" w:rsidRPr="003B1CC5" w:rsidRDefault="002B06BD" w:rsidP="00B12BB1">
      <w:pPr>
        <w:ind w:left="0" w:firstLine="0"/>
        <w:rPr>
          <w:color w:val="0000FF"/>
        </w:rPr>
      </w:pPr>
    </w:p>
    <w:p w14:paraId="55B8DA5C" w14:textId="47993695" w:rsidR="00676BD4" w:rsidRDefault="00676BD4" w:rsidP="00B12BB1">
      <w:pPr>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7DB8AEBF" w:rsidR="00676BD4" w:rsidRDefault="000D1D04" w:rsidP="000D1D04">
      <w:pPr>
        <w:ind w:left="792" w:hanging="432"/>
        <w:rPr>
          <w:b/>
          <w:color w:val="0000FF"/>
        </w:rPr>
      </w:pPr>
      <w:r>
        <w:rPr>
          <w:b/>
          <w:color w:val="0000FF"/>
        </w:rPr>
        <w:t>N/A</w:t>
      </w: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52B662F9" w:rsidR="00496AF8" w:rsidRPr="00C41794" w:rsidRDefault="00B058A6" w:rsidP="00C41794">
      <w:pPr>
        <w:ind w:left="432" w:hanging="432"/>
        <w:rPr>
          <w:b/>
        </w:rPr>
      </w:pPr>
      <w:r w:rsidRPr="003B1CC5">
        <w:rPr>
          <w:b/>
          <w:color w:val="0000FF"/>
        </w:rPr>
        <w:lastRenderedPageBreak/>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0CE1EFBA" w:rsidR="00D14F0B" w:rsidRPr="000D1D04" w:rsidRDefault="000D1D04" w:rsidP="000D1D04">
      <w:pPr>
        <w:ind w:left="432" w:firstLine="0"/>
        <w:rPr>
          <w:b/>
          <w:color w:val="0000FF"/>
        </w:rPr>
      </w:pPr>
      <w:r w:rsidRPr="000D1D04">
        <w:rPr>
          <w:b/>
          <w:color w:val="0000FF"/>
        </w:rPr>
        <w:t>N/</w:t>
      </w:r>
      <w:r>
        <w:rPr>
          <w:b/>
          <w:color w:val="0000FF"/>
        </w:rPr>
        <w:t>A</w:t>
      </w:r>
    </w:p>
    <w:p w14:paraId="55B8DA65" w14:textId="77777777" w:rsidR="00676BD4" w:rsidRDefault="00676BD4" w:rsidP="002E2177">
      <w:pPr>
        <w:ind w:left="0" w:firstLine="0"/>
        <w:rPr>
          <w:i/>
          <w:iCs/>
          <w:highlight w:val="green"/>
          <w:u w:val="single"/>
        </w:rPr>
      </w:pPr>
    </w:p>
    <w:p w14:paraId="55B8DA66" w14:textId="012C0CBD"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29A53892" w:rsidR="00A9011D" w:rsidRPr="00A9011D" w:rsidRDefault="00840980" w:rsidP="00A9011D">
      <w:pPr>
        <w:ind w:left="0" w:firstLine="0"/>
        <w:rPr>
          <w:rFonts w:ascii="Calibri" w:eastAsia="Calibri" w:hAnsi="Calibri" w:cs="Times New Roman"/>
        </w:rPr>
      </w:pPr>
      <w:sdt>
        <w:sdtPr>
          <w:rPr>
            <w:bCs/>
            <w:color w:val="0000FF"/>
          </w:rPr>
          <w:id w:val="-468508862"/>
          <w14:checkbox>
            <w14:checked w14:val="1"/>
            <w14:checkedState w14:val="2612" w14:font="MS Gothic"/>
            <w14:uncheckedState w14:val="2610" w14:font="MS Gothic"/>
          </w14:checkbox>
        </w:sdtPr>
        <w:sdtEndPr/>
        <w:sdtContent>
          <w:r w:rsidR="00324E02">
            <w:rPr>
              <w:rFonts w:ascii="MS Gothic" w:eastAsia="MS Gothic" w:hAnsi="MS Gothic" w:hint="eastAsia"/>
              <w:bCs/>
              <w:color w:val="0000FF"/>
            </w:rPr>
            <w:t>☒</w:t>
          </w:r>
        </w:sdtContent>
      </w:sdt>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Clinical Pr</w:t>
      </w:r>
      <w:r w:rsidR="00324E02">
        <w:rPr>
          <w:rFonts w:ascii="Calibri" w:eastAsia="Calibri" w:hAnsi="Calibri" w:cs="Times New Roman"/>
        </w:rPr>
        <w:t>actice Guideline recommendation</w:t>
      </w:r>
      <w:r w:rsidR="00EC1225">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3183"/>
        <w:gridCol w:w="6167"/>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471E9421" w14:textId="18D851E2" w:rsidR="00AB4ECE" w:rsidRPr="00B12BB1" w:rsidRDefault="00324E02" w:rsidP="00D35543">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cs="Courier New"/>
                <w:color w:val="0000FF"/>
              </w:rPr>
            </w:pPr>
            <w:r w:rsidRPr="00B12BB1">
              <w:rPr>
                <w:rFonts w:cs="Courier New"/>
                <w:color w:val="0000FF"/>
              </w:rPr>
              <w:t>CDC Guideline for Prescribing Opioids for Chronic Pain - United States, 2016.</w:t>
            </w:r>
          </w:p>
          <w:p w14:paraId="4F713434" w14:textId="77777777" w:rsidR="00D35543" w:rsidRPr="00B12BB1" w:rsidRDefault="00324E02" w:rsidP="00D35543">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cs="Courier New"/>
                <w:color w:val="0000FF"/>
              </w:rPr>
            </w:pPr>
            <w:r w:rsidRPr="00B12BB1">
              <w:rPr>
                <w:rFonts w:cs="Courier New"/>
                <w:color w:val="0000FF"/>
              </w:rPr>
              <w:t>Dowell D, Haegerich TM, Chou R.</w:t>
            </w:r>
          </w:p>
          <w:p w14:paraId="45A28C75" w14:textId="77777777" w:rsidR="00D35543" w:rsidRPr="00B12BB1" w:rsidRDefault="00324E02" w:rsidP="00D35543">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cs="Courier New"/>
                <w:color w:val="0000FF"/>
              </w:rPr>
            </w:pPr>
            <w:r w:rsidRPr="00B12BB1">
              <w:rPr>
                <w:color w:val="0000FF"/>
              </w:rPr>
              <w:t>March 18, 2016</w:t>
            </w:r>
          </w:p>
          <w:p w14:paraId="4B976C8B" w14:textId="77777777" w:rsidR="00D35543" w:rsidRPr="00B12BB1" w:rsidRDefault="00324E02" w:rsidP="00D35543">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cs="Courier New"/>
                <w:color w:val="0000FF"/>
              </w:rPr>
            </w:pPr>
            <w:r w:rsidRPr="00B12BB1">
              <w:rPr>
                <w:rFonts w:cs="Courier New"/>
                <w:color w:val="0000FF"/>
              </w:rPr>
              <w:t>MMWR Recomm Rep. 2016 Mar 18;65(1):1-49. doi: 10.15585/mmwr.rr6501e1.</w:t>
            </w:r>
          </w:p>
          <w:p w14:paraId="23B39C14" w14:textId="7F4B39D7" w:rsidR="00324E02" w:rsidRPr="00073A5B" w:rsidRDefault="00324E02" w:rsidP="00D35543">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cs="Courier New"/>
                <w:color w:val="0000FF"/>
              </w:rPr>
            </w:pPr>
            <w:r w:rsidRPr="00073A5B">
              <w:rPr>
                <w:rFonts w:cs="Courier New"/>
                <w:color w:val="0000FF"/>
              </w:rPr>
              <w:t xml:space="preserve">Available at: </w:t>
            </w:r>
            <w:hyperlink r:id="rId16" w:history="1">
              <w:r w:rsidRPr="00073A5B">
                <w:rPr>
                  <w:rStyle w:val="Hyperlink"/>
                  <w:rFonts w:cs="Courier New"/>
                  <w:color w:val="0000FF"/>
                  <w:u w:val="none"/>
                </w:rPr>
                <w:t>http://www.cdc.gov/drugoverdose/prescribing/guideline.html</w:t>
              </w:r>
            </w:hyperlink>
          </w:p>
          <w:p w14:paraId="55B8DA75" w14:textId="3F2EC05A" w:rsidR="00073A5B" w:rsidRPr="00B12BB1" w:rsidRDefault="00073A5B" w:rsidP="00D35543">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cs="Courier New"/>
                <w:color w:val="0000FF"/>
              </w:rPr>
            </w:pPr>
            <w:r w:rsidRPr="00073A5B">
              <w:rPr>
                <w:rFonts w:cs="Courier New"/>
                <w:color w:val="0000FF"/>
              </w:rPr>
              <w:t>Also</w:t>
            </w:r>
            <w:r>
              <w:rPr>
                <w:rFonts w:cs="Courier New"/>
                <w:color w:val="0000FF"/>
              </w:rPr>
              <w:t>,</w:t>
            </w:r>
            <w:r w:rsidRPr="00073A5B">
              <w:rPr>
                <w:rFonts w:cs="Courier New"/>
                <w:color w:val="0000FF"/>
              </w:rPr>
              <w:t xml:space="preserve"> the associated</w:t>
            </w:r>
            <w:r>
              <w:rPr>
                <w:rFonts w:cs="Courier New"/>
                <w:color w:val="0000FF"/>
              </w:rPr>
              <w:t xml:space="preserve"> </w:t>
            </w:r>
            <w:r w:rsidRPr="00073A5B">
              <w:rPr>
                <w:rFonts w:cs="Courier New"/>
                <w:color w:val="0000FF"/>
              </w:rPr>
              <w:t xml:space="preserve">Clinical Evidence Review </w:t>
            </w:r>
            <w:r w:rsidRPr="00073A5B">
              <w:rPr>
                <w:rFonts w:cs="Times"/>
                <w:color w:val="0000FF"/>
              </w:rPr>
              <w:t>(</w:t>
            </w:r>
            <w:hyperlink r:id="rId17" w:history="1">
              <w:r w:rsidRPr="00073A5B">
                <w:rPr>
                  <w:rStyle w:val="Hyperlink"/>
                  <w:rFonts w:cs="Times"/>
                  <w:color w:val="0000FF"/>
                  <w:u w:val="none"/>
                </w:rPr>
                <w:t>http://stacks.cdc.gov/view/cdc/38026</w:t>
              </w:r>
            </w:hyperlink>
            <w:r w:rsidRPr="00073A5B">
              <w:rPr>
                <w:rFonts w:cs="Times"/>
                <w:color w:val="0000FF"/>
              </w:rPr>
              <w:t>),</w:t>
            </w:r>
            <w:r w:rsidR="00843CCE">
              <w:rPr>
                <w:rFonts w:cs="Times"/>
                <w:color w:val="0000FF"/>
              </w:rPr>
              <w:t xml:space="preserve"> </w:t>
            </w:r>
            <w:r w:rsidRPr="00073A5B">
              <w:rPr>
                <w:rFonts w:cs="Courier New"/>
                <w:color w:val="0000FF"/>
              </w:rPr>
              <w:t>and Contextual Evidence Review (</w:t>
            </w:r>
            <w:hyperlink r:id="rId18" w:history="1">
              <w:r w:rsidRPr="00073A5B">
                <w:rPr>
                  <w:rStyle w:val="Hyperlink"/>
                  <w:rFonts w:cs="Times"/>
                  <w:color w:val="0000FF"/>
                  <w:u w:val="none"/>
                </w:rPr>
                <w:t>http://stacks.cdc.gov/view/cdc/38027)</w:t>
              </w:r>
            </w:hyperlink>
            <w:r>
              <w:rPr>
                <w:rStyle w:val="Hyperlink"/>
                <w:rFonts w:cs="Times"/>
                <w:color w:val="0000FF"/>
                <w:u w:val="none"/>
              </w:rPr>
              <w:t>.</w:t>
            </w: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409CB507" w:rsidR="00AB4ECE" w:rsidRPr="003A0C6A" w:rsidRDefault="003C375E" w:rsidP="002E2177">
            <w:pPr>
              <w:ind w:left="0" w:firstLine="0"/>
              <w:rPr>
                <w:color w:val="002060"/>
              </w:rPr>
            </w:pPr>
            <w:r w:rsidRPr="00B12BB1">
              <w:rPr>
                <w:color w:val="0000FF"/>
              </w:rPr>
              <w:t>CDC Guideline: Recommendation 11, pages 31-32</w:t>
            </w:r>
            <w:r w:rsidR="00B238A9" w:rsidRPr="00B12BB1">
              <w:rPr>
                <w:color w:val="0000FF"/>
              </w:rPr>
              <w:t>, “Clinicians should avoid prescribing opioid pain medication and benzodiazepines concurrently whenever possible (recommendation category: A, evidence type: 3).”</w:t>
            </w: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C45F3A2" w:rsidR="00AB4ECE" w:rsidRPr="003A0C6A" w:rsidRDefault="00B238A9" w:rsidP="003A0C6A">
            <w:pPr>
              <w:widowControl w:val="0"/>
              <w:autoSpaceDE w:val="0"/>
              <w:autoSpaceDN w:val="0"/>
              <w:adjustRightInd w:val="0"/>
              <w:ind w:left="0" w:firstLine="0"/>
              <w:rPr>
                <w:color w:val="002060"/>
              </w:rPr>
            </w:pPr>
            <w:r w:rsidRPr="00B12BB1">
              <w:rPr>
                <w:rFonts w:cs="Times"/>
                <w:bCs/>
                <w:color w:val="0000FF"/>
              </w:rPr>
              <w:t>CDC Guideline: Type 3 evidence</w:t>
            </w:r>
            <w:r w:rsidRPr="00B12BB1">
              <w:rPr>
                <w:rFonts w:cs="Times"/>
                <w:color w:val="0000FF"/>
              </w:rPr>
              <w:t xml:space="preserve">: Observational studies or randomized clinical trials with notable limitations. </w:t>
            </w:r>
          </w:p>
        </w:tc>
      </w:tr>
      <w:tr w:rsidR="00AB4ECE" w14:paraId="55B8DA7F" w14:textId="77777777" w:rsidTr="00F90F82">
        <w:tc>
          <w:tcPr>
            <w:tcW w:w="4068" w:type="dxa"/>
          </w:tcPr>
          <w:p w14:paraId="55B8DA7D" w14:textId="77777777" w:rsidR="00AB4ECE" w:rsidRDefault="00AB4ECE" w:rsidP="00E42FAA">
            <w:pPr>
              <w:ind w:left="0" w:firstLine="0"/>
            </w:pPr>
            <w:r>
              <w:lastRenderedPageBreak/>
              <w:t>Provide all other grades and definitions from the evidence grading system</w:t>
            </w:r>
          </w:p>
        </w:tc>
        <w:tc>
          <w:tcPr>
            <w:tcW w:w="5130" w:type="dxa"/>
          </w:tcPr>
          <w:p w14:paraId="4991C4CA" w14:textId="77777777" w:rsidR="00B238A9" w:rsidRPr="00B12BB1" w:rsidRDefault="00B238A9" w:rsidP="00B238A9">
            <w:pPr>
              <w:widowControl w:val="0"/>
              <w:autoSpaceDE w:val="0"/>
              <w:autoSpaceDN w:val="0"/>
              <w:adjustRightInd w:val="0"/>
              <w:ind w:left="0" w:firstLine="0"/>
              <w:rPr>
                <w:rFonts w:cs="Times"/>
                <w:color w:val="0000FF"/>
              </w:rPr>
            </w:pPr>
            <w:r w:rsidRPr="00B12BB1">
              <w:rPr>
                <w:rFonts w:cs="Times"/>
                <w:bCs/>
                <w:color w:val="0000FF"/>
              </w:rPr>
              <w:t xml:space="preserve">CDC Guideline: Evidence Type: </w:t>
            </w:r>
            <w:r w:rsidRPr="00B12BB1">
              <w:rPr>
                <w:rFonts w:cs="Times"/>
                <w:color w:val="0000FF"/>
              </w:rPr>
              <w:t xml:space="preserve">Based on study design as well as a function of limitations in study design or implementation, imprecision of estimates, variability in findings, indirectness of evidence, publication bias, magnitude of treatment effects, dose-response gradient, and constellation of plausible biases that could change effects. </w:t>
            </w:r>
          </w:p>
          <w:p w14:paraId="78374C40" w14:textId="77777777" w:rsidR="00B238A9" w:rsidRPr="00B12BB1" w:rsidRDefault="00B238A9" w:rsidP="00B238A9">
            <w:pPr>
              <w:widowControl w:val="0"/>
              <w:autoSpaceDE w:val="0"/>
              <w:autoSpaceDN w:val="0"/>
              <w:adjustRightInd w:val="0"/>
              <w:ind w:left="0" w:firstLine="0"/>
              <w:rPr>
                <w:rFonts w:cs="Times"/>
                <w:color w:val="0000FF"/>
              </w:rPr>
            </w:pPr>
            <w:r w:rsidRPr="00B12BB1">
              <w:rPr>
                <w:rFonts w:cs="Times"/>
                <w:bCs/>
                <w:color w:val="0000FF"/>
              </w:rPr>
              <w:t>Type 1 evidence</w:t>
            </w:r>
            <w:r w:rsidRPr="00B12BB1">
              <w:rPr>
                <w:rFonts w:cs="Times"/>
                <w:color w:val="0000FF"/>
              </w:rPr>
              <w:t xml:space="preserve">: Randomized clinical trials or overwhelming evidence from observational studies. </w:t>
            </w:r>
          </w:p>
          <w:p w14:paraId="7C752F67" w14:textId="77777777" w:rsidR="00B238A9" w:rsidRPr="00B12BB1" w:rsidRDefault="00B238A9" w:rsidP="00B238A9">
            <w:pPr>
              <w:widowControl w:val="0"/>
              <w:autoSpaceDE w:val="0"/>
              <w:autoSpaceDN w:val="0"/>
              <w:adjustRightInd w:val="0"/>
              <w:ind w:left="0" w:firstLine="0"/>
              <w:rPr>
                <w:rFonts w:cs="Times"/>
                <w:color w:val="0000FF"/>
              </w:rPr>
            </w:pPr>
            <w:r w:rsidRPr="00B12BB1">
              <w:rPr>
                <w:rFonts w:cs="Times"/>
                <w:bCs/>
                <w:color w:val="0000FF"/>
              </w:rPr>
              <w:t>Type 2 evidence</w:t>
            </w:r>
            <w:r w:rsidRPr="00B12BB1">
              <w:rPr>
                <w:rFonts w:cs="Times"/>
                <w:color w:val="0000FF"/>
              </w:rPr>
              <w:t xml:space="preserve">: Randomized clinical trials with important limitations, or exceptionally strong evidence from observational studies. </w:t>
            </w:r>
          </w:p>
          <w:p w14:paraId="36A881DF" w14:textId="77777777" w:rsidR="00B238A9" w:rsidRPr="00B12BB1" w:rsidRDefault="00B238A9" w:rsidP="00B238A9">
            <w:pPr>
              <w:widowControl w:val="0"/>
              <w:autoSpaceDE w:val="0"/>
              <w:autoSpaceDN w:val="0"/>
              <w:adjustRightInd w:val="0"/>
              <w:ind w:left="0" w:firstLine="0"/>
              <w:rPr>
                <w:rFonts w:cs="Times"/>
                <w:color w:val="0000FF"/>
              </w:rPr>
            </w:pPr>
            <w:r w:rsidRPr="00B12BB1">
              <w:rPr>
                <w:rFonts w:cs="Times"/>
                <w:bCs/>
                <w:color w:val="0000FF"/>
              </w:rPr>
              <w:t>Type 3 evidence</w:t>
            </w:r>
            <w:r w:rsidRPr="00B12BB1">
              <w:rPr>
                <w:rFonts w:cs="Times"/>
                <w:color w:val="0000FF"/>
              </w:rPr>
              <w:t xml:space="preserve">: Observational studies or randomized clinical trials with notable limitations. </w:t>
            </w:r>
          </w:p>
          <w:p w14:paraId="55B8DA7E" w14:textId="4D170C13" w:rsidR="00AB4ECE" w:rsidRPr="003A0C6A" w:rsidRDefault="00B238A9" w:rsidP="00B238A9">
            <w:pPr>
              <w:widowControl w:val="0"/>
              <w:autoSpaceDE w:val="0"/>
              <w:autoSpaceDN w:val="0"/>
              <w:adjustRightInd w:val="0"/>
              <w:ind w:left="0" w:firstLine="0"/>
              <w:rPr>
                <w:rFonts w:cs="Times"/>
                <w:color w:val="002060"/>
              </w:rPr>
            </w:pPr>
            <w:r w:rsidRPr="00B12BB1">
              <w:rPr>
                <w:rFonts w:cs="Times"/>
                <w:bCs/>
                <w:color w:val="0000FF"/>
              </w:rPr>
              <w:t>Type 4 evidence</w:t>
            </w:r>
            <w:r w:rsidRPr="00B12BB1">
              <w:rPr>
                <w:rFonts w:cs="Times"/>
                <w:color w:val="0000FF"/>
              </w:rPr>
              <w:t xml:space="preserve">: Clinical experience and observations, observational studies with important limitations, or randomized clinical trials with several major limitations. </w:t>
            </w: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2B28F94D" w:rsidR="00AB4ECE" w:rsidRPr="003A0C6A" w:rsidRDefault="00B238A9" w:rsidP="003A0C6A">
            <w:pPr>
              <w:widowControl w:val="0"/>
              <w:autoSpaceDE w:val="0"/>
              <w:autoSpaceDN w:val="0"/>
              <w:adjustRightInd w:val="0"/>
              <w:ind w:left="0" w:firstLine="0"/>
              <w:rPr>
                <w:rFonts w:cs="Times"/>
                <w:color w:val="002060"/>
              </w:rPr>
            </w:pPr>
            <w:r w:rsidRPr="00B12BB1">
              <w:rPr>
                <w:rFonts w:cs="Times"/>
                <w:bCs/>
                <w:color w:val="0000FF"/>
              </w:rPr>
              <w:t>CDC Guideline: Category A recommendation</w:t>
            </w:r>
            <w:r w:rsidRPr="00B12BB1">
              <w:rPr>
                <w:rFonts w:cs="Times"/>
                <w:color w:val="0000FF"/>
              </w:rPr>
              <w:t xml:space="preserve">: Applies to all persons; most patients should receive the recommended course of action. </w:t>
            </w: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048965DA" w14:textId="77777777" w:rsidR="00B238A9" w:rsidRPr="00B12BB1" w:rsidRDefault="00B238A9" w:rsidP="003A0C6A">
            <w:pPr>
              <w:widowControl w:val="0"/>
              <w:autoSpaceDE w:val="0"/>
              <w:autoSpaceDN w:val="0"/>
              <w:adjustRightInd w:val="0"/>
              <w:ind w:left="0" w:firstLine="0"/>
              <w:rPr>
                <w:rFonts w:cs="Times"/>
                <w:color w:val="0000FF"/>
              </w:rPr>
            </w:pPr>
            <w:r w:rsidRPr="00B12BB1">
              <w:rPr>
                <w:rFonts w:cs="Times"/>
                <w:bCs/>
                <w:color w:val="0000FF"/>
              </w:rPr>
              <w:t xml:space="preserve">CDC Guideline: Recommendation Categories </w:t>
            </w:r>
          </w:p>
          <w:p w14:paraId="2614FBF8" w14:textId="77777777" w:rsidR="00B238A9" w:rsidRPr="00B12BB1" w:rsidRDefault="00B238A9" w:rsidP="003A0C6A">
            <w:pPr>
              <w:widowControl w:val="0"/>
              <w:autoSpaceDE w:val="0"/>
              <w:autoSpaceDN w:val="0"/>
              <w:adjustRightInd w:val="0"/>
              <w:ind w:left="0" w:firstLine="0"/>
              <w:rPr>
                <w:rFonts w:cs="Times"/>
                <w:color w:val="0000FF"/>
              </w:rPr>
            </w:pPr>
            <w:r w:rsidRPr="00B12BB1">
              <w:rPr>
                <w:rFonts w:cs="Times"/>
                <w:color w:val="0000FF"/>
              </w:rPr>
              <w:t xml:space="preserve">Based on evidence type, balance between desirable and undesirable effects, values and preferences, and resource allocation (cost). </w:t>
            </w:r>
          </w:p>
          <w:p w14:paraId="0E130D2C" w14:textId="77777777" w:rsidR="00B238A9" w:rsidRPr="00B12BB1" w:rsidRDefault="00B238A9" w:rsidP="003A0C6A">
            <w:pPr>
              <w:widowControl w:val="0"/>
              <w:autoSpaceDE w:val="0"/>
              <w:autoSpaceDN w:val="0"/>
              <w:adjustRightInd w:val="0"/>
              <w:ind w:left="0" w:firstLine="0"/>
              <w:rPr>
                <w:rFonts w:cs="Times"/>
                <w:color w:val="0000FF"/>
              </w:rPr>
            </w:pPr>
            <w:r w:rsidRPr="00B12BB1">
              <w:rPr>
                <w:rFonts w:cs="Times"/>
                <w:bCs/>
                <w:color w:val="0000FF"/>
              </w:rPr>
              <w:t>Category A recommendation</w:t>
            </w:r>
            <w:r w:rsidRPr="00B12BB1">
              <w:rPr>
                <w:rFonts w:cs="Times"/>
                <w:color w:val="0000FF"/>
              </w:rPr>
              <w:t xml:space="preserve">: Applies to all persons; most patients should receive the recommended course of action. </w:t>
            </w:r>
          </w:p>
          <w:p w14:paraId="55B8DA84" w14:textId="203284A2" w:rsidR="00AB4ECE" w:rsidRPr="003A0C6A" w:rsidRDefault="00B238A9" w:rsidP="003A0C6A">
            <w:pPr>
              <w:widowControl w:val="0"/>
              <w:autoSpaceDE w:val="0"/>
              <w:autoSpaceDN w:val="0"/>
              <w:adjustRightInd w:val="0"/>
              <w:ind w:left="0" w:firstLine="0"/>
              <w:rPr>
                <w:rFonts w:cs="Times"/>
                <w:color w:val="002060"/>
              </w:rPr>
            </w:pPr>
            <w:r w:rsidRPr="00B12BB1">
              <w:rPr>
                <w:rFonts w:cs="Times"/>
                <w:bCs/>
                <w:color w:val="0000FF"/>
              </w:rPr>
              <w:t>Category B recommendation</w:t>
            </w:r>
            <w:r w:rsidRPr="00B12BB1">
              <w:rPr>
                <w:rFonts w:cs="Times"/>
                <w:color w:val="0000FF"/>
              </w:rPr>
              <w:t xml:space="preserve">: Individual decision making needed; different choices will be appropriate for different patients. Clinicians help patients arrive at a decision consistent with patient values and preferences and specific clinical situations. </w:t>
            </w: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299D9625" w14:textId="15BF309C" w:rsidR="003A0C6A" w:rsidRPr="00B12BB1" w:rsidRDefault="00B12BB1" w:rsidP="00B12BB1">
            <w:pPr>
              <w:pStyle w:val="ListParagraph"/>
              <w:numPr>
                <w:ilvl w:val="0"/>
                <w:numId w:val="12"/>
              </w:numPr>
              <w:spacing w:after="0" w:line="240" w:lineRule="auto"/>
              <w:rPr>
                <w:color w:val="0000FF"/>
              </w:rPr>
            </w:pPr>
            <w:r>
              <w:rPr>
                <w:rFonts w:cs="Adobe Garamond Pro"/>
                <w:color w:val="0000FF"/>
              </w:rPr>
              <w:t xml:space="preserve">Quantity: </w:t>
            </w:r>
            <w:r w:rsidR="00F70D77">
              <w:rPr>
                <w:rFonts w:cs="Adobe Garamond Pro"/>
                <w:color w:val="0000FF"/>
              </w:rPr>
              <w:t>four studies</w:t>
            </w:r>
          </w:p>
          <w:p w14:paraId="55B8DA89" w14:textId="3DB18302" w:rsidR="003A0C6A" w:rsidRPr="00F70D77" w:rsidRDefault="00B12BB1" w:rsidP="00F70D77">
            <w:pPr>
              <w:pStyle w:val="ListParagraph"/>
              <w:numPr>
                <w:ilvl w:val="0"/>
                <w:numId w:val="12"/>
              </w:numPr>
              <w:spacing w:after="0" w:line="240" w:lineRule="auto"/>
              <w:rPr>
                <w:color w:val="0000FF"/>
              </w:rPr>
            </w:pPr>
            <w:r>
              <w:rPr>
                <w:rFonts w:cs="Adobe Garamond Pro"/>
                <w:color w:val="0000FF"/>
              </w:rPr>
              <w:t xml:space="preserve">Quality: Observational studies; a) </w:t>
            </w:r>
            <w:r w:rsidR="00F70D77">
              <w:rPr>
                <w:rFonts w:cs="Adobe Garamond Pro"/>
                <w:color w:val="0000FF"/>
              </w:rPr>
              <w:t xml:space="preserve">three </w:t>
            </w:r>
            <w:r w:rsidR="003A0C6A" w:rsidRPr="00B12BB1">
              <w:rPr>
                <w:rFonts w:cs="Adobe Garamond Pro"/>
                <w:color w:val="0000FF"/>
              </w:rPr>
              <w:t xml:space="preserve">epidemiologic series of concurrent benzodiazepine use in large proportions of opioid-related overdose deaths, and </w:t>
            </w:r>
            <w:r>
              <w:rPr>
                <w:rFonts w:cs="Adobe Garamond Pro"/>
                <w:color w:val="0000FF"/>
              </w:rPr>
              <w:t xml:space="preserve">b) </w:t>
            </w:r>
            <w:r w:rsidR="00F70D77">
              <w:rPr>
                <w:rFonts w:cs="Adobe Garamond Pro"/>
                <w:color w:val="0000FF"/>
              </w:rPr>
              <w:t xml:space="preserve">one </w:t>
            </w:r>
            <w:r w:rsidR="003A0C6A" w:rsidRPr="00B12BB1">
              <w:rPr>
                <w:rFonts w:cs="Adobe Garamond Pro"/>
                <w:color w:val="0000FF"/>
              </w:rPr>
              <w:t>case-cohort stud</w:t>
            </w:r>
            <w:r w:rsidR="00F70D77">
              <w:rPr>
                <w:rFonts w:cs="Adobe Garamond Pro"/>
                <w:color w:val="0000FF"/>
              </w:rPr>
              <w:t>y</w:t>
            </w:r>
            <w:r w:rsidR="00F70D77">
              <w:rPr>
                <w:color w:val="002060"/>
              </w:rPr>
              <w:t>.</w:t>
            </w: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1FA3B39A" w:rsidR="00AB4ECE" w:rsidRPr="004C2CF6" w:rsidRDefault="00073A5B" w:rsidP="002E2177">
            <w:pPr>
              <w:ind w:left="0" w:firstLine="0"/>
              <w:rPr>
                <w:color w:val="0070C0"/>
              </w:rPr>
            </w:pPr>
            <w:r>
              <w:rPr>
                <w:rFonts w:cs="Adobe Garamond Pro"/>
                <w:color w:val="0000FF"/>
              </w:rPr>
              <w:t>Not provided.</w:t>
            </w: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401BAA70" w:rsidR="000E5C93" w:rsidRPr="004C2CF6" w:rsidRDefault="004C2CF6" w:rsidP="00073A5B">
            <w:pPr>
              <w:ind w:left="0" w:firstLine="0"/>
              <w:rPr>
                <w:color w:val="0070C0"/>
              </w:rPr>
            </w:pPr>
            <w:r w:rsidRPr="00073A5B">
              <w:rPr>
                <w:rFonts w:cs="Adobe Garamond Pro"/>
                <w:color w:val="0000FF"/>
              </w:rPr>
              <w:t xml:space="preserve">The </w:t>
            </w:r>
            <w:r w:rsidR="00073A5B" w:rsidRPr="00073A5B">
              <w:rPr>
                <w:rFonts w:cs="Adobe Garamond Pro"/>
                <w:color w:val="0000FF"/>
              </w:rPr>
              <w:t>C</w:t>
            </w:r>
            <w:r w:rsidRPr="00073A5B">
              <w:rPr>
                <w:rFonts w:cs="Adobe Garamond Pro"/>
                <w:color w:val="0000FF"/>
              </w:rPr>
              <w:t xml:space="preserve">linical </w:t>
            </w:r>
            <w:r w:rsidR="00073A5B" w:rsidRPr="00073A5B">
              <w:rPr>
                <w:rFonts w:cs="Adobe Garamond Pro"/>
                <w:color w:val="0000FF"/>
              </w:rPr>
              <w:t>E</w:t>
            </w:r>
            <w:r w:rsidRPr="00073A5B">
              <w:rPr>
                <w:rFonts w:cs="Adobe Garamond Pro"/>
                <w:color w:val="0000FF"/>
              </w:rPr>
              <w:t xml:space="preserve">vidence </w:t>
            </w:r>
            <w:r w:rsidR="00073A5B" w:rsidRPr="00073A5B">
              <w:rPr>
                <w:rFonts w:cs="Adobe Garamond Pro"/>
                <w:color w:val="0000FF"/>
              </w:rPr>
              <w:t>R</w:t>
            </w:r>
            <w:r w:rsidRPr="00073A5B">
              <w:rPr>
                <w:rFonts w:cs="Adobe Garamond Pro"/>
                <w:color w:val="0000FF"/>
              </w:rPr>
              <w:t xml:space="preserve">eview did not address risks of benzodiazepine co-prescription among patients prescribed opioids. However, the </w:t>
            </w:r>
            <w:r w:rsidR="00073A5B" w:rsidRPr="00073A5B">
              <w:rPr>
                <w:rFonts w:cs="Adobe Garamond Pro"/>
                <w:color w:val="0000FF"/>
              </w:rPr>
              <w:t>C</w:t>
            </w:r>
            <w:r w:rsidRPr="00073A5B">
              <w:rPr>
                <w:rFonts w:cs="Adobe Garamond Pro"/>
                <w:color w:val="0000FF"/>
              </w:rPr>
              <w:t xml:space="preserve">ontextual </w:t>
            </w:r>
            <w:r w:rsidR="00073A5B" w:rsidRPr="00073A5B">
              <w:rPr>
                <w:rFonts w:cs="Adobe Garamond Pro"/>
                <w:color w:val="0000FF"/>
              </w:rPr>
              <w:t>E</w:t>
            </w:r>
            <w:r w:rsidRPr="00073A5B">
              <w:rPr>
                <w:rFonts w:cs="Adobe Garamond Pro"/>
                <w:color w:val="0000FF"/>
              </w:rPr>
              <w:t xml:space="preserve">vidence </w:t>
            </w:r>
            <w:r w:rsidR="00073A5B" w:rsidRPr="00073A5B">
              <w:rPr>
                <w:rFonts w:cs="Adobe Garamond Pro"/>
                <w:color w:val="0000FF"/>
              </w:rPr>
              <w:t>R</w:t>
            </w:r>
            <w:r w:rsidRPr="00073A5B">
              <w:rPr>
                <w:rFonts w:cs="Adobe Garamond Pro"/>
                <w:color w:val="0000FF"/>
              </w:rPr>
              <w:t>eview found evidence in epidemiologic series of concurrent benzodiazepine use in large proportions of opioid-related overdose deaths, and a case-cohort study found concurrent benzodiazepine prescription with opioid prescription to be associated with a near quadrupling of risk for overdose death compared with opioid prescription alone</w:t>
            </w:r>
            <w:r w:rsidR="00073A5B" w:rsidRPr="00073A5B">
              <w:rPr>
                <w:rFonts w:cs="Adobe Garamond Pro"/>
                <w:color w:val="0000FF"/>
              </w:rPr>
              <w:t>.</w:t>
            </w:r>
          </w:p>
        </w:tc>
      </w:tr>
      <w:tr w:rsidR="000E5C93" w14:paraId="55B8DA93" w14:textId="77777777" w:rsidTr="00F90F82">
        <w:tc>
          <w:tcPr>
            <w:tcW w:w="4068" w:type="dxa"/>
          </w:tcPr>
          <w:p w14:paraId="55B8DA91" w14:textId="77777777" w:rsidR="000E5C93" w:rsidRDefault="000E5C93" w:rsidP="000E5C93">
            <w:pPr>
              <w:ind w:left="0" w:firstLine="0"/>
            </w:pPr>
            <w:r>
              <w:t xml:space="preserve">Identify any new studies conducted since the SR. Do the </w:t>
            </w:r>
            <w:r>
              <w:lastRenderedPageBreak/>
              <w:t>new studies change the conclusions from the SR?</w:t>
            </w:r>
          </w:p>
        </w:tc>
        <w:tc>
          <w:tcPr>
            <w:tcW w:w="5130" w:type="dxa"/>
          </w:tcPr>
          <w:p w14:paraId="197816C6" w14:textId="77777777" w:rsidR="000E5C93" w:rsidRPr="00073A5B" w:rsidRDefault="009968D6" w:rsidP="00760BBA">
            <w:pPr>
              <w:pStyle w:val="ListParagraph"/>
              <w:widowControl w:val="0"/>
              <w:numPr>
                <w:ilvl w:val="0"/>
                <w:numId w:val="13"/>
              </w:numPr>
              <w:autoSpaceDE w:val="0"/>
              <w:autoSpaceDN w:val="0"/>
              <w:adjustRightInd w:val="0"/>
              <w:spacing w:after="0" w:line="240" w:lineRule="auto"/>
              <w:rPr>
                <w:rFonts w:cstheme="minorHAnsi"/>
                <w:noProof/>
                <w:color w:val="0000FF"/>
                <w:sz w:val="20"/>
                <w:szCs w:val="20"/>
              </w:rPr>
            </w:pPr>
            <w:r w:rsidRPr="00E85BA9">
              <w:rPr>
                <w:rFonts w:cstheme="minorHAnsi"/>
                <w:color w:val="0000FF"/>
                <w:szCs w:val="20"/>
              </w:rPr>
              <w:lastRenderedPageBreak/>
              <w:t xml:space="preserve">Sun EC, Dixit A, Humphreys K, et al. Association between concurrent use of prescription opioids and benzodiazepines </w:t>
            </w:r>
            <w:r w:rsidRPr="00E85BA9">
              <w:rPr>
                <w:rFonts w:cstheme="minorHAnsi"/>
                <w:color w:val="0000FF"/>
                <w:szCs w:val="20"/>
              </w:rPr>
              <w:lastRenderedPageBreak/>
              <w:t>and overdose: retrospective analysis. BMJ. 2017;356:j760. doi: 10.1136/bmj.</w:t>
            </w:r>
            <w:r w:rsidRPr="0089612B">
              <w:rPr>
                <w:rFonts w:cstheme="minorHAnsi"/>
                <w:color w:val="0000FF"/>
              </w:rPr>
              <w:t>j760. PMID: 28292769</w:t>
            </w:r>
          </w:p>
          <w:p w14:paraId="507ECD2D" w14:textId="77777777" w:rsidR="00760BBA" w:rsidRPr="00E85BA9" w:rsidRDefault="00760BBA" w:rsidP="00760BBA">
            <w:pPr>
              <w:pStyle w:val="ListParagraph"/>
              <w:widowControl w:val="0"/>
              <w:numPr>
                <w:ilvl w:val="0"/>
                <w:numId w:val="13"/>
              </w:numPr>
              <w:autoSpaceDE w:val="0"/>
              <w:autoSpaceDN w:val="0"/>
              <w:adjustRightInd w:val="0"/>
              <w:spacing w:after="0" w:line="240" w:lineRule="auto"/>
              <w:rPr>
                <w:rFonts w:cstheme="minorHAnsi"/>
                <w:noProof/>
                <w:color w:val="0000FF"/>
                <w:szCs w:val="20"/>
              </w:rPr>
            </w:pPr>
            <w:bookmarkStart w:id="7" w:name="_Hlk509990577"/>
            <w:r w:rsidRPr="00E85BA9">
              <w:rPr>
                <w:rFonts w:cstheme="minorHAnsi"/>
                <w:color w:val="0000FF"/>
                <w:szCs w:val="20"/>
              </w:rPr>
              <w:t>Gaither JR, Goulet JL, Becker WC, et al. The Association Between Receipt of Guideline-Concordant Long-Term Opioid Therapy and All-Cause Mortality. J Gen Intern Med 2016; 31:492</w:t>
            </w:r>
          </w:p>
          <w:bookmarkEnd w:id="7"/>
          <w:p w14:paraId="1A7EF00D" w14:textId="61DE9E87" w:rsidR="00760BBA" w:rsidRPr="00E85BA9" w:rsidRDefault="00760BBA" w:rsidP="00760BBA">
            <w:pPr>
              <w:pStyle w:val="ListParagraph"/>
              <w:widowControl w:val="0"/>
              <w:numPr>
                <w:ilvl w:val="0"/>
                <w:numId w:val="13"/>
              </w:numPr>
              <w:autoSpaceDE w:val="0"/>
              <w:autoSpaceDN w:val="0"/>
              <w:adjustRightInd w:val="0"/>
              <w:spacing w:after="0" w:line="240" w:lineRule="auto"/>
              <w:rPr>
                <w:rFonts w:cstheme="minorHAnsi"/>
                <w:noProof/>
                <w:color w:val="0000FF"/>
                <w:szCs w:val="20"/>
              </w:rPr>
            </w:pPr>
            <w:r w:rsidRPr="00E85BA9">
              <w:rPr>
                <w:rFonts w:cstheme="minorHAnsi"/>
                <w:color w:val="0000FF"/>
                <w:szCs w:val="20"/>
              </w:rPr>
              <w:t xml:space="preserve">Dasgupta N, Funk MJ, Proescholdbell S, et al. Cohort Study of the </w:t>
            </w:r>
            <w:r w:rsidR="0055511F" w:rsidRPr="00E85BA9">
              <w:rPr>
                <w:rFonts w:cstheme="minorHAnsi"/>
                <w:color w:val="0000FF"/>
                <w:szCs w:val="20"/>
              </w:rPr>
              <w:t>Impact</w:t>
            </w:r>
            <w:r w:rsidRPr="00E85BA9">
              <w:rPr>
                <w:rFonts w:cstheme="minorHAnsi"/>
                <w:color w:val="0000FF"/>
                <w:szCs w:val="20"/>
              </w:rPr>
              <w:t xml:space="preserve"> of High-Dose Opioid Analgesics on Overdose Mortality. Pain Med 2016; 17:85.</w:t>
            </w:r>
          </w:p>
          <w:p w14:paraId="74AABB53" w14:textId="77777777" w:rsidR="00FA3AF0" w:rsidRPr="00073A5B" w:rsidRDefault="00FA3AF0" w:rsidP="00760BBA">
            <w:pPr>
              <w:widowControl w:val="0"/>
              <w:autoSpaceDE w:val="0"/>
              <w:autoSpaceDN w:val="0"/>
              <w:adjustRightInd w:val="0"/>
              <w:rPr>
                <w:rFonts w:cstheme="minorHAnsi"/>
                <w:noProof/>
                <w:color w:val="0000FF"/>
                <w:sz w:val="20"/>
                <w:szCs w:val="20"/>
              </w:rPr>
            </w:pPr>
          </w:p>
          <w:p w14:paraId="55B8DA92" w14:textId="5DFBBE2A" w:rsidR="00760BBA" w:rsidRPr="00073A5B" w:rsidRDefault="0052008D" w:rsidP="00FA3AF0">
            <w:pPr>
              <w:widowControl w:val="0"/>
              <w:autoSpaceDE w:val="0"/>
              <w:autoSpaceDN w:val="0"/>
              <w:adjustRightInd w:val="0"/>
              <w:ind w:left="0" w:firstLine="0"/>
              <w:rPr>
                <w:rFonts w:cstheme="minorHAnsi"/>
                <w:noProof/>
                <w:color w:val="0000FF"/>
                <w:sz w:val="20"/>
                <w:szCs w:val="20"/>
              </w:rPr>
            </w:pPr>
            <w:r w:rsidRPr="00E85BA9">
              <w:rPr>
                <w:rFonts w:cstheme="minorHAnsi"/>
                <w:noProof/>
                <w:color w:val="0000FF"/>
                <w:szCs w:val="20"/>
              </w:rPr>
              <w:t xml:space="preserve">The studies listed above do not change the conclusion from the SR. </w:t>
            </w:r>
            <w:r w:rsidR="00821377">
              <w:rPr>
                <w:rFonts w:cstheme="minorHAnsi"/>
                <w:noProof/>
                <w:color w:val="0000FF"/>
                <w:szCs w:val="20"/>
              </w:rPr>
              <w:t>All support that the measured process correlates with negative health outcomes.</w:t>
            </w:r>
          </w:p>
        </w:tc>
      </w:tr>
    </w:tbl>
    <w:p w14:paraId="55B8DA94" w14:textId="2B922259"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8" w:name="Section1a8"/>
      <w:bookmarkEnd w:id="8"/>
      <w:r>
        <w:rPr>
          <w:b/>
          <w:color w:val="0000FF"/>
        </w:rPr>
        <w:t>1a.4</w:t>
      </w:r>
      <w:r w:rsidR="00837121" w:rsidRPr="003B1CC5">
        <w:rPr>
          <w:b/>
          <w:color w:val="0000FF"/>
        </w:rPr>
        <w:t xml:space="preserve"> </w:t>
      </w:r>
      <w:r w:rsidR="00837121" w:rsidRPr="003B1CC5">
        <w:rPr>
          <w:b/>
        </w:rPr>
        <w:t>OTHER SOURCE OF EVIDENCE</w:t>
      </w:r>
    </w:p>
    <w:p w14:paraId="55B8DA97" w14:textId="1821C186"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075F916" w14:textId="3715890B" w:rsidR="000D1D04" w:rsidRPr="000D1D04" w:rsidRDefault="000D1D04" w:rsidP="000D1D04">
      <w:pPr>
        <w:ind w:left="0" w:firstLine="0"/>
        <w:rPr>
          <w:color w:val="0000FF"/>
        </w:rPr>
      </w:pPr>
      <w:r w:rsidRPr="000D1D04">
        <w:rPr>
          <w:color w:val="0000FF"/>
        </w:rPr>
        <w:t>N/A</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3D36D2DA" w14:textId="1DBB3451" w:rsidR="0055511F" w:rsidRPr="0052008D" w:rsidRDefault="008D534F" w:rsidP="002E2177">
      <w:pPr>
        <w:ind w:left="0" w:firstLine="0"/>
        <w:rPr>
          <w:color w:val="0000FF"/>
        </w:rPr>
      </w:pPr>
      <w:r>
        <w:rPr>
          <w:color w:val="0000FF"/>
        </w:rPr>
        <w:t xml:space="preserve">In a retrospective observational study (N=315,428), </w:t>
      </w:r>
      <w:r w:rsidR="00FC32B2" w:rsidRPr="0052008D">
        <w:rPr>
          <w:color w:val="0000FF"/>
        </w:rPr>
        <w:t>Sun et al</w:t>
      </w:r>
      <w:r w:rsidR="0055511F" w:rsidRPr="0052008D">
        <w:rPr>
          <w:color w:val="0000FF"/>
        </w:rPr>
        <w:t>.</w:t>
      </w:r>
      <w:r w:rsidR="00FC32B2" w:rsidRPr="0052008D">
        <w:rPr>
          <w:color w:val="0000FF"/>
        </w:rPr>
        <w:t xml:space="preserve"> </w:t>
      </w:r>
      <w:r w:rsidR="0055511F" w:rsidRPr="0052008D">
        <w:rPr>
          <w:color w:val="0000FF"/>
        </w:rPr>
        <w:t xml:space="preserve">reported </w:t>
      </w:r>
      <w:r w:rsidR="00FC32B2" w:rsidRPr="0052008D">
        <w:rPr>
          <w:color w:val="0000FF"/>
        </w:rPr>
        <w:t xml:space="preserve">that opioid users who also used benzodiazepines were at higher risk of an emergency department visit or hospital admission for opioid overdose (adjusted odds ratio </w:t>
      </w:r>
      <w:r w:rsidR="0055511F" w:rsidRPr="0052008D">
        <w:rPr>
          <w:color w:val="0000FF"/>
        </w:rPr>
        <w:t xml:space="preserve">[aOR] </w:t>
      </w:r>
      <w:r w:rsidR="00FC32B2" w:rsidRPr="0052008D">
        <w:rPr>
          <w:color w:val="0000FF"/>
        </w:rPr>
        <w:t>2.14; 95% C</w:t>
      </w:r>
      <w:r w:rsidR="0055511F" w:rsidRPr="0052008D">
        <w:rPr>
          <w:color w:val="0000FF"/>
        </w:rPr>
        <w:t xml:space="preserve">onfidence </w:t>
      </w:r>
      <w:r w:rsidR="00FC32B2" w:rsidRPr="0052008D">
        <w:rPr>
          <w:color w:val="0000FF"/>
        </w:rPr>
        <w:t>I</w:t>
      </w:r>
      <w:r w:rsidR="0055511F" w:rsidRPr="0052008D">
        <w:rPr>
          <w:color w:val="0000FF"/>
        </w:rPr>
        <w:t>nterval [CI]</w:t>
      </w:r>
      <w:r w:rsidR="00FC32B2" w:rsidRPr="0052008D">
        <w:rPr>
          <w:color w:val="0000FF"/>
        </w:rPr>
        <w:t>, 2.05-2.24). The</w:t>
      </w:r>
      <w:r w:rsidR="0055511F" w:rsidRPr="0052008D">
        <w:rPr>
          <w:color w:val="0000FF"/>
        </w:rPr>
        <w:t xml:space="preserve"> authors estimated that the </w:t>
      </w:r>
      <w:r w:rsidR="00FC32B2" w:rsidRPr="0052008D">
        <w:rPr>
          <w:color w:val="0000FF"/>
        </w:rPr>
        <w:t>eliminat</w:t>
      </w:r>
      <w:r w:rsidR="0055511F" w:rsidRPr="0052008D">
        <w:rPr>
          <w:color w:val="0000FF"/>
        </w:rPr>
        <w:t>ion</w:t>
      </w:r>
      <w:r w:rsidR="00FC32B2" w:rsidRPr="0052008D">
        <w:rPr>
          <w:color w:val="0000FF"/>
        </w:rPr>
        <w:t xml:space="preserve"> of the concurrent use</w:t>
      </w:r>
      <w:r w:rsidR="0055511F" w:rsidRPr="0052008D">
        <w:rPr>
          <w:color w:val="0000FF"/>
        </w:rPr>
        <w:t xml:space="preserve"> of opioids and benzodiazepines</w:t>
      </w:r>
      <w:r w:rsidR="00FC32B2" w:rsidRPr="0052008D">
        <w:rPr>
          <w:color w:val="0000FF"/>
        </w:rPr>
        <w:t xml:space="preserve"> could reduce the population risk of an emergency department visit or hospital admission for opioid overdose by 15%.</w:t>
      </w:r>
    </w:p>
    <w:p w14:paraId="05C7DC3E" w14:textId="77777777" w:rsidR="0055511F" w:rsidRPr="00D35543" w:rsidRDefault="0055511F" w:rsidP="002E2177">
      <w:pPr>
        <w:ind w:left="0" w:firstLine="0"/>
        <w:rPr>
          <w:color w:val="002060"/>
        </w:rPr>
      </w:pPr>
    </w:p>
    <w:p w14:paraId="24DE3097" w14:textId="0BE6B6BC" w:rsidR="00410012" w:rsidRPr="0052008D" w:rsidRDefault="005A12BE" w:rsidP="002E2177">
      <w:pPr>
        <w:ind w:left="0" w:firstLine="0"/>
        <w:rPr>
          <w:color w:val="0000FF"/>
        </w:rPr>
      </w:pPr>
      <w:r>
        <w:rPr>
          <w:color w:val="0000FF"/>
        </w:rPr>
        <w:t>In a retrospective observational study</w:t>
      </w:r>
      <w:r w:rsidR="008D534F">
        <w:rPr>
          <w:color w:val="0000FF"/>
        </w:rPr>
        <w:t xml:space="preserve"> (N=17,044)</w:t>
      </w:r>
      <w:r>
        <w:rPr>
          <w:color w:val="0000FF"/>
        </w:rPr>
        <w:t xml:space="preserve">, </w:t>
      </w:r>
      <w:r w:rsidR="00851734" w:rsidRPr="0052008D">
        <w:rPr>
          <w:color w:val="0000FF"/>
        </w:rPr>
        <w:t xml:space="preserve">Gaither </w:t>
      </w:r>
      <w:r w:rsidR="0055511F" w:rsidRPr="0052008D">
        <w:rPr>
          <w:color w:val="0000FF"/>
        </w:rPr>
        <w:t>et al.</w:t>
      </w:r>
      <w:r w:rsidR="008A152F" w:rsidRPr="0052008D">
        <w:rPr>
          <w:color w:val="0000FF"/>
        </w:rPr>
        <w:t xml:space="preserve"> </w:t>
      </w:r>
      <w:r>
        <w:rPr>
          <w:color w:val="0000FF"/>
        </w:rPr>
        <w:t>evaluated the association between receipt of guideline-concordant long-term opioid therapy (&gt;90 days) among HIV-infected patient</w:t>
      </w:r>
      <w:r w:rsidR="008D534F">
        <w:rPr>
          <w:color w:val="0000FF"/>
        </w:rPr>
        <w:t xml:space="preserve">s </w:t>
      </w:r>
      <w:r>
        <w:rPr>
          <w:color w:val="0000FF"/>
        </w:rPr>
        <w:t xml:space="preserve">with 1-year all-cause mortality. </w:t>
      </w:r>
      <w:r w:rsidR="00851734" w:rsidRPr="0052008D">
        <w:rPr>
          <w:color w:val="0000FF"/>
        </w:rPr>
        <w:t>Patients prescribed benzodiazepines concurrent with opioids</w:t>
      </w:r>
      <w:r w:rsidR="00410012" w:rsidRPr="0052008D">
        <w:rPr>
          <w:color w:val="0000FF"/>
        </w:rPr>
        <w:t xml:space="preserve">, defined as pharmacy documentation </w:t>
      </w:r>
      <w:r w:rsidR="0052008D">
        <w:rPr>
          <w:color w:val="0000FF"/>
        </w:rPr>
        <w:t xml:space="preserve">that the </w:t>
      </w:r>
      <w:r w:rsidR="00410012" w:rsidRPr="0052008D">
        <w:rPr>
          <w:color w:val="0000FF"/>
        </w:rPr>
        <w:t xml:space="preserve">patient was prescribed </w:t>
      </w:r>
      <w:r w:rsidR="0052008D">
        <w:rPr>
          <w:color w:val="0000FF"/>
        </w:rPr>
        <w:t xml:space="preserve">a </w:t>
      </w:r>
      <w:r w:rsidR="00410012" w:rsidRPr="0052008D">
        <w:rPr>
          <w:color w:val="0000FF"/>
        </w:rPr>
        <w:t>benzodiazepine greater than 7 days between start date and end of 180 days of long-term opioid therapy,</w:t>
      </w:r>
      <w:r w:rsidR="00851734" w:rsidRPr="0052008D">
        <w:rPr>
          <w:color w:val="0000FF"/>
        </w:rPr>
        <w:t xml:space="preserve"> had a higher risk of mortality (</w:t>
      </w:r>
      <w:r w:rsidR="00410012" w:rsidRPr="0052008D">
        <w:rPr>
          <w:color w:val="0000FF"/>
        </w:rPr>
        <w:t>matched hazard ratio [</w:t>
      </w:r>
      <w:r w:rsidR="00851734" w:rsidRPr="0052008D">
        <w:rPr>
          <w:color w:val="0000FF"/>
        </w:rPr>
        <w:t>HR</w:t>
      </w:r>
      <w:r w:rsidR="00410012" w:rsidRPr="0052008D">
        <w:rPr>
          <w:color w:val="0000FF"/>
        </w:rPr>
        <w:t>]</w:t>
      </w:r>
      <w:r w:rsidR="00851734" w:rsidRPr="0052008D">
        <w:rPr>
          <w:color w:val="0000FF"/>
        </w:rPr>
        <w:t xml:space="preserve"> 1.39; 95% CI, 1.12-1.66). </w:t>
      </w:r>
    </w:p>
    <w:p w14:paraId="03E5A48D" w14:textId="77777777" w:rsidR="00410012" w:rsidRPr="00D35543" w:rsidRDefault="00410012" w:rsidP="002E2177">
      <w:pPr>
        <w:ind w:left="0" w:firstLine="0"/>
        <w:rPr>
          <w:color w:val="002060"/>
        </w:rPr>
      </w:pPr>
    </w:p>
    <w:p w14:paraId="56C76409" w14:textId="453E43A3" w:rsidR="008F5C34" w:rsidRPr="0052008D" w:rsidRDefault="0039166D" w:rsidP="002E2177">
      <w:pPr>
        <w:ind w:left="0" w:firstLine="0"/>
        <w:rPr>
          <w:rFonts w:cstheme="minorHAnsi"/>
          <w:color w:val="0000FF"/>
        </w:rPr>
      </w:pPr>
      <w:r>
        <w:rPr>
          <w:color w:val="0000FF"/>
        </w:rPr>
        <w:t>In a prospective observation</w:t>
      </w:r>
      <w:r w:rsidR="005A12BE">
        <w:rPr>
          <w:color w:val="0000FF"/>
        </w:rPr>
        <w:t>al</w:t>
      </w:r>
      <w:r>
        <w:rPr>
          <w:color w:val="0000FF"/>
        </w:rPr>
        <w:t xml:space="preserve"> cohort study with one year of follow-up</w:t>
      </w:r>
      <w:r w:rsidR="005A12BE">
        <w:rPr>
          <w:color w:val="0000FF"/>
        </w:rPr>
        <w:t xml:space="preserve"> (N=2,182,374 with opioid prescriptions</w:t>
      </w:r>
      <w:r>
        <w:rPr>
          <w:color w:val="0000FF"/>
        </w:rPr>
        <w:t xml:space="preserve">), </w:t>
      </w:r>
      <w:r w:rsidR="00851734" w:rsidRPr="0052008D">
        <w:rPr>
          <w:color w:val="0000FF"/>
        </w:rPr>
        <w:t>Dasgupta</w:t>
      </w:r>
      <w:r w:rsidR="00410012" w:rsidRPr="0052008D">
        <w:rPr>
          <w:color w:val="0000FF"/>
        </w:rPr>
        <w:t xml:space="preserve"> et al.</w:t>
      </w:r>
      <w:r w:rsidR="00851734" w:rsidRPr="0052008D">
        <w:rPr>
          <w:color w:val="0000FF"/>
        </w:rPr>
        <w:t xml:space="preserve"> </w:t>
      </w:r>
      <w:r>
        <w:rPr>
          <w:color w:val="0000FF"/>
        </w:rPr>
        <w:t>observed</w:t>
      </w:r>
      <w:r w:rsidR="00851734" w:rsidRPr="0052008D">
        <w:rPr>
          <w:color w:val="0000FF"/>
        </w:rPr>
        <w:t xml:space="preserve"> that rates of overdose death among patients on concurrent opioids and </w:t>
      </w:r>
      <w:r w:rsidR="00851734" w:rsidRPr="0052008D">
        <w:rPr>
          <w:rFonts w:cstheme="minorHAnsi"/>
          <w:color w:val="0000FF"/>
        </w:rPr>
        <w:t>benzodiazepines</w:t>
      </w:r>
      <w:r>
        <w:rPr>
          <w:rFonts w:cstheme="minorHAnsi"/>
          <w:color w:val="0000FF"/>
        </w:rPr>
        <w:t xml:space="preserve"> in North Carolina</w:t>
      </w:r>
      <w:r w:rsidR="00851734" w:rsidRPr="0052008D">
        <w:rPr>
          <w:rFonts w:cstheme="minorHAnsi"/>
          <w:color w:val="0000FF"/>
        </w:rPr>
        <w:t xml:space="preserve"> were ten times higher (7 per 10,000 person-years; 95% CI 6.3-7.8) than opioid monotherapy (0.7 per 10,000 person-years; 95% CI 0.6-0.9).</w:t>
      </w:r>
    </w:p>
    <w:p w14:paraId="0E71DE63" w14:textId="0200930D" w:rsidR="00FC32B2" w:rsidRPr="0052008D" w:rsidRDefault="00FC32B2" w:rsidP="002E2177">
      <w:pPr>
        <w:ind w:left="0" w:firstLine="0"/>
        <w:rPr>
          <w:rFonts w:cstheme="minorHAnsi"/>
          <w:b/>
          <w:color w:val="0000FF"/>
        </w:rPr>
      </w:pPr>
    </w:p>
    <w:p w14:paraId="147A40BE" w14:textId="6BC62407" w:rsidR="0052008D" w:rsidRPr="0052008D" w:rsidRDefault="008611B5" w:rsidP="008611B5">
      <w:pPr>
        <w:autoSpaceDE w:val="0"/>
        <w:autoSpaceDN w:val="0"/>
        <w:adjustRightInd w:val="0"/>
        <w:ind w:left="0" w:firstLine="0"/>
        <w:rPr>
          <w:rFonts w:cstheme="minorHAnsi"/>
          <w:color w:val="0000FF"/>
        </w:rPr>
      </w:pPr>
      <w:r>
        <w:rPr>
          <w:rFonts w:cstheme="minorHAnsi"/>
          <w:color w:val="0000FF"/>
        </w:rPr>
        <w:t>In August 2016, t</w:t>
      </w:r>
      <w:r w:rsidR="0052008D">
        <w:rPr>
          <w:rFonts w:cstheme="minorHAnsi"/>
          <w:color w:val="0000FF"/>
        </w:rPr>
        <w:t>he US</w:t>
      </w:r>
      <w:r w:rsidR="0052008D" w:rsidRPr="0052008D">
        <w:rPr>
          <w:rFonts w:cstheme="minorHAnsi"/>
          <w:color w:val="0000FF"/>
        </w:rPr>
        <w:t xml:space="preserve"> Food and Drug Administration (FDA) </w:t>
      </w:r>
      <w:r w:rsidR="0052008D">
        <w:rPr>
          <w:rFonts w:cstheme="minorHAnsi"/>
          <w:color w:val="0000FF"/>
        </w:rPr>
        <w:t xml:space="preserve">added Boxed Warnings to prescription drug labeling for prescription opioid pain and prescription opioid cough medications, and benzodiazepines, based on a review of the literature that found that combined use of </w:t>
      </w:r>
      <w:r w:rsidR="0052008D" w:rsidRPr="0052008D">
        <w:rPr>
          <w:rFonts w:cstheme="minorHAnsi"/>
          <w:color w:val="0000FF"/>
        </w:rPr>
        <w:t>opioid</w:t>
      </w:r>
      <w:r w:rsidR="00843CCE">
        <w:rPr>
          <w:rFonts w:cstheme="minorHAnsi"/>
          <w:color w:val="0000FF"/>
        </w:rPr>
        <w:t>s</w:t>
      </w:r>
      <w:r w:rsidR="0052008D">
        <w:rPr>
          <w:rFonts w:cstheme="minorHAnsi"/>
          <w:color w:val="0000FF"/>
        </w:rPr>
        <w:t xml:space="preserve"> with</w:t>
      </w:r>
      <w:r w:rsidR="0052008D" w:rsidRPr="0052008D">
        <w:rPr>
          <w:rFonts w:cstheme="minorHAnsi"/>
          <w:color w:val="0000FF"/>
        </w:rPr>
        <w:t xml:space="preserve"> benzodiazepines or other drugs that depress the central nervous system (CNS) has resulted in</w:t>
      </w:r>
      <w:r w:rsidR="0052008D">
        <w:rPr>
          <w:rFonts w:cstheme="minorHAnsi"/>
          <w:color w:val="0000FF"/>
        </w:rPr>
        <w:t xml:space="preserve"> </w:t>
      </w:r>
      <w:r w:rsidR="0052008D" w:rsidRPr="0052008D">
        <w:rPr>
          <w:rFonts w:cstheme="minorHAnsi"/>
          <w:color w:val="0000FF"/>
        </w:rPr>
        <w:t>serious side effects, including slowed or difficult breathing and deaths.</w:t>
      </w:r>
    </w:p>
    <w:p w14:paraId="413E3FF4" w14:textId="77777777" w:rsidR="0052008D" w:rsidRDefault="0052008D" w:rsidP="0052008D">
      <w:pPr>
        <w:ind w:left="0" w:firstLine="0"/>
        <w:rPr>
          <w:b/>
        </w:rPr>
      </w:pPr>
    </w:p>
    <w:p w14:paraId="55B8DA9B" w14:textId="77777777" w:rsidR="00837121" w:rsidRDefault="000E5C93" w:rsidP="002E2177">
      <w:pPr>
        <w:ind w:left="0" w:firstLine="0"/>
        <w:rPr>
          <w:b/>
        </w:rPr>
      </w:pPr>
      <w:r w:rsidRPr="000E5C93">
        <w:rPr>
          <w:b/>
          <w:color w:val="244061" w:themeColor="accent1" w:themeShade="80"/>
        </w:rPr>
        <w:t xml:space="preserve">1a.4.2 </w:t>
      </w:r>
      <w:r w:rsidR="00837121" w:rsidRPr="003B1CC5">
        <w:rPr>
          <w:b/>
        </w:rPr>
        <w:t>What process was used to identify the evidence?</w:t>
      </w:r>
    </w:p>
    <w:p w14:paraId="7B55B8C3" w14:textId="77777777" w:rsidR="0036616E" w:rsidRDefault="0036616E" w:rsidP="002E2177">
      <w:pPr>
        <w:ind w:left="0" w:firstLine="0"/>
        <w:rPr>
          <w:b/>
        </w:rPr>
      </w:pPr>
    </w:p>
    <w:p w14:paraId="229E15D7" w14:textId="3EB1F9F7" w:rsidR="0036616E" w:rsidRPr="0052008D" w:rsidRDefault="008611B5" w:rsidP="002E2177">
      <w:pPr>
        <w:ind w:left="0" w:firstLine="0"/>
        <w:rPr>
          <w:color w:val="0000FF"/>
        </w:rPr>
      </w:pPr>
      <w:r>
        <w:rPr>
          <w:color w:val="0000FF"/>
        </w:rPr>
        <w:t>A primary search</w:t>
      </w:r>
      <w:r w:rsidR="0036616E" w:rsidRPr="0052008D">
        <w:rPr>
          <w:color w:val="0000FF"/>
        </w:rPr>
        <w:t xml:space="preserve"> </w:t>
      </w:r>
      <w:r w:rsidR="0039166D">
        <w:rPr>
          <w:color w:val="0000FF"/>
        </w:rPr>
        <w:t xml:space="preserve">of the literature </w:t>
      </w:r>
      <w:r w:rsidR="0036616E" w:rsidRPr="0052008D">
        <w:rPr>
          <w:color w:val="0000FF"/>
        </w:rPr>
        <w:t>was conducted via PubMed</w:t>
      </w:r>
      <w:r w:rsidR="0039166D">
        <w:rPr>
          <w:color w:val="0000FF"/>
        </w:rPr>
        <w:t xml:space="preserve"> for clinical trials and observational studies (April 2015 through February 2018)</w:t>
      </w:r>
      <w:r w:rsidR="0052008D">
        <w:rPr>
          <w:color w:val="0000FF"/>
        </w:rPr>
        <w:t xml:space="preserve">, and a search of the FDA </w:t>
      </w:r>
      <w:r>
        <w:rPr>
          <w:color w:val="0000FF"/>
        </w:rPr>
        <w:t>website</w:t>
      </w:r>
      <w:r w:rsidR="0039166D">
        <w:rPr>
          <w:color w:val="0000FF"/>
        </w:rPr>
        <w:t xml:space="preserve"> was conducted</w:t>
      </w:r>
      <w:r w:rsidR="0052008D">
        <w:rPr>
          <w:color w:val="0000FF"/>
        </w:rPr>
        <w:t>.</w:t>
      </w:r>
    </w:p>
    <w:p w14:paraId="55B8DA9C" w14:textId="77777777" w:rsidR="00837121" w:rsidRPr="003B1CC5" w:rsidRDefault="00837121" w:rsidP="002E2177">
      <w:pPr>
        <w:ind w:left="0" w:firstLine="0"/>
      </w:pPr>
    </w:p>
    <w:p w14:paraId="55B8DA9D" w14:textId="77777777"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0F5FECCB" w14:textId="77777777" w:rsidR="0036616E" w:rsidRDefault="0036616E" w:rsidP="002E2177">
      <w:pPr>
        <w:ind w:left="0" w:firstLine="0"/>
        <w:rPr>
          <w:b/>
        </w:rPr>
      </w:pPr>
    </w:p>
    <w:p w14:paraId="5B0DA709" w14:textId="77777777" w:rsidR="0036616E" w:rsidRPr="0052008D" w:rsidRDefault="0036616E" w:rsidP="0036616E">
      <w:pPr>
        <w:pStyle w:val="ListParagraph"/>
        <w:widowControl w:val="0"/>
        <w:numPr>
          <w:ilvl w:val="0"/>
          <w:numId w:val="14"/>
        </w:numPr>
        <w:autoSpaceDE w:val="0"/>
        <w:autoSpaceDN w:val="0"/>
        <w:adjustRightInd w:val="0"/>
        <w:spacing w:after="0" w:line="240" w:lineRule="auto"/>
        <w:rPr>
          <w:rFonts w:cstheme="minorHAnsi"/>
          <w:noProof/>
          <w:color w:val="0000FF"/>
        </w:rPr>
      </w:pPr>
      <w:r w:rsidRPr="0052008D">
        <w:rPr>
          <w:rFonts w:cstheme="minorHAnsi"/>
          <w:color w:val="0000FF"/>
        </w:rPr>
        <w:t>Sun EC, Dixit A, Humphreys K, et al. Association between concurrent use of prescription opioids and benzodiazepines and overdose: retrospective analysis. BMJ. 2017;356:j760. doi: 10.1136/bmj.j760. PMID: 28292769</w:t>
      </w:r>
    </w:p>
    <w:p w14:paraId="35CDFCFB" w14:textId="77777777" w:rsidR="0036616E" w:rsidRPr="0052008D" w:rsidRDefault="0036616E" w:rsidP="0036616E">
      <w:pPr>
        <w:pStyle w:val="ListParagraph"/>
        <w:widowControl w:val="0"/>
        <w:numPr>
          <w:ilvl w:val="0"/>
          <w:numId w:val="14"/>
        </w:numPr>
        <w:autoSpaceDE w:val="0"/>
        <w:autoSpaceDN w:val="0"/>
        <w:adjustRightInd w:val="0"/>
        <w:spacing w:after="0" w:line="240" w:lineRule="auto"/>
        <w:rPr>
          <w:rFonts w:cstheme="minorHAnsi"/>
          <w:noProof/>
          <w:color w:val="0000FF"/>
        </w:rPr>
      </w:pPr>
      <w:r w:rsidRPr="0052008D">
        <w:rPr>
          <w:rFonts w:cstheme="minorHAnsi"/>
          <w:color w:val="0000FF"/>
        </w:rPr>
        <w:t>Gaither JR, Goulet JL, Becker WC, et al. The Association Between Receipt of Guideline-Concordant Long-Term Opioid Therapy and All-Cause Mortality. J Gen Intern Med 2016; 31:492</w:t>
      </w:r>
    </w:p>
    <w:p w14:paraId="3A6EF490" w14:textId="4CE33C1C" w:rsidR="0036616E" w:rsidRPr="008611B5" w:rsidRDefault="0036616E" w:rsidP="0036616E">
      <w:pPr>
        <w:pStyle w:val="ListParagraph"/>
        <w:widowControl w:val="0"/>
        <w:numPr>
          <w:ilvl w:val="0"/>
          <w:numId w:val="14"/>
        </w:numPr>
        <w:autoSpaceDE w:val="0"/>
        <w:autoSpaceDN w:val="0"/>
        <w:adjustRightInd w:val="0"/>
        <w:spacing w:after="0" w:line="240" w:lineRule="auto"/>
        <w:rPr>
          <w:rFonts w:cstheme="minorHAnsi"/>
          <w:noProof/>
          <w:color w:val="0000FF"/>
        </w:rPr>
      </w:pPr>
      <w:r w:rsidRPr="0052008D">
        <w:rPr>
          <w:rFonts w:cstheme="minorHAnsi"/>
          <w:color w:val="0000FF"/>
        </w:rPr>
        <w:t>Dasgupta N, Funk MJ, Proescholdbell S, et al. Cohort Study of the Im</w:t>
      </w:r>
      <w:r w:rsidR="008A152F" w:rsidRPr="0052008D">
        <w:rPr>
          <w:rFonts w:cstheme="minorHAnsi"/>
          <w:color w:val="0000FF"/>
        </w:rPr>
        <w:t>p</w:t>
      </w:r>
      <w:r w:rsidRPr="0052008D">
        <w:rPr>
          <w:rFonts w:cstheme="minorHAnsi"/>
          <w:color w:val="0000FF"/>
        </w:rPr>
        <w:t xml:space="preserve">act of High-Dose Opioid </w:t>
      </w:r>
      <w:r w:rsidRPr="008611B5">
        <w:rPr>
          <w:rFonts w:cstheme="minorHAnsi"/>
          <w:color w:val="0000FF"/>
        </w:rPr>
        <w:t>Analgesics on Overdose Mortality. Pain Med 2016; 17:85.</w:t>
      </w:r>
    </w:p>
    <w:p w14:paraId="4485DBFB" w14:textId="3F652ACE" w:rsidR="008611B5" w:rsidRPr="008611B5" w:rsidRDefault="008611B5" w:rsidP="008611B5">
      <w:pPr>
        <w:pStyle w:val="ListParagraph"/>
        <w:widowControl w:val="0"/>
        <w:numPr>
          <w:ilvl w:val="0"/>
          <w:numId w:val="14"/>
        </w:numPr>
        <w:autoSpaceDE w:val="0"/>
        <w:autoSpaceDN w:val="0"/>
        <w:adjustRightInd w:val="0"/>
        <w:spacing w:after="0" w:line="240" w:lineRule="auto"/>
        <w:rPr>
          <w:rFonts w:cstheme="minorHAnsi"/>
          <w:noProof/>
          <w:color w:val="0000FF"/>
        </w:rPr>
      </w:pPr>
      <w:r w:rsidRPr="008611B5">
        <w:rPr>
          <w:rFonts w:cstheme="minorHAnsi"/>
          <w:noProof/>
          <w:color w:val="0000FF"/>
        </w:rPr>
        <w:t>US Food and Drug Administration. FDA Drug Safety Communication: FDA warns about serious risks and death when combining opioid pain or cough medicines with benzodiazepines; requires its strongest warning. August 31, 2016. Available at: http://www.fda.gov/Drugs/DrugSafety/ucm518473.htm. Accessed: November 9, 2016.</w:t>
      </w:r>
    </w:p>
    <w:p w14:paraId="6E0BF046" w14:textId="77777777" w:rsidR="0036616E" w:rsidRPr="00D35543" w:rsidRDefault="0036616E" w:rsidP="002E2177">
      <w:pPr>
        <w:ind w:left="0" w:firstLine="0"/>
        <w:rPr>
          <w:color w:val="002060"/>
        </w:rPr>
      </w:pPr>
    </w:p>
    <w:sectPr w:rsidR="0036616E" w:rsidRPr="00D35543">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9EB1B" w14:textId="77777777" w:rsidR="00840980" w:rsidRDefault="00840980" w:rsidP="007E37A5">
      <w:r>
        <w:separator/>
      </w:r>
    </w:p>
  </w:endnote>
  <w:endnote w:type="continuationSeparator" w:id="0">
    <w:p w14:paraId="7AF4FA34" w14:textId="77777777" w:rsidR="00840980" w:rsidRDefault="00840980"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altName w:val="Mangal"/>
    <w:panose1 w:val="00000400000000000000"/>
    <w:charset w:val="00"/>
    <w:family w:val="roman"/>
    <w:pitch w:val="variable"/>
    <w:sig w:usb0="00008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Adobe Garamond Pro">
    <w:altName w:val="Adobe Garamond Pro"/>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510537CB"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821377">
      <w:rPr>
        <w:noProof/>
      </w:rPr>
      <w:t>6</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3A1AD" w14:textId="77777777" w:rsidR="00840980" w:rsidRDefault="00840980" w:rsidP="007E37A5">
      <w:r>
        <w:separator/>
      </w:r>
    </w:p>
  </w:footnote>
  <w:footnote w:type="continuationSeparator" w:id="0">
    <w:p w14:paraId="4F1FDD81" w14:textId="77777777" w:rsidR="00840980" w:rsidRDefault="00840980"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46795"/>
    <w:multiLevelType w:val="hybridMultilevel"/>
    <w:tmpl w:val="17DCAFA6"/>
    <w:lvl w:ilvl="0" w:tplc="620CEE4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C9594C"/>
    <w:multiLevelType w:val="hybridMultilevel"/>
    <w:tmpl w:val="F31C35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E44519"/>
    <w:multiLevelType w:val="hybridMultilevel"/>
    <w:tmpl w:val="3C18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0F11DF"/>
    <w:multiLevelType w:val="hybridMultilevel"/>
    <w:tmpl w:val="BCF2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1D73A9"/>
    <w:multiLevelType w:val="hybridMultilevel"/>
    <w:tmpl w:val="F31C35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0"/>
  </w:num>
  <w:num w:numId="3">
    <w:abstractNumId w:val="2"/>
  </w:num>
  <w:num w:numId="4">
    <w:abstractNumId w:val="3"/>
  </w:num>
  <w:num w:numId="5">
    <w:abstractNumId w:val="6"/>
  </w:num>
  <w:num w:numId="6">
    <w:abstractNumId w:val="4"/>
  </w:num>
  <w:num w:numId="7">
    <w:abstractNumId w:val="12"/>
  </w:num>
  <w:num w:numId="8">
    <w:abstractNumId w:val="11"/>
  </w:num>
  <w:num w:numId="9">
    <w:abstractNumId w:val="13"/>
  </w:num>
  <w:num w:numId="10">
    <w:abstractNumId w:val="1"/>
  </w:num>
  <w:num w:numId="11">
    <w:abstractNumId w:val="9"/>
  </w:num>
  <w:num w:numId="12">
    <w:abstractNumId w:val="8"/>
  </w:num>
  <w:num w:numId="13">
    <w:abstractNumId w:val="5"/>
  </w:num>
  <w:num w:numId="14">
    <w:abstractNumId w:val="1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4526"/>
    <w:rsid w:val="00026F91"/>
    <w:rsid w:val="00030F43"/>
    <w:rsid w:val="00040DCF"/>
    <w:rsid w:val="00052C0B"/>
    <w:rsid w:val="00061CF3"/>
    <w:rsid w:val="00063601"/>
    <w:rsid w:val="00073079"/>
    <w:rsid w:val="00073A5B"/>
    <w:rsid w:val="0007593F"/>
    <w:rsid w:val="00095EC9"/>
    <w:rsid w:val="00096A37"/>
    <w:rsid w:val="000A0810"/>
    <w:rsid w:val="000B627F"/>
    <w:rsid w:val="000D1D04"/>
    <w:rsid w:val="000D649E"/>
    <w:rsid w:val="000D6D06"/>
    <w:rsid w:val="000E5C93"/>
    <w:rsid w:val="000F4A7F"/>
    <w:rsid w:val="00106969"/>
    <w:rsid w:val="00114848"/>
    <w:rsid w:val="00120934"/>
    <w:rsid w:val="00132070"/>
    <w:rsid w:val="00141875"/>
    <w:rsid w:val="0014347E"/>
    <w:rsid w:val="00154438"/>
    <w:rsid w:val="001551F6"/>
    <w:rsid w:val="0015535B"/>
    <w:rsid w:val="00162036"/>
    <w:rsid w:val="001632DD"/>
    <w:rsid w:val="00176E60"/>
    <w:rsid w:val="00181053"/>
    <w:rsid w:val="00194913"/>
    <w:rsid w:val="00194D9A"/>
    <w:rsid w:val="001A196B"/>
    <w:rsid w:val="001A6D05"/>
    <w:rsid w:val="001B38BF"/>
    <w:rsid w:val="001B772D"/>
    <w:rsid w:val="001D2163"/>
    <w:rsid w:val="001D5B5D"/>
    <w:rsid w:val="001E6153"/>
    <w:rsid w:val="00201FF9"/>
    <w:rsid w:val="00205857"/>
    <w:rsid w:val="00235ADC"/>
    <w:rsid w:val="00236F87"/>
    <w:rsid w:val="002532C1"/>
    <w:rsid w:val="00265702"/>
    <w:rsid w:val="002662B2"/>
    <w:rsid w:val="002717C7"/>
    <w:rsid w:val="002875E9"/>
    <w:rsid w:val="00287EB3"/>
    <w:rsid w:val="002A47BA"/>
    <w:rsid w:val="002A6777"/>
    <w:rsid w:val="002B06BD"/>
    <w:rsid w:val="002C0E48"/>
    <w:rsid w:val="002C6F04"/>
    <w:rsid w:val="002D450B"/>
    <w:rsid w:val="002E2177"/>
    <w:rsid w:val="002E2E41"/>
    <w:rsid w:val="002E78CD"/>
    <w:rsid w:val="002F20A7"/>
    <w:rsid w:val="003008F4"/>
    <w:rsid w:val="00302B1D"/>
    <w:rsid w:val="00307FA5"/>
    <w:rsid w:val="00315C7E"/>
    <w:rsid w:val="00324D64"/>
    <w:rsid w:val="00324E02"/>
    <w:rsid w:val="00352B52"/>
    <w:rsid w:val="0035760D"/>
    <w:rsid w:val="00363ECC"/>
    <w:rsid w:val="0036616E"/>
    <w:rsid w:val="0039020B"/>
    <w:rsid w:val="0039166D"/>
    <w:rsid w:val="00395263"/>
    <w:rsid w:val="003956E0"/>
    <w:rsid w:val="0039609A"/>
    <w:rsid w:val="00397500"/>
    <w:rsid w:val="003A0C6A"/>
    <w:rsid w:val="003B1CC5"/>
    <w:rsid w:val="003B65CE"/>
    <w:rsid w:val="003C375E"/>
    <w:rsid w:val="003D6721"/>
    <w:rsid w:val="003E039E"/>
    <w:rsid w:val="0040230E"/>
    <w:rsid w:val="00410012"/>
    <w:rsid w:val="0041662F"/>
    <w:rsid w:val="00422917"/>
    <w:rsid w:val="00440687"/>
    <w:rsid w:val="00441034"/>
    <w:rsid w:val="0044131D"/>
    <w:rsid w:val="00441ADA"/>
    <w:rsid w:val="00457E46"/>
    <w:rsid w:val="004613E3"/>
    <w:rsid w:val="004922E4"/>
    <w:rsid w:val="00496AF8"/>
    <w:rsid w:val="004A1F9B"/>
    <w:rsid w:val="004A575D"/>
    <w:rsid w:val="004B65C6"/>
    <w:rsid w:val="004C2CF6"/>
    <w:rsid w:val="004D1DC7"/>
    <w:rsid w:val="004E7215"/>
    <w:rsid w:val="004F7D7E"/>
    <w:rsid w:val="00500B0C"/>
    <w:rsid w:val="0052008D"/>
    <w:rsid w:val="00537150"/>
    <w:rsid w:val="0053790D"/>
    <w:rsid w:val="00540984"/>
    <w:rsid w:val="00543851"/>
    <w:rsid w:val="0055511F"/>
    <w:rsid w:val="0055559D"/>
    <w:rsid w:val="005569AE"/>
    <w:rsid w:val="005857F8"/>
    <w:rsid w:val="005A12BE"/>
    <w:rsid w:val="005B0D18"/>
    <w:rsid w:val="005B12C3"/>
    <w:rsid w:val="005B409D"/>
    <w:rsid w:val="005D0FDB"/>
    <w:rsid w:val="005D25E9"/>
    <w:rsid w:val="005D6D59"/>
    <w:rsid w:val="0061327A"/>
    <w:rsid w:val="00617390"/>
    <w:rsid w:val="00623420"/>
    <w:rsid w:val="00634768"/>
    <w:rsid w:val="0063596F"/>
    <w:rsid w:val="00653A24"/>
    <w:rsid w:val="006709EB"/>
    <w:rsid w:val="00672824"/>
    <w:rsid w:val="00676BD4"/>
    <w:rsid w:val="0068184A"/>
    <w:rsid w:val="00681B9B"/>
    <w:rsid w:val="006A0249"/>
    <w:rsid w:val="006B5C51"/>
    <w:rsid w:val="006C0260"/>
    <w:rsid w:val="006C7F30"/>
    <w:rsid w:val="006D43FF"/>
    <w:rsid w:val="006E6FDD"/>
    <w:rsid w:val="006F4B7F"/>
    <w:rsid w:val="006F760B"/>
    <w:rsid w:val="00701CC3"/>
    <w:rsid w:val="00705883"/>
    <w:rsid w:val="00722859"/>
    <w:rsid w:val="00724801"/>
    <w:rsid w:val="00734949"/>
    <w:rsid w:val="00736AEC"/>
    <w:rsid w:val="00736E0F"/>
    <w:rsid w:val="007434FA"/>
    <w:rsid w:val="007573F0"/>
    <w:rsid w:val="00760BBA"/>
    <w:rsid w:val="00765156"/>
    <w:rsid w:val="00767669"/>
    <w:rsid w:val="00773485"/>
    <w:rsid w:val="00776E8F"/>
    <w:rsid w:val="00776F6D"/>
    <w:rsid w:val="0079586B"/>
    <w:rsid w:val="007C0297"/>
    <w:rsid w:val="007C1887"/>
    <w:rsid w:val="007D4775"/>
    <w:rsid w:val="007D5DC6"/>
    <w:rsid w:val="007E37A5"/>
    <w:rsid w:val="007F49D8"/>
    <w:rsid w:val="00805940"/>
    <w:rsid w:val="0081599C"/>
    <w:rsid w:val="00821377"/>
    <w:rsid w:val="00837121"/>
    <w:rsid w:val="00840980"/>
    <w:rsid w:val="00843CCE"/>
    <w:rsid w:val="008471E5"/>
    <w:rsid w:val="00850C35"/>
    <w:rsid w:val="00851466"/>
    <w:rsid w:val="00851734"/>
    <w:rsid w:val="00854C29"/>
    <w:rsid w:val="008611B5"/>
    <w:rsid w:val="00863E43"/>
    <w:rsid w:val="008647C3"/>
    <w:rsid w:val="008659ED"/>
    <w:rsid w:val="008708DC"/>
    <w:rsid w:val="00870987"/>
    <w:rsid w:val="00871F92"/>
    <w:rsid w:val="0087564A"/>
    <w:rsid w:val="00881160"/>
    <w:rsid w:val="0088371C"/>
    <w:rsid w:val="008844F5"/>
    <w:rsid w:val="0089612B"/>
    <w:rsid w:val="008A152F"/>
    <w:rsid w:val="008A45F3"/>
    <w:rsid w:val="008B51D9"/>
    <w:rsid w:val="008B652E"/>
    <w:rsid w:val="008D05B7"/>
    <w:rsid w:val="008D534F"/>
    <w:rsid w:val="008F1DC6"/>
    <w:rsid w:val="008F5C34"/>
    <w:rsid w:val="008F6F51"/>
    <w:rsid w:val="00905C5B"/>
    <w:rsid w:val="00923295"/>
    <w:rsid w:val="00925F11"/>
    <w:rsid w:val="00935265"/>
    <w:rsid w:val="0094689F"/>
    <w:rsid w:val="009477D6"/>
    <w:rsid w:val="00953ED3"/>
    <w:rsid w:val="00965FF6"/>
    <w:rsid w:val="009827C5"/>
    <w:rsid w:val="009846D6"/>
    <w:rsid w:val="0098657F"/>
    <w:rsid w:val="009968D6"/>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707C5"/>
    <w:rsid w:val="00A9011D"/>
    <w:rsid w:val="00A91A47"/>
    <w:rsid w:val="00A95D2B"/>
    <w:rsid w:val="00AA5587"/>
    <w:rsid w:val="00AB4ECE"/>
    <w:rsid w:val="00AC1E53"/>
    <w:rsid w:val="00AD79C8"/>
    <w:rsid w:val="00AE6CE0"/>
    <w:rsid w:val="00B058A6"/>
    <w:rsid w:val="00B117D0"/>
    <w:rsid w:val="00B12BB1"/>
    <w:rsid w:val="00B13998"/>
    <w:rsid w:val="00B238A9"/>
    <w:rsid w:val="00B262AE"/>
    <w:rsid w:val="00B34568"/>
    <w:rsid w:val="00B35C5F"/>
    <w:rsid w:val="00B439DD"/>
    <w:rsid w:val="00B52E0F"/>
    <w:rsid w:val="00B57616"/>
    <w:rsid w:val="00B74629"/>
    <w:rsid w:val="00B91F58"/>
    <w:rsid w:val="00BA579E"/>
    <w:rsid w:val="00BE2295"/>
    <w:rsid w:val="00BE44E8"/>
    <w:rsid w:val="00BE4704"/>
    <w:rsid w:val="00BE6373"/>
    <w:rsid w:val="00BF533A"/>
    <w:rsid w:val="00BF6029"/>
    <w:rsid w:val="00C318BB"/>
    <w:rsid w:val="00C41794"/>
    <w:rsid w:val="00C46677"/>
    <w:rsid w:val="00C5180E"/>
    <w:rsid w:val="00C54E40"/>
    <w:rsid w:val="00C55F56"/>
    <w:rsid w:val="00C57BA4"/>
    <w:rsid w:val="00C613EB"/>
    <w:rsid w:val="00C66A0A"/>
    <w:rsid w:val="00C71C1A"/>
    <w:rsid w:val="00C84623"/>
    <w:rsid w:val="00C85DEE"/>
    <w:rsid w:val="00CB06C9"/>
    <w:rsid w:val="00CB1E41"/>
    <w:rsid w:val="00CB271C"/>
    <w:rsid w:val="00CC0F87"/>
    <w:rsid w:val="00CE4F96"/>
    <w:rsid w:val="00CF0AB1"/>
    <w:rsid w:val="00CF4B9B"/>
    <w:rsid w:val="00CF55E6"/>
    <w:rsid w:val="00CF772F"/>
    <w:rsid w:val="00D0028E"/>
    <w:rsid w:val="00D048DB"/>
    <w:rsid w:val="00D14F0B"/>
    <w:rsid w:val="00D178CA"/>
    <w:rsid w:val="00D3311C"/>
    <w:rsid w:val="00D35543"/>
    <w:rsid w:val="00D53405"/>
    <w:rsid w:val="00D5457B"/>
    <w:rsid w:val="00D72995"/>
    <w:rsid w:val="00D73685"/>
    <w:rsid w:val="00DA7FA2"/>
    <w:rsid w:val="00DC2D8D"/>
    <w:rsid w:val="00DC7F67"/>
    <w:rsid w:val="00DE1F5D"/>
    <w:rsid w:val="00DE50D8"/>
    <w:rsid w:val="00DE6C54"/>
    <w:rsid w:val="00DF278A"/>
    <w:rsid w:val="00DF42C9"/>
    <w:rsid w:val="00E1664B"/>
    <w:rsid w:val="00E30D12"/>
    <w:rsid w:val="00E3394E"/>
    <w:rsid w:val="00E35241"/>
    <w:rsid w:val="00E41417"/>
    <w:rsid w:val="00E42FAA"/>
    <w:rsid w:val="00E536D3"/>
    <w:rsid w:val="00E57BE2"/>
    <w:rsid w:val="00E62A95"/>
    <w:rsid w:val="00E746A2"/>
    <w:rsid w:val="00E77989"/>
    <w:rsid w:val="00E85BA9"/>
    <w:rsid w:val="00E90D06"/>
    <w:rsid w:val="00E97E59"/>
    <w:rsid w:val="00EA79C9"/>
    <w:rsid w:val="00EB66AC"/>
    <w:rsid w:val="00EC1225"/>
    <w:rsid w:val="00EC2247"/>
    <w:rsid w:val="00EE1F87"/>
    <w:rsid w:val="00EE3931"/>
    <w:rsid w:val="00EE5AF6"/>
    <w:rsid w:val="00EF2CEF"/>
    <w:rsid w:val="00EF377E"/>
    <w:rsid w:val="00F1092D"/>
    <w:rsid w:val="00F11BA8"/>
    <w:rsid w:val="00F42C20"/>
    <w:rsid w:val="00F431D8"/>
    <w:rsid w:val="00F63E8D"/>
    <w:rsid w:val="00F67706"/>
    <w:rsid w:val="00F70D77"/>
    <w:rsid w:val="00F81FE3"/>
    <w:rsid w:val="00F90F82"/>
    <w:rsid w:val="00F92D75"/>
    <w:rsid w:val="00F97327"/>
    <w:rsid w:val="00FA19DD"/>
    <w:rsid w:val="00FA296F"/>
    <w:rsid w:val="00FA3AF0"/>
    <w:rsid w:val="00FA69A5"/>
    <w:rsid w:val="00FA7323"/>
    <w:rsid w:val="00FB1299"/>
    <w:rsid w:val="00FB56AB"/>
    <w:rsid w:val="00FC32B2"/>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UnresolvedMention">
    <w:name w:val="Unresolved Mention"/>
    <w:basedOn w:val="DefaultParagraphFont"/>
    <w:uiPriority w:val="99"/>
    <w:semiHidden/>
    <w:unhideWhenUsed/>
    <w:rsid w:val="00B12B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stacks.cdc.gov/view/cdc/38027)"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tacks.cdc.gov/view/cdc/38026" TargetMode="External"/><Relationship Id="rId2" Type="http://schemas.openxmlformats.org/officeDocument/2006/relationships/customXml" Target="../customXml/item2.xml"/><Relationship Id="rId16" Type="http://schemas.openxmlformats.org/officeDocument/2006/relationships/hyperlink" Target="http://www.cdc.gov/drugoverdose/prescribing/guideline.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altName w:val="Mangal"/>
    <w:panose1 w:val="00000400000000000000"/>
    <w:charset w:val="00"/>
    <w:family w:val="roman"/>
    <w:pitch w:val="variable"/>
    <w:sig w:usb0="00008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Adobe Garamond Pro">
    <w:altName w:val="Adobe Garamond Pro"/>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0B025D"/>
    <w:rsid w:val="00160241"/>
    <w:rsid w:val="001F47A0"/>
    <w:rsid w:val="002B5F47"/>
    <w:rsid w:val="002F75E2"/>
    <w:rsid w:val="003A1E4B"/>
    <w:rsid w:val="00455EB5"/>
    <w:rsid w:val="00461C1C"/>
    <w:rsid w:val="004E2027"/>
    <w:rsid w:val="005F21F3"/>
    <w:rsid w:val="00810EC5"/>
    <w:rsid w:val="00825640"/>
    <w:rsid w:val="008508FD"/>
    <w:rsid w:val="008837DA"/>
    <w:rsid w:val="008C642A"/>
    <w:rsid w:val="008F6A9B"/>
    <w:rsid w:val="00936C24"/>
    <w:rsid w:val="00956093"/>
    <w:rsid w:val="00A77B15"/>
    <w:rsid w:val="00B37F02"/>
    <w:rsid w:val="00BA341F"/>
    <w:rsid w:val="00BE0F2D"/>
    <w:rsid w:val="00C03643"/>
    <w:rsid w:val="00C2797F"/>
    <w:rsid w:val="00C80225"/>
    <w:rsid w:val="00D228C9"/>
    <w:rsid w:val="00D2552B"/>
    <w:rsid w:val="00D75B64"/>
    <w:rsid w:val="00DB5324"/>
    <w:rsid w:val="00E97654"/>
    <w:rsid w:val="00EA555A"/>
    <w:rsid w:val="00F85014"/>
    <w:rsid w:val="00F87EB9"/>
    <w:rsid w:val="00F901AE"/>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543E38-9BD5-40B5-873E-DB7108B17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2449</Words>
  <Characters>13960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Lynn Pezzullo</cp:lastModifiedBy>
  <cp:revision>5</cp:revision>
  <dcterms:created xsi:type="dcterms:W3CDTF">2018-03-29T20:52:00Z</dcterms:created>
  <dcterms:modified xsi:type="dcterms:W3CDTF">2018-03-30T12:09:00Z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