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0CABCF56" w14:textId="2FEB4398"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1285614694"/>
              <w:placeholder>
                <w:docPart w:val="2518F9D0DA2448ADB28406C01628FB5C"/>
              </w:placeholder>
            </w:sdtPr>
            <w:sdtEndPr>
              <w:rPr>
                <w:rStyle w:val="DefaultParagraphFont"/>
                <w:noProof/>
                <w:color w:val="auto"/>
              </w:rPr>
            </w:sdtEndPr>
            <w:sdtContent>
              <w:r w:rsidR="005C0344">
                <w:rPr>
                  <w:rStyle w:val="Style1"/>
                  <w:rFonts w:cstheme="minorHAnsi"/>
                </w:rPr>
                <w:t>Concurrent Use of Opioids and Benzodiazepines</w:t>
              </w:r>
            </w:sdtContent>
          </w:sdt>
        </w:sdtContent>
      </w:sdt>
    </w:p>
    <w:p w14:paraId="0CABCF57" w14:textId="6FA029CF"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8-03-30T00:00:00Z">
            <w:dateFormat w:val="M/d/yyyy"/>
            <w:lid w:val="en-US"/>
            <w:storeMappedDataAs w:val="dateTime"/>
            <w:calendar w:val="gregorian"/>
          </w:date>
        </w:sdtPr>
        <w:sdtEndPr>
          <w:rPr>
            <w:rStyle w:val="DefaultParagraphFont"/>
            <w:noProof/>
            <w:color w:val="auto"/>
            <w:u w:val="none"/>
          </w:rPr>
        </w:sdtEndPr>
        <w:sdtContent>
          <w:r w:rsidR="00AB5799">
            <w:rPr>
              <w:rStyle w:val="Style2"/>
              <w:rFonts w:cstheme="minorHAnsi"/>
            </w:rPr>
            <w:t>3/30/2018</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916FB4"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916FB4"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916FB4"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916FB4"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54A6000" w:rsidR="000B7D57" w:rsidRPr="00C775CE" w:rsidRDefault="00916FB4"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5C0344">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916FB4"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916FB4"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916FB4"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916FB4"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2D944513" w:rsidR="00A01494" w:rsidRPr="000F1B7A" w:rsidRDefault="00916FB4"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5C034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2E5AEC14" w:rsidR="00A01494" w:rsidRPr="000F1B7A" w:rsidRDefault="00916FB4"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5C0344">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916FB4"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916FB4"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916FB4"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916FB4"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916FB4"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916FB4"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916FB4"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916FB4"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CABCFAF" w14:textId="5717CA1C" w:rsidR="009E1846" w:rsidRDefault="009E1846" w:rsidP="00DB3627">
      <w:pPr>
        <w:autoSpaceDE w:val="0"/>
        <w:autoSpaceDN w:val="0"/>
        <w:adjustRightInd w:val="0"/>
        <w:spacing w:after="0" w:line="240" w:lineRule="auto"/>
        <w:rPr>
          <w:rFonts w:cstheme="minorHAnsi"/>
          <w:b/>
        </w:rPr>
      </w:pPr>
    </w:p>
    <w:p w14:paraId="0673606B" w14:textId="77777777" w:rsidR="005A7533" w:rsidRDefault="005A7533" w:rsidP="005A7533">
      <w:pPr>
        <w:autoSpaceDE w:val="0"/>
        <w:autoSpaceDN w:val="0"/>
        <w:adjustRightInd w:val="0"/>
        <w:spacing w:after="0" w:line="240" w:lineRule="auto"/>
        <w:rPr>
          <w:rFonts w:cstheme="minorHAnsi"/>
        </w:rPr>
      </w:pPr>
      <w:r>
        <w:rPr>
          <w:rFonts w:cstheme="minorHAnsi"/>
        </w:rPr>
        <w:t>The measure was tested in two different health plan data sources – the Medicare and the Medicaid populations.</w:t>
      </w:r>
    </w:p>
    <w:p w14:paraId="1346AB8F" w14:textId="77777777" w:rsidR="005A7533" w:rsidRDefault="005A7533" w:rsidP="005A7533">
      <w:pPr>
        <w:autoSpaceDE w:val="0"/>
        <w:autoSpaceDN w:val="0"/>
        <w:adjustRightInd w:val="0"/>
        <w:spacing w:after="0" w:line="240" w:lineRule="auto"/>
        <w:rPr>
          <w:rFonts w:cstheme="minorHAnsi"/>
        </w:rPr>
      </w:pPr>
    </w:p>
    <w:p w14:paraId="193059C1" w14:textId="1F5383FC" w:rsidR="005A7533" w:rsidRDefault="005A7533" w:rsidP="005A7533">
      <w:pPr>
        <w:autoSpaceDE w:val="0"/>
        <w:autoSpaceDN w:val="0"/>
        <w:adjustRightInd w:val="0"/>
        <w:spacing w:after="0" w:line="240" w:lineRule="auto"/>
        <w:rPr>
          <w:rFonts w:cstheme="minorHAnsi"/>
        </w:rPr>
      </w:pPr>
      <w:r>
        <w:rPr>
          <w:rFonts w:cstheme="minorHAnsi"/>
        </w:rPr>
        <w:t xml:space="preserve">For the Medicare population, data used for testing came from the Medicare 5% national sample data. The Medicare Part D Prescription Drug Event (PDE) claims were used for the identification of prescription drugs. The 5% medical claims (standard analytic files) were used to identify cancer diagnoses and hospice claims. To identify dates of birth and continuous enrollment, the Medicare Beneficiaries Summary Files (MBSF) were used. </w:t>
      </w:r>
    </w:p>
    <w:p w14:paraId="6EEFFB8E" w14:textId="77777777" w:rsidR="005A7533" w:rsidRDefault="005A7533" w:rsidP="005A7533">
      <w:pPr>
        <w:autoSpaceDE w:val="0"/>
        <w:autoSpaceDN w:val="0"/>
        <w:adjustRightInd w:val="0"/>
        <w:spacing w:after="0" w:line="240" w:lineRule="auto"/>
        <w:rPr>
          <w:rFonts w:cstheme="minorHAnsi"/>
        </w:rPr>
      </w:pPr>
    </w:p>
    <w:p w14:paraId="07926A81" w14:textId="61FB1FB4" w:rsidR="005A7533" w:rsidRDefault="005A7533" w:rsidP="005A7533">
      <w:pPr>
        <w:autoSpaceDE w:val="0"/>
        <w:autoSpaceDN w:val="0"/>
        <w:adjustRightInd w:val="0"/>
        <w:spacing w:after="0" w:line="240" w:lineRule="auto"/>
        <w:rPr>
          <w:rFonts w:cstheme="minorHAnsi"/>
        </w:rPr>
      </w:pPr>
      <w:r>
        <w:rPr>
          <w:rFonts w:cstheme="minorHAnsi"/>
        </w:rPr>
        <w:t xml:space="preserve">For the Medicaid population, the data used for testing came from Medicaid administrative claims.  National Medicaid sample data covering </w:t>
      </w:r>
      <w:r w:rsidR="006222DF">
        <w:rPr>
          <w:rFonts w:cstheme="minorHAnsi"/>
        </w:rPr>
        <w:t>17</w:t>
      </w:r>
      <w:r>
        <w:rPr>
          <w:rFonts w:cstheme="minorHAnsi"/>
        </w:rPr>
        <w:t xml:space="preserve"> states and </w:t>
      </w:r>
      <w:r w:rsidR="006222DF">
        <w:rPr>
          <w:rFonts w:cstheme="minorHAnsi"/>
        </w:rPr>
        <w:t>322</w:t>
      </w:r>
      <w:r>
        <w:rPr>
          <w:rFonts w:cstheme="minorHAnsi"/>
        </w:rPr>
        <w:t xml:space="preserve"> health plans were included in the testing using data from the Medicaid Analytic eXtract (MAX) data. In addition, one state Medicaid program with three state-based health plans was included in the testing using the state’s Medicaid administrative claims database. Medical claims were used to identify the cancer diagnoses, and the pharmacy claims were used for the identification of prescription drugs. </w:t>
      </w:r>
    </w:p>
    <w:p w14:paraId="46B165EB" w14:textId="77777777" w:rsidR="005A7533" w:rsidRDefault="005A7533" w:rsidP="00DB3627">
      <w:pPr>
        <w:autoSpaceDE w:val="0"/>
        <w:autoSpaceDN w:val="0"/>
        <w:adjustRightInd w:val="0"/>
        <w:spacing w:after="0" w:line="240" w:lineRule="auto"/>
        <w:rPr>
          <w:rFonts w:cstheme="minorHAnsi"/>
          <w:b/>
        </w:rPr>
      </w:pPr>
    </w:p>
    <w:p w14:paraId="0CABCFB0" w14:textId="0B0DE531"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53544D">
            <w:rPr>
              <w:rStyle w:val="Style1"/>
            </w:rPr>
            <w:t>2014-2016</w:t>
          </w:r>
        </w:sdtContent>
      </w:sdt>
    </w:p>
    <w:p w14:paraId="0CABCFB1" w14:textId="62FE6708" w:rsidR="000574AB" w:rsidRDefault="000574AB" w:rsidP="00DB3627">
      <w:pPr>
        <w:autoSpaceDE w:val="0"/>
        <w:autoSpaceDN w:val="0"/>
        <w:adjustRightInd w:val="0"/>
        <w:spacing w:after="0" w:line="240" w:lineRule="auto"/>
        <w:rPr>
          <w:rFonts w:cstheme="minorHAnsi"/>
          <w:bCs/>
        </w:rPr>
      </w:pPr>
    </w:p>
    <w:p w14:paraId="54C398B6" w14:textId="79FC2F54" w:rsidR="005A7533" w:rsidRDefault="005A7533" w:rsidP="00DB3627">
      <w:pPr>
        <w:autoSpaceDE w:val="0"/>
        <w:autoSpaceDN w:val="0"/>
        <w:adjustRightInd w:val="0"/>
        <w:spacing w:after="0" w:line="240" w:lineRule="auto"/>
        <w:rPr>
          <w:rFonts w:cstheme="minorHAnsi"/>
          <w:bCs/>
        </w:rPr>
      </w:pPr>
      <w:r>
        <w:rPr>
          <w:rFonts w:cstheme="minorHAnsi"/>
          <w:bCs/>
        </w:rPr>
        <w:t xml:space="preserve">The testing for the Medicare population used administrative claims data from January 1, 2015 to December 31, 2015.  The testing for Medicaid used administrative </w:t>
      </w:r>
      <w:r w:rsidR="00874AEB">
        <w:rPr>
          <w:rFonts w:cstheme="minorHAnsi"/>
          <w:bCs/>
        </w:rPr>
        <w:t>claims data from January 1, 2014</w:t>
      </w:r>
      <w:r>
        <w:rPr>
          <w:rFonts w:cstheme="minorHAnsi"/>
          <w:bCs/>
        </w:rPr>
        <w:t xml:space="preserve"> to </w:t>
      </w:r>
      <w:r w:rsidR="00874AEB">
        <w:rPr>
          <w:rFonts w:cstheme="minorHAnsi"/>
          <w:bCs/>
        </w:rPr>
        <w:t>December 31, 2014</w:t>
      </w:r>
      <w:r>
        <w:rPr>
          <w:rFonts w:cstheme="minorHAnsi"/>
          <w:bCs/>
        </w:rPr>
        <w:t xml:space="preserve"> for the national level MAX</w:t>
      </w:r>
      <w:r>
        <w:rPr>
          <w:rFonts w:cstheme="minorHAnsi"/>
          <w:b/>
          <w:bCs/>
        </w:rPr>
        <w:t xml:space="preserve"> </w:t>
      </w:r>
      <w:r>
        <w:rPr>
          <w:rFonts w:cstheme="minorHAnsi"/>
          <w:bCs/>
        </w:rPr>
        <w:t>dataset, and data from January 1, 2016 to December 31, 2016 for one state-based Medicaid dataset. The data from these time periods were the most recent, complete, full year data available to testers at the time of testing.</w:t>
      </w: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916FB4"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916FB4"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916FB4"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916FB4"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916FB4"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916FB4"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54712D1C" w:rsidR="000414E8" w:rsidRPr="00A01494" w:rsidRDefault="00916FB4"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5C0344">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63E8518" w:rsidR="000414E8" w:rsidRPr="00A01494" w:rsidRDefault="00916FB4"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5C0344">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916FB4"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916FB4"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58F83444"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44FA0911" w14:textId="77777777" w:rsidR="00FB11F6" w:rsidRDefault="00FB11F6" w:rsidP="00DB3627">
      <w:pPr>
        <w:autoSpaceDE w:val="0"/>
        <w:autoSpaceDN w:val="0"/>
        <w:adjustRightInd w:val="0"/>
        <w:spacing w:after="0" w:line="240" w:lineRule="auto"/>
        <w:rPr>
          <w:rFonts w:cstheme="minorHAnsi"/>
          <w:bCs/>
        </w:rPr>
      </w:pPr>
    </w:p>
    <w:p w14:paraId="3077C380" w14:textId="445521A5" w:rsidR="005A7533" w:rsidRPr="004C365B" w:rsidRDefault="005A7533" w:rsidP="005A7533">
      <w:pPr>
        <w:autoSpaceDE w:val="0"/>
        <w:autoSpaceDN w:val="0"/>
        <w:adjustRightInd w:val="0"/>
        <w:spacing w:after="0" w:line="240" w:lineRule="auto"/>
        <w:rPr>
          <w:rFonts w:cstheme="minorHAnsi"/>
          <w:bCs/>
        </w:rPr>
      </w:pPr>
      <w:r w:rsidRPr="004C365B">
        <w:rPr>
          <w:rFonts w:cstheme="minorHAnsi"/>
          <w:bCs/>
        </w:rPr>
        <w:t>The Medicare testing was conducted usi</w:t>
      </w:r>
      <w:r>
        <w:rPr>
          <w:rFonts w:cstheme="minorHAnsi"/>
          <w:bCs/>
        </w:rPr>
        <w:t xml:space="preserve">ng the Medicare 5% sample data – a </w:t>
      </w:r>
      <w:r w:rsidRPr="004C365B">
        <w:rPr>
          <w:rFonts w:cstheme="minorHAnsi"/>
          <w:bCs/>
        </w:rPr>
        <w:t xml:space="preserve">nationally representative </w:t>
      </w:r>
      <w:r>
        <w:rPr>
          <w:rFonts w:cstheme="minorHAnsi"/>
          <w:bCs/>
        </w:rPr>
        <w:t>sample</w:t>
      </w:r>
      <w:r w:rsidRPr="004C365B">
        <w:rPr>
          <w:rFonts w:cstheme="minorHAnsi"/>
          <w:bCs/>
        </w:rPr>
        <w:t>, including data from all the states. Of beneficiaries aged 18 years or older by the first day of the measurement year, the data included 710 Medicare Advantage Prescription Drug (MA-PD) plans and 73 standalone Prescription Drug Plans (PDPs). Plans varied in size (see Table 1), with a mean plan size of 2</w:t>
      </w:r>
      <w:r>
        <w:rPr>
          <w:rFonts w:cstheme="minorHAnsi"/>
          <w:bCs/>
        </w:rPr>
        <w:t>,</w:t>
      </w:r>
      <w:r w:rsidRPr="004C365B">
        <w:rPr>
          <w:rFonts w:cstheme="minorHAnsi"/>
          <w:bCs/>
        </w:rPr>
        <w:t>639 beneficiaries and a median plan size of 353 beneficiaries.</w:t>
      </w:r>
    </w:p>
    <w:p w14:paraId="7D93CB08" w14:textId="77777777" w:rsidR="005A7533" w:rsidRDefault="005A7533" w:rsidP="005A7533">
      <w:pPr>
        <w:autoSpaceDE w:val="0"/>
        <w:autoSpaceDN w:val="0"/>
        <w:adjustRightInd w:val="0"/>
        <w:spacing w:after="0" w:line="240" w:lineRule="auto"/>
        <w:rPr>
          <w:rFonts w:cstheme="minorHAnsi"/>
          <w:b/>
          <w:bCs/>
          <w:color w:val="548DD4" w:themeColor="text2" w:themeTint="99"/>
        </w:rPr>
      </w:pPr>
    </w:p>
    <w:p w14:paraId="29E0E154" w14:textId="77777777" w:rsidR="005A7533" w:rsidRDefault="005A7533" w:rsidP="005A7533">
      <w:pPr>
        <w:autoSpaceDE w:val="0"/>
        <w:autoSpaceDN w:val="0"/>
        <w:adjustRightInd w:val="0"/>
        <w:spacing w:after="0" w:line="240" w:lineRule="auto"/>
        <w:jc w:val="center"/>
        <w:rPr>
          <w:rFonts w:cstheme="minorHAnsi"/>
          <w:b/>
          <w:bCs/>
        </w:rPr>
      </w:pPr>
      <w:r>
        <w:rPr>
          <w:rFonts w:cstheme="minorHAnsi"/>
          <w:b/>
          <w:bCs/>
        </w:rPr>
        <w:t>Table 1. Plan Size Distribution for 2015 Medicare Sample</w:t>
      </w:r>
    </w:p>
    <w:tbl>
      <w:tblPr>
        <w:tblStyle w:val="TableGrid"/>
        <w:tblW w:w="0" w:type="auto"/>
        <w:tblInd w:w="2335" w:type="dxa"/>
        <w:tblLook w:val="04A0" w:firstRow="1" w:lastRow="0" w:firstColumn="1" w:lastColumn="0" w:noHBand="0" w:noVBand="1"/>
      </w:tblPr>
      <w:tblGrid>
        <w:gridCol w:w="2340"/>
        <w:gridCol w:w="2430"/>
      </w:tblGrid>
      <w:tr w:rsidR="005A7533" w14:paraId="4D4C129E" w14:textId="77777777" w:rsidTr="00165A1F">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310AE4" w14:textId="77777777" w:rsidR="005A7533" w:rsidRDefault="005A7533" w:rsidP="00165A1F">
            <w:pPr>
              <w:autoSpaceDE w:val="0"/>
              <w:autoSpaceDN w:val="0"/>
              <w:adjustRightInd w:val="0"/>
              <w:jc w:val="center"/>
              <w:rPr>
                <w:rFonts w:cstheme="minorHAnsi"/>
                <w:b/>
                <w:bCs/>
              </w:rPr>
            </w:pPr>
            <w:r>
              <w:rPr>
                <w:rFonts w:cstheme="minorHAnsi"/>
                <w:b/>
                <w:bCs/>
              </w:rPr>
              <w:t>Statistic</w:t>
            </w:r>
          </w:p>
        </w:tc>
        <w:tc>
          <w:tcPr>
            <w:tcW w:w="2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7B8938" w14:textId="77777777" w:rsidR="005A7533" w:rsidRDefault="005A7533" w:rsidP="00165A1F">
            <w:pPr>
              <w:autoSpaceDE w:val="0"/>
              <w:autoSpaceDN w:val="0"/>
              <w:adjustRightInd w:val="0"/>
              <w:jc w:val="center"/>
              <w:rPr>
                <w:rFonts w:cstheme="minorHAnsi"/>
                <w:b/>
                <w:bCs/>
              </w:rPr>
            </w:pPr>
            <w:r>
              <w:rPr>
                <w:rFonts w:cstheme="minorHAnsi"/>
                <w:b/>
                <w:bCs/>
              </w:rPr>
              <w:t>Number of Beneficiaries</w:t>
            </w:r>
          </w:p>
        </w:tc>
      </w:tr>
      <w:tr w:rsidR="005A7533" w14:paraId="2491F72E"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7A73192D" w14:textId="77777777" w:rsidR="005A7533" w:rsidRDefault="005A7533" w:rsidP="00165A1F">
            <w:pPr>
              <w:autoSpaceDE w:val="0"/>
              <w:autoSpaceDN w:val="0"/>
              <w:adjustRightInd w:val="0"/>
              <w:rPr>
                <w:rFonts w:cstheme="minorHAnsi"/>
                <w:bCs/>
              </w:rPr>
            </w:pPr>
            <w:r>
              <w:rPr>
                <w:rFonts w:cstheme="minorHAnsi"/>
                <w:bCs/>
              </w:rPr>
              <w:t xml:space="preserve">Mean </w:t>
            </w:r>
          </w:p>
        </w:tc>
        <w:tc>
          <w:tcPr>
            <w:tcW w:w="2430" w:type="dxa"/>
            <w:tcBorders>
              <w:top w:val="single" w:sz="4" w:space="0" w:color="auto"/>
              <w:left w:val="single" w:sz="4" w:space="0" w:color="auto"/>
              <w:bottom w:val="single" w:sz="4" w:space="0" w:color="auto"/>
              <w:right w:val="single" w:sz="4" w:space="0" w:color="auto"/>
            </w:tcBorders>
            <w:hideMark/>
          </w:tcPr>
          <w:p w14:paraId="2C99D520" w14:textId="77777777" w:rsidR="005A7533" w:rsidRDefault="005A7533" w:rsidP="00165A1F">
            <w:pPr>
              <w:autoSpaceDE w:val="0"/>
              <w:autoSpaceDN w:val="0"/>
              <w:adjustRightInd w:val="0"/>
              <w:jc w:val="right"/>
              <w:rPr>
                <w:rFonts w:cstheme="minorHAnsi"/>
                <w:bCs/>
              </w:rPr>
            </w:pPr>
            <w:r w:rsidRPr="004C365B">
              <w:rPr>
                <w:rFonts w:cstheme="minorHAnsi"/>
                <w:bCs/>
              </w:rPr>
              <w:t>2</w:t>
            </w:r>
            <w:r>
              <w:rPr>
                <w:rFonts w:cstheme="minorHAnsi"/>
                <w:bCs/>
              </w:rPr>
              <w:t>,</w:t>
            </w:r>
            <w:r w:rsidRPr="004C365B">
              <w:rPr>
                <w:rFonts w:cstheme="minorHAnsi"/>
                <w:bCs/>
              </w:rPr>
              <w:t>639</w:t>
            </w:r>
          </w:p>
        </w:tc>
      </w:tr>
      <w:tr w:rsidR="005A7533" w14:paraId="69596A8F"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0EC46F4A" w14:textId="77777777" w:rsidR="005A7533" w:rsidRDefault="005A7533" w:rsidP="00165A1F">
            <w:pPr>
              <w:autoSpaceDE w:val="0"/>
              <w:autoSpaceDN w:val="0"/>
              <w:adjustRightInd w:val="0"/>
              <w:rPr>
                <w:rFonts w:cstheme="minorHAnsi"/>
                <w:bCs/>
              </w:rPr>
            </w:pPr>
            <w:r>
              <w:rPr>
                <w:rFonts w:cstheme="minorHAnsi"/>
                <w:bCs/>
              </w:rPr>
              <w:t>Standard Deviation</w:t>
            </w:r>
          </w:p>
        </w:tc>
        <w:tc>
          <w:tcPr>
            <w:tcW w:w="2430" w:type="dxa"/>
            <w:tcBorders>
              <w:top w:val="single" w:sz="4" w:space="0" w:color="auto"/>
              <w:left w:val="single" w:sz="4" w:space="0" w:color="auto"/>
              <w:bottom w:val="single" w:sz="4" w:space="0" w:color="auto"/>
              <w:right w:val="single" w:sz="4" w:space="0" w:color="auto"/>
            </w:tcBorders>
            <w:hideMark/>
          </w:tcPr>
          <w:p w14:paraId="20EE199D" w14:textId="77777777" w:rsidR="005A7533" w:rsidRDefault="005A7533" w:rsidP="00165A1F">
            <w:pPr>
              <w:autoSpaceDE w:val="0"/>
              <w:autoSpaceDN w:val="0"/>
              <w:adjustRightInd w:val="0"/>
              <w:jc w:val="right"/>
              <w:rPr>
                <w:rFonts w:cstheme="minorHAnsi"/>
                <w:bCs/>
              </w:rPr>
            </w:pPr>
            <w:r w:rsidRPr="004C365B">
              <w:rPr>
                <w:rFonts w:cstheme="minorHAnsi"/>
                <w:bCs/>
              </w:rPr>
              <w:t>14</w:t>
            </w:r>
            <w:r>
              <w:rPr>
                <w:rFonts w:cstheme="minorHAnsi"/>
                <w:bCs/>
              </w:rPr>
              <w:t>,</w:t>
            </w:r>
            <w:r w:rsidRPr="004C365B">
              <w:rPr>
                <w:rFonts w:cstheme="minorHAnsi"/>
                <w:bCs/>
              </w:rPr>
              <w:t>308</w:t>
            </w:r>
          </w:p>
        </w:tc>
      </w:tr>
      <w:tr w:rsidR="005A7533" w14:paraId="7EA03A5B"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2659D794" w14:textId="77777777" w:rsidR="005A7533" w:rsidRDefault="005A7533" w:rsidP="00165A1F">
            <w:pPr>
              <w:autoSpaceDE w:val="0"/>
              <w:autoSpaceDN w:val="0"/>
              <w:adjustRightInd w:val="0"/>
              <w:rPr>
                <w:rFonts w:cstheme="minorHAnsi"/>
                <w:bCs/>
              </w:rPr>
            </w:pPr>
            <w:r>
              <w:rPr>
                <w:rFonts w:cstheme="minorHAnsi"/>
                <w:bCs/>
              </w:rPr>
              <w:t>Minimum</w:t>
            </w:r>
          </w:p>
        </w:tc>
        <w:tc>
          <w:tcPr>
            <w:tcW w:w="2430" w:type="dxa"/>
            <w:tcBorders>
              <w:top w:val="single" w:sz="4" w:space="0" w:color="auto"/>
              <w:left w:val="single" w:sz="4" w:space="0" w:color="auto"/>
              <w:bottom w:val="single" w:sz="4" w:space="0" w:color="auto"/>
              <w:right w:val="single" w:sz="4" w:space="0" w:color="auto"/>
            </w:tcBorders>
            <w:hideMark/>
          </w:tcPr>
          <w:p w14:paraId="5FB00442" w14:textId="77777777" w:rsidR="005A7533" w:rsidRDefault="005A7533" w:rsidP="00165A1F">
            <w:pPr>
              <w:autoSpaceDE w:val="0"/>
              <w:autoSpaceDN w:val="0"/>
              <w:adjustRightInd w:val="0"/>
              <w:jc w:val="right"/>
              <w:rPr>
                <w:rFonts w:cstheme="minorHAnsi"/>
                <w:bCs/>
              </w:rPr>
            </w:pPr>
            <w:r>
              <w:rPr>
                <w:rFonts w:cstheme="minorHAnsi"/>
                <w:bCs/>
              </w:rPr>
              <w:t>1</w:t>
            </w:r>
          </w:p>
        </w:tc>
      </w:tr>
      <w:tr w:rsidR="005A7533" w14:paraId="497833CC"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63EBA1DA" w14:textId="77777777" w:rsidR="005A7533" w:rsidRDefault="005A7533" w:rsidP="00165A1F">
            <w:pPr>
              <w:autoSpaceDE w:val="0"/>
              <w:autoSpaceDN w:val="0"/>
              <w:adjustRightInd w:val="0"/>
              <w:rPr>
                <w:rFonts w:cstheme="minorHAnsi"/>
                <w:bCs/>
              </w:rPr>
            </w:pPr>
            <w:r>
              <w:rPr>
                <w:rFonts w:cstheme="minorHAnsi"/>
                <w:bCs/>
              </w:rPr>
              <w:t>25</w:t>
            </w:r>
            <w:r>
              <w:rPr>
                <w:rFonts w:cstheme="minorHAnsi"/>
                <w:bCs/>
                <w:vertAlign w:val="superscript"/>
              </w:rPr>
              <w:t>th</w:t>
            </w:r>
            <w:r>
              <w:rPr>
                <w:rFonts w:cstheme="minorHAnsi"/>
                <w:bCs/>
              </w:rPr>
              <w:t xml:space="preserve"> Percentile</w:t>
            </w:r>
          </w:p>
        </w:tc>
        <w:tc>
          <w:tcPr>
            <w:tcW w:w="2430" w:type="dxa"/>
            <w:tcBorders>
              <w:top w:val="single" w:sz="4" w:space="0" w:color="auto"/>
              <w:left w:val="single" w:sz="4" w:space="0" w:color="auto"/>
              <w:bottom w:val="single" w:sz="4" w:space="0" w:color="auto"/>
              <w:right w:val="single" w:sz="4" w:space="0" w:color="auto"/>
            </w:tcBorders>
            <w:hideMark/>
          </w:tcPr>
          <w:p w14:paraId="61AD1E81" w14:textId="77777777" w:rsidR="005A7533" w:rsidRDefault="005A7533" w:rsidP="00165A1F">
            <w:pPr>
              <w:autoSpaceDE w:val="0"/>
              <w:autoSpaceDN w:val="0"/>
              <w:adjustRightInd w:val="0"/>
              <w:jc w:val="right"/>
              <w:rPr>
                <w:rFonts w:cstheme="minorHAnsi"/>
                <w:bCs/>
              </w:rPr>
            </w:pPr>
            <w:r>
              <w:rPr>
                <w:rFonts w:cstheme="minorHAnsi"/>
                <w:bCs/>
              </w:rPr>
              <w:t>44</w:t>
            </w:r>
          </w:p>
        </w:tc>
      </w:tr>
      <w:tr w:rsidR="005A7533" w14:paraId="6EC44743"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2367F965" w14:textId="77777777" w:rsidR="005A7533" w:rsidRDefault="005A7533" w:rsidP="00165A1F">
            <w:pPr>
              <w:autoSpaceDE w:val="0"/>
              <w:autoSpaceDN w:val="0"/>
              <w:adjustRightInd w:val="0"/>
              <w:rPr>
                <w:rFonts w:cstheme="minorHAnsi"/>
                <w:bCs/>
              </w:rPr>
            </w:pPr>
            <w:r>
              <w:rPr>
                <w:rFonts w:cstheme="minorHAnsi"/>
                <w:bCs/>
              </w:rPr>
              <w:t>50</w:t>
            </w:r>
            <w:r>
              <w:rPr>
                <w:rFonts w:cstheme="minorHAnsi"/>
                <w:bCs/>
                <w:vertAlign w:val="superscript"/>
              </w:rPr>
              <w:t>th</w:t>
            </w:r>
            <w:r>
              <w:rPr>
                <w:rFonts w:cstheme="minorHAnsi"/>
                <w:bCs/>
              </w:rPr>
              <w:t xml:space="preserve"> Percentile</w:t>
            </w:r>
          </w:p>
        </w:tc>
        <w:tc>
          <w:tcPr>
            <w:tcW w:w="2430" w:type="dxa"/>
            <w:tcBorders>
              <w:top w:val="single" w:sz="4" w:space="0" w:color="auto"/>
              <w:left w:val="single" w:sz="4" w:space="0" w:color="auto"/>
              <w:bottom w:val="single" w:sz="4" w:space="0" w:color="auto"/>
              <w:right w:val="single" w:sz="4" w:space="0" w:color="auto"/>
            </w:tcBorders>
            <w:hideMark/>
          </w:tcPr>
          <w:p w14:paraId="66D75AD3" w14:textId="77777777" w:rsidR="005A7533" w:rsidRDefault="005A7533" w:rsidP="00165A1F">
            <w:pPr>
              <w:autoSpaceDE w:val="0"/>
              <w:autoSpaceDN w:val="0"/>
              <w:adjustRightInd w:val="0"/>
              <w:jc w:val="right"/>
              <w:rPr>
                <w:rFonts w:cstheme="minorHAnsi"/>
                <w:bCs/>
              </w:rPr>
            </w:pPr>
            <w:r>
              <w:rPr>
                <w:rFonts w:cstheme="minorHAnsi"/>
                <w:bCs/>
              </w:rPr>
              <w:t>353</w:t>
            </w:r>
          </w:p>
        </w:tc>
      </w:tr>
      <w:tr w:rsidR="005A7533" w14:paraId="218C8DBE"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7AEEC3C8" w14:textId="77777777" w:rsidR="005A7533" w:rsidRDefault="005A7533" w:rsidP="00165A1F">
            <w:pPr>
              <w:autoSpaceDE w:val="0"/>
              <w:autoSpaceDN w:val="0"/>
              <w:adjustRightInd w:val="0"/>
              <w:rPr>
                <w:rFonts w:cstheme="minorHAnsi"/>
                <w:bCs/>
              </w:rPr>
            </w:pPr>
            <w:r>
              <w:rPr>
                <w:rFonts w:cstheme="minorHAnsi"/>
                <w:bCs/>
              </w:rPr>
              <w:t>75</w:t>
            </w:r>
            <w:r>
              <w:rPr>
                <w:rFonts w:cstheme="minorHAnsi"/>
                <w:bCs/>
                <w:vertAlign w:val="superscript"/>
              </w:rPr>
              <w:t>th</w:t>
            </w:r>
            <w:r>
              <w:rPr>
                <w:rFonts w:cstheme="minorHAnsi"/>
                <w:bCs/>
              </w:rPr>
              <w:t xml:space="preserve"> Percentile</w:t>
            </w:r>
          </w:p>
        </w:tc>
        <w:tc>
          <w:tcPr>
            <w:tcW w:w="2430" w:type="dxa"/>
            <w:tcBorders>
              <w:top w:val="single" w:sz="4" w:space="0" w:color="auto"/>
              <w:left w:val="single" w:sz="4" w:space="0" w:color="auto"/>
              <w:bottom w:val="single" w:sz="4" w:space="0" w:color="auto"/>
              <w:right w:val="single" w:sz="4" w:space="0" w:color="auto"/>
            </w:tcBorders>
            <w:hideMark/>
          </w:tcPr>
          <w:p w14:paraId="34D9C5F8" w14:textId="77777777" w:rsidR="005A7533" w:rsidRDefault="005A7533" w:rsidP="00165A1F">
            <w:pPr>
              <w:autoSpaceDE w:val="0"/>
              <w:autoSpaceDN w:val="0"/>
              <w:adjustRightInd w:val="0"/>
              <w:jc w:val="right"/>
              <w:rPr>
                <w:rFonts w:cstheme="minorHAnsi"/>
                <w:bCs/>
              </w:rPr>
            </w:pPr>
            <w:r>
              <w:rPr>
                <w:rFonts w:cstheme="minorHAnsi"/>
                <w:bCs/>
              </w:rPr>
              <w:t>1,264</w:t>
            </w:r>
          </w:p>
        </w:tc>
      </w:tr>
      <w:tr w:rsidR="005A7533" w14:paraId="0AA5C8CE"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282672EA" w14:textId="77777777" w:rsidR="005A7533" w:rsidRDefault="005A7533" w:rsidP="00165A1F">
            <w:pPr>
              <w:autoSpaceDE w:val="0"/>
              <w:autoSpaceDN w:val="0"/>
              <w:adjustRightInd w:val="0"/>
              <w:rPr>
                <w:rFonts w:cstheme="minorHAnsi"/>
                <w:bCs/>
              </w:rPr>
            </w:pPr>
            <w:r>
              <w:rPr>
                <w:rFonts w:cstheme="minorHAnsi"/>
                <w:bCs/>
              </w:rPr>
              <w:t>Maximum</w:t>
            </w:r>
          </w:p>
        </w:tc>
        <w:tc>
          <w:tcPr>
            <w:tcW w:w="2430" w:type="dxa"/>
            <w:tcBorders>
              <w:top w:val="single" w:sz="4" w:space="0" w:color="auto"/>
              <w:left w:val="single" w:sz="4" w:space="0" w:color="auto"/>
              <w:bottom w:val="single" w:sz="4" w:space="0" w:color="auto"/>
              <w:right w:val="single" w:sz="4" w:space="0" w:color="auto"/>
            </w:tcBorders>
            <w:hideMark/>
          </w:tcPr>
          <w:p w14:paraId="66133A05" w14:textId="77777777" w:rsidR="005A7533" w:rsidRDefault="005A7533" w:rsidP="00165A1F">
            <w:pPr>
              <w:autoSpaceDE w:val="0"/>
              <w:autoSpaceDN w:val="0"/>
              <w:adjustRightInd w:val="0"/>
              <w:jc w:val="right"/>
              <w:rPr>
                <w:rFonts w:cstheme="minorHAnsi"/>
                <w:bCs/>
              </w:rPr>
            </w:pPr>
            <w:r w:rsidRPr="004C365B">
              <w:rPr>
                <w:rFonts w:cstheme="minorHAnsi"/>
                <w:bCs/>
              </w:rPr>
              <w:t>228</w:t>
            </w:r>
            <w:r>
              <w:rPr>
                <w:rFonts w:cstheme="minorHAnsi"/>
                <w:bCs/>
              </w:rPr>
              <w:t>,</w:t>
            </w:r>
            <w:r w:rsidRPr="004C365B">
              <w:rPr>
                <w:rFonts w:cstheme="minorHAnsi"/>
                <w:bCs/>
              </w:rPr>
              <w:t>698</w:t>
            </w:r>
          </w:p>
        </w:tc>
      </w:tr>
      <w:tr w:rsidR="005A7533" w14:paraId="57F2B4C2"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15154B66" w14:textId="77777777" w:rsidR="005A7533" w:rsidRDefault="005A7533" w:rsidP="00165A1F">
            <w:pPr>
              <w:autoSpaceDE w:val="0"/>
              <w:autoSpaceDN w:val="0"/>
              <w:adjustRightInd w:val="0"/>
              <w:rPr>
                <w:rFonts w:cstheme="minorHAnsi"/>
                <w:bCs/>
              </w:rPr>
            </w:pPr>
            <w:r>
              <w:rPr>
                <w:rFonts w:cstheme="minorHAnsi"/>
                <w:bCs/>
              </w:rPr>
              <w:t>Interquartile Range</w:t>
            </w:r>
          </w:p>
        </w:tc>
        <w:tc>
          <w:tcPr>
            <w:tcW w:w="2430" w:type="dxa"/>
            <w:tcBorders>
              <w:top w:val="single" w:sz="4" w:space="0" w:color="auto"/>
              <w:left w:val="single" w:sz="4" w:space="0" w:color="auto"/>
              <w:bottom w:val="single" w:sz="4" w:space="0" w:color="auto"/>
              <w:right w:val="single" w:sz="4" w:space="0" w:color="auto"/>
            </w:tcBorders>
            <w:hideMark/>
          </w:tcPr>
          <w:p w14:paraId="6CFA433F" w14:textId="77777777" w:rsidR="005A7533" w:rsidRDefault="005A7533" w:rsidP="00165A1F">
            <w:pPr>
              <w:autoSpaceDE w:val="0"/>
              <w:autoSpaceDN w:val="0"/>
              <w:adjustRightInd w:val="0"/>
              <w:jc w:val="right"/>
              <w:rPr>
                <w:rFonts w:cstheme="minorHAnsi"/>
                <w:bCs/>
              </w:rPr>
            </w:pPr>
            <w:r>
              <w:rPr>
                <w:rFonts w:cstheme="minorHAnsi"/>
                <w:bCs/>
              </w:rPr>
              <w:t>1,220</w:t>
            </w:r>
          </w:p>
        </w:tc>
      </w:tr>
    </w:tbl>
    <w:p w14:paraId="150D4D79" w14:textId="77777777" w:rsidR="005A7533" w:rsidRDefault="005A7533" w:rsidP="005A7533">
      <w:pPr>
        <w:autoSpaceDE w:val="0"/>
        <w:autoSpaceDN w:val="0"/>
        <w:adjustRightInd w:val="0"/>
        <w:spacing w:after="0" w:line="240" w:lineRule="auto"/>
        <w:rPr>
          <w:rFonts w:cstheme="minorHAnsi"/>
          <w:b/>
          <w:bCs/>
          <w:color w:val="548DD4" w:themeColor="text2" w:themeTint="99"/>
        </w:rPr>
      </w:pPr>
    </w:p>
    <w:p w14:paraId="56A51382" w14:textId="43A459F0" w:rsidR="005A7533" w:rsidRDefault="005A7533" w:rsidP="005A7533">
      <w:pPr>
        <w:autoSpaceDE w:val="0"/>
        <w:autoSpaceDN w:val="0"/>
        <w:adjustRightInd w:val="0"/>
        <w:spacing w:after="0" w:line="240" w:lineRule="auto"/>
        <w:rPr>
          <w:rFonts w:cstheme="minorHAnsi"/>
          <w:bCs/>
        </w:rPr>
      </w:pPr>
      <w:r>
        <w:rPr>
          <w:rFonts w:cstheme="minorHAnsi"/>
          <w:bCs/>
        </w:rPr>
        <w:t xml:space="preserve">For the Medicaid testing, the national level analysis included </w:t>
      </w:r>
      <w:r w:rsidR="00FB11F6">
        <w:rPr>
          <w:rFonts w:cstheme="minorHAnsi"/>
          <w:bCs/>
        </w:rPr>
        <w:t>322</w:t>
      </w:r>
      <w:r>
        <w:rPr>
          <w:rFonts w:cstheme="minorHAnsi"/>
          <w:bCs/>
        </w:rPr>
        <w:t xml:space="preserve"> health plans covering </w:t>
      </w:r>
      <w:r w:rsidR="00FB11F6">
        <w:rPr>
          <w:rFonts w:cstheme="minorHAnsi"/>
          <w:bCs/>
        </w:rPr>
        <w:t>17</w:t>
      </w:r>
      <w:r>
        <w:rPr>
          <w:rFonts w:cstheme="minorHAnsi"/>
          <w:bCs/>
        </w:rPr>
        <w:t xml:space="preserve"> states with beneficiaries aged 18 years or older.  Of the </w:t>
      </w:r>
      <w:r w:rsidR="00FB11F6">
        <w:rPr>
          <w:rFonts w:cstheme="minorHAnsi"/>
          <w:bCs/>
        </w:rPr>
        <w:t xml:space="preserve">322 </w:t>
      </w:r>
      <w:r>
        <w:rPr>
          <w:rFonts w:cstheme="minorHAnsi"/>
          <w:bCs/>
        </w:rPr>
        <w:t xml:space="preserve">plans, </w:t>
      </w:r>
      <w:r w:rsidR="00FB11F6">
        <w:rPr>
          <w:rFonts w:cstheme="minorHAnsi"/>
          <w:bCs/>
        </w:rPr>
        <w:t>17</w:t>
      </w:r>
      <w:r>
        <w:rPr>
          <w:rFonts w:cstheme="minorHAnsi"/>
          <w:bCs/>
        </w:rPr>
        <w:t xml:space="preserve"> plans were fee-for-service (FFS), and the remaining </w:t>
      </w:r>
      <w:r w:rsidR="00FB11F6">
        <w:rPr>
          <w:rFonts w:cstheme="minorHAnsi"/>
          <w:bCs/>
        </w:rPr>
        <w:t>305</w:t>
      </w:r>
      <w:r>
        <w:rPr>
          <w:rFonts w:cstheme="minorHAnsi"/>
          <w:bCs/>
        </w:rPr>
        <w:t xml:space="preserve"> plans were Medicaid Managed Care plans. There was variation in plan size, with </w:t>
      </w:r>
      <w:r w:rsidRPr="006222DF">
        <w:rPr>
          <w:rFonts w:cstheme="minorHAnsi"/>
          <w:bCs/>
        </w:rPr>
        <w:t xml:space="preserve">mean plan size of </w:t>
      </w:r>
      <w:r w:rsidR="00FB11F6" w:rsidRPr="006222DF">
        <w:rPr>
          <w:rFonts w:cstheme="minorHAnsi"/>
          <w:bCs/>
        </w:rPr>
        <w:t xml:space="preserve">36,477 </w:t>
      </w:r>
      <w:r w:rsidRPr="006222DF">
        <w:rPr>
          <w:rFonts w:cstheme="minorHAnsi"/>
          <w:bCs/>
        </w:rPr>
        <w:t xml:space="preserve">beneficiaries, and a median plan size of </w:t>
      </w:r>
      <w:r w:rsidR="00FB11F6" w:rsidRPr="006222DF">
        <w:rPr>
          <w:rFonts w:cstheme="minorHAnsi"/>
          <w:bCs/>
        </w:rPr>
        <w:t xml:space="preserve">2,561 </w:t>
      </w:r>
      <w:r w:rsidRPr="006222DF">
        <w:rPr>
          <w:rFonts w:cstheme="minorHAnsi"/>
          <w:bCs/>
        </w:rPr>
        <w:t xml:space="preserve">beneficiaries (see Table 2).  </w:t>
      </w:r>
      <w:r w:rsidR="006222DF" w:rsidRPr="006222DF">
        <w:rPr>
          <w:rFonts w:cstheme="minorHAnsi"/>
          <w:bCs/>
        </w:rPr>
        <w:t>Fifteen plans were from the South region</w:t>
      </w:r>
      <w:r w:rsidRPr="006222DF">
        <w:rPr>
          <w:rFonts w:cstheme="minorHAnsi"/>
          <w:bCs/>
        </w:rPr>
        <w:t xml:space="preserve"> of the United States (US), </w:t>
      </w:r>
      <w:r w:rsidR="006222DF" w:rsidRPr="006222DF">
        <w:rPr>
          <w:rFonts w:cstheme="minorHAnsi"/>
          <w:bCs/>
        </w:rPr>
        <w:t>28</w:t>
      </w:r>
      <w:r w:rsidRPr="006222DF">
        <w:rPr>
          <w:rFonts w:cstheme="minorHAnsi"/>
          <w:bCs/>
        </w:rPr>
        <w:t xml:space="preserve"> plans were from the Northeast region of the US, </w:t>
      </w:r>
      <w:r w:rsidR="006222DF" w:rsidRPr="006222DF">
        <w:rPr>
          <w:rFonts w:cstheme="minorHAnsi"/>
          <w:bCs/>
        </w:rPr>
        <w:t>173</w:t>
      </w:r>
      <w:r w:rsidRPr="006222DF">
        <w:rPr>
          <w:rFonts w:cstheme="minorHAnsi"/>
          <w:bCs/>
        </w:rPr>
        <w:t xml:space="preserve"> plans were from states in the </w:t>
      </w:r>
      <w:r w:rsidR="006222DF" w:rsidRPr="006222DF">
        <w:rPr>
          <w:rFonts w:cstheme="minorHAnsi"/>
          <w:bCs/>
        </w:rPr>
        <w:t>Midwest</w:t>
      </w:r>
      <w:r w:rsidRPr="006222DF">
        <w:rPr>
          <w:rFonts w:cstheme="minorHAnsi"/>
          <w:bCs/>
        </w:rPr>
        <w:t xml:space="preserve"> region of the US, and </w:t>
      </w:r>
      <w:r w:rsidR="006222DF" w:rsidRPr="006222DF">
        <w:rPr>
          <w:rFonts w:cstheme="minorHAnsi"/>
          <w:bCs/>
        </w:rPr>
        <w:t>106</w:t>
      </w:r>
      <w:r w:rsidRPr="006222DF">
        <w:rPr>
          <w:rFonts w:cstheme="minorHAnsi"/>
          <w:bCs/>
        </w:rPr>
        <w:t xml:space="preserve"> plans were from the West region of the US.</w:t>
      </w:r>
    </w:p>
    <w:p w14:paraId="18C6B689" w14:textId="51BE0D36" w:rsidR="005A7533" w:rsidRDefault="005A7533" w:rsidP="005A7533">
      <w:pPr>
        <w:autoSpaceDE w:val="0"/>
        <w:autoSpaceDN w:val="0"/>
        <w:adjustRightInd w:val="0"/>
        <w:spacing w:after="0" w:line="240" w:lineRule="auto"/>
        <w:rPr>
          <w:rFonts w:cstheme="minorHAnsi"/>
          <w:bCs/>
        </w:rPr>
      </w:pPr>
    </w:p>
    <w:p w14:paraId="030DBF5E" w14:textId="17B00564" w:rsidR="005A7533" w:rsidRDefault="005A7533" w:rsidP="005A7533">
      <w:pPr>
        <w:autoSpaceDE w:val="0"/>
        <w:autoSpaceDN w:val="0"/>
        <w:adjustRightInd w:val="0"/>
        <w:spacing w:after="0" w:line="240" w:lineRule="auto"/>
        <w:rPr>
          <w:rFonts w:cstheme="minorHAnsi"/>
          <w:bCs/>
        </w:rPr>
      </w:pPr>
    </w:p>
    <w:p w14:paraId="56CB80BA" w14:textId="09DAFFB2" w:rsidR="005A7533" w:rsidRDefault="005A7533" w:rsidP="005A7533">
      <w:pPr>
        <w:autoSpaceDE w:val="0"/>
        <w:autoSpaceDN w:val="0"/>
        <w:adjustRightInd w:val="0"/>
        <w:spacing w:after="0" w:line="240" w:lineRule="auto"/>
        <w:rPr>
          <w:rFonts w:cstheme="minorHAnsi"/>
          <w:bCs/>
        </w:rPr>
      </w:pPr>
    </w:p>
    <w:p w14:paraId="3190107A" w14:textId="270D43EE" w:rsidR="005A7533" w:rsidRDefault="005A7533" w:rsidP="005A7533">
      <w:pPr>
        <w:autoSpaceDE w:val="0"/>
        <w:autoSpaceDN w:val="0"/>
        <w:adjustRightInd w:val="0"/>
        <w:spacing w:after="0" w:line="240" w:lineRule="auto"/>
        <w:rPr>
          <w:rFonts w:cstheme="minorHAnsi"/>
          <w:bCs/>
        </w:rPr>
      </w:pPr>
    </w:p>
    <w:p w14:paraId="42F3D827" w14:textId="6A915306" w:rsidR="005A7533" w:rsidRDefault="005A7533" w:rsidP="005A7533">
      <w:pPr>
        <w:autoSpaceDE w:val="0"/>
        <w:autoSpaceDN w:val="0"/>
        <w:adjustRightInd w:val="0"/>
        <w:spacing w:after="0" w:line="240" w:lineRule="auto"/>
        <w:rPr>
          <w:rFonts w:cstheme="minorHAnsi"/>
          <w:bCs/>
        </w:rPr>
      </w:pPr>
    </w:p>
    <w:p w14:paraId="642AFD1F" w14:textId="7FB381BB" w:rsidR="005A7533" w:rsidRDefault="005A7533" w:rsidP="005A7533">
      <w:pPr>
        <w:autoSpaceDE w:val="0"/>
        <w:autoSpaceDN w:val="0"/>
        <w:adjustRightInd w:val="0"/>
        <w:spacing w:after="0" w:line="240" w:lineRule="auto"/>
        <w:rPr>
          <w:rFonts w:cstheme="minorHAnsi"/>
          <w:bCs/>
        </w:rPr>
      </w:pPr>
    </w:p>
    <w:p w14:paraId="4A216401" w14:textId="0B378102" w:rsidR="005A7533" w:rsidRDefault="005A7533" w:rsidP="005A7533">
      <w:pPr>
        <w:autoSpaceDE w:val="0"/>
        <w:autoSpaceDN w:val="0"/>
        <w:adjustRightInd w:val="0"/>
        <w:spacing w:after="0" w:line="240" w:lineRule="auto"/>
        <w:rPr>
          <w:rFonts w:cstheme="minorHAnsi"/>
          <w:bCs/>
        </w:rPr>
      </w:pPr>
    </w:p>
    <w:p w14:paraId="27DEC186" w14:textId="30BA775E" w:rsidR="005A7533" w:rsidRDefault="005A7533" w:rsidP="005A7533">
      <w:pPr>
        <w:autoSpaceDE w:val="0"/>
        <w:autoSpaceDN w:val="0"/>
        <w:adjustRightInd w:val="0"/>
        <w:spacing w:after="0" w:line="240" w:lineRule="auto"/>
        <w:jc w:val="center"/>
        <w:rPr>
          <w:rFonts w:cstheme="minorHAnsi"/>
          <w:b/>
          <w:bCs/>
        </w:rPr>
      </w:pPr>
      <w:r>
        <w:rPr>
          <w:rFonts w:cstheme="minorHAnsi"/>
          <w:b/>
          <w:bCs/>
        </w:rPr>
        <w:t>Table 2.</w:t>
      </w:r>
      <w:r w:rsidR="006222DF">
        <w:rPr>
          <w:rFonts w:cstheme="minorHAnsi"/>
          <w:b/>
          <w:bCs/>
        </w:rPr>
        <w:t xml:space="preserve"> Plan Size Distribution for 2014</w:t>
      </w:r>
      <w:r>
        <w:rPr>
          <w:rFonts w:cstheme="minorHAnsi"/>
          <w:b/>
          <w:bCs/>
        </w:rPr>
        <w:t xml:space="preserve"> Medicaid MAX Sample</w:t>
      </w:r>
    </w:p>
    <w:tbl>
      <w:tblPr>
        <w:tblStyle w:val="TableGrid"/>
        <w:tblW w:w="0" w:type="auto"/>
        <w:tblInd w:w="2335" w:type="dxa"/>
        <w:tblLook w:val="04A0" w:firstRow="1" w:lastRow="0" w:firstColumn="1" w:lastColumn="0" w:noHBand="0" w:noVBand="1"/>
      </w:tblPr>
      <w:tblGrid>
        <w:gridCol w:w="2340"/>
        <w:gridCol w:w="2430"/>
      </w:tblGrid>
      <w:tr w:rsidR="005A7533" w14:paraId="0DEE346B" w14:textId="77777777" w:rsidTr="00165A1F">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B2F8F0" w14:textId="77777777" w:rsidR="005A7533" w:rsidRDefault="005A7533" w:rsidP="00165A1F">
            <w:pPr>
              <w:autoSpaceDE w:val="0"/>
              <w:autoSpaceDN w:val="0"/>
              <w:adjustRightInd w:val="0"/>
              <w:jc w:val="center"/>
              <w:rPr>
                <w:rFonts w:cstheme="minorHAnsi"/>
                <w:b/>
                <w:bCs/>
              </w:rPr>
            </w:pPr>
            <w:r>
              <w:rPr>
                <w:rFonts w:cstheme="minorHAnsi"/>
                <w:b/>
                <w:bCs/>
              </w:rPr>
              <w:t>Statistic</w:t>
            </w:r>
          </w:p>
        </w:tc>
        <w:tc>
          <w:tcPr>
            <w:tcW w:w="2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04DF10" w14:textId="77777777" w:rsidR="005A7533" w:rsidRDefault="005A7533" w:rsidP="00165A1F">
            <w:pPr>
              <w:autoSpaceDE w:val="0"/>
              <w:autoSpaceDN w:val="0"/>
              <w:adjustRightInd w:val="0"/>
              <w:jc w:val="center"/>
              <w:rPr>
                <w:rFonts w:cstheme="minorHAnsi"/>
                <w:b/>
                <w:bCs/>
              </w:rPr>
            </w:pPr>
            <w:r>
              <w:rPr>
                <w:rFonts w:cstheme="minorHAnsi"/>
                <w:b/>
                <w:bCs/>
              </w:rPr>
              <w:t>Number of Beneficiaries</w:t>
            </w:r>
          </w:p>
        </w:tc>
      </w:tr>
      <w:tr w:rsidR="00FB11F6" w14:paraId="10E87A57"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065DAAEA" w14:textId="77777777" w:rsidR="00FB11F6" w:rsidRDefault="00FB11F6" w:rsidP="00FB11F6">
            <w:pPr>
              <w:autoSpaceDE w:val="0"/>
              <w:autoSpaceDN w:val="0"/>
              <w:adjustRightInd w:val="0"/>
              <w:rPr>
                <w:rFonts w:cstheme="minorHAnsi"/>
                <w:bCs/>
              </w:rPr>
            </w:pPr>
            <w:r>
              <w:rPr>
                <w:rFonts w:cstheme="minorHAnsi"/>
                <w:bCs/>
              </w:rPr>
              <w:t xml:space="preserve">Mean </w:t>
            </w:r>
          </w:p>
        </w:tc>
        <w:tc>
          <w:tcPr>
            <w:tcW w:w="2430" w:type="dxa"/>
            <w:tcBorders>
              <w:top w:val="single" w:sz="4" w:space="0" w:color="auto"/>
              <w:left w:val="single" w:sz="4" w:space="0" w:color="auto"/>
              <w:bottom w:val="single" w:sz="4" w:space="0" w:color="auto"/>
              <w:right w:val="single" w:sz="4" w:space="0" w:color="auto"/>
            </w:tcBorders>
            <w:vAlign w:val="bottom"/>
            <w:hideMark/>
          </w:tcPr>
          <w:p w14:paraId="527295C5" w14:textId="2E34D1D1" w:rsidR="00FB11F6" w:rsidRDefault="00FB11F6" w:rsidP="00FB11F6">
            <w:pPr>
              <w:autoSpaceDE w:val="0"/>
              <w:autoSpaceDN w:val="0"/>
              <w:adjustRightInd w:val="0"/>
              <w:jc w:val="right"/>
              <w:rPr>
                <w:rFonts w:cstheme="minorHAnsi"/>
                <w:bCs/>
              </w:rPr>
            </w:pPr>
            <w:r>
              <w:rPr>
                <w:rFonts w:ascii="Calibri" w:hAnsi="Calibri" w:cs="Calibri"/>
                <w:color w:val="000000"/>
              </w:rPr>
              <w:t>36,477</w:t>
            </w:r>
          </w:p>
        </w:tc>
      </w:tr>
      <w:tr w:rsidR="00FB11F6" w14:paraId="799B9D34"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41AA11EE" w14:textId="77777777" w:rsidR="00FB11F6" w:rsidRDefault="00FB11F6" w:rsidP="00FB11F6">
            <w:pPr>
              <w:autoSpaceDE w:val="0"/>
              <w:autoSpaceDN w:val="0"/>
              <w:adjustRightInd w:val="0"/>
              <w:rPr>
                <w:rFonts w:cstheme="minorHAnsi"/>
                <w:bCs/>
              </w:rPr>
            </w:pPr>
            <w:r>
              <w:rPr>
                <w:rFonts w:cstheme="minorHAnsi"/>
                <w:bCs/>
              </w:rPr>
              <w:t>Standard Deviation</w:t>
            </w:r>
          </w:p>
        </w:tc>
        <w:tc>
          <w:tcPr>
            <w:tcW w:w="2430" w:type="dxa"/>
            <w:tcBorders>
              <w:top w:val="single" w:sz="4" w:space="0" w:color="auto"/>
              <w:left w:val="single" w:sz="4" w:space="0" w:color="auto"/>
              <w:bottom w:val="single" w:sz="4" w:space="0" w:color="auto"/>
              <w:right w:val="single" w:sz="4" w:space="0" w:color="auto"/>
            </w:tcBorders>
            <w:vAlign w:val="bottom"/>
            <w:hideMark/>
          </w:tcPr>
          <w:p w14:paraId="347EA563" w14:textId="3DFB01C3" w:rsidR="00FB11F6" w:rsidRDefault="00FB11F6" w:rsidP="00FB11F6">
            <w:pPr>
              <w:autoSpaceDE w:val="0"/>
              <w:autoSpaceDN w:val="0"/>
              <w:adjustRightInd w:val="0"/>
              <w:jc w:val="right"/>
              <w:rPr>
                <w:rFonts w:cstheme="minorHAnsi"/>
                <w:bCs/>
              </w:rPr>
            </w:pPr>
            <w:r>
              <w:rPr>
                <w:rFonts w:ascii="Calibri" w:hAnsi="Calibri" w:cs="Calibri"/>
                <w:color w:val="000000"/>
              </w:rPr>
              <w:t>185,027</w:t>
            </w:r>
          </w:p>
        </w:tc>
      </w:tr>
      <w:tr w:rsidR="005A7533" w14:paraId="5F5905A1"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61EAD6B7" w14:textId="77777777" w:rsidR="005A7533" w:rsidRDefault="005A7533" w:rsidP="00165A1F">
            <w:pPr>
              <w:autoSpaceDE w:val="0"/>
              <w:autoSpaceDN w:val="0"/>
              <w:adjustRightInd w:val="0"/>
              <w:rPr>
                <w:rFonts w:cstheme="minorHAnsi"/>
                <w:bCs/>
              </w:rPr>
            </w:pPr>
            <w:r>
              <w:rPr>
                <w:rFonts w:cstheme="minorHAnsi"/>
                <w:bCs/>
              </w:rPr>
              <w:t>Minimum</w:t>
            </w:r>
          </w:p>
        </w:tc>
        <w:tc>
          <w:tcPr>
            <w:tcW w:w="2430" w:type="dxa"/>
            <w:tcBorders>
              <w:top w:val="single" w:sz="4" w:space="0" w:color="auto"/>
              <w:left w:val="single" w:sz="4" w:space="0" w:color="auto"/>
              <w:bottom w:val="single" w:sz="4" w:space="0" w:color="auto"/>
              <w:right w:val="single" w:sz="4" w:space="0" w:color="auto"/>
            </w:tcBorders>
            <w:hideMark/>
          </w:tcPr>
          <w:p w14:paraId="093C0A05" w14:textId="7A69AAD8" w:rsidR="005A7533" w:rsidRDefault="00FB11F6" w:rsidP="00165A1F">
            <w:pPr>
              <w:autoSpaceDE w:val="0"/>
              <w:autoSpaceDN w:val="0"/>
              <w:adjustRightInd w:val="0"/>
              <w:jc w:val="right"/>
              <w:rPr>
                <w:rFonts w:cstheme="minorHAnsi"/>
                <w:bCs/>
              </w:rPr>
            </w:pPr>
            <w:r>
              <w:rPr>
                <w:rFonts w:cstheme="minorHAnsi"/>
                <w:bCs/>
              </w:rPr>
              <w:t>2</w:t>
            </w:r>
          </w:p>
        </w:tc>
      </w:tr>
      <w:tr w:rsidR="005A7533" w14:paraId="2B10C3B0"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7539EAF2" w14:textId="77777777" w:rsidR="005A7533" w:rsidRDefault="005A7533" w:rsidP="00165A1F">
            <w:pPr>
              <w:autoSpaceDE w:val="0"/>
              <w:autoSpaceDN w:val="0"/>
              <w:adjustRightInd w:val="0"/>
              <w:rPr>
                <w:rFonts w:cstheme="minorHAnsi"/>
                <w:bCs/>
              </w:rPr>
            </w:pPr>
            <w:r>
              <w:rPr>
                <w:rFonts w:cstheme="minorHAnsi"/>
                <w:bCs/>
              </w:rPr>
              <w:t>25</w:t>
            </w:r>
            <w:r>
              <w:rPr>
                <w:rFonts w:cstheme="minorHAnsi"/>
                <w:bCs/>
                <w:vertAlign w:val="superscript"/>
              </w:rPr>
              <w:t>th</w:t>
            </w:r>
            <w:r>
              <w:rPr>
                <w:rFonts w:cstheme="minorHAnsi"/>
                <w:bCs/>
              </w:rPr>
              <w:t xml:space="preserve"> Percentile</w:t>
            </w:r>
          </w:p>
        </w:tc>
        <w:tc>
          <w:tcPr>
            <w:tcW w:w="2430" w:type="dxa"/>
            <w:tcBorders>
              <w:top w:val="single" w:sz="4" w:space="0" w:color="auto"/>
              <w:left w:val="single" w:sz="4" w:space="0" w:color="auto"/>
              <w:bottom w:val="single" w:sz="4" w:space="0" w:color="auto"/>
              <w:right w:val="single" w:sz="4" w:space="0" w:color="auto"/>
            </w:tcBorders>
            <w:hideMark/>
          </w:tcPr>
          <w:p w14:paraId="49F7309D" w14:textId="4A3CF7EF" w:rsidR="005A7533" w:rsidRDefault="00FB11F6" w:rsidP="00165A1F">
            <w:pPr>
              <w:autoSpaceDE w:val="0"/>
              <w:autoSpaceDN w:val="0"/>
              <w:adjustRightInd w:val="0"/>
              <w:jc w:val="right"/>
              <w:rPr>
                <w:rFonts w:cstheme="minorHAnsi"/>
                <w:bCs/>
              </w:rPr>
            </w:pPr>
            <w:r>
              <w:rPr>
                <w:rFonts w:cstheme="minorHAnsi"/>
                <w:bCs/>
              </w:rPr>
              <w:t>101</w:t>
            </w:r>
          </w:p>
        </w:tc>
      </w:tr>
      <w:tr w:rsidR="005A7533" w14:paraId="34D92C4A"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3D3009CF" w14:textId="77777777" w:rsidR="005A7533" w:rsidRDefault="005A7533" w:rsidP="00165A1F">
            <w:pPr>
              <w:autoSpaceDE w:val="0"/>
              <w:autoSpaceDN w:val="0"/>
              <w:adjustRightInd w:val="0"/>
              <w:rPr>
                <w:rFonts w:cstheme="minorHAnsi"/>
                <w:bCs/>
              </w:rPr>
            </w:pPr>
            <w:r>
              <w:rPr>
                <w:rFonts w:cstheme="minorHAnsi"/>
                <w:bCs/>
              </w:rPr>
              <w:t>50</w:t>
            </w:r>
            <w:r>
              <w:rPr>
                <w:rFonts w:cstheme="minorHAnsi"/>
                <w:bCs/>
                <w:vertAlign w:val="superscript"/>
              </w:rPr>
              <w:t>th</w:t>
            </w:r>
            <w:r>
              <w:rPr>
                <w:rFonts w:cstheme="minorHAnsi"/>
                <w:bCs/>
              </w:rPr>
              <w:t xml:space="preserve"> Percentile</w:t>
            </w:r>
          </w:p>
        </w:tc>
        <w:tc>
          <w:tcPr>
            <w:tcW w:w="2430" w:type="dxa"/>
            <w:tcBorders>
              <w:top w:val="single" w:sz="4" w:space="0" w:color="auto"/>
              <w:left w:val="single" w:sz="4" w:space="0" w:color="auto"/>
              <w:bottom w:val="single" w:sz="4" w:space="0" w:color="auto"/>
              <w:right w:val="single" w:sz="4" w:space="0" w:color="auto"/>
            </w:tcBorders>
            <w:hideMark/>
          </w:tcPr>
          <w:p w14:paraId="76F51FFD" w14:textId="06FC95AB" w:rsidR="005A7533" w:rsidRDefault="00FB11F6" w:rsidP="00165A1F">
            <w:pPr>
              <w:autoSpaceDE w:val="0"/>
              <w:autoSpaceDN w:val="0"/>
              <w:adjustRightInd w:val="0"/>
              <w:jc w:val="right"/>
              <w:rPr>
                <w:rFonts w:cstheme="minorHAnsi"/>
                <w:bCs/>
              </w:rPr>
            </w:pPr>
            <w:r w:rsidRPr="00FB11F6">
              <w:rPr>
                <w:rFonts w:cstheme="minorHAnsi"/>
                <w:bCs/>
              </w:rPr>
              <w:t>2,561</w:t>
            </w:r>
          </w:p>
        </w:tc>
      </w:tr>
      <w:tr w:rsidR="005A7533" w14:paraId="704952EF"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0A84E4A2" w14:textId="77777777" w:rsidR="005A7533" w:rsidRDefault="005A7533" w:rsidP="00165A1F">
            <w:pPr>
              <w:autoSpaceDE w:val="0"/>
              <w:autoSpaceDN w:val="0"/>
              <w:adjustRightInd w:val="0"/>
              <w:rPr>
                <w:rFonts w:cstheme="minorHAnsi"/>
                <w:bCs/>
              </w:rPr>
            </w:pPr>
            <w:r>
              <w:rPr>
                <w:rFonts w:cstheme="minorHAnsi"/>
                <w:bCs/>
              </w:rPr>
              <w:t>75</w:t>
            </w:r>
            <w:r>
              <w:rPr>
                <w:rFonts w:cstheme="minorHAnsi"/>
                <w:bCs/>
                <w:vertAlign w:val="superscript"/>
              </w:rPr>
              <w:t>th</w:t>
            </w:r>
            <w:r>
              <w:rPr>
                <w:rFonts w:cstheme="minorHAnsi"/>
                <w:bCs/>
              </w:rPr>
              <w:t xml:space="preserve"> Percentile</w:t>
            </w:r>
          </w:p>
        </w:tc>
        <w:tc>
          <w:tcPr>
            <w:tcW w:w="2430" w:type="dxa"/>
            <w:tcBorders>
              <w:top w:val="single" w:sz="4" w:space="0" w:color="auto"/>
              <w:left w:val="single" w:sz="4" w:space="0" w:color="auto"/>
              <w:bottom w:val="single" w:sz="4" w:space="0" w:color="auto"/>
              <w:right w:val="single" w:sz="4" w:space="0" w:color="auto"/>
            </w:tcBorders>
            <w:hideMark/>
          </w:tcPr>
          <w:p w14:paraId="2743D4D9" w14:textId="00904B00" w:rsidR="005A7533" w:rsidRDefault="00FB11F6" w:rsidP="00165A1F">
            <w:pPr>
              <w:autoSpaceDE w:val="0"/>
              <w:autoSpaceDN w:val="0"/>
              <w:adjustRightInd w:val="0"/>
              <w:jc w:val="right"/>
              <w:rPr>
                <w:rFonts w:cstheme="minorHAnsi"/>
                <w:bCs/>
              </w:rPr>
            </w:pPr>
            <w:r w:rsidRPr="00FB11F6">
              <w:rPr>
                <w:rFonts w:cstheme="minorHAnsi"/>
                <w:bCs/>
              </w:rPr>
              <w:t>17</w:t>
            </w:r>
            <w:r>
              <w:rPr>
                <w:rFonts w:cstheme="minorHAnsi"/>
                <w:bCs/>
              </w:rPr>
              <w:t>,</w:t>
            </w:r>
            <w:r w:rsidRPr="00FB11F6">
              <w:rPr>
                <w:rFonts w:cstheme="minorHAnsi"/>
                <w:bCs/>
              </w:rPr>
              <w:t>140</w:t>
            </w:r>
          </w:p>
        </w:tc>
      </w:tr>
      <w:tr w:rsidR="00FB11F6" w14:paraId="0BDCBE62"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47FF8D51" w14:textId="77777777" w:rsidR="00FB11F6" w:rsidRDefault="00FB11F6" w:rsidP="00FB11F6">
            <w:pPr>
              <w:autoSpaceDE w:val="0"/>
              <w:autoSpaceDN w:val="0"/>
              <w:adjustRightInd w:val="0"/>
              <w:rPr>
                <w:rFonts w:cstheme="minorHAnsi"/>
                <w:bCs/>
              </w:rPr>
            </w:pPr>
            <w:r>
              <w:rPr>
                <w:rFonts w:cstheme="minorHAnsi"/>
                <w:bCs/>
              </w:rPr>
              <w:t>Maximum</w:t>
            </w:r>
          </w:p>
        </w:tc>
        <w:tc>
          <w:tcPr>
            <w:tcW w:w="2430" w:type="dxa"/>
            <w:tcBorders>
              <w:top w:val="single" w:sz="4" w:space="0" w:color="auto"/>
              <w:left w:val="single" w:sz="4" w:space="0" w:color="auto"/>
              <w:bottom w:val="single" w:sz="4" w:space="0" w:color="auto"/>
              <w:right w:val="single" w:sz="4" w:space="0" w:color="auto"/>
            </w:tcBorders>
            <w:vAlign w:val="bottom"/>
            <w:hideMark/>
          </w:tcPr>
          <w:p w14:paraId="31DD24E2" w14:textId="79D5BE4B" w:rsidR="00FB11F6" w:rsidRDefault="00FB11F6" w:rsidP="00FB11F6">
            <w:pPr>
              <w:autoSpaceDE w:val="0"/>
              <w:autoSpaceDN w:val="0"/>
              <w:adjustRightInd w:val="0"/>
              <w:jc w:val="right"/>
              <w:rPr>
                <w:rFonts w:cstheme="minorHAnsi"/>
                <w:bCs/>
              </w:rPr>
            </w:pPr>
            <w:r>
              <w:rPr>
                <w:rFonts w:ascii="Calibri" w:hAnsi="Calibri" w:cs="Calibri"/>
                <w:color w:val="000000"/>
              </w:rPr>
              <w:t>3,055,163</w:t>
            </w:r>
          </w:p>
        </w:tc>
      </w:tr>
      <w:tr w:rsidR="00FB11F6" w14:paraId="1F7FCA9C"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2E8065A2" w14:textId="77777777" w:rsidR="00FB11F6" w:rsidRDefault="00FB11F6" w:rsidP="00FB11F6">
            <w:pPr>
              <w:autoSpaceDE w:val="0"/>
              <w:autoSpaceDN w:val="0"/>
              <w:adjustRightInd w:val="0"/>
              <w:rPr>
                <w:rFonts w:cstheme="minorHAnsi"/>
                <w:bCs/>
              </w:rPr>
            </w:pPr>
            <w:r>
              <w:rPr>
                <w:rFonts w:cstheme="minorHAnsi"/>
                <w:bCs/>
              </w:rPr>
              <w:t>Interquartile Range</w:t>
            </w:r>
          </w:p>
        </w:tc>
        <w:tc>
          <w:tcPr>
            <w:tcW w:w="2430" w:type="dxa"/>
            <w:tcBorders>
              <w:top w:val="single" w:sz="4" w:space="0" w:color="auto"/>
              <w:left w:val="single" w:sz="4" w:space="0" w:color="auto"/>
              <w:bottom w:val="single" w:sz="4" w:space="0" w:color="auto"/>
              <w:right w:val="single" w:sz="4" w:space="0" w:color="auto"/>
            </w:tcBorders>
            <w:vAlign w:val="bottom"/>
            <w:hideMark/>
          </w:tcPr>
          <w:p w14:paraId="0EC7BBE4" w14:textId="20AA5D48" w:rsidR="00FB11F6" w:rsidRDefault="00FB11F6" w:rsidP="00FB11F6">
            <w:pPr>
              <w:autoSpaceDE w:val="0"/>
              <w:autoSpaceDN w:val="0"/>
              <w:adjustRightInd w:val="0"/>
              <w:jc w:val="right"/>
              <w:rPr>
                <w:rFonts w:cstheme="minorHAnsi"/>
                <w:bCs/>
              </w:rPr>
            </w:pPr>
            <w:r>
              <w:rPr>
                <w:rFonts w:ascii="Calibri" w:hAnsi="Calibri" w:cs="Calibri"/>
                <w:color w:val="000000"/>
              </w:rPr>
              <w:t>17,039</w:t>
            </w:r>
          </w:p>
        </w:tc>
      </w:tr>
    </w:tbl>
    <w:p w14:paraId="048C7FAB" w14:textId="77777777" w:rsidR="005A7533" w:rsidRDefault="005A7533" w:rsidP="005A7533">
      <w:pPr>
        <w:autoSpaceDE w:val="0"/>
        <w:autoSpaceDN w:val="0"/>
        <w:adjustRightInd w:val="0"/>
        <w:spacing w:after="0" w:line="240" w:lineRule="auto"/>
        <w:rPr>
          <w:rFonts w:cstheme="minorHAnsi"/>
          <w:bCs/>
        </w:rPr>
      </w:pPr>
    </w:p>
    <w:p w14:paraId="1D0A710E" w14:textId="77777777" w:rsidR="005A7533" w:rsidRDefault="005A7533" w:rsidP="005A7533">
      <w:pPr>
        <w:autoSpaceDE w:val="0"/>
        <w:autoSpaceDN w:val="0"/>
        <w:adjustRightInd w:val="0"/>
        <w:spacing w:after="0" w:line="240" w:lineRule="auto"/>
        <w:rPr>
          <w:rFonts w:cstheme="minorHAnsi"/>
          <w:bCs/>
        </w:rPr>
      </w:pPr>
      <w:r>
        <w:rPr>
          <w:rFonts w:cstheme="minorHAnsi"/>
          <w:bCs/>
        </w:rPr>
        <w:t>The one state-based Medicaid program was in the South region and included 3 health plans – 1 FFS and 2 managed care plans. The mean size of the plans was 74,299 beneficiaries.</w:t>
      </w:r>
    </w:p>
    <w:p w14:paraId="43B31F46" w14:textId="77777777" w:rsidR="005A7533" w:rsidRDefault="005A7533" w:rsidP="005A7533">
      <w:pPr>
        <w:autoSpaceDE w:val="0"/>
        <w:autoSpaceDN w:val="0"/>
        <w:adjustRightInd w:val="0"/>
        <w:spacing w:after="0" w:line="240" w:lineRule="auto"/>
        <w:rPr>
          <w:rFonts w:cstheme="minorHAnsi"/>
          <w:bCs/>
        </w:rPr>
      </w:pPr>
    </w:p>
    <w:p w14:paraId="0CABCFC8" w14:textId="77777777" w:rsidR="002B5016" w:rsidRPr="00A25024" w:rsidRDefault="002B5016" w:rsidP="00DB3627">
      <w:pPr>
        <w:autoSpaceDE w:val="0"/>
        <w:autoSpaceDN w:val="0"/>
        <w:adjustRightInd w:val="0"/>
        <w:spacing w:after="0" w:line="240" w:lineRule="auto"/>
        <w:rPr>
          <w:rFonts w:cstheme="minorHAnsi"/>
          <w:bCs/>
        </w:rPr>
      </w:pPr>
    </w:p>
    <w:p w14:paraId="3373F116" w14:textId="77777777" w:rsidR="005A7533"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2DD3551D" w14:textId="77777777" w:rsidR="005A7533" w:rsidRDefault="005A7533" w:rsidP="00DB3627">
      <w:pPr>
        <w:autoSpaceDE w:val="0"/>
        <w:autoSpaceDN w:val="0"/>
        <w:adjustRightInd w:val="0"/>
        <w:spacing w:after="0" w:line="240" w:lineRule="auto"/>
        <w:rPr>
          <w:rFonts w:cstheme="minorHAnsi"/>
          <w:bCs/>
        </w:rPr>
      </w:pPr>
    </w:p>
    <w:p w14:paraId="20DA0231" w14:textId="77777777" w:rsidR="005A7533" w:rsidRDefault="005A7533" w:rsidP="005A7533">
      <w:pPr>
        <w:autoSpaceDE w:val="0"/>
        <w:autoSpaceDN w:val="0"/>
        <w:adjustRightInd w:val="0"/>
        <w:spacing w:after="0" w:line="240" w:lineRule="auto"/>
      </w:pPr>
      <w:r>
        <w:rPr>
          <w:rFonts w:cstheme="minorHAnsi"/>
          <w:bCs/>
        </w:rPr>
        <w:t xml:space="preserve">For the Medicare testing, a total of 2,952,360 individuals aged 18 and older were included in the testing and analysis. </w:t>
      </w:r>
      <w:r w:rsidRPr="002F07DE">
        <w:rPr>
          <w:rFonts w:cstheme="minorHAnsi"/>
          <w:bCs/>
        </w:rPr>
        <w:t>Of all persons, 1</w:t>
      </w:r>
      <w:r>
        <w:rPr>
          <w:rFonts w:cstheme="minorHAnsi"/>
          <w:bCs/>
        </w:rPr>
        <w:t>,</w:t>
      </w:r>
      <w:r w:rsidRPr="002F07DE">
        <w:rPr>
          <w:rFonts w:cstheme="minorHAnsi"/>
          <w:bCs/>
        </w:rPr>
        <w:t>339</w:t>
      </w:r>
      <w:r>
        <w:rPr>
          <w:rFonts w:cstheme="minorHAnsi"/>
          <w:bCs/>
        </w:rPr>
        <w:t>,</w:t>
      </w:r>
      <w:r w:rsidRPr="002F07DE">
        <w:rPr>
          <w:rFonts w:cstheme="minorHAnsi"/>
          <w:bCs/>
        </w:rPr>
        <w:t>615 (</w:t>
      </w:r>
      <w:r>
        <w:rPr>
          <w:rFonts w:cstheme="minorHAnsi"/>
          <w:bCs/>
        </w:rPr>
        <w:t>45.4</w:t>
      </w:r>
      <w:r w:rsidRPr="002F07DE">
        <w:rPr>
          <w:rFonts w:cstheme="minorHAnsi"/>
          <w:bCs/>
        </w:rPr>
        <w:t xml:space="preserve">%) </w:t>
      </w:r>
      <w:r>
        <w:rPr>
          <w:rFonts w:cstheme="minorHAnsi"/>
          <w:bCs/>
        </w:rPr>
        <w:t>were</w:t>
      </w:r>
      <w:r w:rsidRPr="002F07DE">
        <w:rPr>
          <w:rFonts w:cstheme="minorHAnsi"/>
          <w:bCs/>
        </w:rPr>
        <w:t xml:space="preserve"> male, and 1,612,745 </w:t>
      </w:r>
      <w:r>
        <w:rPr>
          <w:rFonts w:cstheme="minorHAnsi"/>
          <w:bCs/>
        </w:rPr>
        <w:t>(54.6</w:t>
      </w:r>
      <w:r w:rsidRPr="002F07DE">
        <w:rPr>
          <w:rFonts w:cstheme="minorHAnsi"/>
          <w:bCs/>
        </w:rPr>
        <w:t xml:space="preserve">%) </w:t>
      </w:r>
      <w:r>
        <w:rPr>
          <w:rFonts w:cstheme="minorHAnsi"/>
          <w:bCs/>
        </w:rPr>
        <w:t>were</w:t>
      </w:r>
      <w:r w:rsidRPr="002F07DE">
        <w:rPr>
          <w:rFonts w:cstheme="minorHAnsi"/>
          <w:bCs/>
        </w:rPr>
        <w:t xml:space="preserve"> female. Individuals by age group included 176</w:t>
      </w:r>
      <w:r>
        <w:rPr>
          <w:rFonts w:cstheme="minorHAnsi"/>
          <w:bCs/>
        </w:rPr>
        <w:t>,</w:t>
      </w:r>
      <w:r w:rsidRPr="002F07DE">
        <w:rPr>
          <w:rFonts w:cstheme="minorHAnsi"/>
          <w:bCs/>
        </w:rPr>
        <w:t>663 (</w:t>
      </w:r>
      <w:r>
        <w:rPr>
          <w:rFonts w:cstheme="minorHAnsi"/>
          <w:bCs/>
        </w:rPr>
        <w:t>6.0</w:t>
      </w:r>
      <w:r w:rsidRPr="002F07DE">
        <w:rPr>
          <w:rFonts w:cstheme="minorHAnsi"/>
          <w:bCs/>
        </w:rPr>
        <w:t>%) age 18 – 50 years, 459</w:t>
      </w:r>
      <w:r>
        <w:rPr>
          <w:rFonts w:cstheme="minorHAnsi"/>
          <w:bCs/>
        </w:rPr>
        <w:t>,</w:t>
      </w:r>
      <w:r w:rsidRPr="002F07DE">
        <w:rPr>
          <w:rFonts w:cstheme="minorHAnsi"/>
          <w:bCs/>
        </w:rPr>
        <w:t xml:space="preserve">964 </w:t>
      </w:r>
      <w:r>
        <w:rPr>
          <w:rFonts w:cstheme="minorHAnsi"/>
          <w:bCs/>
        </w:rPr>
        <w:t>(15</w:t>
      </w:r>
      <w:r w:rsidRPr="002F07DE">
        <w:rPr>
          <w:rFonts w:cstheme="minorHAnsi"/>
          <w:bCs/>
        </w:rPr>
        <w:t>.6%) age 51 – 64 years, 2</w:t>
      </w:r>
      <w:r>
        <w:rPr>
          <w:rFonts w:cstheme="minorHAnsi"/>
          <w:bCs/>
        </w:rPr>
        <w:t>,</w:t>
      </w:r>
      <w:r w:rsidRPr="002F07DE">
        <w:rPr>
          <w:rFonts w:cstheme="minorHAnsi"/>
          <w:bCs/>
        </w:rPr>
        <w:t>017</w:t>
      </w:r>
      <w:r>
        <w:rPr>
          <w:rFonts w:cstheme="minorHAnsi"/>
          <w:bCs/>
        </w:rPr>
        <w:t>,</w:t>
      </w:r>
      <w:r w:rsidRPr="002F07DE">
        <w:rPr>
          <w:rFonts w:cstheme="minorHAnsi"/>
          <w:bCs/>
        </w:rPr>
        <w:t xml:space="preserve">849 </w:t>
      </w:r>
      <w:r>
        <w:rPr>
          <w:rFonts w:cstheme="minorHAnsi"/>
          <w:bCs/>
        </w:rPr>
        <w:t>(68.3</w:t>
      </w:r>
      <w:r w:rsidRPr="002F07DE">
        <w:rPr>
          <w:rFonts w:cstheme="minorHAnsi"/>
          <w:bCs/>
        </w:rPr>
        <w:t>%) age 65 – 84 years, and 297</w:t>
      </w:r>
      <w:r>
        <w:rPr>
          <w:rFonts w:cstheme="minorHAnsi"/>
          <w:bCs/>
        </w:rPr>
        <w:t>,</w:t>
      </w:r>
      <w:r w:rsidRPr="002F07DE">
        <w:rPr>
          <w:rFonts w:cstheme="minorHAnsi"/>
          <w:bCs/>
        </w:rPr>
        <w:t>884 (</w:t>
      </w:r>
      <w:r>
        <w:rPr>
          <w:rFonts w:cstheme="minorHAnsi"/>
          <w:bCs/>
        </w:rPr>
        <w:t>1</w:t>
      </w:r>
      <w:r w:rsidRPr="002F07DE">
        <w:rPr>
          <w:rFonts w:cstheme="minorHAnsi"/>
          <w:bCs/>
        </w:rPr>
        <w:t xml:space="preserve">0.1%) age 85 and older. </w:t>
      </w:r>
      <w:r>
        <w:rPr>
          <w:rFonts w:cstheme="minorHAnsi"/>
          <w:bCs/>
        </w:rPr>
        <w:t>After applying all inclusion and exclusion criteria, the final population for analysis was 296,238 (10.0%) of the initial population.  See Figure 1, for the selection criteria for the eligible population for Medicare.</w:t>
      </w:r>
      <w:r>
        <w:t xml:space="preserve"> </w:t>
      </w:r>
    </w:p>
    <w:p w14:paraId="6692CE7E" w14:textId="77777777" w:rsidR="005A7533" w:rsidRDefault="005A7533" w:rsidP="005A7533">
      <w:r>
        <w:br w:type="page"/>
      </w:r>
    </w:p>
    <w:p w14:paraId="2908968F" w14:textId="366EC869" w:rsidR="005A7533" w:rsidRDefault="00CE4865" w:rsidP="005A7533">
      <w:pPr>
        <w:ind w:left="90" w:firstLine="720"/>
        <w:rPr>
          <w:rFonts w:cstheme="minorHAnsi"/>
          <w:b/>
        </w:rPr>
      </w:pPr>
      <w:r>
        <w:rPr>
          <w:rFonts w:cstheme="minorHAnsi"/>
          <w:b/>
          <w:noProof/>
        </w:rPr>
        <mc:AlternateContent>
          <mc:Choice Requires="wpg">
            <w:drawing>
              <wp:anchor distT="0" distB="0" distL="114300" distR="114300" simplePos="0" relativeHeight="251673600" behindDoc="0" locked="0" layoutInCell="1" allowOverlap="1" wp14:anchorId="530B31C5" wp14:editId="14661F3D">
                <wp:simplePos x="0" y="0"/>
                <wp:positionH relativeFrom="column">
                  <wp:posOffset>361950</wp:posOffset>
                </wp:positionH>
                <wp:positionV relativeFrom="paragraph">
                  <wp:posOffset>238125</wp:posOffset>
                </wp:positionV>
                <wp:extent cx="5732145" cy="6025515"/>
                <wp:effectExtent l="0" t="0" r="20955" b="13335"/>
                <wp:wrapNone/>
                <wp:docPr id="32" name="Group 32"/>
                <wp:cNvGraphicFramePr/>
                <a:graphic xmlns:a="http://schemas.openxmlformats.org/drawingml/2006/main">
                  <a:graphicData uri="http://schemas.microsoft.com/office/word/2010/wordprocessingGroup">
                    <wpg:wgp>
                      <wpg:cNvGrpSpPr/>
                      <wpg:grpSpPr>
                        <a:xfrm>
                          <a:off x="0" y="0"/>
                          <a:ext cx="5732145" cy="6025515"/>
                          <a:chOff x="0" y="0"/>
                          <a:chExt cx="5732145" cy="6025515"/>
                        </a:xfrm>
                      </wpg:grpSpPr>
                      <wps:wsp>
                        <wps:cNvPr id="23" name="Rectangle 23"/>
                        <wps:cNvSpPr>
                          <a:spLocks noChangeArrowheads="1"/>
                        </wps:cNvSpPr>
                        <wps:spPr bwMode="auto">
                          <a:xfrm>
                            <a:off x="190500" y="0"/>
                            <a:ext cx="2872740" cy="845820"/>
                          </a:xfrm>
                          <a:prstGeom prst="rect">
                            <a:avLst/>
                          </a:prstGeom>
                          <a:solidFill>
                            <a:srgbClr val="FFFFFF"/>
                          </a:solidFill>
                          <a:ln w="9525">
                            <a:solidFill>
                              <a:srgbClr val="000000"/>
                            </a:solidFill>
                            <a:miter lim="800000"/>
                            <a:headEnd/>
                            <a:tailEnd/>
                          </a:ln>
                        </wps:spPr>
                        <wps:txbx>
                          <w:txbxContent>
                            <w:p w14:paraId="2616608E" w14:textId="77777777" w:rsidR="000744FC" w:rsidRDefault="000744FC" w:rsidP="005A7533">
                              <w:pPr>
                                <w:jc w:val="center"/>
                                <w:rPr>
                                  <w:rFonts w:cstheme="minorHAnsi"/>
                                </w:rPr>
                              </w:pPr>
                              <w:r>
                                <w:rPr>
                                  <w:rFonts w:cstheme="minorHAnsi"/>
                                  <w:lang w:val="en-CA"/>
                                </w:rPr>
                                <w:t>Total Population in Database for measurement year – CY 2015</w:t>
                              </w:r>
                              <w:r>
                                <w:rPr>
                                  <w:rFonts w:cstheme="minorHAnsi"/>
                                  <w:lang w:val="en-CA"/>
                                </w:rPr>
                                <w:br/>
                              </w:r>
                              <w:r>
                                <w:rPr>
                                  <w:rFonts w:cstheme="minorHAnsi"/>
                                  <w:b/>
                                  <w:lang w:val="en-CA"/>
                                </w:rPr>
                                <w:t>N = 2,952,489 (100.0%)</w:t>
                              </w:r>
                            </w:p>
                          </w:txbxContent>
                        </wps:txbx>
                        <wps:bodyPr rot="0" vert="horz" wrap="square" lIns="91440" tIns="91440" rIns="91440" bIns="91440" anchor="t" anchorCtr="0" upright="1">
                          <a:noAutofit/>
                        </wps:bodyPr>
                      </wps:wsp>
                      <wps:wsp>
                        <wps:cNvPr id="5" name="Straight Arrow Connector 5"/>
                        <wps:cNvCnPr>
                          <a:cxnSpLocks noChangeShapeType="1"/>
                        </wps:cNvCnPr>
                        <wps:spPr bwMode="auto">
                          <a:xfrm>
                            <a:off x="1609725" y="676275"/>
                            <a:ext cx="635" cy="46101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3" name="Straight Arrow Connector 3"/>
                        <wps:cNvCnPr>
                          <a:cxnSpLocks noChangeShapeType="1"/>
                        </wps:cNvCnPr>
                        <wps:spPr bwMode="auto">
                          <a:xfrm>
                            <a:off x="1609725" y="1704975"/>
                            <a:ext cx="635" cy="46101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 name="Rectangle 1"/>
                        <wps:cNvSpPr>
                          <a:spLocks noChangeArrowheads="1"/>
                        </wps:cNvSpPr>
                        <wps:spPr bwMode="auto">
                          <a:xfrm>
                            <a:off x="133350" y="1114425"/>
                            <a:ext cx="2964180" cy="762000"/>
                          </a:xfrm>
                          <a:prstGeom prst="rect">
                            <a:avLst/>
                          </a:prstGeom>
                          <a:solidFill>
                            <a:srgbClr val="FFFFFF"/>
                          </a:solidFill>
                          <a:ln w="9525">
                            <a:solidFill>
                              <a:srgbClr val="000000"/>
                            </a:solidFill>
                            <a:miter lim="800000"/>
                            <a:headEnd/>
                            <a:tailEnd/>
                          </a:ln>
                        </wps:spPr>
                        <wps:txbx>
                          <w:txbxContent>
                            <w:p w14:paraId="0FDB3250" w14:textId="77777777" w:rsidR="000744FC" w:rsidRDefault="000744FC" w:rsidP="005A7533">
                              <w:pPr>
                                <w:spacing w:after="0"/>
                                <w:ind w:left="360" w:hanging="360"/>
                                <w:jc w:val="center"/>
                                <w:rPr>
                                  <w:rFonts w:cstheme="minorHAnsi"/>
                                </w:rPr>
                              </w:pPr>
                              <w:r>
                                <w:rPr>
                                  <w:rFonts w:cstheme="minorHAnsi"/>
                                </w:rPr>
                                <w:t>18 years of age or older by the first day of the measurement year</w:t>
                              </w:r>
                            </w:p>
                            <w:p w14:paraId="6725E361" w14:textId="77777777"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 xml:space="preserve"> N = 2,952,360 (100.0%)</w:t>
                              </w:r>
                            </w:p>
                          </w:txbxContent>
                        </wps:txbx>
                        <wps:bodyPr rot="0" vert="horz" wrap="square" lIns="91440" tIns="91440" rIns="91440" bIns="91440" anchor="t" anchorCtr="0" upright="1">
                          <a:noAutofit/>
                        </wps:bodyPr>
                      </wps:wsp>
                      <wps:wsp>
                        <wps:cNvPr id="14" name="Rectangle 14"/>
                        <wps:cNvSpPr>
                          <a:spLocks noChangeArrowheads="1"/>
                        </wps:cNvSpPr>
                        <wps:spPr bwMode="auto">
                          <a:xfrm>
                            <a:off x="123825" y="2162175"/>
                            <a:ext cx="2987040" cy="754380"/>
                          </a:xfrm>
                          <a:prstGeom prst="rect">
                            <a:avLst/>
                          </a:prstGeom>
                          <a:solidFill>
                            <a:srgbClr val="FFFFFF"/>
                          </a:solidFill>
                          <a:ln w="9525">
                            <a:solidFill>
                              <a:srgbClr val="000000"/>
                            </a:solidFill>
                            <a:miter lim="800000"/>
                            <a:headEnd/>
                            <a:tailEnd/>
                          </a:ln>
                        </wps:spPr>
                        <wps:txbx>
                          <w:txbxContent>
                            <w:p w14:paraId="584FD453" w14:textId="77777777" w:rsidR="000744FC" w:rsidRDefault="000744FC" w:rsidP="005A7533">
                              <w:pPr>
                                <w:spacing w:after="0" w:line="240" w:lineRule="auto"/>
                                <w:ind w:left="360" w:hanging="360"/>
                                <w:jc w:val="center"/>
                                <w:rPr>
                                  <w:rFonts w:cstheme="minorHAnsi"/>
                                </w:rPr>
                              </w:pPr>
                              <w:r>
                                <w:rPr>
                                  <w:rFonts w:cstheme="minorHAnsi"/>
                                </w:rPr>
                                <w:t>Continuous enrollment</w:t>
                              </w:r>
                              <w:r>
                                <w:rPr>
                                  <w:rFonts w:cstheme="minorHAnsi"/>
                                  <w:vertAlign w:val="superscript"/>
                                </w:rPr>
                                <w:t xml:space="preserve"> </w:t>
                              </w:r>
                              <w:r>
                                <w:rPr>
                                  <w:rFonts w:cstheme="minorHAnsi"/>
                                </w:rPr>
                                <w:t>during the measurement year</w:t>
                              </w:r>
                            </w:p>
                            <w:p w14:paraId="0991483A" w14:textId="77777777"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 xml:space="preserve"> N = 1,898,720 (64.3%)</w:t>
                              </w:r>
                            </w:p>
                            <w:p w14:paraId="258C84E8" w14:textId="77777777" w:rsidR="000744FC" w:rsidRDefault="000744FC" w:rsidP="005A7533">
                              <w:pPr>
                                <w:ind w:left="360" w:hanging="360"/>
                                <w:rPr>
                                  <w:rFonts w:cs="Calibri"/>
                                </w:rPr>
                              </w:pPr>
                            </w:p>
                          </w:txbxContent>
                        </wps:txbx>
                        <wps:bodyPr rot="0" vert="horz" wrap="square" lIns="91440" tIns="91440" rIns="91440" bIns="91440" anchor="t" anchorCtr="0" upright="1">
                          <a:noAutofit/>
                        </wps:bodyPr>
                      </wps:wsp>
                      <wps:wsp>
                        <wps:cNvPr id="13" name="Straight Arrow Connector 13"/>
                        <wps:cNvCnPr>
                          <a:cxnSpLocks noChangeShapeType="1"/>
                        </wps:cNvCnPr>
                        <wps:spPr bwMode="auto">
                          <a:xfrm>
                            <a:off x="1600200" y="4924425"/>
                            <a:ext cx="635" cy="46101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8" name="Straight Arrow Connector 8"/>
                        <wps:cNvCnPr>
                          <a:cxnSpLocks noChangeShapeType="1"/>
                        </wps:cNvCnPr>
                        <wps:spPr bwMode="auto">
                          <a:xfrm>
                            <a:off x="1600200" y="4114800"/>
                            <a:ext cx="635" cy="46101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2" name="Rectangle 2"/>
                        <wps:cNvSpPr>
                          <a:spLocks noChangeArrowheads="1"/>
                        </wps:cNvSpPr>
                        <wps:spPr bwMode="auto">
                          <a:xfrm>
                            <a:off x="0" y="3209925"/>
                            <a:ext cx="3223260" cy="975360"/>
                          </a:xfrm>
                          <a:prstGeom prst="rect">
                            <a:avLst/>
                          </a:prstGeom>
                          <a:solidFill>
                            <a:srgbClr val="FFFFFF"/>
                          </a:solidFill>
                          <a:ln w="9525">
                            <a:solidFill>
                              <a:srgbClr val="000000"/>
                            </a:solidFill>
                            <a:miter lim="800000"/>
                            <a:headEnd/>
                            <a:tailEnd/>
                          </a:ln>
                        </wps:spPr>
                        <wps:txbx>
                          <w:txbxContent>
                            <w:p w14:paraId="3D5811F3" w14:textId="77777777" w:rsidR="000744FC" w:rsidRDefault="000744FC" w:rsidP="005A7533">
                              <w:pPr>
                                <w:spacing w:after="0"/>
                                <w:ind w:left="360" w:hanging="360"/>
                                <w:jc w:val="center"/>
                                <w:rPr>
                                  <w:rFonts w:cstheme="minorHAnsi"/>
                                </w:rPr>
                              </w:pPr>
                              <w:r>
                                <w:rPr>
                                  <w:rFonts w:cstheme="minorHAnsi"/>
                                </w:rPr>
                                <w:t>≥2 prescriptions for opioids with unique dates of service, for which the sum of the days’ supply is ≥15 during the measurement year</w:t>
                              </w:r>
                            </w:p>
                            <w:p w14:paraId="76B565A6" w14:textId="77777777"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 xml:space="preserve"> N = 380,036 (12.9%)</w:t>
                              </w:r>
                            </w:p>
                          </w:txbxContent>
                        </wps:txbx>
                        <wps:bodyPr rot="0" vert="horz" wrap="square" lIns="91440" tIns="91440" rIns="91440" bIns="91440" anchor="t" anchorCtr="0" upright="1">
                          <a:noAutofit/>
                        </wps:bodyPr>
                      </wps:wsp>
                      <wps:wsp>
                        <wps:cNvPr id="10" name="Rectangle 10"/>
                        <wps:cNvSpPr>
                          <a:spLocks noChangeArrowheads="1"/>
                        </wps:cNvSpPr>
                        <wps:spPr bwMode="auto">
                          <a:xfrm>
                            <a:off x="590550" y="4581525"/>
                            <a:ext cx="2026920" cy="346710"/>
                          </a:xfrm>
                          <a:prstGeom prst="rect">
                            <a:avLst/>
                          </a:prstGeom>
                          <a:solidFill>
                            <a:srgbClr val="FFFFFF"/>
                          </a:solidFill>
                          <a:ln w="9525">
                            <a:solidFill>
                              <a:srgbClr val="000000"/>
                            </a:solidFill>
                            <a:miter lim="800000"/>
                            <a:headEnd/>
                            <a:tailEnd/>
                          </a:ln>
                        </wps:spPr>
                        <wps:txbx>
                          <w:txbxContent>
                            <w:p w14:paraId="5DC2A089" w14:textId="77777777"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N = 373,901 (12.7%)</w:t>
                              </w:r>
                            </w:p>
                          </w:txbxContent>
                        </wps:txbx>
                        <wps:bodyPr rot="0" vert="horz" wrap="square" lIns="91440" tIns="91440" rIns="91440" bIns="91440" anchor="t" anchorCtr="0" upright="1">
                          <a:noAutofit/>
                        </wps:bodyPr>
                      </wps:wsp>
                      <wps:wsp>
                        <wps:cNvPr id="11" name="Rectangle 11"/>
                        <wps:cNvSpPr>
                          <a:spLocks noChangeArrowheads="1"/>
                        </wps:cNvSpPr>
                        <wps:spPr bwMode="auto">
                          <a:xfrm>
                            <a:off x="590550" y="5400675"/>
                            <a:ext cx="2026920" cy="624840"/>
                          </a:xfrm>
                          <a:prstGeom prst="rect">
                            <a:avLst/>
                          </a:prstGeom>
                          <a:solidFill>
                            <a:srgbClr val="FFFFFF"/>
                          </a:solidFill>
                          <a:ln w="9525">
                            <a:solidFill>
                              <a:srgbClr val="000000"/>
                            </a:solidFill>
                            <a:miter lim="800000"/>
                            <a:headEnd/>
                            <a:tailEnd/>
                          </a:ln>
                        </wps:spPr>
                        <wps:txbx>
                          <w:txbxContent>
                            <w:p w14:paraId="4B295A99" w14:textId="77777777" w:rsidR="000744FC" w:rsidRDefault="000744FC" w:rsidP="005A7533">
                              <w:pPr>
                                <w:spacing w:after="0" w:line="240" w:lineRule="auto"/>
                                <w:jc w:val="center"/>
                                <w:rPr>
                                  <w:rFonts w:ascii="Calibri" w:eastAsia="Times New Roman" w:hAnsi="Calibri" w:cs="Calibri"/>
                                  <w:b/>
                                  <w:color w:val="000000"/>
                                </w:rPr>
                              </w:pPr>
                              <w:r>
                                <w:rPr>
                                  <w:rFonts w:ascii="Calibri" w:eastAsia="Times New Roman" w:hAnsi="Calibri" w:cs="Calibri"/>
                                  <w:b/>
                                  <w:color w:val="000000"/>
                                </w:rPr>
                                <w:t>N = 296,238 (10.0%)</w:t>
                              </w:r>
                            </w:p>
                            <w:p w14:paraId="0C8581D1" w14:textId="77777777"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color w:val="002060"/>
                                  <w:sz w:val="22"/>
                                  <w:szCs w:val="22"/>
                                </w:rPr>
                                <w:t>This is the Eligible Population</w:t>
                              </w:r>
                            </w:p>
                          </w:txbxContent>
                        </wps:txbx>
                        <wps:bodyPr rot="0" vert="horz" wrap="square" lIns="91440" tIns="91440" rIns="91440" bIns="91440" anchor="t" anchorCtr="0" upright="1">
                          <a:noAutofit/>
                        </wps:bodyPr>
                      </wps:wsp>
                      <wps:wsp>
                        <wps:cNvPr id="20" name="Rectangle 20"/>
                        <wps:cNvSpPr>
                          <a:spLocks noChangeArrowheads="1"/>
                        </wps:cNvSpPr>
                        <wps:spPr bwMode="auto">
                          <a:xfrm>
                            <a:off x="3543300" y="3990975"/>
                            <a:ext cx="2179320" cy="693420"/>
                          </a:xfrm>
                          <a:prstGeom prst="rect">
                            <a:avLst/>
                          </a:prstGeom>
                          <a:solidFill>
                            <a:srgbClr val="FFFFFF"/>
                          </a:solidFill>
                          <a:ln w="9525">
                            <a:solidFill>
                              <a:srgbClr val="000000"/>
                            </a:solidFill>
                            <a:miter lim="800000"/>
                            <a:headEnd/>
                            <a:tailEnd/>
                          </a:ln>
                        </wps:spPr>
                        <wps:txbx>
                          <w:txbxContent>
                            <w:p w14:paraId="121A3A3C" w14:textId="77777777" w:rsidR="000744FC" w:rsidRDefault="000744FC" w:rsidP="005A7533">
                              <w:pPr>
                                <w:spacing w:after="0" w:line="240" w:lineRule="auto"/>
                                <w:ind w:left="360" w:hanging="360"/>
                                <w:jc w:val="center"/>
                                <w:rPr>
                                  <w:rFonts w:cstheme="minorHAnsi"/>
                                </w:rPr>
                              </w:pPr>
                              <w:r>
                                <w:rPr>
                                  <w:rFonts w:cstheme="minorHAnsi"/>
                                </w:rPr>
                                <w:t>Exclude individuals in hospice</w:t>
                              </w:r>
                              <w:r>
                                <w:rPr>
                                  <w:rFonts w:cstheme="minorHAnsi"/>
                                  <w:vertAlign w:val="superscript"/>
                                </w:rPr>
                                <w:t xml:space="preserve"> </w:t>
                              </w:r>
                              <w:r>
                                <w:rPr>
                                  <w:rFonts w:cstheme="minorHAnsi"/>
                                </w:rPr>
                                <w:t>during the measurement year</w:t>
                              </w:r>
                            </w:p>
                            <w:p w14:paraId="1338D209" w14:textId="77777777"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N = 6,135 (0.2%)</w:t>
                              </w:r>
                            </w:p>
                            <w:p w14:paraId="05DE6CA1" w14:textId="77777777" w:rsidR="000744FC" w:rsidRDefault="000744FC" w:rsidP="005A7533">
                              <w:pPr>
                                <w:pStyle w:val="Default"/>
                                <w:jc w:val="center"/>
                                <w:rPr>
                                  <w:rFonts w:ascii="Arial" w:hAnsi="Arial" w:cs="Arial"/>
                                  <w:sz w:val="20"/>
                                  <w:szCs w:val="20"/>
                                </w:rPr>
                              </w:pPr>
                            </w:p>
                            <w:p w14:paraId="40FA094C" w14:textId="77777777" w:rsidR="000744FC" w:rsidRDefault="000744FC" w:rsidP="005A7533">
                              <w:pPr>
                                <w:ind w:left="360" w:hanging="360"/>
                                <w:rPr>
                                  <w:rFonts w:cs="Calibri"/>
                                </w:rPr>
                              </w:pPr>
                            </w:p>
                          </w:txbxContent>
                        </wps:txbx>
                        <wps:bodyPr rot="0" vert="horz" wrap="square" lIns="91440" tIns="91440" rIns="91440" bIns="91440" anchor="t" anchorCtr="0" upright="1">
                          <a:noAutofit/>
                        </wps:bodyPr>
                      </wps:wsp>
                      <wps:wsp>
                        <wps:cNvPr id="21" name="Rectangle 21"/>
                        <wps:cNvSpPr>
                          <a:spLocks noChangeArrowheads="1"/>
                        </wps:cNvSpPr>
                        <wps:spPr bwMode="auto">
                          <a:xfrm>
                            <a:off x="3552825" y="4772025"/>
                            <a:ext cx="2179320" cy="883920"/>
                          </a:xfrm>
                          <a:prstGeom prst="rect">
                            <a:avLst/>
                          </a:prstGeom>
                          <a:solidFill>
                            <a:srgbClr val="FFFFFF"/>
                          </a:solidFill>
                          <a:ln w="9525">
                            <a:solidFill>
                              <a:srgbClr val="000000"/>
                            </a:solidFill>
                            <a:miter lim="800000"/>
                            <a:headEnd/>
                            <a:tailEnd/>
                          </a:ln>
                        </wps:spPr>
                        <wps:txbx>
                          <w:txbxContent>
                            <w:p w14:paraId="1D5CD883" w14:textId="77777777" w:rsidR="000744FC" w:rsidRDefault="000744FC" w:rsidP="005A7533">
                              <w:pPr>
                                <w:spacing w:after="0" w:line="240" w:lineRule="auto"/>
                                <w:ind w:left="360" w:hanging="360"/>
                                <w:jc w:val="center"/>
                                <w:rPr>
                                  <w:rFonts w:cstheme="minorHAnsi"/>
                                </w:rPr>
                              </w:pPr>
                              <w:r>
                                <w:rPr>
                                  <w:rFonts w:cstheme="minorHAnsi"/>
                                </w:rPr>
                                <w:t>Exclude individuals with a cancer diagnosis during the measurement year</w:t>
                              </w:r>
                            </w:p>
                            <w:p w14:paraId="0DEADE01" w14:textId="77777777" w:rsidR="000744FC" w:rsidRDefault="000744FC" w:rsidP="005A7533">
                              <w:pPr>
                                <w:jc w:val="center"/>
                                <w:rPr>
                                  <w:rFonts w:ascii="Calibri" w:eastAsia="Times New Roman" w:hAnsi="Calibri" w:cs="Calibri"/>
                                  <w:b/>
                                  <w:color w:val="000000"/>
                                </w:rPr>
                              </w:pPr>
                              <w:r>
                                <w:rPr>
                                  <w:rFonts w:cstheme="minorHAnsi"/>
                                  <w:b/>
                                </w:rPr>
                                <w:t xml:space="preserve"> N = </w:t>
                              </w:r>
                              <w:r>
                                <w:rPr>
                                  <w:rFonts w:ascii="Calibri" w:eastAsia="Times New Roman" w:hAnsi="Calibri" w:cs="Calibri"/>
                                  <w:b/>
                                  <w:color w:val="000000"/>
                                </w:rPr>
                                <w:t>77,663 (2.6%)</w:t>
                              </w:r>
                            </w:p>
                            <w:p w14:paraId="065379A0" w14:textId="77777777" w:rsidR="000744FC" w:rsidRDefault="000744FC" w:rsidP="005A7533">
                              <w:pPr>
                                <w:pStyle w:val="Default"/>
                                <w:jc w:val="center"/>
                                <w:rPr>
                                  <w:rFonts w:asciiTheme="minorHAnsi" w:hAnsiTheme="minorHAnsi" w:cstheme="minorHAnsi"/>
                                  <w:sz w:val="22"/>
                                  <w:szCs w:val="22"/>
                                </w:rPr>
                              </w:pPr>
                              <w:r>
                                <w:rPr>
                                  <w:rFonts w:asciiTheme="minorHAnsi" w:hAnsiTheme="minorHAnsi" w:cstheme="minorHAnsi"/>
                                  <w:sz w:val="22"/>
                                  <w:szCs w:val="22"/>
                                </w:rPr>
                                <w:t>)</w:t>
                              </w:r>
                            </w:p>
                            <w:p w14:paraId="4B6D9783" w14:textId="77777777" w:rsidR="000744FC" w:rsidRDefault="000744FC" w:rsidP="005A7533">
                              <w:pPr>
                                <w:pStyle w:val="Default"/>
                                <w:jc w:val="center"/>
                                <w:rPr>
                                  <w:rFonts w:ascii="Arial" w:hAnsi="Arial" w:cs="Arial"/>
                                  <w:sz w:val="20"/>
                                  <w:szCs w:val="20"/>
                                </w:rPr>
                              </w:pPr>
                            </w:p>
                            <w:p w14:paraId="465A52C2" w14:textId="77777777" w:rsidR="000744FC" w:rsidRDefault="000744FC" w:rsidP="005A7533">
                              <w:pPr>
                                <w:ind w:left="360" w:hanging="360"/>
                                <w:rPr>
                                  <w:rFonts w:cs="Calibri"/>
                                </w:rPr>
                              </w:pPr>
                            </w:p>
                          </w:txbxContent>
                        </wps:txbx>
                        <wps:bodyPr rot="0" vert="horz" wrap="square" lIns="91440" tIns="91440" rIns="91440" bIns="91440" anchor="t" anchorCtr="0" upright="1">
                          <a:noAutofit/>
                        </wps:bodyPr>
                      </wps:wsp>
                      <wps:wsp>
                        <wps:cNvPr id="7" name="Straight Arrow Connector 7"/>
                        <wps:cNvCnPr/>
                        <wps:spPr>
                          <a:xfrm>
                            <a:off x="1619250" y="4352925"/>
                            <a:ext cx="1851660"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9" name="Straight Arrow Connector 9"/>
                        <wps:cNvCnPr/>
                        <wps:spPr>
                          <a:xfrm>
                            <a:off x="1619250" y="5105400"/>
                            <a:ext cx="1851660"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4" name="Straight Arrow Connector 4"/>
                        <wps:cNvCnPr>
                          <a:cxnSpLocks noChangeShapeType="1"/>
                        </wps:cNvCnPr>
                        <wps:spPr bwMode="auto">
                          <a:xfrm>
                            <a:off x="1609725" y="2752725"/>
                            <a:ext cx="635" cy="46101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wgp>
                  </a:graphicData>
                </a:graphic>
              </wp:anchor>
            </w:drawing>
          </mc:Choice>
          <mc:Fallback>
            <w:pict>
              <v:group w14:anchorId="530B31C5" id="Group 32" o:spid="_x0000_s1026" style="position:absolute;left:0;text-align:left;margin-left:28.5pt;margin-top:18.75pt;width:451.35pt;height:474.45pt;z-index:251673600" coordsize="57321,60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">
                <v:rect id="Rectangle 23" o:spid="_x0000_s1027" style="position:absolute;left:1905;width:28727;height:8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">
                  <v:textbox inset=",7.2pt,,7.2pt">
                    <w:txbxContent>
                      <w:p w14:paraId="2616608E" w14:textId="77777777" w:rsidR="000744FC" w:rsidRDefault="000744FC" w:rsidP="005A7533">
                        <w:pPr>
                          <w:jc w:val="center"/>
                          <w:rPr>
                            <w:rFonts w:cstheme="minorHAnsi"/>
                          </w:rPr>
                        </w:pPr>
                        <w:r>
                          <w:rPr>
                            <w:rFonts w:cstheme="minorHAnsi"/>
                            <w:lang w:val="en-CA"/>
                          </w:rPr>
                          <w:t>Total Population in Database for measurement year – CY 2015</w:t>
                        </w:r>
                        <w:r>
                          <w:rPr>
                            <w:rFonts w:cstheme="minorHAnsi"/>
                            <w:lang w:val="en-CA"/>
                          </w:rPr>
                          <w:br/>
                        </w:r>
                        <w:r>
                          <w:rPr>
                            <w:rFonts w:cstheme="minorHAnsi"/>
                            <w:b/>
                            <w:lang w:val="en-CA"/>
                          </w:rPr>
                          <w:t>N = 2,952,489 (100.0%)</w:t>
                        </w:r>
                      </w:p>
                    </w:txbxContent>
                  </v:textbox>
                </v:rect>
                <v:shapetype id="_x0000_t32" coordsize="21600,21600" o:spt="32" o:oned="t" path="m,l21600,21600e" filled="f">
                  <v:path arrowok="t" fillok="f" o:connecttype="none"/>
                  <o:lock v:ext="edit" shapetype="t"/>
                </v:shapetype>
                <v:shape id="Straight Arrow Connector 5" o:spid="_x0000_s1028" type="#_x0000_t32" style="position:absolute;left:16097;top:6762;width:6;height:46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">
                  <v:stroke endarrow="block"/>
                  <v:shadow color="#ccc"/>
                </v:shape>
                <v:shape id="Straight Arrow Connector 3" o:spid="_x0000_s1029" type="#_x0000_t32" style="position:absolute;left:16097;top:17049;width:6;height:46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">
                  <v:stroke endarrow="block"/>
                  <v:shadow color="#ccc"/>
                </v:shape>
                <v:rect id="Rectangle 1" o:spid="_x0000_s1030" style="position:absolute;left:1333;top:11144;width:29642;height:7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">
                  <v:textbox inset=",7.2pt,,7.2pt">
                    <w:txbxContent>
                      <w:p w14:paraId="0FDB3250" w14:textId="77777777" w:rsidR="000744FC" w:rsidRDefault="000744FC" w:rsidP="005A7533">
                        <w:pPr>
                          <w:spacing w:after="0"/>
                          <w:ind w:left="360" w:hanging="360"/>
                          <w:jc w:val="center"/>
                          <w:rPr>
                            <w:rFonts w:cstheme="minorHAnsi"/>
                          </w:rPr>
                        </w:pPr>
                        <w:r>
                          <w:rPr>
                            <w:rFonts w:cstheme="minorHAnsi"/>
                          </w:rPr>
                          <w:t>18 years of age or older by the first day of the measurement year</w:t>
                        </w:r>
                      </w:p>
                      <w:p w14:paraId="6725E361" w14:textId="77777777"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 xml:space="preserve"> N = 2,952,360 (100.0%)</w:t>
                        </w:r>
                      </w:p>
                    </w:txbxContent>
                  </v:textbox>
                </v:rect>
                <v:rect id="Rectangle 14" o:spid="_x0000_s1031" style="position:absolute;left:1238;top:21621;width:29870;height:7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">
                  <v:textbox inset=",7.2pt,,7.2pt">
                    <w:txbxContent>
                      <w:p w14:paraId="584FD453" w14:textId="77777777" w:rsidR="000744FC" w:rsidRDefault="000744FC" w:rsidP="005A7533">
                        <w:pPr>
                          <w:spacing w:after="0" w:line="240" w:lineRule="auto"/>
                          <w:ind w:left="360" w:hanging="360"/>
                          <w:jc w:val="center"/>
                          <w:rPr>
                            <w:rFonts w:cstheme="minorHAnsi"/>
                          </w:rPr>
                        </w:pPr>
                        <w:r>
                          <w:rPr>
                            <w:rFonts w:cstheme="minorHAnsi"/>
                          </w:rPr>
                          <w:t>Continuous enrollment</w:t>
                        </w:r>
                        <w:r>
                          <w:rPr>
                            <w:rFonts w:cstheme="minorHAnsi"/>
                            <w:vertAlign w:val="superscript"/>
                          </w:rPr>
                          <w:t xml:space="preserve"> </w:t>
                        </w:r>
                        <w:r>
                          <w:rPr>
                            <w:rFonts w:cstheme="minorHAnsi"/>
                          </w:rPr>
                          <w:t>during the measurement year</w:t>
                        </w:r>
                      </w:p>
                      <w:p w14:paraId="0991483A" w14:textId="77777777"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 xml:space="preserve"> N = 1,898,720 (64.3%)</w:t>
                        </w:r>
                      </w:p>
                      <w:p w14:paraId="258C84E8" w14:textId="77777777" w:rsidR="000744FC" w:rsidRDefault="000744FC" w:rsidP="005A7533">
                        <w:pPr>
                          <w:ind w:left="360" w:hanging="360"/>
                          <w:rPr>
                            <w:rFonts w:cs="Calibri"/>
                          </w:rPr>
                        </w:pPr>
                      </w:p>
                    </w:txbxContent>
                  </v:textbox>
                </v:rect>
                <v:shape id="Straight Arrow Connector 13" o:spid="_x0000_s1032" type="#_x0000_t32" style="position:absolute;left:16002;top:49244;width:6;height:46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">
                  <v:stroke endarrow="block"/>
                  <v:shadow color="#ccc"/>
                </v:shape>
                <v:shape id="Straight Arrow Connector 8" o:spid="_x0000_s1033" type="#_x0000_t32" style="position:absolute;left:16002;top:41148;width:6;height:46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">
                  <v:stroke endarrow="block"/>
                  <v:shadow color="#ccc"/>
                </v:shape>
                <v:rect id="Rectangle 2" o:spid="_x0000_s1034" style="position:absolute;top:32099;width:32232;height:9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">
                  <v:textbox inset=",7.2pt,,7.2pt">
                    <w:txbxContent>
                      <w:p w14:paraId="3D5811F3" w14:textId="77777777" w:rsidR="000744FC" w:rsidRDefault="000744FC" w:rsidP="005A7533">
                        <w:pPr>
                          <w:spacing w:after="0"/>
                          <w:ind w:left="360" w:hanging="360"/>
                          <w:jc w:val="center"/>
                          <w:rPr>
                            <w:rFonts w:cstheme="minorHAnsi"/>
                          </w:rPr>
                        </w:pPr>
                        <w:r>
                          <w:rPr>
                            <w:rFonts w:cstheme="minorHAnsi"/>
                          </w:rPr>
                          <w:t>≥2 prescriptions for opioids with unique dates of service, for which the sum of the days’ supply is ≥15 during the measurement year</w:t>
                        </w:r>
                      </w:p>
                      <w:p w14:paraId="76B565A6" w14:textId="77777777"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 xml:space="preserve"> N = 380,036 (12.9%)</w:t>
                        </w:r>
                      </w:p>
                    </w:txbxContent>
                  </v:textbox>
                </v:rect>
                <v:rect id="Rectangle 10" o:spid="_x0000_s1035" style="position:absolute;left:5905;top:45815;width:20269;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">
                  <v:textbox inset=",7.2pt,,7.2pt">
                    <w:txbxContent>
                      <w:p w14:paraId="5DC2A089" w14:textId="77777777"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N = 373,901 (12.7%)</w:t>
                        </w:r>
                      </w:p>
                    </w:txbxContent>
                  </v:textbox>
                </v:rect>
                <v:rect id="Rectangle 11" o:spid="_x0000_s1036" style="position:absolute;left:5905;top:54006;width:20269;height:6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">
                  <v:textbox inset=",7.2pt,,7.2pt">
                    <w:txbxContent>
                      <w:p w14:paraId="4B295A99" w14:textId="77777777" w:rsidR="000744FC" w:rsidRDefault="000744FC" w:rsidP="005A7533">
                        <w:pPr>
                          <w:spacing w:after="0" w:line="240" w:lineRule="auto"/>
                          <w:jc w:val="center"/>
                          <w:rPr>
                            <w:rFonts w:ascii="Calibri" w:eastAsia="Times New Roman" w:hAnsi="Calibri" w:cs="Calibri"/>
                            <w:b/>
                            <w:color w:val="000000"/>
                          </w:rPr>
                        </w:pPr>
                        <w:r>
                          <w:rPr>
                            <w:rFonts w:ascii="Calibri" w:eastAsia="Times New Roman" w:hAnsi="Calibri" w:cs="Calibri"/>
                            <w:b/>
                            <w:color w:val="000000"/>
                          </w:rPr>
                          <w:t>N = 296,238 (10.0%)</w:t>
                        </w:r>
                      </w:p>
                      <w:p w14:paraId="0C8581D1" w14:textId="77777777"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color w:val="002060"/>
                            <w:sz w:val="22"/>
                            <w:szCs w:val="22"/>
                          </w:rPr>
                          <w:t>This is the Eligible Population</w:t>
                        </w:r>
                      </w:p>
                    </w:txbxContent>
                  </v:textbox>
                </v:rect>
                <v:rect id="Rectangle 20" o:spid="_x0000_s1037" style="position:absolute;left:35433;top:39909;width:21793;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">
                  <v:textbox inset=",7.2pt,,7.2pt">
                    <w:txbxContent>
                      <w:p w14:paraId="121A3A3C" w14:textId="77777777" w:rsidR="000744FC" w:rsidRDefault="000744FC" w:rsidP="005A7533">
                        <w:pPr>
                          <w:spacing w:after="0" w:line="240" w:lineRule="auto"/>
                          <w:ind w:left="360" w:hanging="360"/>
                          <w:jc w:val="center"/>
                          <w:rPr>
                            <w:rFonts w:cstheme="minorHAnsi"/>
                          </w:rPr>
                        </w:pPr>
                        <w:r>
                          <w:rPr>
                            <w:rFonts w:cstheme="minorHAnsi"/>
                          </w:rPr>
                          <w:t>Exclude individuals in hospice</w:t>
                        </w:r>
                        <w:r>
                          <w:rPr>
                            <w:rFonts w:cstheme="minorHAnsi"/>
                            <w:vertAlign w:val="superscript"/>
                          </w:rPr>
                          <w:t xml:space="preserve"> </w:t>
                        </w:r>
                        <w:r>
                          <w:rPr>
                            <w:rFonts w:cstheme="minorHAnsi"/>
                          </w:rPr>
                          <w:t>during the measurement year</w:t>
                        </w:r>
                      </w:p>
                      <w:p w14:paraId="1338D209" w14:textId="77777777"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N = 6,135 (0.2%)</w:t>
                        </w:r>
                      </w:p>
                      <w:p w14:paraId="05DE6CA1" w14:textId="77777777" w:rsidR="000744FC" w:rsidRDefault="000744FC" w:rsidP="005A7533">
                        <w:pPr>
                          <w:pStyle w:val="Default"/>
                          <w:jc w:val="center"/>
                          <w:rPr>
                            <w:rFonts w:ascii="Arial" w:hAnsi="Arial" w:cs="Arial"/>
                            <w:sz w:val="20"/>
                            <w:szCs w:val="20"/>
                          </w:rPr>
                        </w:pPr>
                      </w:p>
                      <w:p w14:paraId="40FA094C" w14:textId="77777777" w:rsidR="000744FC" w:rsidRDefault="000744FC" w:rsidP="005A7533">
                        <w:pPr>
                          <w:ind w:left="360" w:hanging="360"/>
                          <w:rPr>
                            <w:rFonts w:cs="Calibri"/>
                          </w:rPr>
                        </w:pPr>
                      </w:p>
                    </w:txbxContent>
                  </v:textbox>
                </v:rect>
                <v:rect id="Rectangle 21" o:spid="_x0000_s1038" style="position:absolute;left:35528;top:47720;width:21793;height:8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">
                  <v:textbox inset=",7.2pt,,7.2pt">
                    <w:txbxContent>
                      <w:p w14:paraId="1D5CD883" w14:textId="77777777" w:rsidR="000744FC" w:rsidRDefault="000744FC" w:rsidP="005A7533">
                        <w:pPr>
                          <w:spacing w:after="0" w:line="240" w:lineRule="auto"/>
                          <w:ind w:left="360" w:hanging="360"/>
                          <w:jc w:val="center"/>
                          <w:rPr>
                            <w:rFonts w:cstheme="minorHAnsi"/>
                          </w:rPr>
                        </w:pPr>
                        <w:r>
                          <w:rPr>
                            <w:rFonts w:cstheme="minorHAnsi"/>
                          </w:rPr>
                          <w:t>Exclude individuals with a cancer diagnosis during the measurement year</w:t>
                        </w:r>
                      </w:p>
                      <w:p w14:paraId="0DEADE01" w14:textId="77777777" w:rsidR="000744FC" w:rsidRDefault="000744FC" w:rsidP="005A7533">
                        <w:pPr>
                          <w:jc w:val="center"/>
                          <w:rPr>
                            <w:rFonts w:ascii="Calibri" w:eastAsia="Times New Roman" w:hAnsi="Calibri" w:cs="Calibri"/>
                            <w:b/>
                            <w:color w:val="000000"/>
                          </w:rPr>
                        </w:pPr>
                        <w:r>
                          <w:rPr>
                            <w:rFonts w:cstheme="minorHAnsi"/>
                            <w:b/>
                          </w:rPr>
                          <w:t xml:space="preserve"> N = </w:t>
                        </w:r>
                        <w:r>
                          <w:rPr>
                            <w:rFonts w:ascii="Calibri" w:eastAsia="Times New Roman" w:hAnsi="Calibri" w:cs="Calibri"/>
                            <w:b/>
                            <w:color w:val="000000"/>
                          </w:rPr>
                          <w:t>77,663 (2.6%)</w:t>
                        </w:r>
                      </w:p>
                      <w:p w14:paraId="065379A0" w14:textId="77777777" w:rsidR="000744FC" w:rsidRDefault="000744FC" w:rsidP="005A7533">
                        <w:pPr>
                          <w:pStyle w:val="Default"/>
                          <w:jc w:val="center"/>
                          <w:rPr>
                            <w:rFonts w:asciiTheme="minorHAnsi" w:hAnsiTheme="minorHAnsi" w:cstheme="minorHAnsi"/>
                            <w:sz w:val="22"/>
                            <w:szCs w:val="22"/>
                          </w:rPr>
                        </w:pPr>
                        <w:r>
                          <w:rPr>
                            <w:rFonts w:asciiTheme="minorHAnsi" w:hAnsiTheme="minorHAnsi" w:cstheme="minorHAnsi"/>
                            <w:sz w:val="22"/>
                            <w:szCs w:val="22"/>
                          </w:rPr>
                          <w:t>)</w:t>
                        </w:r>
                      </w:p>
                      <w:p w14:paraId="4B6D9783" w14:textId="77777777" w:rsidR="000744FC" w:rsidRDefault="000744FC" w:rsidP="005A7533">
                        <w:pPr>
                          <w:pStyle w:val="Default"/>
                          <w:jc w:val="center"/>
                          <w:rPr>
                            <w:rFonts w:ascii="Arial" w:hAnsi="Arial" w:cs="Arial"/>
                            <w:sz w:val="20"/>
                            <w:szCs w:val="20"/>
                          </w:rPr>
                        </w:pPr>
                      </w:p>
                      <w:p w14:paraId="465A52C2" w14:textId="77777777" w:rsidR="000744FC" w:rsidRDefault="000744FC" w:rsidP="005A7533">
                        <w:pPr>
                          <w:ind w:left="360" w:hanging="360"/>
                          <w:rPr>
                            <w:rFonts w:cs="Calibri"/>
                          </w:rPr>
                        </w:pPr>
                      </w:p>
                    </w:txbxContent>
                  </v:textbox>
                </v:rect>
                <v:shape id="Straight Arrow Connector 7" o:spid="_x0000_s1039" type="#_x0000_t32" style="position:absolute;left:16192;top:43529;width:18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" strokecolor="black [3200]" strokeweight="2pt">
                  <v:stroke endarrow="block"/>
                  <v:shadow on="t" color="black" opacity="24903f" origin=",.5" offset="0,.55556mm"/>
                </v:shape>
                <v:shape id="Straight Arrow Connector 9" o:spid="_x0000_s1040" type="#_x0000_t32" style="position:absolute;left:16192;top:51054;width:18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" strokecolor="black [3200]" strokeweight="2pt">
                  <v:stroke endarrow="block"/>
                  <v:shadow on="t" color="black" opacity="24903f" origin=",.5" offset="0,.55556mm"/>
                </v:shape>
                <v:shape id="Straight Arrow Connector 4" o:spid="_x0000_s1041" type="#_x0000_t32" style="position:absolute;left:16097;top:27527;width:6;height:46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">
                  <v:stroke endarrow="block"/>
                  <v:shadow color="#ccc"/>
                </v:shape>
              </v:group>
            </w:pict>
          </mc:Fallback>
        </mc:AlternateContent>
      </w:r>
      <w:r w:rsidR="005A7533">
        <w:rPr>
          <w:rFonts w:cstheme="minorHAnsi"/>
          <w:b/>
        </w:rPr>
        <w:t xml:space="preserve">Figure 1.  Selection Criteria for Eligible Population for the </w:t>
      </w:r>
      <w:r w:rsidR="005A7533">
        <w:rPr>
          <w:rFonts w:cstheme="minorHAnsi"/>
          <w:b/>
          <w:bCs/>
        </w:rPr>
        <w:t>2015 Medicare Sample</w:t>
      </w:r>
    </w:p>
    <w:p w14:paraId="4984BD2C" w14:textId="77777777" w:rsidR="005A7533" w:rsidRDefault="005A7533" w:rsidP="005A7533">
      <w:pPr>
        <w:ind w:left="720" w:firstLine="720"/>
        <w:rPr>
          <w:rFonts w:cstheme="minorHAnsi"/>
        </w:rPr>
      </w:pPr>
    </w:p>
    <w:p w14:paraId="045A16EE" w14:textId="165E8CA9" w:rsidR="005A7533" w:rsidRDefault="005A7533" w:rsidP="005A7533">
      <w:pPr>
        <w:rPr>
          <w:rFonts w:cstheme="minorHAnsi"/>
        </w:rPr>
      </w:pPr>
      <w:r>
        <w:rPr>
          <w:noProof/>
        </w:rPr>
        <mc:AlternateContent>
          <mc:Choice Requires="wps">
            <w:drawing>
              <wp:anchor distT="36576" distB="36576" distL="36576" distR="36576" simplePos="0" relativeHeight="251660288" behindDoc="0" locked="0" layoutInCell="1" allowOverlap="1" wp14:anchorId="763C29E3" wp14:editId="2CC92F05">
                <wp:simplePos x="0" y="0"/>
                <wp:positionH relativeFrom="column">
                  <wp:posOffset>3261360</wp:posOffset>
                </wp:positionH>
                <wp:positionV relativeFrom="paragraph">
                  <wp:posOffset>1842135</wp:posOffset>
                </wp:positionV>
                <wp:extent cx="635" cy="461010"/>
                <wp:effectExtent l="76200" t="0" r="75565" b="53340"/>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6101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97D6ED9" id="Straight Arrow Connector 41" o:spid="_x0000_s1026" type="#_x0000_t32" style="position:absolute;margin-left:256.8pt;margin-top:145.05pt;width:.05pt;height:36.3pt;z-index:2516602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">
                <v:stroke endarrow="block"/>
                <v:shadow color="#ccc"/>
              </v:shape>
            </w:pict>
          </mc:Fallback>
        </mc:AlternateContent>
      </w:r>
    </w:p>
    <w:p w14:paraId="0F2E690D" w14:textId="77777777" w:rsidR="005A7533" w:rsidRDefault="005A7533" w:rsidP="005A7533">
      <w:pPr>
        <w:rPr>
          <w:rFonts w:cstheme="minorHAnsi"/>
        </w:rPr>
      </w:pPr>
    </w:p>
    <w:p w14:paraId="0280E13B" w14:textId="41B68380" w:rsidR="005A7533" w:rsidRDefault="005A7533" w:rsidP="005A7533">
      <w:pPr>
        <w:rPr>
          <w:rFonts w:cstheme="minorHAnsi"/>
        </w:rPr>
      </w:pPr>
    </w:p>
    <w:p w14:paraId="254D4F2E"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21E35AC7" w14:textId="09827858" w:rsidR="005A7533" w:rsidRDefault="005A7533" w:rsidP="005A7533">
      <w:pPr>
        <w:autoSpaceDE w:val="0"/>
        <w:autoSpaceDN w:val="0"/>
        <w:adjustRightInd w:val="0"/>
        <w:spacing w:after="0" w:line="240" w:lineRule="auto"/>
        <w:rPr>
          <w:rFonts w:ascii="Segoe UI Semilight" w:hAnsi="Segoe UI Semilight" w:cs="Segoe UI Semilight"/>
        </w:rPr>
      </w:pPr>
    </w:p>
    <w:p w14:paraId="2A1E3E37"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6545871D"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375D5A26" w14:textId="6B6297AF" w:rsidR="005A7533" w:rsidRDefault="005A7533" w:rsidP="005A7533">
      <w:pPr>
        <w:autoSpaceDE w:val="0"/>
        <w:autoSpaceDN w:val="0"/>
        <w:adjustRightInd w:val="0"/>
        <w:spacing w:after="0" w:line="240" w:lineRule="auto"/>
        <w:rPr>
          <w:rFonts w:ascii="Segoe UI Semilight" w:hAnsi="Segoe UI Semilight" w:cs="Segoe UI Semilight"/>
        </w:rPr>
      </w:pPr>
    </w:p>
    <w:p w14:paraId="13582BE4"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38987344"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4B8ABC56" w14:textId="25208786" w:rsidR="005A7533" w:rsidRDefault="005A7533" w:rsidP="005A7533">
      <w:pPr>
        <w:autoSpaceDE w:val="0"/>
        <w:autoSpaceDN w:val="0"/>
        <w:adjustRightInd w:val="0"/>
        <w:spacing w:after="0" w:line="240" w:lineRule="auto"/>
        <w:rPr>
          <w:rFonts w:ascii="Segoe UI Semilight" w:hAnsi="Segoe UI Semilight" w:cs="Segoe UI Semilight"/>
        </w:rPr>
      </w:pPr>
    </w:p>
    <w:p w14:paraId="246817C5"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4864A2F4" w14:textId="195A229D" w:rsidR="005A7533" w:rsidRDefault="005A7533" w:rsidP="005A7533">
      <w:pPr>
        <w:autoSpaceDE w:val="0"/>
        <w:autoSpaceDN w:val="0"/>
        <w:adjustRightInd w:val="0"/>
        <w:spacing w:after="0" w:line="240" w:lineRule="auto"/>
        <w:rPr>
          <w:rFonts w:ascii="Segoe UI Semilight" w:hAnsi="Segoe UI Semilight" w:cs="Segoe UI Semilight"/>
        </w:rPr>
      </w:pPr>
    </w:p>
    <w:p w14:paraId="57CC41EE"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520A38C0"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6D30102A"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67E9031B"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712919B8" w14:textId="69014BF0" w:rsidR="005A7533" w:rsidRDefault="005A7533" w:rsidP="005A7533">
      <w:pPr>
        <w:autoSpaceDE w:val="0"/>
        <w:autoSpaceDN w:val="0"/>
        <w:adjustRightInd w:val="0"/>
        <w:spacing w:after="0" w:line="240" w:lineRule="auto"/>
        <w:rPr>
          <w:rFonts w:ascii="Segoe UI Semilight" w:hAnsi="Segoe UI Semilight" w:cs="Segoe UI Semilight"/>
        </w:rPr>
      </w:pPr>
    </w:p>
    <w:p w14:paraId="50CC8BCC" w14:textId="0EEDA817" w:rsidR="005A7533" w:rsidRDefault="005A7533" w:rsidP="005A7533">
      <w:pPr>
        <w:autoSpaceDE w:val="0"/>
        <w:autoSpaceDN w:val="0"/>
        <w:adjustRightInd w:val="0"/>
        <w:spacing w:after="0" w:line="240" w:lineRule="auto"/>
        <w:rPr>
          <w:rFonts w:ascii="Segoe UI Semilight" w:hAnsi="Segoe UI Semilight" w:cs="Segoe UI Semilight"/>
        </w:rPr>
      </w:pPr>
    </w:p>
    <w:p w14:paraId="521BF6F0" w14:textId="23299230" w:rsidR="005A7533" w:rsidRDefault="005A7533" w:rsidP="005A7533">
      <w:pPr>
        <w:autoSpaceDE w:val="0"/>
        <w:autoSpaceDN w:val="0"/>
        <w:adjustRightInd w:val="0"/>
        <w:spacing w:after="0" w:line="240" w:lineRule="auto"/>
        <w:rPr>
          <w:rFonts w:ascii="Segoe UI Semilight" w:hAnsi="Segoe UI Semilight" w:cs="Segoe UI Semilight"/>
        </w:rPr>
      </w:pPr>
    </w:p>
    <w:p w14:paraId="15DD2943" w14:textId="4764B497" w:rsidR="005A7533" w:rsidRDefault="005A7533" w:rsidP="005A7533">
      <w:pPr>
        <w:autoSpaceDE w:val="0"/>
        <w:autoSpaceDN w:val="0"/>
        <w:adjustRightInd w:val="0"/>
        <w:spacing w:after="0" w:line="240" w:lineRule="auto"/>
        <w:rPr>
          <w:rFonts w:ascii="Segoe UI Semilight" w:hAnsi="Segoe UI Semilight" w:cs="Segoe UI Semilight"/>
        </w:rPr>
      </w:pPr>
    </w:p>
    <w:p w14:paraId="60849B2C" w14:textId="7A02A5E6" w:rsidR="005A7533" w:rsidRDefault="005A7533" w:rsidP="005A7533">
      <w:pPr>
        <w:autoSpaceDE w:val="0"/>
        <w:autoSpaceDN w:val="0"/>
        <w:adjustRightInd w:val="0"/>
        <w:spacing w:after="0" w:line="240" w:lineRule="auto"/>
        <w:rPr>
          <w:rFonts w:ascii="Segoe UI Semilight" w:hAnsi="Segoe UI Semilight" w:cs="Segoe UI Semilight"/>
        </w:rPr>
      </w:pPr>
    </w:p>
    <w:p w14:paraId="5A41CACA" w14:textId="29B3143B" w:rsidR="005A7533" w:rsidRDefault="005A7533" w:rsidP="005A7533">
      <w:pPr>
        <w:autoSpaceDE w:val="0"/>
        <w:autoSpaceDN w:val="0"/>
        <w:adjustRightInd w:val="0"/>
        <w:spacing w:after="0" w:line="240" w:lineRule="auto"/>
        <w:rPr>
          <w:rFonts w:ascii="Segoe UI Semilight" w:hAnsi="Segoe UI Semilight" w:cs="Segoe UI Semilight"/>
        </w:rPr>
      </w:pPr>
    </w:p>
    <w:p w14:paraId="290D7F20" w14:textId="5089FA86" w:rsidR="005A7533" w:rsidRDefault="005A7533" w:rsidP="005A7533">
      <w:pPr>
        <w:autoSpaceDE w:val="0"/>
        <w:autoSpaceDN w:val="0"/>
        <w:adjustRightInd w:val="0"/>
        <w:spacing w:after="0" w:line="240" w:lineRule="auto"/>
        <w:rPr>
          <w:rFonts w:ascii="Segoe UI Semilight" w:hAnsi="Segoe UI Semilight" w:cs="Segoe UI Semilight"/>
        </w:rPr>
      </w:pPr>
    </w:p>
    <w:p w14:paraId="05D2BD01" w14:textId="6854A852" w:rsidR="005A7533" w:rsidRDefault="005A7533" w:rsidP="005A7533">
      <w:pPr>
        <w:autoSpaceDE w:val="0"/>
        <w:autoSpaceDN w:val="0"/>
        <w:adjustRightInd w:val="0"/>
        <w:spacing w:after="0" w:line="240" w:lineRule="auto"/>
        <w:rPr>
          <w:rFonts w:ascii="Segoe UI Semilight" w:hAnsi="Segoe UI Semilight" w:cs="Segoe UI Semilight"/>
        </w:rPr>
      </w:pPr>
    </w:p>
    <w:p w14:paraId="00A982B1"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0207840A"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75612EE6" w14:textId="77777777" w:rsidR="005A7533" w:rsidRDefault="005A7533" w:rsidP="005A7533">
      <w:pPr>
        <w:autoSpaceDE w:val="0"/>
        <w:autoSpaceDN w:val="0"/>
        <w:adjustRightInd w:val="0"/>
        <w:spacing w:after="0" w:line="240" w:lineRule="auto"/>
        <w:rPr>
          <w:rFonts w:cstheme="minorHAnsi"/>
          <w:bCs/>
        </w:rPr>
      </w:pPr>
    </w:p>
    <w:p w14:paraId="2C512CE5" w14:textId="77777777" w:rsidR="005A7533" w:rsidRDefault="005A7533" w:rsidP="005A7533">
      <w:pPr>
        <w:autoSpaceDE w:val="0"/>
        <w:autoSpaceDN w:val="0"/>
        <w:adjustRightInd w:val="0"/>
        <w:spacing w:after="0" w:line="240" w:lineRule="auto"/>
        <w:rPr>
          <w:rFonts w:cstheme="minorHAnsi"/>
          <w:bCs/>
        </w:rPr>
      </w:pPr>
    </w:p>
    <w:p w14:paraId="413417BF" w14:textId="74427036" w:rsidR="005A7533" w:rsidRDefault="005A7533" w:rsidP="005A7533">
      <w:pPr>
        <w:autoSpaceDE w:val="0"/>
        <w:autoSpaceDN w:val="0"/>
        <w:adjustRightInd w:val="0"/>
        <w:spacing w:after="0" w:line="240" w:lineRule="auto"/>
        <w:rPr>
          <w:rFonts w:cstheme="minorHAnsi"/>
          <w:bCs/>
        </w:rPr>
      </w:pPr>
      <w:r>
        <w:rPr>
          <w:rFonts w:cstheme="minorHAnsi"/>
          <w:bCs/>
        </w:rPr>
        <w:t xml:space="preserve">For the Medicaid MAX population, a total of </w:t>
      </w:r>
      <w:r w:rsidR="005F535D" w:rsidRPr="005F535D">
        <w:rPr>
          <w:rFonts w:cstheme="minorHAnsi"/>
          <w:bCs/>
        </w:rPr>
        <w:t>11</w:t>
      </w:r>
      <w:r w:rsidR="005F535D">
        <w:rPr>
          <w:rFonts w:cstheme="minorHAnsi"/>
          <w:bCs/>
        </w:rPr>
        <w:t>,</w:t>
      </w:r>
      <w:r w:rsidR="005F535D" w:rsidRPr="005F535D">
        <w:rPr>
          <w:rFonts w:cstheme="minorHAnsi"/>
          <w:bCs/>
        </w:rPr>
        <w:t>745</w:t>
      </w:r>
      <w:r w:rsidR="005F535D">
        <w:rPr>
          <w:rFonts w:cstheme="minorHAnsi"/>
          <w:bCs/>
        </w:rPr>
        <w:t>,</w:t>
      </w:r>
      <w:r w:rsidR="005F535D" w:rsidRPr="005F535D">
        <w:rPr>
          <w:rFonts w:cstheme="minorHAnsi"/>
          <w:bCs/>
        </w:rPr>
        <w:t>722</w:t>
      </w:r>
      <w:r w:rsidR="005F535D">
        <w:rPr>
          <w:rFonts w:cstheme="minorHAnsi"/>
          <w:bCs/>
        </w:rPr>
        <w:t xml:space="preserve"> </w:t>
      </w:r>
      <w:r>
        <w:rPr>
          <w:rFonts w:cstheme="minorHAnsi"/>
          <w:bCs/>
        </w:rPr>
        <w:t xml:space="preserve">beneficiaries age 18 and older were included in the analysis. Of all persons, </w:t>
      </w:r>
      <w:r w:rsidR="005F535D" w:rsidRPr="005F535D">
        <w:rPr>
          <w:rFonts w:cstheme="minorHAnsi"/>
          <w:bCs/>
        </w:rPr>
        <w:t>4</w:t>
      </w:r>
      <w:r w:rsidR="005F535D">
        <w:rPr>
          <w:rFonts w:cstheme="minorHAnsi"/>
          <w:bCs/>
        </w:rPr>
        <w:t>,</w:t>
      </w:r>
      <w:r w:rsidR="005F535D" w:rsidRPr="005F535D">
        <w:rPr>
          <w:rFonts w:cstheme="minorHAnsi"/>
          <w:bCs/>
        </w:rPr>
        <w:t>466</w:t>
      </w:r>
      <w:r w:rsidR="005F535D">
        <w:rPr>
          <w:rFonts w:cstheme="minorHAnsi"/>
          <w:bCs/>
        </w:rPr>
        <w:t>,</w:t>
      </w:r>
      <w:r w:rsidR="005F535D" w:rsidRPr="005F535D">
        <w:rPr>
          <w:rFonts w:cstheme="minorHAnsi"/>
          <w:bCs/>
        </w:rPr>
        <w:t xml:space="preserve">005 </w:t>
      </w:r>
      <w:r>
        <w:rPr>
          <w:rFonts w:cstheme="minorHAnsi"/>
          <w:bCs/>
        </w:rPr>
        <w:t>(</w:t>
      </w:r>
      <w:r w:rsidR="005F535D">
        <w:rPr>
          <w:rFonts w:cstheme="minorHAnsi"/>
          <w:bCs/>
        </w:rPr>
        <w:t>38.0</w:t>
      </w:r>
      <w:r w:rsidRPr="00E13281">
        <w:rPr>
          <w:rFonts w:cstheme="minorHAnsi"/>
          <w:bCs/>
        </w:rPr>
        <w:t>%) were</w:t>
      </w:r>
      <w:r>
        <w:rPr>
          <w:rFonts w:cstheme="minorHAnsi"/>
          <w:bCs/>
        </w:rPr>
        <w:t xml:space="preserve"> male, and </w:t>
      </w:r>
      <w:r w:rsidR="005F535D" w:rsidRPr="005F535D">
        <w:rPr>
          <w:rFonts w:cstheme="minorHAnsi"/>
          <w:bCs/>
        </w:rPr>
        <w:t>7</w:t>
      </w:r>
      <w:r w:rsidR="005F535D">
        <w:rPr>
          <w:rFonts w:cstheme="minorHAnsi"/>
          <w:bCs/>
        </w:rPr>
        <w:t>,</w:t>
      </w:r>
      <w:r w:rsidR="005F535D" w:rsidRPr="005F535D">
        <w:rPr>
          <w:rFonts w:cstheme="minorHAnsi"/>
          <w:bCs/>
        </w:rPr>
        <w:t>279</w:t>
      </w:r>
      <w:r w:rsidR="005F535D">
        <w:rPr>
          <w:rFonts w:cstheme="minorHAnsi"/>
          <w:bCs/>
        </w:rPr>
        <w:t>,</w:t>
      </w:r>
      <w:r w:rsidR="005F535D" w:rsidRPr="005F535D">
        <w:rPr>
          <w:rFonts w:cstheme="minorHAnsi"/>
          <w:bCs/>
        </w:rPr>
        <w:t xml:space="preserve">717 </w:t>
      </w:r>
      <w:r w:rsidR="005F535D">
        <w:rPr>
          <w:rFonts w:cstheme="minorHAnsi"/>
          <w:bCs/>
        </w:rPr>
        <w:t>(62.0</w:t>
      </w:r>
      <w:r>
        <w:rPr>
          <w:rFonts w:cstheme="minorHAnsi"/>
          <w:bCs/>
        </w:rPr>
        <w:t xml:space="preserve">%) were female. Individuals by age group included </w:t>
      </w:r>
      <w:r w:rsidR="005F535D" w:rsidRPr="005F535D">
        <w:rPr>
          <w:rFonts w:cstheme="minorHAnsi"/>
          <w:bCs/>
        </w:rPr>
        <w:t>9</w:t>
      </w:r>
      <w:r w:rsidR="005F535D">
        <w:rPr>
          <w:rFonts w:cstheme="minorHAnsi"/>
          <w:bCs/>
        </w:rPr>
        <w:t>,</w:t>
      </w:r>
      <w:r w:rsidR="005F535D" w:rsidRPr="005F535D">
        <w:rPr>
          <w:rFonts w:cstheme="minorHAnsi"/>
          <w:bCs/>
        </w:rPr>
        <w:t>587</w:t>
      </w:r>
      <w:r w:rsidR="005F535D">
        <w:rPr>
          <w:rFonts w:cstheme="minorHAnsi"/>
          <w:bCs/>
        </w:rPr>
        <w:t>,</w:t>
      </w:r>
      <w:r w:rsidR="005F535D" w:rsidRPr="005F535D">
        <w:rPr>
          <w:rFonts w:cstheme="minorHAnsi"/>
          <w:bCs/>
        </w:rPr>
        <w:t xml:space="preserve">267 </w:t>
      </w:r>
      <w:r w:rsidR="005F535D">
        <w:rPr>
          <w:rFonts w:cstheme="minorHAnsi"/>
          <w:bCs/>
        </w:rPr>
        <w:t>(81.6</w:t>
      </w:r>
      <w:r>
        <w:rPr>
          <w:rFonts w:cstheme="minorHAnsi"/>
          <w:bCs/>
        </w:rPr>
        <w:t xml:space="preserve">%) age 18 – 50 years, </w:t>
      </w:r>
      <w:r w:rsidR="005F535D" w:rsidRPr="005F535D">
        <w:rPr>
          <w:rFonts w:cstheme="minorHAnsi"/>
          <w:bCs/>
        </w:rPr>
        <w:t>2</w:t>
      </w:r>
      <w:r w:rsidR="005F535D">
        <w:rPr>
          <w:rFonts w:cstheme="minorHAnsi"/>
          <w:bCs/>
        </w:rPr>
        <w:t>,</w:t>
      </w:r>
      <w:r w:rsidR="005F535D" w:rsidRPr="005F535D">
        <w:rPr>
          <w:rFonts w:cstheme="minorHAnsi"/>
          <w:bCs/>
        </w:rPr>
        <w:t>016</w:t>
      </w:r>
      <w:r w:rsidR="005F535D">
        <w:rPr>
          <w:rFonts w:cstheme="minorHAnsi"/>
          <w:bCs/>
        </w:rPr>
        <w:t>,</w:t>
      </w:r>
      <w:r w:rsidR="005F535D" w:rsidRPr="005F535D">
        <w:rPr>
          <w:rFonts w:cstheme="minorHAnsi"/>
          <w:bCs/>
        </w:rPr>
        <w:t xml:space="preserve">836 </w:t>
      </w:r>
      <w:r w:rsidR="005F535D">
        <w:rPr>
          <w:rFonts w:cstheme="minorHAnsi"/>
          <w:bCs/>
        </w:rPr>
        <w:t>(17.2</w:t>
      </w:r>
      <w:r>
        <w:rPr>
          <w:rFonts w:cstheme="minorHAnsi"/>
          <w:bCs/>
        </w:rPr>
        <w:t xml:space="preserve">%) age 51 – 64 years, </w:t>
      </w:r>
      <w:r w:rsidR="005F535D" w:rsidRPr="005F535D">
        <w:rPr>
          <w:rFonts w:cstheme="minorHAnsi"/>
          <w:bCs/>
        </w:rPr>
        <w:t>129</w:t>
      </w:r>
      <w:r w:rsidR="005F535D">
        <w:rPr>
          <w:rFonts w:cstheme="minorHAnsi"/>
          <w:bCs/>
        </w:rPr>
        <w:t>,</w:t>
      </w:r>
      <w:r w:rsidR="005F535D" w:rsidRPr="005F535D">
        <w:rPr>
          <w:rFonts w:cstheme="minorHAnsi"/>
          <w:bCs/>
        </w:rPr>
        <w:t xml:space="preserve">057 </w:t>
      </w:r>
      <w:r w:rsidR="005F535D">
        <w:rPr>
          <w:rFonts w:cstheme="minorHAnsi"/>
          <w:bCs/>
        </w:rPr>
        <w:t>(1.1</w:t>
      </w:r>
      <w:r>
        <w:rPr>
          <w:rFonts w:cstheme="minorHAnsi"/>
          <w:bCs/>
        </w:rPr>
        <w:t xml:space="preserve">%) age 65 – 84 years, and </w:t>
      </w:r>
      <w:r w:rsidR="005F535D" w:rsidRPr="005F535D">
        <w:rPr>
          <w:rFonts w:cstheme="minorHAnsi"/>
          <w:bCs/>
        </w:rPr>
        <w:t>12</w:t>
      </w:r>
      <w:r w:rsidR="005F535D">
        <w:rPr>
          <w:rFonts w:cstheme="minorHAnsi"/>
          <w:bCs/>
        </w:rPr>
        <w:t>,</w:t>
      </w:r>
      <w:r w:rsidR="005F535D" w:rsidRPr="005F535D">
        <w:rPr>
          <w:rFonts w:cstheme="minorHAnsi"/>
          <w:bCs/>
        </w:rPr>
        <w:t xml:space="preserve">562 </w:t>
      </w:r>
      <w:r>
        <w:rPr>
          <w:rFonts w:cstheme="minorHAnsi"/>
          <w:bCs/>
        </w:rPr>
        <w:t xml:space="preserve">(0.1%) age 85 and older.  After applying all inclusion and exclusion criteria, the final population for analysis was </w:t>
      </w:r>
      <w:r w:rsidR="005F535D" w:rsidRPr="005F535D">
        <w:rPr>
          <w:rFonts w:cstheme="minorHAnsi"/>
          <w:bCs/>
        </w:rPr>
        <w:t xml:space="preserve">4,464,939 </w:t>
      </w:r>
      <w:r w:rsidR="005F535D">
        <w:rPr>
          <w:rFonts w:cstheme="minorHAnsi"/>
          <w:bCs/>
        </w:rPr>
        <w:t>(17.3</w:t>
      </w:r>
      <w:r>
        <w:rPr>
          <w:rFonts w:cstheme="minorHAnsi"/>
          <w:bCs/>
        </w:rPr>
        <w:t>%) of the initial population.  See Figure 2, for the selection criteria for the eligible population for the Medicaid MAX population.</w:t>
      </w:r>
    </w:p>
    <w:p w14:paraId="067FC9F7" w14:textId="77777777" w:rsidR="005A7533" w:rsidRDefault="005A7533" w:rsidP="005A7533">
      <w:pPr>
        <w:rPr>
          <w:rFonts w:cstheme="minorHAnsi"/>
          <w:b/>
          <w:bCs/>
        </w:rPr>
      </w:pPr>
      <w:r>
        <w:rPr>
          <w:rFonts w:cstheme="minorHAnsi"/>
          <w:b/>
          <w:bCs/>
        </w:rPr>
        <w:br w:type="page"/>
      </w:r>
    </w:p>
    <w:p w14:paraId="6F73B875" w14:textId="52F749E2" w:rsidR="005A7533" w:rsidRDefault="005A7533" w:rsidP="005A7533">
      <w:pPr>
        <w:ind w:left="90" w:firstLine="720"/>
        <w:rPr>
          <w:rFonts w:cstheme="minorHAnsi"/>
          <w:b/>
          <w:bCs/>
        </w:rPr>
      </w:pPr>
      <w:r>
        <w:rPr>
          <w:rFonts w:cstheme="minorHAnsi"/>
          <w:b/>
        </w:rPr>
        <w:t xml:space="preserve">Figure 2.  Selection Criteria for Eligible Population for </w:t>
      </w:r>
      <w:r w:rsidR="006222DF">
        <w:rPr>
          <w:rFonts w:cstheme="minorHAnsi"/>
          <w:b/>
          <w:bCs/>
        </w:rPr>
        <w:t>2014</w:t>
      </w:r>
      <w:r>
        <w:rPr>
          <w:rFonts w:cstheme="minorHAnsi"/>
          <w:b/>
          <w:bCs/>
        </w:rPr>
        <w:t xml:space="preserve"> Medicaid MAX Sample</w:t>
      </w:r>
    </w:p>
    <w:p w14:paraId="2FFA09C2" w14:textId="2B91DECB" w:rsidR="0028629C" w:rsidRDefault="004B5403" w:rsidP="005A7533">
      <w:pPr>
        <w:ind w:left="90" w:firstLine="720"/>
        <w:rPr>
          <w:rFonts w:cstheme="minorHAnsi"/>
          <w:b/>
        </w:rPr>
      </w:pPr>
      <w:r>
        <w:rPr>
          <w:rFonts w:cstheme="minorHAnsi"/>
          <w:b/>
          <w:noProof/>
        </w:rPr>
        <mc:AlternateContent>
          <mc:Choice Requires="wpg">
            <w:drawing>
              <wp:anchor distT="0" distB="0" distL="114300" distR="114300" simplePos="0" relativeHeight="251691008" behindDoc="0" locked="0" layoutInCell="1" allowOverlap="1" wp14:anchorId="161CE66B" wp14:editId="3115CEE7">
                <wp:simplePos x="0" y="0"/>
                <wp:positionH relativeFrom="column">
                  <wp:posOffset>333375</wp:posOffset>
                </wp:positionH>
                <wp:positionV relativeFrom="paragraph">
                  <wp:posOffset>38735</wp:posOffset>
                </wp:positionV>
                <wp:extent cx="5674995" cy="6273165"/>
                <wp:effectExtent l="0" t="0" r="20955" b="13335"/>
                <wp:wrapNone/>
                <wp:docPr id="33" name="Group 33"/>
                <wp:cNvGraphicFramePr/>
                <a:graphic xmlns:a="http://schemas.openxmlformats.org/drawingml/2006/main">
                  <a:graphicData uri="http://schemas.microsoft.com/office/word/2010/wordprocessingGroup">
                    <wpg:wgp>
                      <wpg:cNvGrpSpPr/>
                      <wpg:grpSpPr>
                        <a:xfrm>
                          <a:off x="0" y="0"/>
                          <a:ext cx="5674995" cy="6273165"/>
                          <a:chOff x="0" y="0"/>
                          <a:chExt cx="5674995" cy="6273165"/>
                        </a:xfrm>
                      </wpg:grpSpPr>
                      <wps:wsp>
                        <wps:cNvPr id="6" name="Rectangle 6"/>
                        <wps:cNvSpPr>
                          <a:spLocks noChangeArrowheads="1"/>
                        </wps:cNvSpPr>
                        <wps:spPr bwMode="auto">
                          <a:xfrm>
                            <a:off x="180975" y="0"/>
                            <a:ext cx="2872740" cy="845820"/>
                          </a:xfrm>
                          <a:prstGeom prst="rect">
                            <a:avLst/>
                          </a:prstGeom>
                          <a:solidFill>
                            <a:srgbClr val="FFFFFF"/>
                          </a:solidFill>
                          <a:ln w="9525">
                            <a:solidFill>
                              <a:srgbClr val="000000"/>
                            </a:solidFill>
                            <a:miter lim="800000"/>
                            <a:headEnd/>
                            <a:tailEnd/>
                          </a:ln>
                        </wps:spPr>
                        <wps:txbx>
                          <w:txbxContent>
                            <w:p w14:paraId="27A7F26D" w14:textId="559D9C7B" w:rsidR="000744FC" w:rsidRDefault="000744FC" w:rsidP="005A7533">
                              <w:pPr>
                                <w:jc w:val="center"/>
                                <w:rPr>
                                  <w:rFonts w:cstheme="minorHAnsi"/>
                                </w:rPr>
                              </w:pPr>
                              <w:r>
                                <w:rPr>
                                  <w:rFonts w:cstheme="minorHAnsi"/>
                                  <w:lang w:val="en-CA"/>
                                </w:rPr>
                                <w:t xml:space="preserve">Total Population in Database for measurement year – CY </w:t>
                              </w:r>
                              <w:r w:rsidRPr="003129A0">
                                <w:rPr>
                                  <w:rFonts w:cstheme="minorHAnsi"/>
                                  <w:lang w:val="en-CA"/>
                                </w:rPr>
                                <w:t>20</w:t>
                              </w:r>
                              <w:r>
                                <w:rPr>
                                  <w:rFonts w:cstheme="minorHAnsi"/>
                                  <w:lang w:val="en-CA"/>
                                </w:rPr>
                                <w:t>14</w:t>
                              </w:r>
                              <w:r>
                                <w:rPr>
                                  <w:rFonts w:cstheme="minorHAnsi"/>
                                  <w:lang w:val="en-CA"/>
                                </w:rPr>
                                <w:br/>
                              </w:r>
                              <w:r>
                                <w:rPr>
                                  <w:rFonts w:cstheme="minorHAnsi"/>
                                  <w:b/>
                                  <w:lang w:val="en-CA"/>
                                </w:rPr>
                                <w:t xml:space="preserve">N = </w:t>
                              </w:r>
                              <w:r w:rsidRPr="001F5D85">
                                <w:rPr>
                                  <w:rFonts w:cstheme="minorHAnsi"/>
                                  <w:b/>
                                  <w:lang w:val="en-CA"/>
                                </w:rPr>
                                <w:t>25</w:t>
                              </w:r>
                              <w:r>
                                <w:rPr>
                                  <w:rFonts w:cstheme="minorHAnsi"/>
                                  <w:b/>
                                  <w:lang w:val="en-CA"/>
                                </w:rPr>
                                <w:t>,</w:t>
                              </w:r>
                              <w:r w:rsidRPr="001F5D85">
                                <w:rPr>
                                  <w:rFonts w:cstheme="minorHAnsi"/>
                                  <w:b/>
                                  <w:lang w:val="en-CA"/>
                                </w:rPr>
                                <w:t>774</w:t>
                              </w:r>
                              <w:r>
                                <w:rPr>
                                  <w:rFonts w:cstheme="minorHAnsi"/>
                                  <w:b/>
                                  <w:lang w:val="en-CA"/>
                                </w:rPr>
                                <w:t>,</w:t>
                              </w:r>
                              <w:r w:rsidRPr="001F5D85">
                                <w:rPr>
                                  <w:rFonts w:cstheme="minorHAnsi"/>
                                  <w:b/>
                                  <w:lang w:val="en-CA"/>
                                </w:rPr>
                                <w:t xml:space="preserve">530 </w:t>
                              </w:r>
                              <w:r>
                                <w:rPr>
                                  <w:rFonts w:cstheme="minorHAnsi"/>
                                  <w:b/>
                                  <w:lang w:val="en-CA"/>
                                </w:rPr>
                                <w:t>(100.0%)</w:t>
                              </w:r>
                            </w:p>
                          </w:txbxContent>
                        </wps:txbx>
                        <wps:bodyPr rot="0" vert="horz" wrap="square" lIns="91440" tIns="91440" rIns="91440" bIns="91440" anchor="t" anchorCtr="0" upright="1">
                          <a:noAutofit/>
                        </wps:bodyPr>
                      </wps:wsp>
                      <wps:wsp>
                        <wps:cNvPr id="12" name="Straight Arrow Connector 12"/>
                        <wps:cNvCnPr>
                          <a:cxnSpLocks noChangeShapeType="1"/>
                        </wps:cNvCnPr>
                        <wps:spPr bwMode="auto">
                          <a:xfrm>
                            <a:off x="1609725" y="809625"/>
                            <a:ext cx="635" cy="46101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6" name="Straight Arrow Connector 16"/>
                        <wps:cNvCnPr>
                          <a:cxnSpLocks noChangeShapeType="1"/>
                        </wps:cNvCnPr>
                        <wps:spPr bwMode="auto">
                          <a:xfrm>
                            <a:off x="1609725" y="1905000"/>
                            <a:ext cx="635" cy="46101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5" name="Rectangle 15"/>
                        <wps:cNvSpPr>
                          <a:spLocks noChangeArrowheads="1"/>
                        </wps:cNvSpPr>
                        <wps:spPr bwMode="auto">
                          <a:xfrm>
                            <a:off x="133350" y="1266825"/>
                            <a:ext cx="2964180" cy="762000"/>
                          </a:xfrm>
                          <a:prstGeom prst="rect">
                            <a:avLst/>
                          </a:prstGeom>
                          <a:solidFill>
                            <a:srgbClr val="FFFFFF"/>
                          </a:solidFill>
                          <a:ln w="9525">
                            <a:solidFill>
                              <a:srgbClr val="000000"/>
                            </a:solidFill>
                            <a:miter lim="800000"/>
                            <a:headEnd/>
                            <a:tailEnd/>
                          </a:ln>
                        </wps:spPr>
                        <wps:txbx>
                          <w:txbxContent>
                            <w:p w14:paraId="7707FD11" w14:textId="77777777" w:rsidR="000744FC" w:rsidRDefault="000744FC" w:rsidP="005A7533">
                              <w:pPr>
                                <w:spacing w:after="0"/>
                                <w:ind w:left="360" w:hanging="360"/>
                                <w:jc w:val="center"/>
                                <w:rPr>
                                  <w:rFonts w:cstheme="minorHAnsi"/>
                                </w:rPr>
                              </w:pPr>
                              <w:r>
                                <w:rPr>
                                  <w:rFonts w:cstheme="minorHAnsi"/>
                                </w:rPr>
                                <w:t>18 years of age or older by the first day of the measurement year</w:t>
                              </w:r>
                            </w:p>
                            <w:p w14:paraId="08845D68" w14:textId="38B17BD0"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 xml:space="preserve"> N = </w:t>
                              </w:r>
                              <w:r w:rsidRPr="001F5D85">
                                <w:rPr>
                                  <w:rFonts w:asciiTheme="minorHAnsi" w:hAnsiTheme="minorHAnsi" w:cstheme="minorHAnsi"/>
                                  <w:b/>
                                  <w:sz w:val="22"/>
                                  <w:szCs w:val="22"/>
                                </w:rPr>
                                <w:t>11</w:t>
                              </w:r>
                              <w:r>
                                <w:rPr>
                                  <w:rFonts w:asciiTheme="minorHAnsi" w:hAnsiTheme="minorHAnsi" w:cstheme="minorHAnsi"/>
                                  <w:b/>
                                  <w:sz w:val="22"/>
                                  <w:szCs w:val="22"/>
                                </w:rPr>
                                <w:t>,</w:t>
                              </w:r>
                              <w:r w:rsidRPr="001F5D85">
                                <w:rPr>
                                  <w:rFonts w:asciiTheme="minorHAnsi" w:hAnsiTheme="minorHAnsi" w:cstheme="minorHAnsi"/>
                                  <w:b/>
                                  <w:sz w:val="22"/>
                                  <w:szCs w:val="22"/>
                                </w:rPr>
                                <w:t>745</w:t>
                              </w:r>
                              <w:r>
                                <w:rPr>
                                  <w:rFonts w:asciiTheme="minorHAnsi" w:hAnsiTheme="minorHAnsi" w:cstheme="minorHAnsi"/>
                                  <w:b/>
                                  <w:sz w:val="22"/>
                                  <w:szCs w:val="22"/>
                                </w:rPr>
                                <w:t>,</w:t>
                              </w:r>
                              <w:r w:rsidRPr="001F5D85">
                                <w:rPr>
                                  <w:rFonts w:asciiTheme="minorHAnsi" w:hAnsiTheme="minorHAnsi" w:cstheme="minorHAnsi"/>
                                  <w:b/>
                                  <w:sz w:val="22"/>
                                  <w:szCs w:val="22"/>
                                </w:rPr>
                                <w:t xml:space="preserve">722 </w:t>
                              </w:r>
                              <w:r>
                                <w:rPr>
                                  <w:rFonts w:asciiTheme="minorHAnsi" w:hAnsiTheme="minorHAnsi" w:cstheme="minorHAnsi"/>
                                  <w:b/>
                                  <w:sz w:val="22"/>
                                  <w:szCs w:val="22"/>
                                </w:rPr>
                                <w:t>(45.6%)</w:t>
                              </w:r>
                            </w:p>
                          </w:txbxContent>
                        </wps:txbx>
                        <wps:bodyPr rot="0" vert="horz" wrap="square" lIns="91440" tIns="91440" rIns="91440" bIns="91440" anchor="t" anchorCtr="0" upright="1">
                          <a:noAutofit/>
                        </wps:bodyPr>
                      </wps:wsp>
                      <wps:wsp>
                        <wps:cNvPr id="17" name="Rectangle 17"/>
                        <wps:cNvSpPr>
                          <a:spLocks noChangeArrowheads="1"/>
                        </wps:cNvSpPr>
                        <wps:spPr bwMode="auto">
                          <a:xfrm>
                            <a:off x="133350" y="2362200"/>
                            <a:ext cx="2987040" cy="754380"/>
                          </a:xfrm>
                          <a:prstGeom prst="rect">
                            <a:avLst/>
                          </a:prstGeom>
                          <a:solidFill>
                            <a:srgbClr val="FFFFFF"/>
                          </a:solidFill>
                          <a:ln w="9525">
                            <a:solidFill>
                              <a:srgbClr val="000000"/>
                            </a:solidFill>
                            <a:miter lim="800000"/>
                            <a:headEnd/>
                            <a:tailEnd/>
                          </a:ln>
                        </wps:spPr>
                        <wps:txbx>
                          <w:txbxContent>
                            <w:p w14:paraId="70DAD5E4" w14:textId="77777777" w:rsidR="000744FC" w:rsidRDefault="000744FC" w:rsidP="005A7533">
                              <w:pPr>
                                <w:spacing w:after="0" w:line="240" w:lineRule="auto"/>
                                <w:ind w:left="360" w:hanging="360"/>
                                <w:jc w:val="center"/>
                                <w:rPr>
                                  <w:rFonts w:cstheme="minorHAnsi"/>
                                </w:rPr>
                              </w:pPr>
                              <w:r>
                                <w:rPr>
                                  <w:rFonts w:cstheme="minorHAnsi"/>
                                </w:rPr>
                                <w:t>Continuous enrollment</w:t>
                              </w:r>
                              <w:r>
                                <w:rPr>
                                  <w:rFonts w:cstheme="minorHAnsi"/>
                                  <w:vertAlign w:val="superscript"/>
                                </w:rPr>
                                <w:t xml:space="preserve"> </w:t>
                              </w:r>
                              <w:r>
                                <w:rPr>
                                  <w:rFonts w:cstheme="minorHAnsi"/>
                                </w:rPr>
                                <w:t>during the measurement year</w:t>
                              </w:r>
                            </w:p>
                            <w:p w14:paraId="164C7781" w14:textId="0BE64468"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 xml:space="preserve"> N = </w:t>
                              </w:r>
                              <w:r w:rsidRPr="001F5D85">
                                <w:rPr>
                                  <w:rFonts w:asciiTheme="minorHAnsi" w:hAnsiTheme="minorHAnsi" w:cstheme="minorHAnsi"/>
                                  <w:b/>
                                  <w:sz w:val="22"/>
                                  <w:szCs w:val="22"/>
                                </w:rPr>
                                <w:t>6</w:t>
                              </w:r>
                              <w:r>
                                <w:rPr>
                                  <w:rFonts w:asciiTheme="minorHAnsi" w:hAnsiTheme="minorHAnsi" w:cstheme="minorHAnsi"/>
                                  <w:b/>
                                  <w:sz w:val="22"/>
                                  <w:szCs w:val="22"/>
                                </w:rPr>
                                <w:t>,</w:t>
                              </w:r>
                              <w:r w:rsidRPr="001F5D85">
                                <w:rPr>
                                  <w:rFonts w:asciiTheme="minorHAnsi" w:hAnsiTheme="minorHAnsi" w:cstheme="minorHAnsi"/>
                                  <w:b/>
                                  <w:sz w:val="22"/>
                                  <w:szCs w:val="22"/>
                                </w:rPr>
                                <w:t>889</w:t>
                              </w:r>
                              <w:r>
                                <w:rPr>
                                  <w:rFonts w:asciiTheme="minorHAnsi" w:hAnsiTheme="minorHAnsi" w:cstheme="minorHAnsi"/>
                                  <w:b/>
                                  <w:sz w:val="22"/>
                                  <w:szCs w:val="22"/>
                                </w:rPr>
                                <w:t>,</w:t>
                              </w:r>
                              <w:r w:rsidRPr="001F5D85">
                                <w:rPr>
                                  <w:rFonts w:asciiTheme="minorHAnsi" w:hAnsiTheme="minorHAnsi" w:cstheme="minorHAnsi"/>
                                  <w:b/>
                                  <w:sz w:val="22"/>
                                  <w:szCs w:val="22"/>
                                </w:rPr>
                                <w:t xml:space="preserve">293 </w:t>
                              </w:r>
                              <w:r>
                                <w:rPr>
                                  <w:rFonts w:asciiTheme="minorHAnsi" w:hAnsiTheme="minorHAnsi" w:cstheme="minorHAnsi"/>
                                  <w:b/>
                                  <w:sz w:val="22"/>
                                  <w:szCs w:val="22"/>
                                </w:rPr>
                                <w:t>(26.7%)</w:t>
                              </w:r>
                            </w:p>
                            <w:p w14:paraId="0E914417" w14:textId="77777777" w:rsidR="000744FC" w:rsidRDefault="000744FC" w:rsidP="005A7533">
                              <w:pPr>
                                <w:ind w:left="360" w:hanging="360"/>
                                <w:rPr>
                                  <w:rFonts w:cs="Calibri"/>
                                </w:rPr>
                              </w:pPr>
                            </w:p>
                          </w:txbxContent>
                        </wps:txbx>
                        <wps:bodyPr rot="0" vert="horz" wrap="square" lIns="91440" tIns="91440" rIns="91440" bIns="91440" anchor="t" anchorCtr="0" upright="1">
                          <a:noAutofit/>
                        </wps:bodyPr>
                      </wps:wsp>
                      <wps:wsp>
                        <wps:cNvPr id="29" name="Straight Arrow Connector 29"/>
                        <wps:cNvCnPr>
                          <a:cxnSpLocks noChangeShapeType="1"/>
                        </wps:cNvCnPr>
                        <wps:spPr bwMode="auto">
                          <a:xfrm>
                            <a:off x="1600200" y="5191125"/>
                            <a:ext cx="635" cy="46101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25" name="Straight Arrow Connector 25"/>
                        <wps:cNvCnPr>
                          <a:cxnSpLocks noChangeShapeType="1"/>
                        </wps:cNvCnPr>
                        <wps:spPr bwMode="auto">
                          <a:xfrm>
                            <a:off x="1609725" y="4381500"/>
                            <a:ext cx="635" cy="46101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22" name="Rectangle 22"/>
                        <wps:cNvSpPr>
                          <a:spLocks noChangeArrowheads="1"/>
                        </wps:cNvSpPr>
                        <wps:spPr bwMode="auto">
                          <a:xfrm>
                            <a:off x="0" y="3409950"/>
                            <a:ext cx="3223260" cy="975360"/>
                          </a:xfrm>
                          <a:prstGeom prst="rect">
                            <a:avLst/>
                          </a:prstGeom>
                          <a:solidFill>
                            <a:srgbClr val="FFFFFF"/>
                          </a:solidFill>
                          <a:ln w="9525">
                            <a:solidFill>
                              <a:srgbClr val="000000"/>
                            </a:solidFill>
                            <a:miter lim="800000"/>
                            <a:headEnd/>
                            <a:tailEnd/>
                          </a:ln>
                        </wps:spPr>
                        <wps:txbx>
                          <w:txbxContent>
                            <w:p w14:paraId="4442CA17" w14:textId="77777777" w:rsidR="000744FC" w:rsidRDefault="000744FC" w:rsidP="005A7533">
                              <w:pPr>
                                <w:spacing w:after="0"/>
                                <w:ind w:left="360" w:hanging="360"/>
                                <w:jc w:val="center"/>
                                <w:rPr>
                                  <w:rFonts w:cstheme="minorHAnsi"/>
                                </w:rPr>
                              </w:pPr>
                              <w:r>
                                <w:rPr>
                                  <w:rFonts w:cstheme="minorHAnsi"/>
                                </w:rPr>
                                <w:t>≥2 prescriptions for opioids with unique dates of service, for which the sum of the days’ supply is ≥15 during the measurement year</w:t>
                              </w:r>
                            </w:p>
                            <w:p w14:paraId="514FA667" w14:textId="0BE2EEA5"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 xml:space="preserve"> N = </w:t>
                              </w:r>
                              <w:r w:rsidRPr="001F5D85">
                                <w:rPr>
                                  <w:rFonts w:asciiTheme="minorHAnsi" w:hAnsiTheme="minorHAnsi" w:cstheme="minorHAnsi"/>
                                  <w:b/>
                                  <w:sz w:val="22"/>
                                  <w:szCs w:val="22"/>
                                </w:rPr>
                                <w:t>4</w:t>
                              </w:r>
                              <w:r>
                                <w:rPr>
                                  <w:rFonts w:asciiTheme="minorHAnsi" w:hAnsiTheme="minorHAnsi" w:cstheme="minorHAnsi"/>
                                  <w:b/>
                                  <w:sz w:val="22"/>
                                  <w:szCs w:val="22"/>
                                </w:rPr>
                                <w:t>,</w:t>
                              </w:r>
                              <w:r w:rsidRPr="001F5D85">
                                <w:rPr>
                                  <w:rFonts w:asciiTheme="minorHAnsi" w:hAnsiTheme="minorHAnsi" w:cstheme="minorHAnsi"/>
                                  <w:b/>
                                  <w:sz w:val="22"/>
                                  <w:szCs w:val="22"/>
                                </w:rPr>
                                <w:t>482</w:t>
                              </w:r>
                              <w:r>
                                <w:rPr>
                                  <w:rFonts w:asciiTheme="minorHAnsi" w:hAnsiTheme="minorHAnsi" w:cstheme="minorHAnsi"/>
                                  <w:b/>
                                  <w:sz w:val="22"/>
                                  <w:szCs w:val="22"/>
                                </w:rPr>
                                <w:t>,</w:t>
                              </w:r>
                              <w:r w:rsidRPr="001F5D85">
                                <w:rPr>
                                  <w:rFonts w:asciiTheme="minorHAnsi" w:hAnsiTheme="minorHAnsi" w:cstheme="minorHAnsi"/>
                                  <w:b/>
                                  <w:sz w:val="22"/>
                                  <w:szCs w:val="22"/>
                                </w:rPr>
                                <w:t xml:space="preserve">714 </w:t>
                              </w:r>
                              <w:r>
                                <w:rPr>
                                  <w:rFonts w:asciiTheme="minorHAnsi" w:hAnsiTheme="minorHAnsi" w:cstheme="minorHAnsi"/>
                                  <w:b/>
                                  <w:sz w:val="22"/>
                                  <w:szCs w:val="22"/>
                                </w:rPr>
                                <w:t>(17.4%)</w:t>
                              </w:r>
                            </w:p>
                          </w:txbxContent>
                        </wps:txbx>
                        <wps:bodyPr rot="0" vert="horz" wrap="square" lIns="91440" tIns="91440" rIns="91440" bIns="91440" anchor="t" anchorCtr="0" upright="1">
                          <a:noAutofit/>
                        </wps:bodyPr>
                      </wps:wsp>
                      <wps:wsp>
                        <wps:cNvPr id="27" name="Rectangle 27"/>
                        <wps:cNvSpPr>
                          <a:spLocks noChangeArrowheads="1"/>
                        </wps:cNvSpPr>
                        <wps:spPr bwMode="auto">
                          <a:xfrm>
                            <a:off x="600075" y="4838700"/>
                            <a:ext cx="2026920" cy="346710"/>
                          </a:xfrm>
                          <a:prstGeom prst="rect">
                            <a:avLst/>
                          </a:prstGeom>
                          <a:solidFill>
                            <a:srgbClr val="FFFFFF"/>
                          </a:solidFill>
                          <a:ln w="9525">
                            <a:solidFill>
                              <a:srgbClr val="000000"/>
                            </a:solidFill>
                            <a:miter lim="800000"/>
                            <a:headEnd/>
                            <a:tailEnd/>
                          </a:ln>
                        </wps:spPr>
                        <wps:txbx>
                          <w:txbxContent>
                            <w:p w14:paraId="3F805CBF" w14:textId="263BA162"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 xml:space="preserve">N = </w:t>
                              </w:r>
                              <w:r w:rsidRPr="001F5D85">
                                <w:rPr>
                                  <w:rFonts w:asciiTheme="minorHAnsi" w:hAnsiTheme="minorHAnsi" w:cstheme="minorHAnsi"/>
                                  <w:b/>
                                  <w:sz w:val="22"/>
                                  <w:szCs w:val="22"/>
                                </w:rPr>
                                <w:t>4</w:t>
                              </w:r>
                              <w:r>
                                <w:rPr>
                                  <w:rFonts w:asciiTheme="minorHAnsi" w:hAnsiTheme="minorHAnsi" w:cstheme="minorHAnsi"/>
                                  <w:b/>
                                  <w:sz w:val="22"/>
                                  <w:szCs w:val="22"/>
                                </w:rPr>
                                <w:t>,</w:t>
                              </w:r>
                              <w:r w:rsidRPr="001F5D85">
                                <w:rPr>
                                  <w:rFonts w:asciiTheme="minorHAnsi" w:hAnsiTheme="minorHAnsi" w:cstheme="minorHAnsi"/>
                                  <w:b/>
                                  <w:sz w:val="22"/>
                                  <w:szCs w:val="22"/>
                                </w:rPr>
                                <w:t>480</w:t>
                              </w:r>
                              <w:r>
                                <w:rPr>
                                  <w:rFonts w:asciiTheme="minorHAnsi" w:hAnsiTheme="minorHAnsi" w:cstheme="minorHAnsi"/>
                                  <w:b/>
                                  <w:sz w:val="22"/>
                                  <w:szCs w:val="22"/>
                                </w:rPr>
                                <w:t>,</w:t>
                              </w:r>
                              <w:r w:rsidRPr="001F5D85">
                                <w:rPr>
                                  <w:rFonts w:asciiTheme="minorHAnsi" w:hAnsiTheme="minorHAnsi" w:cstheme="minorHAnsi"/>
                                  <w:b/>
                                  <w:sz w:val="22"/>
                                  <w:szCs w:val="22"/>
                                </w:rPr>
                                <w:t xml:space="preserve">781 </w:t>
                              </w:r>
                              <w:r>
                                <w:rPr>
                                  <w:rFonts w:asciiTheme="minorHAnsi" w:hAnsiTheme="minorHAnsi" w:cstheme="minorHAnsi"/>
                                  <w:b/>
                                  <w:sz w:val="22"/>
                                  <w:szCs w:val="22"/>
                                </w:rPr>
                                <w:t>(17.4%)</w:t>
                              </w:r>
                            </w:p>
                          </w:txbxContent>
                        </wps:txbx>
                        <wps:bodyPr rot="0" vert="horz" wrap="square" lIns="91440" tIns="91440" rIns="91440" bIns="91440" anchor="t" anchorCtr="0" upright="1">
                          <a:noAutofit/>
                        </wps:bodyPr>
                      </wps:wsp>
                      <wps:wsp>
                        <wps:cNvPr id="31" name="Rectangle 31"/>
                        <wps:cNvSpPr>
                          <a:spLocks noChangeArrowheads="1"/>
                        </wps:cNvSpPr>
                        <wps:spPr bwMode="auto">
                          <a:xfrm>
                            <a:off x="590550" y="5648325"/>
                            <a:ext cx="2026920" cy="624840"/>
                          </a:xfrm>
                          <a:prstGeom prst="rect">
                            <a:avLst/>
                          </a:prstGeom>
                          <a:solidFill>
                            <a:srgbClr val="FFFFFF"/>
                          </a:solidFill>
                          <a:ln w="9525">
                            <a:solidFill>
                              <a:srgbClr val="000000"/>
                            </a:solidFill>
                            <a:miter lim="800000"/>
                            <a:headEnd/>
                            <a:tailEnd/>
                          </a:ln>
                        </wps:spPr>
                        <wps:txbx>
                          <w:txbxContent>
                            <w:p w14:paraId="64C5D128" w14:textId="16546D06" w:rsidR="000744FC" w:rsidRDefault="000744FC" w:rsidP="005A7533">
                              <w:pPr>
                                <w:spacing w:after="0" w:line="240" w:lineRule="auto"/>
                                <w:jc w:val="center"/>
                                <w:rPr>
                                  <w:rFonts w:ascii="Calibri" w:eastAsia="Times New Roman" w:hAnsi="Calibri" w:cs="Calibri"/>
                                  <w:b/>
                                  <w:color w:val="000000"/>
                                </w:rPr>
                              </w:pPr>
                              <w:r>
                                <w:rPr>
                                  <w:rFonts w:ascii="Calibri" w:eastAsia="Times New Roman" w:hAnsi="Calibri" w:cs="Calibri"/>
                                  <w:b/>
                                  <w:color w:val="000000"/>
                                </w:rPr>
                                <w:t xml:space="preserve">N = </w:t>
                              </w:r>
                              <w:r w:rsidRPr="001F5D85">
                                <w:rPr>
                                  <w:rFonts w:ascii="Calibri" w:eastAsia="Times New Roman" w:hAnsi="Calibri" w:cs="Calibri"/>
                                  <w:b/>
                                  <w:color w:val="000000"/>
                                </w:rPr>
                                <w:t>4</w:t>
                              </w:r>
                              <w:r>
                                <w:rPr>
                                  <w:rFonts w:ascii="Calibri" w:eastAsia="Times New Roman" w:hAnsi="Calibri" w:cs="Calibri"/>
                                  <w:b/>
                                  <w:color w:val="000000"/>
                                </w:rPr>
                                <w:t>,</w:t>
                              </w:r>
                              <w:r w:rsidRPr="001F5D85">
                                <w:rPr>
                                  <w:rFonts w:ascii="Calibri" w:eastAsia="Times New Roman" w:hAnsi="Calibri" w:cs="Calibri"/>
                                  <w:b/>
                                  <w:color w:val="000000"/>
                                </w:rPr>
                                <w:t>464</w:t>
                              </w:r>
                              <w:r>
                                <w:rPr>
                                  <w:rFonts w:ascii="Calibri" w:eastAsia="Times New Roman" w:hAnsi="Calibri" w:cs="Calibri"/>
                                  <w:b/>
                                  <w:color w:val="000000"/>
                                </w:rPr>
                                <w:t>,</w:t>
                              </w:r>
                              <w:r w:rsidRPr="001F5D85">
                                <w:rPr>
                                  <w:rFonts w:ascii="Calibri" w:eastAsia="Times New Roman" w:hAnsi="Calibri" w:cs="Calibri"/>
                                  <w:b/>
                                  <w:color w:val="000000"/>
                                </w:rPr>
                                <w:t xml:space="preserve">939 </w:t>
                              </w:r>
                              <w:r>
                                <w:rPr>
                                  <w:rFonts w:ascii="Calibri" w:eastAsia="Times New Roman" w:hAnsi="Calibri" w:cs="Calibri"/>
                                  <w:b/>
                                  <w:color w:val="000000"/>
                                </w:rPr>
                                <w:t>(17.3%)</w:t>
                              </w:r>
                            </w:p>
                            <w:p w14:paraId="13F5D136" w14:textId="77777777"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color w:val="002060"/>
                                  <w:sz w:val="22"/>
                                  <w:szCs w:val="22"/>
                                </w:rPr>
                                <w:t>This is the Eligible Population</w:t>
                              </w:r>
                            </w:p>
                          </w:txbxContent>
                        </wps:txbx>
                        <wps:bodyPr rot="0" vert="horz" wrap="square" lIns="91440" tIns="91440" rIns="91440" bIns="91440" anchor="t" anchorCtr="0" upright="1">
                          <a:noAutofit/>
                        </wps:bodyPr>
                      </wps:wsp>
                      <wps:wsp>
                        <wps:cNvPr id="24" name="Rectangle 24"/>
                        <wps:cNvSpPr>
                          <a:spLocks noChangeArrowheads="1"/>
                        </wps:cNvSpPr>
                        <wps:spPr bwMode="auto">
                          <a:xfrm>
                            <a:off x="3495675" y="4191000"/>
                            <a:ext cx="2179320" cy="693420"/>
                          </a:xfrm>
                          <a:prstGeom prst="rect">
                            <a:avLst/>
                          </a:prstGeom>
                          <a:solidFill>
                            <a:srgbClr val="FFFFFF"/>
                          </a:solidFill>
                          <a:ln w="9525">
                            <a:solidFill>
                              <a:srgbClr val="000000"/>
                            </a:solidFill>
                            <a:miter lim="800000"/>
                            <a:headEnd/>
                            <a:tailEnd/>
                          </a:ln>
                        </wps:spPr>
                        <wps:txbx>
                          <w:txbxContent>
                            <w:p w14:paraId="25B23781" w14:textId="77777777" w:rsidR="000744FC" w:rsidRDefault="000744FC" w:rsidP="005A7533">
                              <w:pPr>
                                <w:spacing w:after="0" w:line="240" w:lineRule="auto"/>
                                <w:ind w:left="360" w:hanging="360"/>
                                <w:jc w:val="center"/>
                                <w:rPr>
                                  <w:rFonts w:cstheme="minorHAnsi"/>
                                </w:rPr>
                              </w:pPr>
                              <w:r>
                                <w:rPr>
                                  <w:rFonts w:cstheme="minorHAnsi"/>
                                </w:rPr>
                                <w:t>Exclude individuals in hospice</w:t>
                              </w:r>
                              <w:r>
                                <w:rPr>
                                  <w:rFonts w:cstheme="minorHAnsi"/>
                                  <w:vertAlign w:val="superscript"/>
                                </w:rPr>
                                <w:t xml:space="preserve"> </w:t>
                              </w:r>
                              <w:r>
                                <w:rPr>
                                  <w:rFonts w:cstheme="minorHAnsi"/>
                                </w:rPr>
                                <w:t>during the measurement year</w:t>
                              </w:r>
                            </w:p>
                            <w:p w14:paraId="41081D90" w14:textId="4FFAFB14"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N = 1,933 (0.01%)</w:t>
                              </w:r>
                            </w:p>
                            <w:p w14:paraId="6F630503" w14:textId="77777777" w:rsidR="000744FC" w:rsidRDefault="000744FC" w:rsidP="005A7533">
                              <w:pPr>
                                <w:pStyle w:val="Default"/>
                                <w:jc w:val="center"/>
                                <w:rPr>
                                  <w:rFonts w:ascii="Arial" w:hAnsi="Arial" w:cs="Arial"/>
                                  <w:sz w:val="20"/>
                                  <w:szCs w:val="20"/>
                                </w:rPr>
                              </w:pPr>
                            </w:p>
                            <w:p w14:paraId="44C42CEA" w14:textId="77777777" w:rsidR="000744FC" w:rsidRDefault="000744FC" w:rsidP="005A7533">
                              <w:pPr>
                                <w:ind w:left="360" w:hanging="360"/>
                                <w:rPr>
                                  <w:rFonts w:cs="Calibri"/>
                                </w:rPr>
                              </w:pPr>
                            </w:p>
                          </w:txbxContent>
                        </wps:txbx>
                        <wps:bodyPr rot="0" vert="horz" wrap="square" lIns="91440" tIns="91440" rIns="91440" bIns="91440" anchor="t" anchorCtr="0" upright="1">
                          <a:noAutofit/>
                        </wps:bodyPr>
                      </wps:wsp>
                      <wps:wsp>
                        <wps:cNvPr id="28" name="Rectangle 28"/>
                        <wps:cNvSpPr>
                          <a:spLocks noChangeArrowheads="1"/>
                        </wps:cNvSpPr>
                        <wps:spPr bwMode="auto">
                          <a:xfrm>
                            <a:off x="3495675" y="5114925"/>
                            <a:ext cx="2179320" cy="883920"/>
                          </a:xfrm>
                          <a:prstGeom prst="rect">
                            <a:avLst/>
                          </a:prstGeom>
                          <a:solidFill>
                            <a:srgbClr val="FFFFFF"/>
                          </a:solidFill>
                          <a:ln w="9525">
                            <a:solidFill>
                              <a:srgbClr val="000000"/>
                            </a:solidFill>
                            <a:miter lim="800000"/>
                            <a:headEnd/>
                            <a:tailEnd/>
                          </a:ln>
                        </wps:spPr>
                        <wps:txbx>
                          <w:txbxContent>
                            <w:p w14:paraId="62301201" w14:textId="77777777" w:rsidR="000744FC" w:rsidRDefault="000744FC" w:rsidP="005A7533">
                              <w:pPr>
                                <w:spacing w:after="0" w:line="240" w:lineRule="auto"/>
                                <w:ind w:left="360" w:hanging="360"/>
                                <w:jc w:val="center"/>
                                <w:rPr>
                                  <w:rFonts w:cstheme="minorHAnsi"/>
                                </w:rPr>
                              </w:pPr>
                              <w:r>
                                <w:rPr>
                                  <w:rFonts w:cstheme="minorHAnsi"/>
                                </w:rPr>
                                <w:t>Exclude individuals with a cancer diagnosis during the measurement year</w:t>
                              </w:r>
                            </w:p>
                            <w:p w14:paraId="692F8EFF" w14:textId="7433B0B5" w:rsidR="000744FC" w:rsidRDefault="000744FC" w:rsidP="005A7533">
                              <w:pPr>
                                <w:jc w:val="center"/>
                                <w:rPr>
                                  <w:rFonts w:ascii="Calibri" w:eastAsia="Times New Roman" w:hAnsi="Calibri" w:cs="Calibri"/>
                                  <w:b/>
                                  <w:color w:val="000000"/>
                                </w:rPr>
                              </w:pPr>
                              <w:r>
                                <w:rPr>
                                  <w:rFonts w:cstheme="minorHAnsi"/>
                                  <w:b/>
                                </w:rPr>
                                <w:t xml:space="preserve"> N = </w:t>
                              </w:r>
                              <w:r w:rsidRPr="001F5D85">
                                <w:rPr>
                                  <w:rFonts w:ascii="Calibri" w:eastAsia="Times New Roman" w:hAnsi="Calibri" w:cs="Calibri"/>
                                  <w:b/>
                                  <w:color w:val="000000"/>
                                </w:rPr>
                                <w:t>1</w:t>
                              </w:r>
                              <w:r>
                                <w:rPr>
                                  <w:rFonts w:ascii="Calibri" w:eastAsia="Times New Roman" w:hAnsi="Calibri" w:cs="Calibri"/>
                                  <w:b/>
                                  <w:color w:val="000000"/>
                                </w:rPr>
                                <w:t>5,842</w:t>
                              </w:r>
                              <w:r w:rsidRPr="001F5D85">
                                <w:rPr>
                                  <w:rFonts w:ascii="Calibri" w:eastAsia="Times New Roman" w:hAnsi="Calibri" w:cs="Calibri"/>
                                  <w:b/>
                                  <w:color w:val="000000"/>
                                </w:rPr>
                                <w:t xml:space="preserve"> </w:t>
                              </w:r>
                              <w:r>
                                <w:rPr>
                                  <w:rFonts w:ascii="Calibri" w:eastAsia="Times New Roman" w:hAnsi="Calibri" w:cs="Calibri"/>
                                  <w:b/>
                                  <w:color w:val="000000"/>
                                </w:rPr>
                                <w:t>(0.06%)</w:t>
                              </w:r>
                            </w:p>
                            <w:p w14:paraId="608DB649" w14:textId="77777777" w:rsidR="000744FC" w:rsidRDefault="000744FC" w:rsidP="005A7533">
                              <w:pPr>
                                <w:pStyle w:val="Default"/>
                                <w:jc w:val="center"/>
                                <w:rPr>
                                  <w:rFonts w:asciiTheme="minorHAnsi" w:hAnsiTheme="minorHAnsi" w:cstheme="minorHAnsi"/>
                                  <w:sz w:val="22"/>
                                  <w:szCs w:val="22"/>
                                </w:rPr>
                              </w:pPr>
                              <w:r>
                                <w:rPr>
                                  <w:rFonts w:asciiTheme="minorHAnsi" w:hAnsiTheme="minorHAnsi" w:cstheme="minorHAnsi"/>
                                  <w:sz w:val="22"/>
                                  <w:szCs w:val="22"/>
                                </w:rPr>
                                <w:t>)</w:t>
                              </w:r>
                            </w:p>
                            <w:p w14:paraId="3796ECB5" w14:textId="77777777" w:rsidR="000744FC" w:rsidRDefault="000744FC" w:rsidP="005A7533">
                              <w:pPr>
                                <w:pStyle w:val="Default"/>
                                <w:jc w:val="center"/>
                                <w:rPr>
                                  <w:rFonts w:ascii="Arial" w:hAnsi="Arial" w:cs="Arial"/>
                                  <w:sz w:val="20"/>
                                  <w:szCs w:val="20"/>
                                </w:rPr>
                              </w:pPr>
                            </w:p>
                            <w:p w14:paraId="34039B98" w14:textId="77777777" w:rsidR="000744FC" w:rsidRDefault="000744FC" w:rsidP="005A7533">
                              <w:pPr>
                                <w:ind w:left="360" w:hanging="360"/>
                                <w:rPr>
                                  <w:rFonts w:cs="Calibri"/>
                                </w:rPr>
                              </w:pPr>
                            </w:p>
                          </w:txbxContent>
                        </wps:txbx>
                        <wps:bodyPr rot="0" vert="horz" wrap="square" lIns="91440" tIns="91440" rIns="91440" bIns="91440" anchor="t" anchorCtr="0" upright="1">
                          <a:noAutofit/>
                        </wps:bodyPr>
                      </wps:wsp>
                      <wps:wsp>
                        <wps:cNvPr id="26" name="Straight Arrow Connector 26"/>
                        <wps:cNvCnPr/>
                        <wps:spPr>
                          <a:xfrm>
                            <a:off x="1609725" y="4543425"/>
                            <a:ext cx="1851660"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0" name="Straight Arrow Connector 30"/>
                        <wps:cNvCnPr/>
                        <wps:spPr>
                          <a:xfrm>
                            <a:off x="1600200" y="5372100"/>
                            <a:ext cx="1851660"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9" name="Straight Arrow Connector 19"/>
                        <wps:cNvCnPr>
                          <a:cxnSpLocks noChangeShapeType="1"/>
                        </wps:cNvCnPr>
                        <wps:spPr bwMode="auto">
                          <a:xfrm>
                            <a:off x="1609725" y="2952750"/>
                            <a:ext cx="635" cy="46101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wgp>
                  </a:graphicData>
                </a:graphic>
              </wp:anchor>
            </w:drawing>
          </mc:Choice>
          <mc:Fallback>
            <w:pict>
              <v:group w14:anchorId="161CE66B" id="Group 33" o:spid="_x0000_s1042" style="position:absolute;left:0;text-align:left;margin-left:26.25pt;margin-top:3.05pt;width:446.85pt;height:493.95pt;z-index:251691008" coordsize="56749,62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">
                <v:rect id="Rectangle 6" o:spid="_x0000_s1043" style="position:absolute;left:1809;width:28728;height:8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">
                  <v:textbox inset=",7.2pt,,7.2pt">
                    <w:txbxContent>
                      <w:p w14:paraId="27A7F26D" w14:textId="559D9C7B" w:rsidR="000744FC" w:rsidRDefault="000744FC" w:rsidP="005A7533">
                        <w:pPr>
                          <w:jc w:val="center"/>
                          <w:rPr>
                            <w:rFonts w:cstheme="minorHAnsi"/>
                          </w:rPr>
                        </w:pPr>
                        <w:r>
                          <w:rPr>
                            <w:rFonts w:cstheme="minorHAnsi"/>
                            <w:lang w:val="en-CA"/>
                          </w:rPr>
                          <w:t xml:space="preserve">Total Population in Database for measurement year – CY </w:t>
                        </w:r>
                        <w:r w:rsidRPr="003129A0">
                          <w:rPr>
                            <w:rFonts w:cstheme="minorHAnsi"/>
                            <w:lang w:val="en-CA"/>
                          </w:rPr>
                          <w:t>20</w:t>
                        </w:r>
                        <w:r>
                          <w:rPr>
                            <w:rFonts w:cstheme="minorHAnsi"/>
                            <w:lang w:val="en-CA"/>
                          </w:rPr>
                          <w:t>14</w:t>
                        </w:r>
                        <w:r>
                          <w:rPr>
                            <w:rFonts w:cstheme="minorHAnsi"/>
                            <w:lang w:val="en-CA"/>
                          </w:rPr>
                          <w:br/>
                        </w:r>
                        <w:r>
                          <w:rPr>
                            <w:rFonts w:cstheme="minorHAnsi"/>
                            <w:b/>
                            <w:lang w:val="en-CA"/>
                          </w:rPr>
                          <w:t xml:space="preserve">N = </w:t>
                        </w:r>
                        <w:r w:rsidRPr="001F5D85">
                          <w:rPr>
                            <w:rFonts w:cstheme="minorHAnsi"/>
                            <w:b/>
                            <w:lang w:val="en-CA"/>
                          </w:rPr>
                          <w:t>25</w:t>
                        </w:r>
                        <w:r>
                          <w:rPr>
                            <w:rFonts w:cstheme="minorHAnsi"/>
                            <w:b/>
                            <w:lang w:val="en-CA"/>
                          </w:rPr>
                          <w:t>,</w:t>
                        </w:r>
                        <w:r w:rsidRPr="001F5D85">
                          <w:rPr>
                            <w:rFonts w:cstheme="minorHAnsi"/>
                            <w:b/>
                            <w:lang w:val="en-CA"/>
                          </w:rPr>
                          <w:t>774</w:t>
                        </w:r>
                        <w:r>
                          <w:rPr>
                            <w:rFonts w:cstheme="minorHAnsi"/>
                            <w:b/>
                            <w:lang w:val="en-CA"/>
                          </w:rPr>
                          <w:t>,</w:t>
                        </w:r>
                        <w:r w:rsidRPr="001F5D85">
                          <w:rPr>
                            <w:rFonts w:cstheme="minorHAnsi"/>
                            <w:b/>
                            <w:lang w:val="en-CA"/>
                          </w:rPr>
                          <w:t xml:space="preserve">530 </w:t>
                        </w:r>
                        <w:r>
                          <w:rPr>
                            <w:rFonts w:cstheme="minorHAnsi"/>
                            <w:b/>
                            <w:lang w:val="en-CA"/>
                          </w:rPr>
                          <w:t>(100.0%)</w:t>
                        </w:r>
                      </w:p>
                    </w:txbxContent>
                  </v:textbox>
                </v:rect>
                <v:shape id="Straight Arrow Connector 12" o:spid="_x0000_s1044" type="#_x0000_t32" style="position:absolute;left:16097;top:8096;width:6;height:46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">
                  <v:stroke endarrow="block"/>
                  <v:shadow color="#ccc"/>
                </v:shape>
                <v:shape id="Straight Arrow Connector 16" o:spid="_x0000_s1045" type="#_x0000_t32" style="position:absolute;left:16097;top:19050;width:6;height:46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">
                  <v:stroke endarrow="block"/>
                  <v:shadow color="#ccc"/>
                </v:shape>
                <v:rect id="Rectangle 15" o:spid="_x0000_s1046" style="position:absolute;left:1333;top:12668;width:29642;height:7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">
                  <v:textbox inset=",7.2pt,,7.2pt">
                    <w:txbxContent>
                      <w:p w14:paraId="7707FD11" w14:textId="77777777" w:rsidR="000744FC" w:rsidRDefault="000744FC" w:rsidP="005A7533">
                        <w:pPr>
                          <w:spacing w:after="0"/>
                          <w:ind w:left="360" w:hanging="360"/>
                          <w:jc w:val="center"/>
                          <w:rPr>
                            <w:rFonts w:cstheme="minorHAnsi"/>
                          </w:rPr>
                        </w:pPr>
                        <w:r>
                          <w:rPr>
                            <w:rFonts w:cstheme="minorHAnsi"/>
                          </w:rPr>
                          <w:t>18 years of age or older by the first day of the measurement year</w:t>
                        </w:r>
                      </w:p>
                      <w:p w14:paraId="08845D68" w14:textId="38B17BD0"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 xml:space="preserve"> N = </w:t>
                        </w:r>
                        <w:r w:rsidRPr="001F5D85">
                          <w:rPr>
                            <w:rFonts w:asciiTheme="minorHAnsi" w:hAnsiTheme="minorHAnsi" w:cstheme="minorHAnsi"/>
                            <w:b/>
                            <w:sz w:val="22"/>
                            <w:szCs w:val="22"/>
                          </w:rPr>
                          <w:t>11</w:t>
                        </w:r>
                        <w:r>
                          <w:rPr>
                            <w:rFonts w:asciiTheme="minorHAnsi" w:hAnsiTheme="minorHAnsi" w:cstheme="minorHAnsi"/>
                            <w:b/>
                            <w:sz w:val="22"/>
                            <w:szCs w:val="22"/>
                          </w:rPr>
                          <w:t>,</w:t>
                        </w:r>
                        <w:r w:rsidRPr="001F5D85">
                          <w:rPr>
                            <w:rFonts w:asciiTheme="minorHAnsi" w:hAnsiTheme="minorHAnsi" w:cstheme="minorHAnsi"/>
                            <w:b/>
                            <w:sz w:val="22"/>
                            <w:szCs w:val="22"/>
                          </w:rPr>
                          <w:t>745</w:t>
                        </w:r>
                        <w:r>
                          <w:rPr>
                            <w:rFonts w:asciiTheme="minorHAnsi" w:hAnsiTheme="minorHAnsi" w:cstheme="minorHAnsi"/>
                            <w:b/>
                            <w:sz w:val="22"/>
                            <w:szCs w:val="22"/>
                          </w:rPr>
                          <w:t>,</w:t>
                        </w:r>
                        <w:r w:rsidRPr="001F5D85">
                          <w:rPr>
                            <w:rFonts w:asciiTheme="minorHAnsi" w:hAnsiTheme="minorHAnsi" w:cstheme="minorHAnsi"/>
                            <w:b/>
                            <w:sz w:val="22"/>
                            <w:szCs w:val="22"/>
                          </w:rPr>
                          <w:t xml:space="preserve">722 </w:t>
                        </w:r>
                        <w:r>
                          <w:rPr>
                            <w:rFonts w:asciiTheme="minorHAnsi" w:hAnsiTheme="minorHAnsi" w:cstheme="minorHAnsi"/>
                            <w:b/>
                            <w:sz w:val="22"/>
                            <w:szCs w:val="22"/>
                          </w:rPr>
                          <w:t>(45.6%)</w:t>
                        </w:r>
                      </w:p>
                    </w:txbxContent>
                  </v:textbox>
                </v:rect>
                <v:rect id="Rectangle 17" o:spid="_x0000_s1047" style="position:absolute;left:1333;top:23622;width:29870;height:7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">
                  <v:textbox inset=",7.2pt,,7.2pt">
                    <w:txbxContent>
                      <w:p w14:paraId="70DAD5E4" w14:textId="77777777" w:rsidR="000744FC" w:rsidRDefault="000744FC" w:rsidP="005A7533">
                        <w:pPr>
                          <w:spacing w:after="0" w:line="240" w:lineRule="auto"/>
                          <w:ind w:left="360" w:hanging="360"/>
                          <w:jc w:val="center"/>
                          <w:rPr>
                            <w:rFonts w:cstheme="minorHAnsi"/>
                          </w:rPr>
                        </w:pPr>
                        <w:r>
                          <w:rPr>
                            <w:rFonts w:cstheme="minorHAnsi"/>
                          </w:rPr>
                          <w:t>Continuous enrollment</w:t>
                        </w:r>
                        <w:r>
                          <w:rPr>
                            <w:rFonts w:cstheme="minorHAnsi"/>
                            <w:vertAlign w:val="superscript"/>
                          </w:rPr>
                          <w:t xml:space="preserve"> </w:t>
                        </w:r>
                        <w:r>
                          <w:rPr>
                            <w:rFonts w:cstheme="minorHAnsi"/>
                          </w:rPr>
                          <w:t>during the measurement year</w:t>
                        </w:r>
                      </w:p>
                      <w:p w14:paraId="164C7781" w14:textId="0BE64468"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 xml:space="preserve"> N = </w:t>
                        </w:r>
                        <w:r w:rsidRPr="001F5D85">
                          <w:rPr>
                            <w:rFonts w:asciiTheme="minorHAnsi" w:hAnsiTheme="minorHAnsi" w:cstheme="minorHAnsi"/>
                            <w:b/>
                            <w:sz w:val="22"/>
                            <w:szCs w:val="22"/>
                          </w:rPr>
                          <w:t>6</w:t>
                        </w:r>
                        <w:r>
                          <w:rPr>
                            <w:rFonts w:asciiTheme="minorHAnsi" w:hAnsiTheme="minorHAnsi" w:cstheme="minorHAnsi"/>
                            <w:b/>
                            <w:sz w:val="22"/>
                            <w:szCs w:val="22"/>
                          </w:rPr>
                          <w:t>,</w:t>
                        </w:r>
                        <w:r w:rsidRPr="001F5D85">
                          <w:rPr>
                            <w:rFonts w:asciiTheme="minorHAnsi" w:hAnsiTheme="minorHAnsi" w:cstheme="minorHAnsi"/>
                            <w:b/>
                            <w:sz w:val="22"/>
                            <w:szCs w:val="22"/>
                          </w:rPr>
                          <w:t>889</w:t>
                        </w:r>
                        <w:r>
                          <w:rPr>
                            <w:rFonts w:asciiTheme="minorHAnsi" w:hAnsiTheme="minorHAnsi" w:cstheme="minorHAnsi"/>
                            <w:b/>
                            <w:sz w:val="22"/>
                            <w:szCs w:val="22"/>
                          </w:rPr>
                          <w:t>,</w:t>
                        </w:r>
                        <w:r w:rsidRPr="001F5D85">
                          <w:rPr>
                            <w:rFonts w:asciiTheme="minorHAnsi" w:hAnsiTheme="minorHAnsi" w:cstheme="minorHAnsi"/>
                            <w:b/>
                            <w:sz w:val="22"/>
                            <w:szCs w:val="22"/>
                          </w:rPr>
                          <w:t xml:space="preserve">293 </w:t>
                        </w:r>
                        <w:r>
                          <w:rPr>
                            <w:rFonts w:asciiTheme="minorHAnsi" w:hAnsiTheme="minorHAnsi" w:cstheme="minorHAnsi"/>
                            <w:b/>
                            <w:sz w:val="22"/>
                            <w:szCs w:val="22"/>
                          </w:rPr>
                          <w:t>(26.7%)</w:t>
                        </w:r>
                      </w:p>
                      <w:p w14:paraId="0E914417" w14:textId="77777777" w:rsidR="000744FC" w:rsidRDefault="000744FC" w:rsidP="005A7533">
                        <w:pPr>
                          <w:ind w:left="360" w:hanging="360"/>
                          <w:rPr>
                            <w:rFonts w:cs="Calibri"/>
                          </w:rPr>
                        </w:pPr>
                      </w:p>
                    </w:txbxContent>
                  </v:textbox>
                </v:rect>
                <v:shape id="Straight Arrow Connector 29" o:spid="_x0000_s1048" type="#_x0000_t32" style="position:absolute;left:16002;top:51911;width:6;height:46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">
                  <v:stroke endarrow="block"/>
                  <v:shadow color="#ccc"/>
                </v:shape>
                <v:shape id="Straight Arrow Connector 25" o:spid="_x0000_s1049" type="#_x0000_t32" style="position:absolute;left:16097;top:43815;width:6;height:46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">
                  <v:stroke endarrow="block"/>
                  <v:shadow color="#ccc"/>
                </v:shape>
                <v:rect id="Rectangle 22" o:spid="_x0000_s1050" style="position:absolute;top:34099;width:32232;height:9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">
                  <v:textbox inset=",7.2pt,,7.2pt">
                    <w:txbxContent>
                      <w:p w14:paraId="4442CA17" w14:textId="77777777" w:rsidR="000744FC" w:rsidRDefault="000744FC" w:rsidP="005A7533">
                        <w:pPr>
                          <w:spacing w:after="0"/>
                          <w:ind w:left="360" w:hanging="360"/>
                          <w:jc w:val="center"/>
                          <w:rPr>
                            <w:rFonts w:cstheme="minorHAnsi"/>
                          </w:rPr>
                        </w:pPr>
                        <w:r>
                          <w:rPr>
                            <w:rFonts w:cstheme="minorHAnsi"/>
                          </w:rPr>
                          <w:t>≥2 prescriptions for opioids with unique dates of service, for which the sum of the days’ supply is ≥15 during the measurement year</w:t>
                        </w:r>
                      </w:p>
                      <w:p w14:paraId="514FA667" w14:textId="0BE2EEA5"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 xml:space="preserve"> N = </w:t>
                        </w:r>
                        <w:r w:rsidRPr="001F5D85">
                          <w:rPr>
                            <w:rFonts w:asciiTheme="minorHAnsi" w:hAnsiTheme="minorHAnsi" w:cstheme="minorHAnsi"/>
                            <w:b/>
                            <w:sz w:val="22"/>
                            <w:szCs w:val="22"/>
                          </w:rPr>
                          <w:t>4</w:t>
                        </w:r>
                        <w:r>
                          <w:rPr>
                            <w:rFonts w:asciiTheme="minorHAnsi" w:hAnsiTheme="minorHAnsi" w:cstheme="minorHAnsi"/>
                            <w:b/>
                            <w:sz w:val="22"/>
                            <w:szCs w:val="22"/>
                          </w:rPr>
                          <w:t>,</w:t>
                        </w:r>
                        <w:r w:rsidRPr="001F5D85">
                          <w:rPr>
                            <w:rFonts w:asciiTheme="minorHAnsi" w:hAnsiTheme="minorHAnsi" w:cstheme="minorHAnsi"/>
                            <w:b/>
                            <w:sz w:val="22"/>
                            <w:szCs w:val="22"/>
                          </w:rPr>
                          <w:t>482</w:t>
                        </w:r>
                        <w:r>
                          <w:rPr>
                            <w:rFonts w:asciiTheme="minorHAnsi" w:hAnsiTheme="minorHAnsi" w:cstheme="minorHAnsi"/>
                            <w:b/>
                            <w:sz w:val="22"/>
                            <w:szCs w:val="22"/>
                          </w:rPr>
                          <w:t>,</w:t>
                        </w:r>
                        <w:r w:rsidRPr="001F5D85">
                          <w:rPr>
                            <w:rFonts w:asciiTheme="minorHAnsi" w:hAnsiTheme="minorHAnsi" w:cstheme="minorHAnsi"/>
                            <w:b/>
                            <w:sz w:val="22"/>
                            <w:szCs w:val="22"/>
                          </w:rPr>
                          <w:t xml:space="preserve">714 </w:t>
                        </w:r>
                        <w:r>
                          <w:rPr>
                            <w:rFonts w:asciiTheme="minorHAnsi" w:hAnsiTheme="minorHAnsi" w:cstheme="minorHAnsi"/>
                            <w:b/>
                            <w:sz w:val="22"/>
                            <w:szCs w:val="22"/>
                          </w:rPr>
                          <w:t>(17.4%)</w:t>
                        </w:r>
                      </w:p>
                    </w:txbxContent>
                  </v:textbox>
                </v:rect>
                <v:rect id="Rectangle 27" o:spid="_x0000_s1051" style="position:absolute;left:6000;top:48387;width:20269;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">
                  <v:textbox inset=",7.2pt,,7.2pt">
                    <w:txbxContent>
                      <w:p w14:paraId="3F805CBF" w14:textId="263BA162"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 xml:space="preserve">N = </w:t>
                        </w:r>
                        <w:r w:rsidRPr="001F5D85">
                          <w:rPr>
                            <w:rFonts w:asciiTheme="minorHAnsi" w:hAnsiTheme="minorHAnsi" w:cstheme="minorHAnsi"/>
                            <w:b/>
                            <w:sz w:val="22"/>
                            <w:szCs w:val="22"/>
                          </w:rPr>
                          <w:t>4</w:t>
                        </w:r>
                        <w:r>
                          <w:rPr>
                            <w:rFonts w:asciiTheme="minorHAnsi" w:hAnsiTheme="minorHAnsi" w:cstheme="minorHAnsi"/>
                            <w:b/>
                            <w:sz w:val="22"/>
                            <w:szCs w:val="22"/>
                          </w:rPr>
                          <w:t>,</w:t>
                        </w:r>
                        <w:r w:rsidRPr="001F5D85">
                          <w:rPr>
                            <w:rFonts w:asciiTheme="minorHAnsi" w:hAnsiTheme="minorHAnsi" w:cstheme="minorHAnsi"/>
                            <w:b/>
                            <w:sz w:val="22"/>
                            <w:szCs w:val="22"/>
                          </w:rPr>
                          <w:t>480</w:t>
                        </w:r>
                        <w:r>
                          <w:rPr>
                            <w:rFonts w:asciiTheme="minorHAnsi" w:hAnsiTheme="minorHAnsi" w:cstheme="minorHAnsi"/>
                            <w:b/>
                            <w:sz w:val="22"/>
                            <w:szCs w:val="22"/>
                          </w:rPr>
                          <w:t>,</w:t>
                        </w:r>
                        <w:r w:rsidRPr="001F5D85">
                          <w:rPr>
                            <w:rFonts w:asciiTheme="minorHAnsi" w:hAnsiTheme="minorHAnsi" w:cstheme="minorHAnsi"/>
                            <w:b/>
                            <w:sz w:val="22"/>
                            <w:szCs w:val="22"/>
                          </w:rPr>
                          <w:t xml:space="preserve">781 </w:t>
                        </w:r>
                        <w:r>
                          <w:rPr>
                            <w:rFonts w:asciiTheme="minorHAnsi" w:hAnsiTheme="minorHAnsi" w:cstheme="minorHAnsi"/>
                            <w:b/>
                            <w:sz w:val="22"/>
                            <w:szCs w:val="22"/>
                          </w:rPr>
                          <w:t>(17.4%)</w:t>
                        </w:r>
                      </w:p>
                    </w:txbxContent>
                  </v:textbox>
                </v:rect>
                <v:rect id="Rectangle 31" o:spid="_x0000_s1052" style="position:absolute;left:5905;top:56483;width:20269;height:6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">
                  <v:textbox inset=",7.2pt,,7.2pt">
                    <w:txbxContent>
                      <w:p w14:paraId="64C5D128" w14:textId="16546D06" w:rsidR="000744FC" w:rsidRDefault="000744FC" w:rsidP="005A7533">
                        <w:pPr>
                          <w:spacing w:after="0" w:line="240" w:lineRule="auto"/>
                          <w:jc w:val="center"/>
                          <w:rPr>
                            <w:rFonts w:ascii="Calibri" w:eastAsia="Times New Roman" w:hAnsi="Calibri" w:cs="Calibri"/>
                            <w:b/>
                            <w:color w:val="000000"/>
                          </w:rPr>
                        </w:pPr>
                        <w:r>
                          <w:rPr>
                            <w:rFonts w:ascii="Calibri" w:eastAsia="Times New Roman" w:hAnsi="Calibri" w:cs="Calibri"/>
                            <w:b/>
                            <w:color w:val="000000"/>
                          </w:rPr>
                          <w:t xml:space="preserve">N = </w:t>
                        </w:r>
                        <w:r w:rsidRPr="001F5D85">
                          <w:rPr>
                            <w:rFonts w:ascii="Calibri" w:eastAsia="Times New Roman" w:hAnsi="Calibri" w:cs="Calibri"/>
                            <w:b/>
                            <w:color w:val="000000"/>
                          </w:rPr>
                          <w:t>4</w:t>
                        </w:r>
                        <w:r>
                          <w:rPr>
                            <w:rFonts w:ascii="Calibri" w:eastAsia="Times New Roman" w:hAnsi="Calibri" w:cs="Calibri"/>
                            <w:b/>
                            <w:color w:val="000000"/>
                          </w:rPr>
                          <w:t>,</w:t>
                        </w:r>
                        <w:r w:rsidRPr="001F5D85">
                          <w:rPr>
                            <w:rFonts w:ascii="Calibri" w:eastAsia="Times New Roman" w:hAnsi="Calibri" w:cs="Calibri"/>
                            <w:b/>
                            <w:color w:val="000000"/>
                          </w:rPr>
                          <w:t>464</w:t>
                        </w:r>
                        <w:r>
                          <w:rPr>
                            <w:rFonts w:ascii="Calibri" w:eastAsia="Times New Roman" w:hAnsi="Calibri" w:cs="Calibri"/>
                            <w:b/>
                            <w:color w:val="000000"/>
                          </w:rPr>
                          <w:t>,</w:t>
                        </w:r>
                        <w:r w:rsidRPr="001F5D85">
                          <w:rPr>
                            <w:rFonts w:ascii="Calibri" w:eastAsia="Times New Roman" w:hAnsi="Calibri" w:cs="Calibri"/>
                            <w:b/>
                            <w:color w:val="000000"/>
                          </w:rPr>
                          <w:t xml:space="preserve">939 </w:t>
                        </w:r>
                        <w:r>
                          <w:rPr>
                            <w:rFonts w:ascii="Calibri" w:eastAsia="Times New Roman" w:hAnsi="Calibri" w:cs="Calibri"/>
                            <w:b/>
                            <w:color w:val="000000"/>
                          </w:rPr>
                          <w:t>(17.3%)</w:t>
                        </w:r>
                      </w:p>
                      <w:p w14:paraId="13F5D136" w14:textId="77777777"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color w:val="002060"/>
                            <w:sz w:val="22"/>
                            <w:szCs w:val="22"/>
                          </w:rPr>
                          <w:t>This is the Eligible Population</w:t>
                        </w:r>
                      </w:p>
                    </w:txbxContent>
                  </v:textbox>
                </v:rect>
                <v:rect id="Rectangle 24" o:spid="_x0000_s1053" style="position:absolute;left:34956;top:41910;width:21793;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">
                  <v:textbox inset=",7.2pt,,7.2pt">
                    <w:txbxContent>
                      <w:p w14:paraId="25B23781" w14:textId="77777777" w:rsidR="000744FC" w:rsidRDefault="000744FC" w:rsidP="005A7533">
                        <w:pPr>
                          <w:spacing w:after="0" w:line="240" w:lineRule="auto"/>
                          <w:ind w:left="360" w:hanging="360"/>
                          <w:jc w:val="center"/>
                          <w:rPr>
                            <w:rFonts w:cstheme="minorHAnsi"/>
                          </w:rPr>
                        </w:pPr>
                        <w:r>
                          <w:rPr>
                            <w:rFonts w:cstheme="minorHAnsi"/>
                          </w:rPr>
                          <w:t>Exclude individuals in hospice</w:t>
                        </w:r>
                        <w:r>
                          <w:rPr>
                            <w:rFonts w:cstheme="minorHAnsi"/>
                            <w:vertAlign w:val="superscript"/>
                          </w:rPr>
                          <w:t xml:space="preserve"> </w:t>
                        </w:r>
                        <w:r>
                          <w:rPr>
                            <w:rFonts w:cstheme="minorHAnsi"/>
                          </w:rPr>
                          <w:t>during the measurement year</w:t>
                        </w:r>
                      </w:p>
                      <w:p w14:paraId="41081D90" w14:textId="4FFAFB14" w:rsidR="000744FC" w:rsidRDefault="000744FC" w:rsidP="005A7533">
                        <w:pPr>
                          <w:pStyle w:val="Default"/>
                          <w:jc w:val="center"/>
                          <w:rPr>
                            <w:rFonts w:asciiTheme="minorHAnsi" w:hAnsiTheme="minorHAnsi" w:cstheme="minorHAnsi"/>
                            <w:b/>
                            <w:sz w:val="22"/>
                            <w:szCs w:val="22"/>
                          </w:rPr>
                        </w:pPr>
                        <w:r>
                          <w:rPr>
                            <w:rFonts w:asciiTheme="minorHAnsi" w:hAnsiTheme="minorHAnsi" w:cstheme="minorHAnsi"/>
                            <w:b/>
                            <w:sz w:val="22"/>
                            <w:szCs w:val="22"/>
                          </w:rPr>
                          <w:t>N = 1,933 (0.01%)</w:t>
                        </w:r>
                      </w:p>
                      <w:p w14:paraId="6F630503" w14:textId="77777777" w:rsidR="000744FC" w:rsidRDefault="000744FC" w:rsidP="005A7533">
                        <w:pPr>
                          <w:pStyle w:val="Default"/>
                          <w:jc w:val="center"/>
                          <w:rPr>
                            <w:rFonts w:ascii="Arial" w:hAnsi="Arial" w:cs="Arial"/>
                            <w:sz w:val="20"/>
                            <w:szCs w:val="20"/>
                          </w:rPr>
                        </w:pPr>
                      </w:p>
                      <w:p w14:paraId="44C42CEA" w14:textId="77777777" w:rsidR="000744FC" w:rsidRDefault="000744FC" w:rsidP="005A7533">
                        <w:pPr>
                          <w:ind w:left="360" w:hanging="360"/>
                          <w:rPr>
                            <w:rFonts w:cs="Calibri"/>
                          </w:rPr>
                        </w:pPr>
                      </w:p>
                    </w:txbxContent>
                  </v:textbox>
                </v:rect>
                <v:rect id="Rectangle 28" o:spid="_x0000_s1054" style="position:absolute;left:34956;top:51149;width:21793;height:8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">
                  <v:textbox inset=",7.2pt,,7.2pt">
                    <w:txbxContent>
                      <w:p w14:paraId="62301201" w14:textId="77777777" w:rsidR="000744FC" w:rsidRDefault="000744FC" w:rsidP="005A7533">
                        <w:pPr>
                          <w:spacing w:after="0" w:line="240" w:lineRule="auto"/>
                          <w:ind w:left="360" w:hanging="360"/>
                          <w:jc w:val="center"/>
                          <w:rPr>
                            <w:rFonts w:cstheme="minorHAnsi"/>
                          </w:rPr>
                        </w:pPr>
                        <w:r>
                          <w:rPr>
                            <w:rFonts w:cstheme="minorHAnsi"/>
                          </w:rPr>
                          <w:t>Exclude individuals with a cancer diagnosis during the measurement year</w:t>
                        </w:r>
                      </w:p>
                      <w:p w14:paraId="692F8EFF" w14:textId="7433B0B5" w:rsidR="000744FC" w:rsidRDefault="000744FC" w:rsidP="005A7533">
                        <w:pPr>
                          <w:jc w:val="center"/>
                          <w:rPr>
                            <w:rFonts w:ascii="Calibri" w:eastAsia="Times New Roman" w:hAnsi="Calibri" w:cs="Calibri"/>
                            <w:b/>
                            <w:color w:val="000000"/>
                          </w:rPr>
                        </w:pPr>
                        <w:r>
                          <w:rPr>
                            <w:rFonts w:cstheme="minorHAnsi"/>
                            <w:b/>
                          </w:rPr>
                          <w:t xml:space="preserve"> N = </w:t>
                        </w:r>
                        <w:r w:rsidRPr="001F5D85">
                          <w:rPr>
                            <w:rFonts w:ascii="Calibri" w:eastAsia="Times New Roman" w:hAnsi="Calibri" w:cs="Calibri"/>
                            <w:b/>
                            <w:color w:val="000000"/>
                          </w:rPr>
                          <w:t>1</w:t>
                        </w:r>
                        <w:r>
                          <w:rPr>
                            <w:rFonts w:ascii="Calibri" w:eastAsia="Times New Roman" w:hAnsi="Calibri" w:cs="Calibri"/>
                            <w:b/>
                            <w:color w:val="000000"/>
                          </w:rPr>
                          <w:t>5,842</w:t>
                        </w:r>
                        <w:r w:rsidRPr="001F5D85">
                          <w:rPr>
                            <w:rFonts w:ascii="Calibri" w:eastAsia="Times New Roman" w:hAnsi="Calibri" w:cs="Calibri"/>
                            <w:b/>
                            <w:color w:val="000000"/>
                          </w:rPr>
                          <w:t xml:space="preserve"> </w:t>
                        </w:r>
                        <w:r>
                          <w:rPr>
                            <w:rFonts w:ascii="Calibri" w:eastAsia="Times New Roman" w:hAnsi="Calibri" w:cs="Calibri"/>
                            <w:b/>
                            <w:color w:val="000000"/>
                          </w:rPr>
                          <w:t>(0.06%)</w:t>
                        </w:r>
                      </w:p>
                      <w:p w14:paraId="608DB649" w14:textId="77777777" w:rsidR="000744FC" w:rsidRDefault="000744FC" w:rsidP="005A7533">
                        <w:pPr>
                          <w:pStyle w:val="Default"/>
                          <w:jc w:val="center"/>
                          <w:rPr>
                            <w:rFonts w:asciiTheme="minorHAnsi" w:hAnsiTheme="minorHAnsi" w:cstheme="minorHAnsi"/>
                            <w:sz w:val="22"/>
                            <w:szCs w:val="22"/>
                          </w:rPr>
                        </w:pPr>
                        <w:r>
                          <w:rPr>
                            <w:rFonts w:asciiTheme="minorHAnsi" w:hAnsiTheme="minorHAnsi" w:cstheme="minorHAnsi"/>
                            <w:sz w:val="22"/>
                            <w:szCs w:val="22"/>
                          </w:rPr>
                          <w:t>)</w:t>
                        </w:r>
                      </w:p>
                      <w:p w14:paraId="3796ECB5" w14:textId="77777777" w:rsidR="000744FC" w:rsidRDefault="000744FC" w:rsidP="005A7533">
                        <w:pPr>
                          <w:pStyle w:val="Default"/>
                          <w:jc w:val="center"/>
                          <w:rPr>
                            <w:rFonts w:ascii="Arial" w:hAnsi="Arial" w:cs="Arial"/>
                            <w:sz w:val="20"/>
                            <w:szCs w:val="20"/>
                          </w:rPr>
                        </w:pPr>
                      </w:p>
                      <w:p w14:paraId="34039B98" w14:textId="77777777" w:rsidR="000744FC" w:rsidRDefault="000744FC" w:rsidP="005A7533">
                        <w:pPr>
                          <w:ind w:left="360" w:hanging="360"/>
                          <w:rPr>
                            <w:rFonts w:cs="Calibri"/>
                          </w:rPr>
                        </w:pPr>
                      </w:p>
                    </w:txbxContent>
                  </v:textbox>
                </v:rect>
                <v:shape id="Straight Arrow Connector 26" o:spid="_x0000_s1055" type="#_x0000_t32" style="position:absolute;left:16097;top:45434;width:185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" strokecolor="black [3200]" strokeweight="2pt">
                  <v:stroke endarrow="block"/>
                  <v:shadow on="t" color="black" opacity="24903f" origin=",.5" offset="0,.55556mm"/>
                </v:shape>
                <v:shape id="Straight Arrow Connector 30" o:spid="_x0000_s1056" type="#_x0000_t32" style="position:absolute;left:16002;top:53721;width:185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" strokecolor="black [3200]" strokeweight="2pt">
                  <v:stroke endarrow="block"/>
                  <v:shadow on="t" color="black" opacity="24903f" origin=",.5" offset="0,.55556mm"/>
                </v:shape>
                <v:shape id="Straight Arrow Connector 19" o:spid="_x0000_s1057" type="#_x0000_t32" style="position:absolute;left:16097;top:29527;width:6;height:46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">
                  <v:stroke endarrow="block"/>
                  <v:shadow color="#ccc"/>
                </v:shape>
              </v:group>
            </w:pict>
          </mc:Fallback>
        </mc:AlternateContent>
      </w:r>
    </w:p>
    <w:p w14:paraId="45785564" w14:textId="77777777" w:rsidR="005A7533" w:rsidRDefault="005A7533" w:rsidP="005A7533">
      <w:pPr>
        <w:ind w:left="720" w:firstLine="720"/>
        <w:rPr>
          <w:rFonts w:cstheme="minorHAnsi"/>
        </w:rPr>
      </w:pPr>
    </w:p>
    <w:p w14:paraId="3470C4F4" w14:textId="3B863016" w:rsidR="005A7533" w:rsidRDefault="005A7533" w:rsidP="005A7533">
      <w:pPr>
        <w:rPr>
          <w:rFonts w:cstheme="minorHAnsi"/>
        </w:rPr>
      </w:pPr>
      <w:r>
        <w:rPr>
          <w:noProof/>
        </w:rPr>
        <mc:AlternateContent>
          <mc:Choice Requires="wps">
            <w:drawing>
              <wp:anchor distT="36576" distB="36576" distL="36576" distR="36576" simplePos="0" relativeHeight="251677696" behindDoc="0" locked="0" layoutInCell="1" allowOverlap="1" wp14:anchorId="2DBAEDC6" wp14:editId="12FF7724">
                <wp:simplePos x="0" y="0"/>
                <wp:positionH relativeFrom="column">
                  <wp:posOffset>3261360</wp:posOffset>
                </wp:positionH>
                <wp:positionV relativeFrom="paragraph">
                  <wp:posOffset>1842135</wp:posOffset>
                </wp:positionV>
                <wp:extent cx="635" cy="461010"/>
                <wp:effectExtent l="76200" t="0" r="75565" b="5334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6101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DE605A6" id="Straight Arrow Connector 18" o:spid="_x0000_s1026" type="#_x0000_t32" style="position:absolute;margin-left:256.8pt;margin-top:145.05pt;width:.05pt;height:36.3pt;z-index:2516776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">
                <v:stroke endarrow="block"/>
                <v:shadow color="#ccc"/>
              </v:shape>
            </w:pict>
          </mc:Fallback>
        </mc:AlternateContent>
      </w:r>
    </w:p>
    <w:p w14:paraId="6540A67F" w14:textId="77777777" w:rsidR="005A7533" w:rsidRDefault="005A7533" w:rsidP="005A7533">
      <w:pPr>
        <w:rPr>
          <w:rFonts w:cstheme="minorHAnsi"/>
        </w:rPr>
      </w:pPr>
    </w:p>
    <w:p w14:paraId="7C403884" w14:textId="1FB23D09" w:rsidR="005A7533" w:rsidRDefault="005A7533" w:rsidP="005A7533">
      <w:pPr>
        <w:rPr>
          <w:rFonts w:cstheme="minorHAnsi"/>
        </w:rPr>
      </w:pPr>
    </w:p>
    <w:p w14:paraId="46C50CC0"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1086F1B4" w14:textId="15C22030" w:rsidR="005A7533" w:rsidRDefault="005A7533" w:rsidP="005A7533">
      <w:pPr>
        <w:autoSpaceDE w:val="0"/>
        <w:autoSpaceDN w:val="0"/>
        <w:adjustRightInd w:val="0"/>
        <w:spacing w:after="0" w:line="240" w:lineRule="auto"/>
        <w:rPr>
          <w:rFonts w:ascii="Segoe UI Semilight" w:hAnsi="Segoe UI Semilight" w:cs="Segoe UI Semilight"/>
        </w:rPr>
      </w:pPr>
    </w:p>
    <w:p w14:paraId="23F3329A"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43E8F7DD"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5B79C2C8" w14:textId="381DA4EC" w:rsidR="005A7533" w:rsidRDefault="005A7533" w:rsidP="005A7533">
      <w:pPr>
        <w:autoSpaceDE w:val="0"/>
        <w:autoSpaceDN w:val="0"/>
        <w:adjustRightInd w:val="0"/>
        <w:spacing w:after="0" w:line="240" w:lineRule="auto"/>
        <w:rPr>
          <w:rFonts w:ascii="Segoe UI Semilight" w:hAnsi="Segoe UI Semilight" w:cs="Segoe UI Semilight"/>
        </w:rPr>
      </w:pPr>
    </w:p>
    <w:p w14:paraId="69326944"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4DFD4426"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082C359B" w14:textId="13EE5754" w:rsidR="005A7533" w:rsidRDefault="005A7533" w:rsidP="005A7533">
      <w:pPr>
        <w:autoSpaceDE w:val="0"/>
        <w:autoSpaceDN w:val="0"/>
        <w:adjustRightInd w:val="0"/>
        <w:spacing w:after="0" w:line="240" w:lineRule="auto"/>
        <w:rPr>
          <w:rFonts w:ascii="Segoe UI Semilight" w:hAnsi="Segoe UI Semilight" w:cs="Segoe UI Semilight"/>
        </w:rPr>
      </w:pPr>
    </w:p>
    <w:p w14:paraId="23113FF2"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67CEE913" w14:textId="1212A5E3" w:rsidR="005A7533" w:rsidRDefault="005A7533" w:rsidP="005A7533">
      <w:pPr>
        <w:autoSpaceDE w:val="0"/>
        <w:autoSpaceDN w:val="0"/>
        <w:adjustRightInd w:val="0"/>
        <w:spacing w:after="0" w:line="240" w:lineRule="auto"/>
        <w:rPr>
          <w:rFonts w:ascii="Segoe UI Semilight" w:hAnsi="Segoe UI Semilight" w:cs="Segoe UI Semilight"/>
        </w:rPr>
      </w:pPr>
    </w:p>
    <w:p w14:paraId="07D066A8"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60FEEBF5"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2EAF074C"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0BB7BAAA"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2280CD3F" w14:textId="2FAE2B77" w:rsidR="005A7533" w:rsidRDefault="005A7533" w:rsidP="005A7533">
      <w:pPr>
        <w:autoSpaceDE w:val="0"/>
        <w:autoSpaceDN w:val="0"/>
        <w:adjustRightInd w:val="0"/>
        <w:spacing w:after="0" w:line="240" w:lineRule="auto"/>
        <w:rPr>
          <w:rFonts w:ascii="Segoe UI Semilight" w:hAnsi="Segoe UI Semilight" w:cs="Segoe UI Semilight"/>
        </w:rPr>
      </w:pPr>
    </w:p>
    <w:p w14:paraId="424EBA49" w14:textId="2823EFF5" w:rsidR="005A7533" w:rsidRDefault="005A7533" w:rsidP="005A7533">
      <w:pPr>
        <w:autoSpaceDE w:val="0"/>
        <w:autoSpaceDN w:val="0"/>
        <w:adjustRightInd w:val="0"/>
        <w:spacing w:after="0" w:line="240" w:lineRule="auto"/>
        <w:rPr>
          <w:rFonts w:ascii="Segoe UI Semilight" w:hAnsi="Segoe UI Semilight" w:cs="Segoe UI Semilight"/>
        </w:rPr>
      </w:pPr>
    </w:p>
    <w:p w14:paraId="614D5889" w14:textId="071317C5" w:rsidR="005A7533" w:rsidRDefault="005A7533" w:rsidP="005A7533">
      <w:pPr>
        <w:autoSpaceDE w:val="0"/>
        <w:autoSpaceDN w:val="0"/>
        <w:adjustRightInd w:val="0"/>
        <w:spacing w:after="0" w:line="240" w:lineRule="auto"/>
        <w:rPr>
          <w:rFonts w:ascii="Segoe UI Semilight" w:hAnsi="Segoe UI Semilight" w:cs="Segoe UI Semilight"/>
        </w:rPr>
      </w:pPr>
    </w:p>
    <w:p w14:paraId="6F4A6DB0" w14:textId="48295D2E" w:rsidR="005A7533" w:rsidRDefault="005A7533" w:rsidP="005A7533">
      <w:pPr>
        <w:autoSpaceDE w:val="0"/>
        <w:autoSpaceDN w:val="0"/>
        <w:adjustRightInd w:val="0"/>
        <w:spacing w:after="0" w:line="240" w:lineRule="auto"/>
        <w:rPr>
          <w:rFonts w:ascii="Segoe UI Semilight" w:hAnsi="Segoe UI Semilight" w:cs="Segoe UI Semilight"/>
        </w:rPr>
      </w:pPr>
    </w:p>
    <w:p w14:paraId="155EE4B0" w14:textId="77777777" w:rsidR="005A7533" w:rsidRDefault="005A7533" w:rsidP="005A7533">
      <w:pPr>
        <w:autoSpaceDE w:val="0"/>
        <w:autoSpaceDN w:val="0"/>
        <w:adjustRightInd w:val="0"/>
        <w:spacing w:after="0" w:line="240" w:lineRule="auto"/>
        <w:rPr>
          <w:rFonts w:ascii="Segoe UI Semilight" w:hAnsi="Segoe UI Semilight" w:cs="Segoe UI Semilight"/>
        </w:rPr>
      </w:pPr>
    </w:p>
    <w:p w14:paraId="7477EF34" w14:textId="4A8BDF1B" w:rsidR="005A7533" w:rsidRDefault="005A7533" w:rsidP="005A7533">
      <w:pPr>
        <w:autoSpaceDE w:val="0"/>
        <w:autoSpaceDN w:val="0"/>
        <w:adjustRightInd w:val="0"/>
        <w:spacing w:after="0" w:line="240" w:lineRule="auto"/>
        <w:rPr>
          <w:rFonts w:ascii="Segoe UI Semilight" w:hAnsi="Segoe UI Semilight" w:cs="Segoe UI Semilight"/>
        </w:rPr>
      </w:pPr>
    </w:p>
    <w:p w14:paraId="382091BB" w14:textId="23BEEAAF" w:rsidR="005A7533" w:rsidRDefault="005A7533" w:rsidP="005A7533">
      <w:pPr>
        <w:autoSpaceDE w:val="0"/>
        <w:autoSpaceDN w:val="0"/>
        <w:adjustRightInd w:val="0"/>
        <w:spacing w:after="0" w:line="240" w:lineRule="auto"/>
        <w:rPr>
          <w:rFonts w:ascii="Segoe UI Semilight" w:hAnsi="Segoe UI Semilight" w:cs="Segoe UI Semilight"/>
        </w:rPr>
      </w:pPr>
    </w:p>
    <w:p w14:paraId="548385E1" w14:textId="5C36846C" w:rsidR="005A7533" w:rsidRDefault="005A7533" w:rsidP="005A7533">
      <w:pPr>
        <w:autoSpaceDE w:val="0"/>
        <w:autoSpaceDN w:val="0"/>
        <w:adjustRightInd w:val="0"/>
        <w:spacing w:after="0" w:line="240" w:lineRule="auto"/>
        <w:rPr>
          <w:rFonts w:ascii="Segoe UI Semilight" w:hAnsi="Segoe UI Semilight" w:cs="Segoe UI Semilight"/>
        </w:rPr>
      </w:pPr>
    </w:p>
    <w:p w14:paraId="54B3E580" w14:textId="77777777" w:rsidR="005A7533" w:rsidRDefault="005A7533" w:rsidP="005A7533">
      <w:pPr>
        <w:autoSpaceDE w:val="0"/>
        <w:autoSpaceDN w:val="0"/>
        <w:adjustRightInd w:val="0"/>
        <w:spacing w:after="0" w:line="240" w:lineRule="auto"/>
        <w:rPr>
          <w:rFonts w:cstheme="minorHAnsi"/>
          <w:b/>
          <w:bCs/>
        </w:rPr>
      </w:pPr>
    </w:p>
    <w:p w14:paraId="14783466" w14:textId="77777777" w:rsidR="005A7533" w:rsidRDefault="005A7533" w:rsidP="005A7533">
      <w:pPr>
        <w:autoSpaceDE w:val="0"/>
        <w:autoSpaceDN w:val="0"/>
        <w:adjustRightInd w:val="0"/>
        <w:spacing w:after="0" w:line="240" w:lineRule="auto"/>
        <w:rPr>
          <w:rFonts w:cstheme="minorHAnsi"/>
          <w:b/>
          <w:bCs/>
        </w:rPr>
      </w:pPr>
    </w:p>
    <w:p w14:paraId="627ED8D0" w14:textId="77777777" w:rsidR="005A7533" w:rsidRDefault="005A7533" w:rsidP="005A7533">
      <w:pPr>
        <w:autoSpaceDE w:val="0"/>
        <w:autoSpaceDN w:val="0"/>
        <w:adjustRightInd w:val="0"/>
        <w:spacing w:after="0" w:line="240" w:lineRule="auto"/>
        <w:rPr>
          <w:rFonts w:cstheme="minorHAnsi"/>
          <w:b/>
          <w:bCs/>
        </w:rPr>
      </w:pPr>
    </w:p>
    <w:p w14:paraId="37508066" w14:textId="77777777" w:rsidR="005A7533" w:rsidRDefault="005A7533" w:rsidP="005A7533">
      <w:pPr>
        <w:autoSpaceDE w:val="0"/>
        <w:autoSpaceDN w:val="0"/>
        <w:adjustRightInd w:val="0"/>
        <w:spacing w:after="0" w:line="240" w:lineRule="auto"/>
        <w:rPr>
          <w:rFonts w:cstheme="minorHAnsi"/>
          <w:bCs/>
        </w:rPr>
      </w:pPr>
    </w:p>
    <w:p w14:paraId="265AA4EB" w14:textId="77777777" w:rsidR="005A7533" w:rsidRDefault="005A7533" w:rsidP="005A7533">
      <w:pPr>
        <w:autoSpaceDE w:val="0"/>
        <w:autoSpaceDN w:val="0"/>
        <w:adjustRightInd w:val="0"/>
        <w:spacing w:after="0" w:line="240" w:lineRule="auto"/>
        <w:rPr>
          <w:rFonts w:cstheme="minorHAnsi"/>
          <w:bCs/>
        </w:rPr>
      </w:pPr>
    </w:p>
    <w:p w14:paraId="7E75995E" w14:textId="29D2B8C2" w:rsidR="005A7533" w:rsidRDefault="005A7533" w:rsidP="005A7533">
      <w:pPr>
        <w:autoSpaceDE w:val="0"/>
        <w:autoSpaceDN w:val="0"/>
        <w:adjustRightInd w:val="0"/>
        <w:spacing w:after="0" w:line="240" w:lineRule="auto"/>
        <w:rPr>
          <w:rFonts w:cstheme="minorHAnsi"/>
          <w:b/>
          <w:bCs/>
        </w:rPr>
      </w:pPr>
      <w:r>
        <w:rPr>
          <w:rFonts w:cstheme="minorHAnsi"/>
          <w:bCs/>
        </w:rPr>
        <w:t xml:space="preserve">Finally, </w:t>
      </w:r>
      <w:r w:rsidR="00113F67">
        <w:rPr>
          <w:rFonts w:cstheme="minorHAnsi"/>
          <w:bCs/>
        </w:rPr>
        <w:t xml:space="preserve">the total population </w:t>
      </w:r>
      <w:r>
        <w:rPr>
          <w:rFonts w:cstheme="minorHAnsi"/>
          <w:bCs/>
        </w:rPr>
        <w:t>for the 1 state-based Medicaid program</w:t>
      </w:r>
      <w:r w:rsidR="00113F67">
        <w:rPr>
          <w:rFonts w:cstheme="minorHAnsi"/>
          <w:bCs/>
        </w:rPr>
        <w:t xml:space="preserve"> was </w:t>
      </w:r>
      <w:r w:rsidR="00113F67" w:rsidRPr="00113F67">
        <w:rPr>
          <w:rFonts w:cstheme="minorHAnsi"/>
          <w:bCs/>
        </w:rPr>
        <w:t>695,166</w:t>
      </w:r>
      <w:r w:rsidR="00113F67">
        <w:rPr>
          <w:rFonts w:cstheme="minorHAnsi"/>
          <w:bCs/>
        </w:rPr>
        <w:t>. Of that initial population</w:t>
      </w:r>
      <w:r>
        <w:rPr>
          <w:rFonts w:cstheme="minorHAnsi"/>
          <w:bCs/>
        </w:rPr>
        <w:t>, a total of 222,896 beneficiaries age 18 and older were included in the analysis. Of all persons, 53,944 (24.2%) were male, and 168,</w:t>
      </w:r>
      <w:r w:rsidRPr="00E13281">
        <w:rPr>
          <w:rFonts w:cstheme="minorHAnsi"/>
          <w:bCs/>
        </w:rPr>
        <w:t>952 (75.8%) were</w:t>
      </w:r>
      <w:r>
        <w:rPr>
          <w:rFonts w:cstheme="minorHAnsi"/>
          <w:bCs/>
        </w:rPr>
        <w:t xml:space="preserve"> female. Individuals by age group included 183,647 (82.4%) age 18 – 50 years, 36,535 (16.4%) age 51 – 64 years, 2,614 (1.2%) age 65 – 84 years, and 100 (0.04%) age 85 and older.  After applying all inclusion and exclusion criteria, the final population for analysis was 99,390 (14.3%) of the initial population.  </w:t>
      </w:r>
    </w:p>
    <w:p w14:paraId="0089AEBA" w14:textId="77777777" w:rsidR="005A7533" w:rsidRDefault="005A7533" w:rsidP="005A7533">
      <w:pPr>
        <w:autoSpaceDE w:val="0"/>
        <w:autoSpaceDN w:val="0"/>
        <w:adjustRightInd w:val="0"/>
        <w:spacing w:after="0" w:line="240" w:lineRule="auto"/>
        <w:rPr>
          <w:rFonts w:cstheme="minorHAnsi"/>
          <w:b/>
          <w:bCs/>
        </w:rPr>
      </w:pPr>
    </w:p>
    <w:p w14:paraId="0CABCFC9" w14:textId="35A6308B" w:rsidR="007422FD" w:rsidRDefault="005A7533" w:rsidP="00DB3627">
      <w:pPr>
        <w:autoSpaceDE w:val="0"/>
        <w:autoSpaceDN w:val="0"/>
        <w:adjustRightInd w:val="0"/>
        <w:spacing w:after="0" w:line="240" w:lineRule="auto"/>
        <w:rPr>
          <w:rFonts w:cstheme="minorHAnsi"/>
          <w:bCs/>
        </w:rPr>
      </w:pPr>
      <w:r>
        <w:rPr>
          <w:rFonts w:cstheme="minorHAnsi"/>
          <w:bCs/>
        </w:rPr>
        <w:t xml:space="preserve">As seen in the results above, the measure was tested across a large spectrum of age groups, with the Medicare population being older (primarily 65 years and older), and the Medicaid data </w:t>
      </w:r>
      <w:r w:rsidR="0053544D">
        <w:rPr>
          <w:rFonts w:cstheme="minorHAnsi"/>
          <w:bCs/>
        </w:rPr>
        <w:t>included a</w:t>
      </w:r>
      <w:r>
        <w:rPr>
          <w:rFonts w:cstheme="minorHAnsi"/>
          <w:bCs/>
        </w:rPr>
        <w:t xml:space="preserve"> younger population.</w:t>
      </w:r>
    </w:p>
    <w:p w14:paraId="43A1150B" w14:textId="77777777" w:rsidR="0053544D" w:rsidRDefault="0053544D" w:rsidP="00DB3627">
      <w:pPr>
        <w:autoSpaceDE w:val="0"/>
        <w:autoSpaceDN w:val="0"/>
        <w:adjustRightInd w:val="0"/>
        <w:spacing w:after="0" w:line="240" w:lineRule="auto"/>
        <w:rPr>
          <w:rFonts w:cstheme="minorHAnsi"/>
          <w:bCs/>
        </w:rPr>
      </w:pPr>
    </w:p>
    <w:p w14:paraId="0CABCFCA" w14:textId="381E2239"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7713BE2B" w14:textId="77777777" w:rsidR="005A7533" w:rsidRDefault="005A7533" w:rsidP="00E37E1B">
      <w:pPr>
        <w:autoSpaceDE w:val="0"/>
        <w:autoSpaceDN w:val="0"/>
        <w:adjustRightInd w:val="0"/>
        <w:spacing w:after="0" w:line="240" w:lineRule="auto"/>
        <w:rPr>
          <w:rFonts w:cstheme="minorHAnsi"/>
          <w:bCs/>
        </w:rPr>
      </w:pPr>
    </w:p>
    <w:p w14:paraId="0C0D26C8" w14:textId="0270D3AD" w:rsidR="005A7533" w:rsidRDefault="005A7533" w:rsidP="005A7533">
      <w:pPr>
        <w:autoSpaceDE w:val="0"/>
        <w:autoSpaceDN w:val="0"/>
        <w:adjustRightInd w:val="0"/>
        <w:spacing w:after="0" w:line="240" w:lineRule="auto"/>
        <w:rPr>
          <w:rFonts w:cstheme="minorHAnsi"/>
          <w:bCs/>
        </w:rPr>
      </w:pPr>
      <w:r>
        <w:rPr>
          <w:rFonts w:cstheme="minorHAnsi"/>
          <w:bCs/>
        </w:rPr>
        <w:t xml:space="preserve">Reliability testing was conducted for both the Medicare and Medicaid populations.  For the Medicare population, reliability testing was conducted at the plan contract level, </w:t>
      </w:r>
      <w:r w:rsidR="0053544D">
        <w:rPr>
          <w:rFonts w:cstheme="minorHAnsi"/>
          <w:bCs/>
        </w:rPr>
        <w:t>because</w:t>
      </w:r>
      <w:r>
        <w:rPr>
          <w:rFonts w:cstheme="minorHAnsi"/>
          <w:bCs/>
        </w:rPr>
        <w:t xml:space="preserve"> the application of this measure in the Medicare program would be assessed at the plan contract level. In accordance with the PQA measure specifications, reliability testing excluded plan contracts with less than 30 individuals in the denominator.</w:t>
      </w:r>
    </w:p>
    <w:p w14:paraId="6F9577CE" w14:textId="77777777" w:rsidR="005A7533" w:rsidRDefault="005A7533" w:rsidP="005A7533">
      <w:pPr>
        <w:autoSpaceDE w:val="0"/>
        <w:autoSpaceDN w:val="0"/>
        <w:adjustRightInd w:val="0"/>
        <w:spacing w:after="0" w:line="240" w:lineRule="auto"/>
        <w:rPr>
          <w:rFonts w:cstheme="minorHAnsi"/>
          <w:bCs/>
        </w:rPr>
      </w:pPr>
    </w:p>
    <w:p w14:paraId="54222008" w14:textId="77777777" w:rsidR="005A7533" w:rsidRDefault="005A7533" w:rsidP="005A7533">
      <w:pPr>
        <w:autoSpaceDE w:val="0"/>
        <w:autoSpaceDN w:val="0"/>
        <w:adjustRightInd w:val="0"/>
        <w:spacing w:after="0" w:line="240" w:lineRule="auto"/>
        <w:rPr>
          <w:rFonts w:cstheme="minorHAnsi"/>
          <w:bCs/>
        </w:rPr>
      </w:pPr>
      <w:r>
        <w:rPr>
          <w:rFonts w:cstheme="minorHAnsi"/>
          <w:bCs/>
        </w:rPr>
        <w:t>For the Medicaid population, reliability testing was conducted at the plan level using the MAX data, and excluded any plans with less than 30 individuals in the denominator.</w:t>
      </w:r>
      <w:r>
        <w:t xml:space="preserve"> </w:t>
      </w:r>
    </w:p>
    <w:p w14:paraId="0CABCFCB" w14:textId="03D41677" w:rsidR="00E37E1B" w:rsidRDefault="00E37E1B" w:rsidP="00E37E1B">
      <w:pPr>
        <w:autoSpaceDE w:val="0"/>
        <w:autoSpaceDN w:val="0"/>
        <w:adjustRightInd w:val="0"/>
        <w:spacing w:after="0" w:line="240" w:lineRule="auto"/>
        <w:rPr>
          <w:rFonts w:cstheme="minorHAnsi"/>
          <w:bCs/>
        </w:rPr>
      </w:pPr>
    </w:p>
    <w:p w14:paraId="0CABCFCC" w14:textId="4626F334"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5F4CF58B" w14:textId="4D9500FA" w:rsidR="005A7533" w:rsidRDefault="005A7533" w:rsidP="00E37E1B">
      <w:pPr>
        <w:autoSpaceDE w:val="0"/>
        <w:autoSpaceDN w:val="0"/>
        <w:adjustRightInd w:val="0"/>
        <w:spacing w:after="0" w:line="240" w:lineRule="auto"/>
        <w:rPr>
          <w:rFonts w:cstheme="minorHAnsi"/>
          <w:bCs/>
        </w:rPr>
      </w:pPr>
    </w:p>
    <w:p w14:paraId="773F10D3" w14:textId="0292216F" w:rsidR="005A7533" w:rsidRDefault="005A7533" w:rsidP="005A7533">
      <w:pPr>
        <w:autoSpaceDE w:val="0"/>
        <w:autoSpaceDN w:val="0"/>
        <w:adjustRightInd w:val="0"/>
        <w:spacing w:after="0" w:line="240" w:lineRule="auto"/>
        <w:rPr>
          <w:rFonts w:cstheme="minorHAnsi"/>
          <w:bCs/>
        </w:rPr>
      </w:pPr>
      <w:r>
        <w:rPr>
          <w:rFonts w:cstheme="minorHAnsi"/>
          <w:bCs/>
        </w:rPr>
        <w:t xml:space="preserve">For the Medicare population, the beneficiary level </w:t>
      </w:r>
      <w:r w:rsidR="00083925">
        <w:rPr>
          <w:rFonts w:cstheme="minorHAnsi"/>
          <w:bCs/>
        </w:rPr>
        <w:t>Low-Income</w:t>
      </w:r>
      <w:r>
        <w:rPr>
          <w:rFonts w:cstheme="minorHAnsi"/>
          <w:bCs/>
        </w:rPr>
        <w:t xml:space="preserve"> Subsidy (LIS) variable was used to determine disparities in rates for populations with different sociodemographic status. The LIS is a subsidy paid by the Federal government to the drug plan for Medicare beneficiaries who need extra help with their prescription drug costs due to limited income and resources.  </w:t>
      </w:r>
    </w:p>
    <w:p w14:paraId="49757646" w14:textId="77777777" w:rsidR="005A7533" w:rsidRDefault="005A7533" w:rsidP="005A7533">
      <w:pPr>
        <w:autoSpaceDE w:val="0"/>
        <w:autoSpaceDN w:val="0"/>
        <w:adjustRightInd w:val="0"/>
        <w:spacing w:after="0" w:line="240" w:lineRule="auto"/>
        <w:rPr>
          <w:rFonts w:cstheme="minorHAnsi"/>
          <w:bCs/>
        </w:rPr>
      </w:pPr>
    </w:p>
    <w:p w14:paraId="68536184" w14:textId="2D042EBF" w:rsidR="005A7533" w:rsidRDefault="005A7533" w:rsidP="00E37E1B">
      <w:pPr>
        <w:autoSpaceDE w:val="0"/>
        <w:autoSpaceDN w:val="0"/>
        <w:adjustRightInd w:val="0"/>
        <w:spacing w:after="0" w:line="240" w:lineRule="auto"/>
        <w:rPr>
          <w:rFonts w:cstheme="minorHAnsi"/>
          <w:bCs/>
        </w:rPr>
      </w:pPr>
      <w:r>
        <w:rPr>
          <w:rFonts w:cstheme="minorHAnsi"/>
          <w:bCs/>
        </w:rPr>
        <w:t>For the Medicaid populations, no patient level indicators of sociodemographic status were available in the data.</w:t>
      </w:r>
      <w:r>
        <w:t xml:space="preserve"> </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61CC157A"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CC3D84">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D60E540" w14:textId="67DDF335" w:rsidR="005A7533" w:rsidRDefault="005A7533" w:rsidP="008C54A9">
      <w:pPr>
        <w:autoSpaceDE w:val="0"/>
        <w:autoSpaceDN w:val="0"/>
        <w:adjustRightInd w:val="0"/>
        <w:spacing w:after="0" w:line="240" w:lineRule="auto"/>
        <w:rPr>
          <w:rFonts w:cstheme="minorHAnsi"/>
          <w:bCs/>
        </w:rPr>
      </w:pPr>
    </w:p>
    <w:p w14:paraId="1A5BDC53" w14:textId="77777777" w:rsidR="005A7533" w:rsidRDefault="005A7533" w:rsidP="005A7533">
      <w:pPr>
        <w:autoSpaceDE w:val="0"/>
        <w:autoSpaceDN w:val="0"/>
        <w:adjustRightInd w:val="0"/>
        <w:spacing w:after="0" w:line="240" w:lineRule="auto"/>
        <w:rPr>
          <w:rFonts w:cstheme="minorHAnsi"/>
          <w:bCs/>
        </w:rPr>
      </w:pPr>
      <w:r>
        <w:rPr>
          <w:rFonts w:cstheme="minorHAnsi"/>
          <w:bCs/>
        </w:rPr>
        <w:t xml:space="preserve">Using the Medicare and Medicaid data described in sections 1.2 to 1.6, the reliability of the computed measure scores was measured as the ratio of signal-to-noise. The signal is the proportion of the variability in measured performance that can be explained by true differences in plan (or contract) performance. Reliability scores range from 0 to 1, with a score of 0 signifying that all variation is due to measurement error.  A value of 1 signifies that the variation represents true differences in performance scores between plans.  A reliability score of 0.7 is the minimum threshold for reliability. </w:t>
      </w:r>
    </w:p>
    <w:p w14:paraId="512012ED" w14:textId="77777777" w:rsidR="005A7533" w:rsidRPr="00D14FA2" w:rsidRDefault="005A7533" w:rsidP="005A7533">
      <w:pPr>
        <w:pStyle w:val="Default"/>
        <w:rPr>
          <w:rFonts w:asciiTheme="minorHAnsi" w:hAnsiTheme="minorHAnsi" w:cs="Times New Roman"/>
          <w:color w:val="FF0000"/>
          <w:sz w:val="22"/>
          <w:szCs w:val="22"/>
        </w:rPr>
      </w:pPr>
    </w:p>
    <w:p w14:paraId="5682DF78" w14:textId="77777777" w:rsidR="005A7533" w:rsidRPr="006A5AF6" w:rsidRDefault="005A7533" w:rsidP="005A7533">
      <w:pPr>
        <w:autoSpaceDE w:val="0"/>
        <w:autoSpaceDN w:val="0"/>
        <w:adjustRightInd w:val="0"/>
        <w:spacing w:after="0" w:line="240" w:lineRule="auto"/>
      </w:pPr>
      <w:r w:rsidRPr="006A5AF6">
        <w:t>A beta-binomial model was used to calculate plan</w:t>
      </w:r>
      <w:r>
        <w:t>-</w:t>
      </w:r>
      <w:r w:rsidRPr="006A5AF6">
        <w:t xml:space="preserve">specific reliability scores.  This is based on the methods outlined by Adams in the following paper:  Adams JL. The reliability of provider profiling: a tutorial. Santa Monica, CA: RAND Corporation. 2009. Retrieved from </w:t>
      </w:r>
      <w:hyperlink r:id="rId13" w:history="1">
        <w:r w:rsidRPr="006A5AF6">
          <w:rPr>
            <w:rStyle w:val="Hyperlink"/>
            <w:color w:val="auto"/>
          </w:rPr>
          <w:t>http://www.rand.org/pubs/technical_reports/TR653</w:t>
        </w:r>
      </w:hyperlink>
      <w:r w:rsidRPr="006A5AF6">
        <w:t xml:space="preserve">.  </w:t>
      </w:r>
    </w:p>
    <w:p w14:paraId="75C3E278" w14:textId="77777777" w:rsidR="005A7533" w:rsidRDefault="005A7533" w:rsidP="005A7533">
      <w:pPr>
        <w:spacing w:after="0" w:line="240" w:lineRule="auto"/>
      </w:pPr>
    </w:p>
    <w:p w14:paraId="76D41AAA" w14:textId="77777777" w:rsidR="005A7533" w:rsidRPr="006A5AF6" w:rsidRDefault="005A7533" w:rsidP="005A7533">
      <w:pPr>
        <w:spacing w:after="0" w:line="240" w:lineRule="auto"/>
      </w:pPr>
      <w:r w:rsidRPr="006A5AF6">
        <w:t>The reliability score is defined as the ratio of the plan-to-plan variance to the sum of the plan-to-plan variance and the plan-specific error. The plan-to-plan variance is an estimate of the variance of the true rates. The plan-specific error variance is the sampling or measurement error.</w:t>
      </w:r>
    </w:p>
    <w:p w14:paraId="0CABCFD2" w14:textId="3449D2CC" w:rsidR="008C54A9" w:rsidRPr="005A7533" w:rsidRDefault="005A7533" w:rsidP="005A7533">
      <w:pPr>
        <w:jc w:val="both"/>
      </w:pPr>
      <m:oMathPara>
        <m:oMath>
          <m:r>
            <w:rPr>
              <w:rFonts w:ascii="Cambria Math" w:hAnsi="Cambria Math"/>
            </w:rPr>
            <m:t xml:space="preserve">reliability= </m:t>
          </m:r>
          <m:f>
            <m:fPr>
              <m:ctrlPr>
                <w:rPr>
                  <w:rFonts w:ascii="Cambria Math" w:hAnsi="Cambria Math"/>
                  <w:i/>
                </w:rPr>
              </m:ctrlPr>
            </m:fPr>
            <m:num>
              <m:sSubSup>
                <m:sSubSupPr>
                  <m:ctrlPr>
                    <w:rPr>
                      <w:rFonts w:ascii="Cambria Math" w:hAnsi="Cambria Math"/>
                      <w:i/>
                    </w:rPr>
                  </m:ctrlPr>
                </m:sSubSupPr>
                <m:e>
                  <m:r>
                    <w:rPr>
                      <w:rFonts w:ascii="Cambria Math" w:hAnsi="Cambria Math"/>
                    </w:rPr>
                    <m:t>σ</m:t>
                  </m:r>
                </m:e>
                <m:sub>
                  <m:r>
                    <w:rPr>
                      <w:rFonts w:ascii="Cambria Math" w:hAnsi="Cambria Math"/>
                    </w:rPr>
                    <m:t>plan-to-plan</m:t>
                  </m:r>
                </m:sub>
                <m:sup>
                  <m:r>
                    <w:rPr>
                      <w:rFonts w:ascii="Cambria Math" w:hAnsi="Cambria Math"/>
                    </w:rPr>
                    <m:t>2</m:t>
                  </m:r>
                </m:sup>
              </m:sSubSup>
            </m:num>
            <m:den>
              <m:sSubSup>
                <m:sSubSupPr>
                  <m:ctrlPr>
                    <w:rPr>
                      <w:rFonts w:ascii="Cambria Math" w:hAnsi="Cambria Math"/>
                      <w:i/>
                    </w:rPr>
                  </m:ctrlPr>
                </m:sSubSupPr>
                <m:e>
                  <m:r>
                    <w:rPr>
                      <w:rFonts w:ascii="Cambria Math" w:hAnsi="Cambria Math"/>
                    </w:rPr>
                    <m:t>σ</m:t>
                  </m:r>
                </m:e>
                <m:sub>
                  <m:r>
                    <w:rPr>
                      <w:rFonts w:ascii="Cambria Math" w:hAnsi="Cambria Math"/>
                    </w:rPr>
                    <m:t>plan-to-plan</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plan-specific-error</m:t>
                  </m:r>
                </m:sub>
                <m:sup>
                  <m:r>
                    <w:rPr>
                      <w:rFonts w:ascii="Cambria Math" w:hAnsi="Cambria Math"/>
                    </w:rPr>
                    <m:t>2</m:t>
                  </m:r>
                </m:sup>
              </m:sSubSup>
            </m:den>
          </m:f>
        </m:oMath>
      </m:oMathPara>
    </w:p>
    <w:p w14:paraId="0CABCFD3" w14:textId="30B8C1D8"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5358F912" w14:textId="77777777" w:rsidR="005A7533" w:rsidRDefault="005A7533" w:rsidP="005A7533">
      <w:pPr>
        <w:autoSpaceDE w:val="0"/>
        <w:autoSpaceDN w:val="0"/>
        <w:adjustRightInd w:val="0"/>
        <w:spacing w:after="0" w:line="240" w:lineRule="auto"/>
        <w:rPr>
          <w:rFonts w:cstheme="minorHAnsi"/>
          <w:bCs/>
        </w:rPr>
      </w:pPr>
      <w:r>
        <w:rPr>
          <w:rFonts w:cstheme="minorHAnsi"/>
          <w:bCs/>
        </w:rPr>
        <w:t xml:space="preserve">Using the parameter estimates from the beta-binomial model, we computed individual plan (or contract) reliability scores. Table 3 shows the distribution of the plan contract-level scores for Medicare, and Table 4 shows the plan-level scores for Medicaid. </w:t>
      </w:r>
    </w:p>
    <w:p w14:paraId="17581204" w14:textId="77777777" w:rsidR="005A7533" w:rsidRDefault="005A7533" w:rsidP="005A7533">
      <w:pPr>
        <w:autoSpaceDE w:val="0"/>
        <w:autoSpaceDN w:val="0"/>
        <w:adjustRightInd w:val="0"/>
        <w:spacing w:after="0" w:line="240" w:lineRule="auto"/>
        <w:rPr>
          <w:rFonts w:cstheme="minorHAnsi"/>
          <w:bCs/>
        </w:rPr>
      </w:pPr>
    </w:p>
    <w:p w14:paraId="28B7DB34" w14:textId="77777777" w:rsidR="005A7533" w:rsidRDefault="005A7533" w:rsidP="005A7533">
      <w:pPr>
        <w:autoSpaceDE w:val="0"/>
        <w:autoSpaceDN w:val="0"/>
        <w:adjustRightInd w:val="0"/>
        <w:spacing w:after="0" w:line="240" w:lineRule="auto"/>
        <w:jc w:val="center"/>
        <w:rPr>
          <w:rFonts w:cstheme="minorHAnsi"/>
          <w:b/>
          <w:bCs/>
        </w:rPr>
      </w:pPr>
      <w:r>
        <w:rPr>
          <w:rFonts w:cstheme="minorHAnsi"/>
          <w:b/>
          <w:bCs/>
        </w:rPr>
        <w:t>Table 3. Plan Contract Reliability Score Distribution for 2015 Medicare Sample</w:t>
      </w:r>
    </w:p>
    <w:tbl>
      <w:tblPr>
        <w:tblStyle w:val="TableGrid"/>
        <w:tblW w:w="0" w:type="auto"/>
        <w:tblInd w:w="2335" w:type="dxa"/>
        <w:tblLook w:val="04A0" w:firstRow="1" w:lastRow="0" w:firstColumn="1" w:lastColumn="0" w:noHBand="0" w:noVBand="1"/>
      </w:tblPr>
      <w:tblGrid>
        <w:gridCol w:w="2340"/>
        <w:gridCol w:w="2430"/>
      </w:tblGrid>
      <w:tr w:rsidR="005A7533" w:rsidRPr="002F57D8" w14:paraId="4BD639CE" w14:textId="77777777" w:rsidTr="00165A1F">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6112C3" w14:textId="77777777" w:rsidR="005A7533" w:rsidRPr="002F57D8" w:rsidRDefault="005A7533" w:rsidP="00165A1F">
            <w:pPr>
              <w:autoSpaceDE w:val="0"/>
              <w:autoSpaceDN w:val="0"/>
              <w:adjustRightInd w:val="0"/>
              <w:jc w:val="center"/>
              <w:rPr>
                <w:rFonts w:cstheme="minorHAnsi"/>
                <w:b/>
                <w:bCs/>
              </w:rPr>
            </w:pPr>
            <w:r w:rsidRPr="002F57D8">
              <w:rPr>
                <w:rFonts w:cstheme="minorHAnsi"/>
                <w:b/>
                <w:bCs/>
              </w:rPr>
              <w:t>Statistic</w:t>
            </w:r>
          </w:p>
        </w:tc>
        <w:tc>
          <w:tcPr>
            <w:tcW w:w="2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199783" w14:textId="77777777" w:rsidR="005A7533" w:rsidRPr="002F57D8" w:rsidRDefault="005A7533" w:rsidP="00165A1F">
            <w:pPr>
              <w:autoSpaceDE w:val="0"/>
              <w:autoSpaceDN w:val="0"/>
              <w:adjustRightInd w:val="0"/>
              <w:jc w:val="center"/>
              <w:rPr>
                <w:rFonts w:cstheme="minorHAnsi"/>
                <w:b/>
                <w:bCs/>
              </w:rPr>
            </w:pPr>
            <w:r w:rsidRPr="002F57D8">
              <w:rPr>
                <w:rFonts w:cstheme="minorHAnsi"/>
                <w:b/>
                <w:bCs/>
              </w:rPr>
              <w:t>Values</w:t>
            </w:r>
          </w:p>
        </w:tc>
      </w:tr>
      <w:tr w:rsidR="005A7533" w:rsidRPr="002F57D8" w14:paraId="3DAD2E5E"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74747D08" w14:textId="77777777" w:rsidR="005A7533" w:rsidRPr="002F57D8" w:rsidRDefault="005A7533" w:rsidP="00165A1F">
            <w:pPr>
              <w:autoSpaceDE w:val="0"/>
              <w:autoSpaceDN w:val="0"/>
              <w:adjustRightInd w:val="0"/>
              <w:rPr>
                <w:rFonts w:cstheme="minorHAnsi"/>
                <w:bCs/>
              </w:rPr>
            </w:pPr>
            <w:r w:rsidRPr="002F57D8">
              <w:rPr>
                <w:rFonts w:cstheme="minorHAnsi"/>
                <w:bCs/>
              </w:rPr>
              <w:t xml:space="preserve">Mean </w:t>
            </w:r>
          </w:p>
        </w:tc>
        <w:tc>
          <w:tcPr>
            <w:tcW w:w="2430" w:type="dxa"/>
            <w:tcBorders>
              <w:top w:val="single" w:sz="4" w:space="0" w:color="auto"/>
              <w:left w:val="single" w:sz="4" w:space="0" w:color="auto"/>
              <w:bottom w:val="single" w:sz="4" w:space="0" w:color="auto"/>
              <w:right w:val="single" w:sz="4" w:space="0" w:color="auto"/>
            </w:tcBorders>
            <w:hideMark/>
          </w:tcPr>
          <w:p w14:paraId="33ED9D02" w14:textId="77777777" w:rsidR="005A7533" w:rsidRPr="002F57D8" w:rsidRDefault="005A7533" w:rsidP="00165A1F">
            <w:pPr>
              <w:autoSpaceDE w:val="0"/>
              <w:autoSpaceDN w:val="0"/>
              <w:adjustRightInd w:val="0"/>
              <w:jc w:val="right"/>
              <w:rPr>
                <w:rFonts w:cstheme="minorHAnsi"/>
                <w:bCs/>
              </w:rPr>
            </w:pPr>
            <w:r w:rsidRPr="002F57D8">
              <w:rPr>
                <w:rFonts w:eastAsia="Times New Roman" w:cstheme="minorHAnsi"/>
                <w:color w:val="000000"/>
              </w:rPr>
              <w:t>0.7730</w:t>
            </w:r>
          </w:p>
        </w:tc>
      </w:tr>
      <w:tr w:rsidR="005A7533" w:rsidRPr="002F57D8" w14:paraId="23766E31"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37D8A16B" w14:textId="77777777" w:rsidR="005A7533" w:rsidRPr="002F57D8" w:rsidRDefault="005A7533" w:rsidP="00165A1F">
            <w:pPr>
              <w:autoSpaceDE w:val="0"/>
              <w:autoSpaceDN w:val="0"/>
              <w:adjustRightInd w:val="0"/>
              <w:rPr>
                <w:rFonts w:cstheme="minorHAnsi"/>
                <w:bCs/>
              </w:rPr>
            </w:pPr>
            <w:r w:rsidRPr="002F57D8">
              <w:rPr>
                <w:rFonts w:cstheme="minorHAnsi"/>
                <w:bCs/>
              </w:rPr>
              <w:t>Standard Deviation</w:t>
            </w:r>
          </w:p>
        </w:tc>
        <w:tc>
          <w:tcPr>
            <w:tcW w:w="2430" w:type="dxa"/>
            <w:tcBorders>
              <w:top w:val="single" w:sz="4" w:space="0" w:color="auto"/>
              <w:left w:val="single" w:sz="4" w:space="0" w:color="auto"/>
              <w:bottom w:val="single" w:sz="4" w:space="0" w:color="auto"/>
              <w:right w:val="single" w:sz="4" w:space="0" w:color="auto"/>
            </w:tcBorders>
            <w:hideMark/>
          </w:tcPr>
          <w:p w14:paraId="0CB55479" w14:textId="77777777" w:rsidR="005A7533" w:rsidRPr="002F57D8" w:rsidRDefault="005A7533" w:rsidP="00165A1F">
            <w:pPr>
              <w:autoSpaceDE w:val="0"/>
              <w:autoSpaceDN w:val="0"/>
              <w:adjustRightInd w:val="0"/>
              <w:jc w:val="right"/>
              <w:rPr>
                <w:rFonts w:cstheme="minorHAnsi"/>
                <w:bCs/>
              </w:rPr>
            </w:pPr>
            <w:r w:rsidRPr="002F57D8">
              <w:rPr>
                <w:rFonts w:eastAsia="Times New Roman" w:cstheme="minorHAnsi"/>
                <w:color w:val="000000"/>
              </w:rPr>
              <w:t>0.1601</w:t>
            </w:r>
          </w:p>
        </w:tc>
      </w:tr>
      <w:tr w:rsidR="005A7533" w:rsidRPr="002F57D8" w14:paraId="796B7AEE"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116E052D" w14:textId="77777777" w:rsidR="005A7533" w:rsidRPr="002F57D8" w:rsidRDefault="005A7533" w:rsidP="00165A1F">
            <w:pPr>
              <w:autoSpaceDE w:val="0"/>
              <w:autoSpaceDN w:val="0"/>
              <w:adjustRightInd w:val="0"/>
              <w:rPr>
                <w:rFonts w:cstheme="minorHAnsi"/>
                <w:bCs/>
              </w:rPr>
            </w:pPr>
            <w:r w:rsidRPr="002F57D8">
              <w:rPr>
                <w:rFonts w:cstheme="minorHAnsi"/>
                <w:bCs/>
              </w:rPr>
              <w:t>Minimum</w:t>
            </w:r>
          </w:p>
        </w:tc>
        <w:tc>
          <w:tcPr>
            <w:tcW w:w="2430" w:type="dxa"/>
            <w:tcBorders>
              <w:top w:val="single" w:sz="4" w:space="0" w:color="auto"/>
              <w:left w:val="single" w:sz="4" w:space="0" w:color="auto"/>
              <w:bottom w:val="single" w:sz="4" w:space="0" w:color="auto"/>
              <w:right w:val="single" w:sz="4" w:space="0" w:color="auto"/>
            </w:tcBorders>
            <w:hideMark/>
          </w:tcPr>
          <w:p w14:paraId="44C94BBD" w14:textId="77777777" w:rsidR="005A7533" w:rsidRPr="002F57D8" w:rsidRDefault="005A7533" w:rsidP="00165A1F">
            <w:pPr>
              <w:autoSpaceDE w:val="0"/>
              <w:autoSpaceDN w:val="0"/>
              <w:adjustRightInd w:val="0"/>
              <w:jc w:val="right"/>
              <w:rPr>
                <w:rFonts w:cstheme="minorHAnsi"/>
                <w:bCs/>
              </w:rPr>
            </w:pPr>
            <w:r w:rsidRPr="002F57D8">
              <w:rPr>
                <w:rFonts w:eastAsia="Times New Roman" w:cstheme="minorHAnsi"/>
                <w:color w:val="000000"/>
              </w:rPr>
              <w:t>0.3628</w:t>
            </w:r>
          </w:p>
        </w:tc>
      </w:tr>
      <w:tr w:rsidR="005A7533" w:rsidRPr="002F57D8" w14:paraId="632ADEDE"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2B580488" w14:textId="77777777" w:rsidR="005A7533" w:rsidRPr="002F57D8" w:rsidRDefault="005A7533" w:rsidP="00165A1F">
            <w:pPr>
              <w:autoSpaceDE w:val="0"/>
              <w:autoSpaceDN w:val="0"/>
              <w:adjustRightInd w:val="0"/>
              <w:rPr>
                <w:rFonts w:cstheme="minorHAnsi"/>
                <w:bCs/>
              </w:rPr>
            </w:pPr>
            <w:r w:rsidRPr="002F57D8">
              <w:rPr>
                <w:rFonts w:cstheme="minorHAnsi"/>
                <w:bCs/>
              </w:rPr>
              <w:t>25</w:t>
            </w:r>
            <w:r w:rsidRPr="002F57D8">
              <w:rPr>
                <w:rFonts w:cstheme="minorHAnsi"/>
                <w:bCs/>
                <w:vertAlign w:val="superscript"/>
              </w:rPr>
              <w:t>th</w:t>
            </w:r>
            <w:r w:rsidRPr="002F57D8">
              <w:rPr>
                <w:rFonts w:cstheme="minorHAnsi"/>
                <w:bCs/>
              </w:rPr>
              <w:t xml:space="preserve"> Percentile</w:t>
            </w:r>
          </w:p>
        </w:tc>
        <w:tc>
          <w:tcPr>
            <w:tcW w:w="2430" w:type="dxa"/>
            <w:tcBorders>
              <w:top w:val="single" w:sz="4" w:space="0" w:color="auto"/>
              <w:left w:val="single" w:sz="4" w:space="0" w:color="auto"/>
              <w:bottom w:val="single" w:sz="4" w:space="0" w:color="auto"/>
              <w:right w:val="single" w:sz="4" w:space="0" w:color="auto"/>
            </w:tcBorders>
            <w:hideMark/>
          </w:tcPr>
          <w:p w14:paraId="6AB2A9D9" w14:textId="77777777" w:rsidR="005A7533" w:rsidRPr="002F57D8" w:rsidRDefault="005A7533" w:rsidP="00165A1F">
            <w:pPr>
              <w:autoSpaceDE w:val="0"/>
              <w:autoSpaceDN w:val="0"/>
              <w:adjustRightInd w:val="0"/>
              <w:jc w:val="right"/>
              <w:rPr>
                <w:rFonts w:cstheme="minorHAnsi"/>
                <w:bCs/>
              </w:rPr>
            </w:pPr>
            <w:r w:rsidRPr="002F57D8">
              <w:rPr>
                <w:rFonts w:eastAsia="Times New Roman" w:cstheme="minorHAnsi"/>
                <w:color w:val="000000"/>
              </w:rPr>
              <w:t>0.6569</w:t>
            </w:r>
          </w:p>
        </w:tc>
      </w:tr>
      <w:tr w:rsidR="005A7533" w:rsidRPr="002F57D8" w14:paraId="32DB2791"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7EB4E035" w14:textId="77777777" w:rsidR="005A7533" w:rsidRPr="002F57D8" w:rsidRDefault="005A7533" w:rsidP="00165A1F">
            <w:pPr>
              <w:autoSpaceDE w:val="0"/>
              <w:autoSpaceDN w:val="0"/>
              <w:adjustRightInd w:val="0"/>
              <w:rPr>
                <w:rFonts w:cstheme="minorHAnsi"/>
                <w:bCs/>
              </w:rPr>
            </w:pPr>
            <w:r w:rsidRPr="002F57D8">
              <w:rPr>
                <w:rFonts w:cstheme="minorHAnsi"/>
                <w:bCs/>
              </w:rPr>
              <w:t>50</w:t>
            </w:r>
            <w:r w:rsidRPr="002F57D8">
              <w:rPr>
                <w:rFonts w:cstheme="minorHAnsi"/>
                <w:bCs/>
                <w:vertAlign w:val="superscript"/>
              </w:rPr>
              <w:t>th</w:t>
            </w:r>
            <w:r w:rsidRPr="002F57D8">
              <w:rPr>
                <w:rFonts w:cstheme="minorHAnsi"/>
                <w:bCs/>
              </w:rPr>
              <w:t xml:space="preserve"> Percentile</w:t>
            </w:r>
          </w:p>
        </w:tc>
        <w:tc>
          <w:tcPr>
            <w:tcW w:w="2430" w:type="dxa"/>
            <w:tcBorders>
              <w:top w:val="single" w:sz="4" w:space="0" w:color="auto"/>
              <w:left w:val="single" w:sz="4" w:space="0" w:color="auto"/>
              <w:bottom w:val="single" w:sz="4" w:space="0" w:color="auto"/>
              <w:right w:val="single" w:sz="4" w:space="0" w:color="auto"/>
            </w:tcBorders>
            <w:hideMark/>
          </w:tcPr>
          <w:p w14:paraId="7C0A513A" w14:textId="77777777" w:rsidR="005A7533" w:rsidRPr="002F57D8" w:rsidRDefault="005A7533" w:rsidP="00165A1F">
            <w:pPr>
              <w:autoSpaceDE w:val="0"/>
              <w:autoSpaceDN w:val="0"/>
              <w:adjustRightInd w:val="0"/>
              <w:jc w:val="right"/>
              <w:rPr>
                <w:rFonts w:cstheme="minorHAnsi"/>
                <w:bCs/>
              </w:rPr>
            </w:pPr>
            <w:r w:rsidRPr="002F57D8">
              <w:rPr>
                <w:rFonts w:eastAsia="Times New Roman" w:cstheme="minorHAnsi"/>
                <w:color w:val="000000"/>
              </w:rPr>
              <w:t>0.7995</w:t>
            </w:r>
          </w:p>
        </w:tc>
      </w:tr>
      <w:tr w:rsidR="005A7533" w:rsidRPr="002F57D8" w14:paraId="470AC600"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1C89A524" w14:textId="77777777" w:rsidR="005A7533" w:rsidRPr="002F57D8" w:rsidRDefault="005A7533" w:rsidP="00165A1F">
            <w:pPr>
              <w:autoSpaceDE w:val="0"/>
              <w:autoSpaceDN w:val="0"/>
              <w:adjustRightInd w:val="0"/>
              <w:rPr>
                <w:rFonts w:cstheme="minorHAnsi"/>
                <w:bCs/>
              </w:rPr>
            </w:pPr>
            <w:r w:rsidRPr="002F57D8">
              <w:rPr>
                <w:rFonts w:cstheme="minorHAnsi"/>
                <w:bCs/>
              </w:rPr>
              <w:t>75</w:t>
            </w:r>
            <w:r w:rsidRPr="002F57D8">
              <w:rPr>
                <w:rFonts w:cstheme="minorHAnsi"/>
                <w:bCs/>
                <w:vertAlign w:val="superscript"/>
              </w:rPr>
              <w:t>th</w:t>
            </w:r>
            <w:r w:rsidRPr="002F57D8">
              <w:rPr>
                <w:rFonts w:cstheme="minorHAnsi"/>
                <w:bCs/>
              </w:rPr>
              <w:t xml:space="preserve"> Percentile</w:t>
            </w:r>
          </w:p>
        </w:tc>
        <w:tc>
          <w:tcPr>
            <w:tcW w:w="2430" w:type="dxa"/>
            <w:tcBorders>
              <w:top w:val="single" w:sz="4" w:space="0" w:color="auto"/>
              <w:left w:val="single" w:sz="4" w:space="0" w:color="auto"/>
              <w:bottom w:val="single" w:sz="4" w:space="0" w:color="auto"/>
              <w:right w:val="single" w:sz="4" w:space="0" w:color="auto"/>
            </w:tcBorders>
            <w:hideMark/>
          </w:tcPr>
          <w:p w14:paraId="67912A25" w14:textId="77777777" w:rsidR="005A7533" w:rsidRPr="002F57D8" w:rsidRDefault="005A7533" w:rsidP="00165A1F">
            <w:pPr>
              <w:autoSpaceDE w:val="0"/>
              <w:autoSpaceDN w:val="0"/>
              <w:adjustRightInd w:val="0"/>
              <w:jc w:val="right"/>
              <w:rPr>
                <w:rFonts w:cstheme="minorHAnsi"/>
                <w:bCs/>
              </w:rPr>
            </w:pPr>
            <w:r w:rsidRPr="002F57D8">
              <w:rPr>
                <w:rFonts w:eastAsia="Times New Roman" w:cstheme="minorHAnsi"/>
                <w:color w:val="000000"/>
              </w:rPr>
              <w:t>0.9153</w:t>
            </w:r>
          </w:p>
        </w:tc>
      </w:tr>
      <w:tr w:rsidR="005A7533" w:rsidRPr="002F57D8" w14:paraId="14A33325"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035AD1CF" w14:textId="77777777" w:rsidR="005A7533" w:rsidRPr="002F57D8" w:rsidRDefault="005A7533" w:rsidP="00165A1F">
            <w:pPr>
              <w:autoSpaceDE w:val="0"/>
              <w:autoSpaceDN w:val="0"/>
              <w:adjustRightInd w:val="0"/>
              <w:rPr>
                <w:rFonts w:cstheme="minorHAnsi"/>
                <w:bCs/>
              </w:rPr>
            </w:pPr>
            <w:r w:rsidRPr="002F57D8">
              <w:rPr>
                <w:rFonts w:cstheme="minorHAnsi"/>
                <w:bCs/>
              </w:rPr>
              <w:t>Maximum</w:t>
            </w:r>
          </w:p>
        </w:tc>
        <w:tc>
          <w:tcPr>
            <w:tcW w:w="2430" w:type="dxa"/>
            <w:tcBorders>
              <w:top w:val="single" w:sz="4" w:space="0" w:color="auto"/>
              <w:left w:val="single" w:sz="4" w:space="0" w:color="auto"/>
              <w:bottom w:val="single" w:sz="4" w:space="0" w:color="auto"/>
              <w:right w:val="single" w:sz="4" w:space="0" w:color="auto"/>
            </w:tcBorders>
            <w:hideMark/>
          </w:tcPr>
          <w:p w14:paraId="4E2FA394" w14:textId="77777777" w:rsidR="005A7533" w:rsidRPr="002F57D8" w:rsidRDefault="005A7533" w:rsidP="00165A1F">
            <w:pPr>
              <w:autoSpaceDE w:val="0"/>
              <w:autoSpaceDN w:val="0"/>
              <w:adjustRightInd w:val="0"/>
              <w:jc w:val="right"/>
              <w:rPr>
                <w:rFonts w:cstheme="minorHAnsi"/>
                <w:bCs/>
              </w:rPr>
            </w:pPr>
            <w:r w:rsidRPr="002F57D8">
              <w:rPr>
                <w:rFonts w:eastAsia="Times New Roman" w:cstheme="minorHAnsi"/>
                <w:color w:val="000000"/>
              </w:rPr>
              <w:t>0.9986</w:t>
            </w:r>
          </w:p>
        </w:tc>
      </w:tr>
      <w:tr w:rsidR="005A7533" w:rsidRPr="002F57D8" w14:paraId="2B6B9D9B"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53EDC5C4" w14:textId="77777777" w:rsidR="005A7533" w:rsidRPr="002F57D8" w:rsidRDefault="005A7533" w:rsidP="00165A1F">
            <w:pPr>
              <w:autoSpaceDE w:val="0"/>
              <w:autoSpaceDN w:val="0"/>
              <w:adjustRightInd w:val="0"/>
              <w:rPr>
                <w:rFonts w:cstheme="minorHAnsi"/>
                <w:bCs/>
              </w:rPr>
            </w:pPr>
            <w:r w:rsidRPr="002F57D8">
              <w:rPr>
                <w:rFonts w:cstheme="minorHAnsi"/>
                <w:bCs/>
              </w:rPr>
              <w:t>Interquartile Range</w:t>
            </w:r>
          </w:p>
        </w:tc>
        <w:tc>
          <w:tcPr>
            <w:tcW w:w="2430" w:type="dxa"/>
            <w:tcBorders>
              <w:top w:val="single" w:sz="4" w:space="0" w:color="auto"/>
              <w:left w:val="single" w:sz="4" w:space="0" w:color="auto"/>
              <w:bottom w:val="single" w:sz="4" w:space="0" w:color="auto"/>
              <w:right w:val="single" w:sz="4" w:space="0" w:color="auto"/>
            </w:tcBorders>
            <w:hideMark/>
          </w:tcPr>
          <w:p w14:paraId="63C8DA4D" w14:textId="77777777" w:rsidR="005A7533" w:rsidRPr="002F57D8" w:rsidRDefault="005A7533" w:rsidP="00165A1F">
            <w:pPr>
              <w:jc w:val="right"/>
              <w:rPr>
                <w:rFonts w:cstheme="minorHAnsi"/>
                <w:color w:val="000000"/>
              </w:rPr>
            </w:pPr>
            <w:r w:rsidRPr="002F57D8">
              <w:rPr>
                <w:rFonts w:cstheme="minorHAnsi"/>
                <w:color w:val="000000"/>
              </w:rPr>
              <w:t>0.2584</w:t>
            </w:r>
          </w:p>
        </w:tc>
      </w:tr>
    </w:tbl>
    <w:p w14:paraId="5A8A10C8" w14:textId="77777777" w:rsidR="005A7533" w:rsidRDefault="005A7533" w:rsidP="005A7533">
      <w:pPr>
        <w:autoSpaceDE w:val="0"/>
        <w:autoSpaceDN w:val="0"/>
        <w:adjustRightInd w:val="0"/>
        <w:spacing w:after="0" w:line="240" w:lineRule="auto"/>
        <w:rPr>
          <w:rFonts w:cstheme="minorHAnsi"/>
          <w:b/>
          <w:bCs/>
          <w:color w:val="548DD4" w:themeColor="text2" w:themeTint="99"/>
        </w:rPr>
      </w:pPr>
    </w:p>
    <w:p w14:paraId="7DB2C1D0" w14:textId="77777777" w:rsidR="005A7533" w:rsidRDefault="005A7533" w:rsidP="005A7533">
      <w:pPr>
        <w:autoSpaceDE w:val="0"/>
        <w:autoSpaceDN w:val="0"/>
        <w:adjustRightInd w:val="0"/>
        <w:spacing w:after="0" w:line="240" w:lineRule="auto"/>
        <w:rPr>
          <w:rFonts w:cstheme="minorHAnsi"/>
          <w:bCs/>
        </w:rPr>
      </w:pPr>
      <w:r>
        <w:rPr>
          <w:rFonts w:cstheme="minorHAnsi"/>
          <w:bCs/>
        </w:rPr>
        <w:t xml:space="preserve">The mean reliability score for the Medicare plan-contracts is 0.7730, and the median </w:t>
      </w:r>
      <w:r w:rsidRPr="00220C6D">
        <w:rPr>
          <w:rFonts w:cstheme="minorHAnsi"/>
          <w:bCs/>
        </w:rPr>
        <w:t xml:space="preserve">is </w:t>
      </w:r>
      <w:r w:rsidRPr="00220C6D">
        <w:rPr>
          <w:rFonts w:eastAsia="Times New Roman" w:cstheme="minorHAnsi"/>
        </w:rPr>
        <w:t>0.7995</w:t>
      </w:r>
      <w:r w:rsidRPr="00C12F8D">
        <w:rPr>
          <w:rFonts w:cstheme="minorHAnsi"/>
          <w:bCs/>
        </w:rPr>
        <w:t>. Reliability is affected in part by sample size, and as shown for the Medicare contracts distribution in</w:t>
      </w:r>
      <w:r>
        <w:rPr>
          <w:rFonts w:cstheme="minorHAnsi"/>
          <w:b/>
          <w:bCs/>
        </w:rPr>
        <w:t xml:space="preserve"> </w:t>
      </w:r>
      <w:r w:rsidRPr="00565724">
        <w:rPr>
          <w:rFonts w:cstheme="minorHAnsi"/>
          <w:bCs/>
        </w:rPr>
        <w:t>Table 1,</w:t>
      </w:r>
      <w:r>
        <w:rPr>
          <w:rFonts w:cstheme="minorHAnsi"/>
          <w:b/>
          <w:bCs/>
        </w:rPr>
        <w:t xml:space="preserve"> </w:t>
      </w:r>
      <w:r w:rsidRPr="00565724">
        <w:rPr>
          <w:rFonts w:cstheme="minorHAnsi"/>
          <w:bCs/>
        </w:rPr>
        <w:t xml:space="preserve">the </w:t>
      </w:r>
      <w:r>
        <w:rPr>
          <w:rFonts w:cstheme="minorHAnsi"/>
          <w:bCs/>
        </w:rPr>
        <w:t>median</w:t>
      </w:r>
      <w:r w:rsidRPr="00565724">
        <w:rPr>
          <w:rFonts w:cstheme="minorHAnsi"/>
          <w:bCs/>
        </w:rPr>
        <w:t xml:space="preserve"> plan-contract size is </w:t>
      </w:r>
      <w:r>
        <w:rPr>
          <w:rFonts w:cstheme="minorHAnsi"/>
          <w:bCs/>
        </w:rPr>
        <w:t>353 beneficiaries</w:t>
      </w:r>
      <w:r w:rsidRPr="00565724">
        <w:rPr>
          <w:rFonts w:cstheme="minorHAnsi"/>
          <w:bCs/>
        </w:rPr>
        <w:t xml:space="preserve">.  </w:t>
      </w:r>
    </w:p>
    <w:p w14:paraId="4DC23DC0" w14:textId="77777777" w:rsidR="005A7533" w:rsidRDefault="005A7533" w:rsidP="005A7533">
      <w:pPr>
        <w:autoSpaceDE w:val="0"/>
        <w:autoSpaceDN w:val="0"/>
        <w:adjustRightInd w:val="0"/>
        <w:spacing w:after="0" w:line="240" w:lineRule="auto"/>
        <w:rPr>
          <w:rFonts w:cstheme="minorHAnsi"/>
          <w:bCs/>
        </w:rPr>
      </w:pPr>
    </w:p>
    <w:p w14:paraId="2FC7CBE3" w14:textId="32848031" w:rsidR="005A7533" w:rsidRPr="00C52475" w:rsidRDefault="005A7533" w:rsidP="005A7533">
      <w:pPr>
        <w:autoSpaceDE w:val="0"/>
        <w:autoSpaceDN w:val="0"/>
        <w:adjustRightInd w:val="0"/>
        <w:spacing w:after="0" w:line="240" w:lineRule="auto"/>
        <w:rPr>
          <w:rFonts w:cstheme="minorHAnsi"/>
          <w:b/>
          <w:bCs/>
          <w:color w:val="548DD4" w:themeColor="text2" w:themeTint="99"/>
        </w:rPr>
      </w:pPr>
      <w:r>
        <w:rPr>
          <w:rFonts w:cstheme="minorHAnsi"/>
          <w:bCs/>
        </w:rPr>
        <w:t xml:space="preserve">In contrast, the median plan distribution for the Medicaid population is much larger – </w:t>
      </w:r>
      <w:r w:rsidR="005F535D">
        <w:rPr>
          <w:rFonts w:cstheme="minorHAnsi"/>
          <w:bCs/>
        </w:rPr>
        <w:t>2,561</w:t>
      </w:r>
      <w:r>
        <w:rPr>
          <w:rFonts w:cstheme="minorHAnsi"/>
          <w:bCs/>
        </w:rPr>
        <w:t xml:space="preserve"> </w:t>
      </w:r>
      <w:r w:rsidRPr="00E43C1A">
        <w:rPr>
          <w:rFonts w:cstheme="minorHAnsi"/>
          <w:bCs/>
        </w:rPr>
        <w:t>beneficiaries (see Table 2). Medicaid plans have very high reliability scores.  The mean reliability score in the Medicaid plans is 0.93</w:t>
      </w:r>
      <w:r w:rsidR="00E43C1A" w:rsidRPr="00E43C1A">
        <w:rPr>
          <w:rFonts w:cstheme="minorHAnsi"/>
          <w:bCs/>
        </w:rPr>
        <w:t>93</w:t>
      </w:r>
      <w:r w:rsidRPr="00E43C1A">
        <w:rPr>
          <w:rFonts w:cstheme="minorHAnsi"/>
          <w:bCs/>
        </w:rPr>
        <w:t>, and the median is 0.99</w:t>
      </w:r>
      <w:r w:rsidR="00E43C1A" w:rsidRPr="00E43C1A">
        <w:rPr>
          <w:rFonts w:cstheme="minorHAnsi"/>
          <w:bCs/>
        </w:rPr>
        <w:t>26</w:t>
      </w:r>
      <w:r w:rsidRPr="00E43C1A">
        <w:rPr>
          <w:rFonts w:cstheme="minorHAnsi"/>
          <w:bCs/>
        </w:rPr>
        <w:t xml:space="preserve"> (see Table 4).</w:t>
      </w:r>
    </w:p>
    <w:p w14:paraId="1EE594D7" w14:textId="77777777" w:rsidR="005A7533" w:rsidRDefault="005A7533" w:rsidP="005A7533">
      <w:pPr>
        <w:rPr>
          <w:rFonts w:cstheme="minorHAnsi"/>
          <w:b/>
          <w:bCs/>
          <w:color w:val="548DD4" w:themeColor="text2" w:themeTint="99"/>
        </w:rPr>
      </w:pPr>
      <w:r>
        <w:rPr>
          <w:rFonts w:cstheme="minorHAnsi"/>
          <w:b/>
          <w:bCs/>
          <w:color w:val="548DD4" w:themeColor="text2" w:themeTint="99"/>
        </w:rPr>
        <w:br w:type="page"/>
      </w:r>
    </w:p>
    <w:p w14:paraId="688BB99F" w14:textId="5E71E504" w:rsidR="005A7533" w:rsidRDefault="005A7533" w:rsidP="005A7533">
      <w:pPr>
        <w:autoSpaceDE w:val="0"/>
        <w:autoSpaceDN w:val="0"/>
        <w:adjustRightInd w:val="0"/>
        <w:spacing w:after="0" w:line="240" w:lineRule="auto"/>
        <w:jc w:val="center"/>
        <w:rPr>
          <w:rFonts w:cstheme="minorHAnsi"/>
          <w:b/>
          <w:bCs/>
        </w:rPr>
      </w:pPr>
      <w:r>
        <w:rPr>
          <w:rFonts w:cstheme="minorHAnsi"/>
          <w:b/>
          <w:bCs/>
        </w:rPr>
        <w:t>Table 4. Plan Reliabi</w:t>
      </w:r>
      <w:r w:rsidR="001F5D85">
        <w:rPr>
          <w:rFonts w:cstheme="minorHAnsi"/>
          <w:b/>
          <w:bCs/>
        </w:rPr>
        <w:t>lity Score Distribution for 2014</w:t>
      </w:r>
      <w:r>
        <w:rPr>
          <w:rFonts w:cstheme="minorHAnsi"/>
          <w:b/>
          <w:bCs/>
        </w:rPr>
        <w:t xml:space="preserve"> Medicaid MAX Sample</w:t>
      </w:r>
    </w:p>
    <w:tbl>
      <w:tblPr>
        <w:tblStyle w:val="TableGrid"/>
        <w:tblW w:w="0" w:type="auto"/>
        <w:tblInd w:w="2335" w:type="dxa"/>
        <w:tblLook w:val="04A0" w:firstRow="1" w:lastRow="0" w:firstColumn="1" w:lastColumn="0" w:noHBand="0" w:noVBand="1"/>
      </w:tblPr>
      <w:tblGrid>
        <w:gridCol w:w="2340"/>
        <w:gridCol w:w="2430"/>
      </w:tblGrid>
      <w:tr w:rsidR="005A7533" w:rsidRPr="00137FF5" w14:paraId="6FD50CAE" w14:textId="77777777" w:rsidTr="00165A1F">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5CE778" w14:textId="77777777" w:rsidR="005A7533" w:rsidRPr="00137FF5" w:rsidRDefault="005A7533" w:rsidP="00165A1F">
            <w:pPr>
              <w:autoSpaceDE w:val="0"/>
              <w:autoSpaceDN w:val="0"/>
              <w:adjustRightInd w:val="0"/>
              <w:jc w:val="center"/>
              <w:rPr>
                <w:rFonts w:cstheme="minorHAnsi"/>
                <w:b/>
                <w:bCs/>
              </w:rPr>
            </w:pPr>
            <w:r w:rsidRPr="00137FF5">
              <w:rPr>
                <w:rFonts w:cstheme="minorHAnsi"/>
                <w:b/>
                <w:bCs/>
              </w:rPr>
              <w:t>Statistic</w:t>
            </w:r>
          </w:p>
        </w:tc>
        <w:tc>
          <w:tcPr>
            <w:tcW w:w="2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28D736" w14:textId="77777777" w:rsidR="005A7533" w:rsidRPr="00137FF5" w:rsidRDefault="005A7533" w:rsidP="00165A1F">
            <w:pPr>
              <w:autoSpaceDE w:val="0"/>
              <w:autoSpaceDN w:val="0"/>
              <w:adjustRightInd w:val="0"/>
              <w:jc w:val="center"/>
              <w:rPr>
                <w:rFonts w:cstheme="minorHAnsi"/>
                <w:b/>
                <w:bCs/>
              </w:rPr>
            </w:pPr>
            <w:r w:rsidRPr="00137FF5">
              <w:rPr>
                <w:rFonts w:cstheme="minorHAnsi"/>
                <w:b/>
                <w:bCs/>
              </w:rPr>
              <w:t>Values</w:t>
            </w:r>
          </w:p>
        </w:tc>
      </w:tr>
      <w:tr w:rsidR="005A7533" w:rsidRPr="00137FF5" w14:paraId="4168B25D"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5B5455C9" w14:textId="77777777" w:rsidR="005A7533" w:rsidRPr="00137FF5" w:rsidRDefault="005A7533" w:rsidP="00165A1F">
            <w:pPr>
              <w:autoSpaceDE w:val="0"/>
              <w:autoSpaceDN w:val="0"/>
              <w:adjustRightInd w:val="0"/>
              <w:rPr>
                <w:rFonts w:cstheme="minorHAnsi"/>
                <w:bCs/>
              </w:rPr>
            </w:pPr>
            <w:r w:rsidRPr="00137FF5">
              <w:rPr>
                <w:rFonts w:cstheme="minorHAnsi"/>
                <w:bCs/>
              </w:rPr>
              <w:t xml:space="preserve">Mean </w:t>
            </w:r>
          </w:p>
        </w:tc>
        <w:tc>
          <w:tcPr>
            <w:tcW w:w="2430" w:type="dxa"/>
            <w:tcBorders>
              <w:top w:val="single" w:sz="4" w:space="0" w:color="auto"/>
              <w:left w:val="single" w:sz="4" w:space="0" w:color="auto"/>
              <w:bottom w:val="single" w:sz="4" w:space="0" w:color="auto"/>
              <w:right w:val="single" w:sz="4" w:space="0" w:color="auto"/>
            </w:tcBorders>
            <w:hideMark/>
          </w:tcPr>
          <w:p w14:paraId="4D6BF37C" w14:textId="7D0F6914" w:rsidR="005A7533" w:rsidRPr="00137FF5" w:rsidRDefault="005A7533" w:rsidP="00165A1F">
            <w:pPr>
              <w:autoSpaceDE w:val="0"/>
              <w:autoSpaceDN w:val="0"/>
              <w:adjustRightInd w:val="0"/>
              <w:jc w:val="right"/>
              <w:rPr>
                <w:rFonts w:cstheme="minorHAnsi"/>
                <w:bCs/>
              </w:rPr>
            </w:pPr>
            <w:r w:rsidRPr="00137FF5">
              <w:rPr>
                <w:rFonts w:eastAsia="Times New Roman" w:cstheme="minorHAnsi"/>
                <w:color w:val="000000"/>
              </w:rPr>
              <w:t>0.93</w:t>
            </w:r>
            <w:r w:rsidR="00E43C1A">
              <w:rPr>
                <w:rFonts w:eastAsia="Times New Roman" w:cstheme="minorHAnsi"/>
                <w:color w:val="000000"/>
              </w:rPr>
              <w:t>93</w:t>
            </w:r>
          </w:p>
        </w:tc>
      </w:tr>
      <w:tr w:rsidR="005A7533" w:rsidRPr="00137FF5" w14:paraId="5E686781"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688F7D36" w14:textId="77777777" w:rsidR="005A7533" w:rsidRPr="00137FF5" w:rsidRDefault="005A7533" w:rsidP="00165A1F">
            <w:pPr>
              <w:autoSpaceDE w:val="0"/>
              <w:autoSpaceDN w:val="0"/>
              <w:adjustRightInd w:val="0"/>
              <w:rPr>
                <w:rFonts w:cstheme="minorHAnsi"/>
                <w:bCs/>
              </w:rPr>
            </w:pPr>
            <w:r w:rsidRPr="00137FF5">
              <w:rPr>
                <w:rFonts w:cstheme="minorHAnsi"/>
                <w:bCs/>
              </w:rPr>
              <w:t>Standard Deviation</w:t>
            </w:r>
          </w:p>
        </w:tc>
        <w:tc>
          <w:tcPr>
            <w:tcW w:w="2430" w:type="dxa"/>
            <w:tcBorders>
              <w:top w:val="single" w:sz="4" w:space="0" w:color="auto"/>
              <w:left w:val="single" w:sz="4" w:space="0" w:color="auto"/>
              <w:bottom w:val="single" w:sz="4" w:space="0" w:color="auto"/>
              <w:right w:val="single" w:sz="4" w:space="0" w:color="auto"/>
            </w:tcBorders>
            <w:hideMark/>
          </w:tcPr>
          <w:p w14:paraId="63C3823E" w14:textId="1CC6347C" w:rsidR="005A7533" w:rsidRPr="00137FF5" w:rsidRDefault="005A7533" w:rsidP="00165A1F">
            <w:pPr>
              <w:autoSpaceDE w:val="0"/>
              <w:autoSpaceDN w:val="0"/>
              <w:adjustRightInd w:val="0"/>
              <w:jc w:val="right"/>
              <w:rPr>
                <w:rFonts w:cstheme="minorHAnsi"/>
                <w:bCs/>
              </w:rPr>
            </w:pPr>
            <w:r w:rsidRPr="00137FF5">
              <w:rPr>
                <w:rFonts w:eastAsia="Times New Roman" w:cstheme="minorHAnsi"/>
                <w:color w:val="000000"/>
              </w:rPr>
              <w:t>0.1</w:t>
            </w:r>
            <w:r w:rsidR="00E43C1A">
              <w:rPr>
                <w:rFonts w:eastAsia="Times New Roman" w:cstheme="minorHAnsi"/>
                <w:color w:val="000000"/>
              </w:rPr>
              <w:t>206</w:t>
            </w:r>
          </w:p>
        </w:tc>
      </w:tr>
      <w:tr w:rsidR="005A7533" w:rsidRPr="00137FF5" w14:paraId="6CF4F427"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665797AD" w14:textId="77777777" w:rsidR="005A7533" w:rsidRPr="00137FF5" w:rsidRDefault="005A7533" w:rsidP="00165A1F">
            <w:pPr>
              <w:autoSpaceDE w:val="0"/>
              <w:autoSpaceDN w:val="0"/>
              <w:adjustRightInd w:val="0"/>
              <w:rPr>
                <w:rFonts w:cstheme="minorHAnsi"/>
                <w:bCs/>
              </w:rPr>
            </w:pPr>
            <w:r w:rsidRPr="00137FF5">
              <w:rPr>
                <w:rFonts w:cstheme="minorHAnsi"/>
                <w:bCs/>
              </w:rPr>
              <w:t>Minimum</w:t>
            </w:r>
          </w:p>
        </w:tc>
        <w:tc>
          <w:tcPr>
            <w:tcW w:w="2430" w:type="dxa"/>
            <w:tcBorders>
              <w:top w:val="single" w:sz="4" w:space="0" w:color="auto"/>
              <w:left w:val="single" w:sz="4" w:space="0" w:color="auto"/>
              <w:bottom w:val="single" w:sz="4" w:space="0" w:color="auto"/>
              <w:right w:val="single" w:sz="4" w:space="0" w:color="auto"/>
            </w:tcBorders>
            <w:hideMark/>
          </w:tcPr>
          <w:p w14:paraId="4962C38E" w14:textId="360FC6F7" w:rsidR="005A7533" w:rsidRPr="00137FF5" w:rsidRDefault="00E43C1A" w:rsidP="00165A1F">
            <w:pPr>
              <w:autoSpaceDE w:val="0"/>
              <w:autoSpaceDN w:val="0"/>
              <w:adjustRightInd w:val="0"/>
              <w:jc w:val="right"/>
              <w:rPr>
                <w:rFonts w:cstheme="minorHAnsi"/>
                <w:bCs/>
              </w:rPr>
            </w:pPr>
            <w:r>
              <w:rPr>
                <w:rFonts w:eastAsia="Times New Roman" w:cstheme="minorHAnsi"/>
                <w:color w:val="000000"/>
              </w:rPr>
              <w:t>0.4049</w:t>
            </w:r>
          </w:p>
        </w:tc>
      </w:tr>
      <w:tr w:rsidR="005A7533" w:rsidRPr="00137FF5" w14:paraId="7AE7420A"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0C4766A5" w14:textId="77777777" w:rsidR="005A7533" w:rsidRPr="00137FF5" w:rsidRDefault="005A7533" w:rsidP="00165A1F">
            <w:pPr>
              <w:autoSpaceDE w:val="0"/>
              <w:autoSpaceDN w:val="0"/>
              <w:adjustRightInd w:val="0"/>
              <w:rPr>
                <w:rFonts w:cstheme="minorHAnsi"/>
                <w:bCs/>
              </w:rPr>
            </w:pPr>
            <w:r w:rsidRPr="00137FF5">
              <w:rPr>
                <w:rFonts w:cstheme="minorHAnsi"/>
                <w:bCs/>
              </w:rPr>
              <w:t>25</w:t>
            </w:r>
            <w:r w:rsidRPr="00137FF5">
              <w:rPr>
                <w:rFonts w:cstheme="minorHAnsi"/>
                <w:bCs/>
                <w:vertAlign w:val="superscript"/>
              </w:rPr>
              <w:t>th</w:t>
            </w:r>
            <w:r w:rsidRPr="00137FF5">
              <w:rPr>
                <w:rFonts w:cstheme="minorHAnsi"/>
                <w:bCs/>
              </w:rPr>
              <w:t xml:space="preserve"> Percentile</w:t>
            </w:r>
          </w:p>
        </w:tc>
        <w:tc>
          <w:tcPr>
            <w:tcW w:w="2430" w:type="dxa"/>
            <w:tcBorders>
              <w:top w:val="single" w:sz="4" w:space="0" w:color="auto"/>
              <w:left w:val="single" w:sz="4" w:space="0" w:color="auto"/>
              <w:bottom w:val="single" w:sz="4" w:space="0" w:color="auto"/>
              <w:right w:val="single" w:sz="4" w:space="0" w:color="auto"/>
            </w:tcBorders>
            <w:hideMark/>
          </w:tcPr>
          <w:p w14:paraId="2A397FC4" w14:textId="6448FAC1" w:rsidR="005A7533" w:rsidRPr="00137FF5" w:rsidRDefault="005A7533" w:rsidP="00165A1F">
            <w:pPr>
              <w:autoSpaceDE w:val="0"/>
              <w:autoSpaceDN w:val="0"/>
              <w:adjustRightInd w:val="0"/>
              <w:jc w:val="right"/>
              <w:rPr>
                <w:rFonts w:cstheme="minorHAnsi"/>
                <w:bCs/>
              </w:rPr>
            </w:pPr>
            <w:r w:rsidRPr="00137FF5">
              <w:rPr>
                <w:rFonts w:eastAsia="Times New Roman" w:cstheme="minorHAnsi"/>
                <w:color w:val="000000"/>
              </w:rPr>
              <w:t>0.9</w:t>
            </w:r>
            <w:r w:rsidR="00E43C1A">
              <w:rPr>
                <w:rFonts w:eastAsia="Times New Roman" w:cstheme="minorHAnsi"/>
                <w:color w:val="000000"/>
              </w:rPr>
              <w:t>457</w:t>
            </w:r>
          </w:p>
        </w:tc>
      </w:tr>
      <w:tr w:rsidR="005A7533" w:rsidRPr="00137FF5" w14:paraId="653DC953"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14DD708C" w14:textId="77777777" w:rsidR="005A7533" w:rsidRPr="00137FF5" w:rsidRDefault="005A7533" w:rsidP="00165A1F">
            <w:pPr>
              <w:autoSpaceDE w:val="0"/>
              <w:autoSpaceDN w:val="0"/>
              <w:adjustRightInd w:val="0"/>
              <w:rPr>
                <w:rFonts w:cstheme="minorHAnsi"/>
                <w:bCs/>
              </w:rPr>
            </w:pPr>
            <w:r w:rsidRPr="00137FF5">
              <w:rPr>
                <w:rFonts w:cstheme="minorHAnsi"/>
                <w:bCs/>
              </w:rPr>
              <w:t>50</w:t>
            </w:r>
            <w:r w:rsidRPr="00137FF5">
              <w:rPr>
                <w:rFonts w:cstheme="minorHAnsi"/>
                <w:bCs/>
                <w:vertAlign w:val="superscript"/>
              </w:rPr>
              <w:t>th</w:t>
            </w:r>
            <w:r w:rsidRPr="00137FF5">
              <w:rPr>
                <w:rFonts w:cstheme="minorHAnsi"/>
                <w:bCs/>
              </w:rPr>
              <w:t xml:space="preserve"> Percentile</w:t>
            </w:r>
          </w:p>
        </w:tc>
        <w:tc>
          <w:tcPr>
            <w:tcW w:w="2430" w:type="dxa"/>
            <w:tcBorders>
              <w:top w:val="single" w:sz="4" w:space="0" w:color="auto"/>
              <w:left w:val="single" w:sz="4" w:space="0" w:color="auto"/>
              <w:bottom w:val="single" w:sz="4" w:space="0" w:color="auto"/>
              <w:right w:val="single" w:sz="4" w:space="0" w:color="auto"/>
            </w:tcBorders>
            <w:hideMark/>
          </w:tcPr>
          <w:p w14:paraId="0E336887" w14:textId="32B0ED54" w:rsidR="005A7533" w:rsidRPr="00137FF5" w:rsidRDefault="005A7533" w:rsidP="00165A1F">
            <w:pPr>
              <w:autoSpaceDE w:val="0"/>
              <w:autoSpaceDN w:val="0"/>
              <w:adjustRightInd w:val="0"/>
              <w:jc w:val="right"/>
              <w:rPr>
                <w:rFonts w:cstheme="minorHAnsi"/>
                <w:bCs/>
              </w:rPr>
            </w:pPr>
            <w:r w:rsidRPr="00137FF5">
              <w:rPr>
                <w:rFonts w:eastAsia="Times New Roman" w:cstheme="minorHAnsi"/>
                <w:color w:val="000000"/>
              </w:rPr>
              <w:t>0.99</w:t>
            </w:r>
            <w:r w:rsidR="00E43C1A">
              <w:rPr>
                <w:rFonts w:eastAsia="Times New Roman" w:cstheme="minorHAnsi"/>
                <w:color w:val="000000"/>
              </w:rPr>
              <w:t>26</w:t>
            </w:r>
          </w:p>
        </w:tc>
      </w:tr>
      <w:tr w:rsidR="005A7533" w:rsidRPr="00137FF5" w14:paraId="6E6B5717"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0E615D88" w14:textId="77777777" w:rsidR="005A7533" w:rsidRPr="00137FF5" w:rsidRDefault="005A7533" w:rsidP="00165A1F">
            <w:pPr>
              <w:autoSpaceDE w:val="0"/>
              <w:autoSpaceDN w:val="0"/>
              <w:adjustRightInd w:val="0"/>
              <w:rPr>
                <w:rFonts w:cstheme="minorHAnsi"/>
                <w:bCs/>
              </w:rPr>
            </w:pPr>
            <w:r w:rsidRPr="00137FF5">
              <w:rPr>
                <w:rFonts w:cstheme="minorHAnsi"/>
                <w:bCs/>
              </w:rPr>
              <w:t>75</w:t>
            </w:r>
            <w:r w:rsidRPr="00137FF5">
              <w:rPr>
                <w:rFonts w:cstheme="minorHAnsi"/>
                <w:bCs/>
                <w:vertAlign w:val="superscript"/>
              </w:rPr>
              <w:t>th</w:t>
            </w:r>
            <w:r w:rsidRPr="00137FF5">
              <w:rPr>
                <w:rFonts w:cstheme="minorHAnsi"/>
                <w:bCs/>
              </w:rPr>
              <w:t xml:space="preserve"> Percentile</w:t>
            </w:r>
          </w:p>
        </w:tc>
        <w:tc>
          <w:tcPr>
            <w:tcW w:w="2430" w:type="dxa"/>
            <w:tcBorders>
              <w:top w:val="single" w:sz="4" w:space="0" w:color="auto"/>
              <w:left w:val="single" w:sz="4" w:space="0" w:color="auto"/>
              <w:bottom w:val="single" w:sz="4" w:space="0" w:color="auto"/>
              <w:right w:val="single" w:sz="4" w:space="0" w:color="auto"/>
            </w:tcBorders>
            <w:hideMark/>
          </w:tcPr>
          <w:p w14:paraId="484DDEDB" w14:textId="4D2FC294" w:rsidR="005A7533" w:rsidRPr="00137FF5" w:rsidRDefault="00731FE8" w:rsidP="00165A1F">
            <w:pPr>
              <w:autoSpaceDE w:val="0"/>
              <w:autoSpaceDN w:val="0"/>
              <w:adjustRightInd w:val="0"/>
              <w:jc w:val="right"/>
              <w:rPr>
                <w:rFonts w:cstheme="minorHAnsi"/>
                <w:bCs/>
              </w:rPr>
            </w:pPr>
            <w:r>
              <w:rPr>
                <w:rFonts w:eastAsia="Times New Roman" w:cstheme="minorHAnsi"/>
                <w:color w:val="000000"/>
              </w:rPr>
              <w:t>0.9982</w:t>
            </w:r>
          </w:p>
        </w:tc>
      </w:tr>
      <w:tr w:rsidR="005A7533" w:rsidRPr="00137FF5" w14:paraId="2F9D11BF"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26F8FDE6" w14:textId="77777777" w:rsidR="005A7533" w:rsidRPr="00137FF5" w:rsidRDefault="005A7533" w:rsidP="00165A1F">
            <w:pPr>
              <w:autoSpaceDE w:val="0"/>
              <w:autoSpaceDN w:val="0"/>
              <w:adjustRightInd w:val="0"/>
              <w:rPr>
                <w:rFonts w:cstheme="minorHAnsi"/>
                <w:bCs/>
              </w:rPr>
            </w:pPr>
            <w:r w:rsidRPr="00137FF5">
              <w:rPr>
                <w:rFonts w:cstheme="minorHAnsi"/>
                <w:bCs/>
              </w:rPr>
              <w:t>Maximum</w:t>
            </w:r>
          </w:p>
        </w:tc>
        <w:tc>
          <w:tcPr>
            <w:tcW w:w="2430" w:type="dxa"/>
            <w:tcBorders>
              <w:top w:val="single" w:sz="4" w:space="0" w:color="auto"/>
              <w:left w:val="single" w:sz="4" w:space="0" w:color="auto"/>
              <w:bottom w:val="single" w:sz="4" w:space="0" w:color="auto"/>
              <w:right w:val="single" w:sz="4" w:space="0" w:color="auto"/>
            </w:tcBorders>
            <w:hideMark/>
          </w:tcPr>
          <w:p w14:paraId="393133CD" w14:textId="77777777" w:rsidR="005A7533" w:rsidRPr="00137FF5" w:rsidRDefault="005A7533" w:rsidP="00165A1F">
            <w:pPr>
              <w:autoSpaceDE w:val="0"/>
              <w:autoSpaceDN w:val="0"/>
              <w:adjustRightInd w:val="0"/>
              <w:jc w:val="right"/>
              <w:rPr>
                <w:rFonts w:cstheme="minorHAnsi"/>
                <w:bCs/>
              </w:rPr>
            </w:pPr>
            <w:r w:rsidRPr="00137FF5">
              <w:rPr>
                <w:rFonts w:eastAsia="Times New Roman" w:cstheme="minorHAnsi"/>
                <w:color w:val="000000"/>
              </w:rPr>
              <w:t>1.0000</w:t>
            </w:r>
          </w:p>
        </w:tc>
      </w:tr>
      <w:tr w:rsidR="005A7533" w:rsidRPr="00137FF5" w14:paraId="4FD995AF" w14:textId="77777777" w:rsidTr="00165A1F">
        <w:tc>
          <w:tcPr>
            <w:tcW w:w="2340" w:type="dxa"/>
            <w:tcBorders>
              <w:top w:val="single" w:sz="4" w:space="0" w:color="auto"/>
              <w:left w:val="single" w:sz="4" w:space="0" w:color="auto"/>
              <w:bottom w:val="single" w:sz="4" w:space="0" w:color="auto"/>
              <w:right w:val="single" w:sz="4" w:space="0" w:color="auto"/>
            </w:tcBorders>
            <w:hideMark/>
          </w:tcPr>
          <w:p w14:paraId="37BE90CC" w14:textId="77777777" w:rsidR="005A7533" w:rsidRPr="00137FF5" w:rsidRDefault="005A7533" w:rsidP="00165A1F">
            <w:pPr>
              <w:autoSpaceDE w:val="0"/>
              <w:autoSpaceDN w:val="0"/>
              <w:adjustRightInd w:val="0"/>
              <w:rPr>
                <w:rFonts w:cstheme="minorHAnsi"/>
                <w:bCs/>
              </w:rPr>
            </w:pPr>
            <w:r w:rsidRPr="00137FF5">
              <w:rPr>
                <w:rFonts w:cstheme="minorHAnsi"/>
                <w:bCs/>
              </w:rPr>
              <w:t>Interquartile Range</w:t>
            </w:r>
          </w:p>
        </w:tc>
        <w:tc>
          <w:tcPr>
            <w:tcW w:w="2430" w:type="dxa"/>
            <w:tcBorders>
              <w:top w:val="single" w:sz="4" w:space="0" w:color="auto"/>
              <w:left w:val="single" w:sz="4" w:space="0" w:color="auto"/>
              <w:bottom w:val="single" w:sz="4" w:space="0" w:color="auto"/>
              <w:right w:val="single" w:sz="4" w:space="0" w:color="auto"/>
            </w:tcBorders>
            <w:hideMark/>
          </w:tcPr>
          <w:p w14:paraId="24C5B5BB" w14:textId="5A67E8D0" w:rsidR="005A7533" w:rsidRPr="00137FF5" w:rsidRDefault="005A7533" w:rsidP="00165A1F">
            <w:pPr>
              <w:jc w:val="right"/>
              <w:rPr>
                <w:rFonts w:cstheme="minorHAnsi"/>
                <w:color w:val="000000"/>
              </w:rPr>
            </w:pPr>
            <w:r w:rsidRPr="00137FF5">
              <w:rPr>
                <w:rFonts w:cstheme="minorHAnsi"/>
                <w:color w:val="000000"/>
              </w:rPr>
              <w:t>0.0</w:t>
            </w:r>
            <w:r w:rsidR="00E43C1A">
              <w:rPr>
                <w:rFonts w:cstheme="minorHAnsi"/>
                <w:color w:val="000000"/>
              </w:rPr>
              <w:t>525</w:t>
            </w:r>
          </w:p>
        </w:tc>
      </w:tr>
    </w:tbl>
    <w:p w14:paraId="3AF15229" w14:textId="77777777" w:rsidR="005A7533" w:rsidRPr="00A25024" w:rsidRDefault="005A7533" w:rsidP="008C54A9">
      <w:pPr>
        <w:autoSpaceDE w:val="0"/>
        <w:autoSpaceDN w:val="0"/>
        <w:adjustRightInd w:val="0"/>
        <w:spacing w:after="0" w:line="240" w:lineRule="auto"/>
        <w:rPr>
          <w:rFonts w:cstheme="minorHAnsi"/>
          <w:bCs/>
        </w:rPr>
      </w:pPr>
    </w:p>
    <w:p w14:paraId="5325057E" w14:textId="6B4B1A7D" w:rsidR="005A7533"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3B440D52" w14:textId="06DF1B47" w:rsidR="005A7533" w:rsidRPr="00A25024" w:rsidRDefault="005A7533" w:rsidP="00DB3627">
      <w:pPr>
        <w:autoSpaceDE w:val="0"/>
        <w:autoSpaceDN w:val="0"/>
        <w:adjustRightInd w:val="0"/>
        <w:spacing w:after="0" w:line="240" w:lineRule="auto"/>
        <w:rPr>
          <w:rFonts w:cstheme="minorHAnsi"/>
          <w:bCs/>
        </w:rPr>
      </w:pPr>
      <w:r w:rsidRPr="00137FF5">
        <w:rPr>
          <w:rFonts w:cstheme="minorHAnsi"/>
          <w:bCs/>
        </w:rPr>
        <w:t xml:space="preserve">A reliability score of 0.7 is the minimum threshold for reliability. Based on the mean reliability score of 0.77 for Medicare and 0.94 for Medicaid, the measure is considered reliable.  </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08DF65E2" w:rsidR="00696262" w:rsidRPr="00A25024" w:rsidRDefault="00916FB4"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CC3D84">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49E682DF" w:rsidR="000574AB" w:rsidRPr="00A25024" w:rsidRDefault="00916FB4"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CC3D84">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18E59622"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3CBE610C" w14:textId="77777777" w:rsidR="00ED273A" w:rsidRPr="000E00A9" w:rsidRDefault="00ED273A" w:rsidP="00ED273A">
      <w:pPr>
        <w:widowControl w:val="0"/>
        <w:autoSpaceDE w:val="0"/>
        <w:autoSpaceDN w:val="0"/>
        <w:adjustRightInd w:val="0"/>
        <w:spacing w:after="0" w:line="240" w:lineRule="auto"/>
        <w:rPr>
          <w:rFonts w:eastAsia="MS Gothic" w:cstheme="minorHAnsi"/>
          <w:b/>
          <w:bCs/>
          <w:color w:val="000000" w:themeColor="text1"/>
          <w:u w:val="single"/>
        </w:rPr>
      </w:pPr>
      <w:r w:rsidRPr="000E00A9">
        <w:rPr>
          <w:rFonts w:cstheme="minorHAnsi"/>
          <w:b/>
          <w:bCs/>
          <w:color w:val="000000" w:themeColor="text1"/>
          <w:u w:val="single"/>
        </w:rPr>
        <w:t xml:space="preserve">Systematic assessment of face </w:t>
      </w:r>
      <w:r w:rsidRPr="000E00A9">
        <w:rPr>
          <w:rFonts w:eastAsia="MS Gothic" w:cstheme="minorHAnsi"/>
          <w:b/>
          <w:bCs/>
          <w:color w:val="000000" w:themeColor="text1"/>
          <w:u w:val="single"/>
        </w:rPr>
        <w:t xml:space="preserve">validity </w:t>
      </w:r>
    </w:p>
    <w:p w14:paraId="6E9DD5B5" w14:textId="77777777" w:rsidR="00ED273A" w:rsidRPr="000E00A9" w:rsidRDefault="00ED273A" w:rsidP="00ED273A">
      <w:pPr>
        <w:widowControl w:val="0"/>
        <w:autoSpaceDE w:val="0"/>
        <w:autoSpaceDN w:val="0"/>
        <w:adjustRightInd w:val="0"/>
        <w:spacing w:after="0" w:line="240" w:lineRule="auto"/>
        <w:rPr>
          <w:rFonts w:cs="Trebuchet MS"/>
          <w:color w:val="000000" w:themeColor="text1"/>
        </w:rPr>
      </w:pPr>
      <w:r w:rsidRPr="000E00A9">
        <w:rPr>
          <w:rFonts w:cs="Trebuchet MS"/>
          <w:color w:val="000000" w:themeColor="text1"/>
        </w:rPr>
        <w:t>PQA uses a systematic, transparent, consensus-based measure development</w:t>
      </w:r>
      <w:r>
        <w:rPr>
          <w:rFonts w:cs="Trebuchet MS"/>
          <w:color w:val="000000" w:themeColor="text1"/>
        </w:rPr>
        <w:t xml:space="preserve">, </w:t>
      </w:r>
      <w:r w:rsidRPr="000E00A9">
        <w:rPr>
          <w:rFonts w:cs="Trebuchet MS"/>
          <w:color w:val="000000" w:themeColor="text1"/>
        </w:rPr>
        <w:t>testing</w:t>
      </w:r>
      <w:r>
        <w:rPr>
          <w:rFonts w:cs="Trebuchet MS"/>
          <w:color w:val="000000" w:themeColor="text1"/>
        </w:rPr>
        <w:t>, and endorsement</w:t>
      </w:r>
      <w:r w:rsidRPr="000E00A9">
        <w:rPr>
          <w:rFonts w:cs="Trebuchet MS"/>
          <w:color w:val="000000" w:themeColor="text1"/>
        </w:rPr>
        <w:t xml:space="preserve"> process. That process used in 2016 to develop this measure is outlined below:</w:t>
      </w:r>
    </w:p>
    <w:p w14:paraId="381C847B" w14:textId="77777777" w:rsidR="00ED273A" w:rsidRPr="000E00A9" w:rsidRDefault="00ED273A" w:rsidP="00ED273A">
      <w:pPr>
        <w:widowControl w:val="0"/>
        <w:autoSpaceDE w:val="0"/>
        <w:autoSpaceDN w:val="0"/>
        <w:adjustRightInd w:val="0"/>
        <w:spacing w:after="0" w:line="240" w:lineRule="auto"/>
        <w:rPr>
          <w:rFonts w:cs="Trebuchet MS"/>
          <w:color w:val="000000" w:themeColor="text1"/>
        </w:rPr>
      </w:pPr>
    </w:p>
    <w:p w14:paraId="391322BF" w14:textId="77777777" w:rsidR="00ED273A" w:rsidRPr="000E00A9" w:rsidRDefault="00ED273A" w:rsidP="00ED273A">
      <w:pPr>
        <w:pStyle w:val="Default"/>
        <w:numPr>
          <w:ilvl w:val="0"/>
          <w:numId w:val="30"/>
        </w:numPr>
        <w:spacing w:after="160"/>
        <w:ind w:left="630"/>
        <w:rPr>
          <w:b/>
          <w:bCs/>
          <w:color w:val="000000" w:themeColor="text1"/>
          <w:sz w:val="22"/>
          <w:szCs w:val="22"/>
        </w:rPr>
      </w:pPr>
      <w:r w:rsidRPr="000E00A9">
        <w:rPr>
          <w:b/>
          <w:bCs/>
          <w:color w:val="000000" w:themeColor="text1"/>
          <w:sz w:val="22"/>
          <w:szCs w:val="22"/>
        </w:rPr>
        <w:t>Step 1</w:t>
      </w:r>
      <w:r w:rsidRPr="000E00A9">
        <w:rPr>
          <w:color w:val="000000" w:themeColor="text1"/>
          <w:sz w:val="22"/>
          <w:szCs w:val="22"/>
        </w:rPr>
        <w:t xml:space="preserve">: Measure concepts for development are prioritized by PQA staff based on input from PQA’s Measure Advisement Group, Implementation Advisory Panel, and Patient and Caregiver Advisory Panel. Environmental scans are conducted to identify whether similar measures exist, ensuring harmonization and avoiding duplication. Selected concept ideas are considered to represent areas in which there are measurement and performance gaps to have the greatest chance of implementation in existing measure sets and performance systems, and to align with the National Quality Strategy. </w:t>
      </w:r>
    </w:p>
    <w:p w14:paraId="2E28DED7" w14:textId="77777777" w:rsidR="00ED273A" w:rsidRPr="000E00A9" w:rsidRDefault="00ED273A" w:rsidP="00ED273A">
      <w:pPr>
        <w:pStyle w:val="Default"/>
        <w:numPr>
          <w:ilvl w:val="0"/>
          <w:numId w:val="30"/>
        </w:numPr>
        <w:spacing w:after="160"/>
        <w:ind w:left="630"/>
        <w:rPr>
          <w:b/>
          <w:bCs/>
          <w:color w:val="000000" w:themeColor="text1"/>
          <w:sz w:val="22"/>
          <w:szCs w:val="22"/>
        </w:rPr>
      </w:pPr>
      <w:r w:rsidRPr="000E00A9">
        <w:rPr>
          <w:b/>
          <w:bCs/>
          <w:color w:val="000000" w:themeColor="text1"/>
          <w:sz w:val="22"/>
          <w:szCs w:val="22"/>
        </w:rPr>
        <w:t>Step 2</w:t>
      </w:r>
      <w:r w:rsidRPr="000E00A9">
        <w:rPr>
          <w:color w:val="000000" w:themeColor="text1"/>
          <w:sz w:val="22"/>
          <w:szCs w:val="22"/>
        </w:rPr>
        <w:t>: PQA Measure Development Teams (MDTs) and Task Forces (TF</w:t>
      </w:r>
      <w:r>
        <w:rPr>
          <w:color w:val="000000" w:themeColor="text1"/>
          <w:sz w:val="22"/>
          <w:szCs w:val="22"/>
        </w:rPr>
        <w:t>s</w:t>
      </w:r>
      <w:r w:rsidRPr="000E00A9">
        <w:rPr>
          <w:color w:val="000000" w:themeColor="text1"/>
          <w:sz w:val="22"/>
          <w:szCs w:val="22"/>
        </w:rPr>
        <w:t xml:space="preserve">), comprised of experts in all phases of drug use and management, discuss and draft specifications for measure concepts that may be appropriate for development into fully specified performance measures. The MDTs/TFs focus on specific aspects of the medication-use system and/or specific therapeutic areas and benefit by having their development work reviewed by larger groups, Stakeholder Advisory Panels. They may also receive input from the Patient &amp; Caregiver Advisory Panel, Implementation Advisory Panel, and Risk Adjustment Advisory Panel. </w:t>
      </w:r>
    </w:p>
    <w:p w14:paraId="70F9B5B2" w14:textId="77777777" w:rsidR="00ED273A" w:rsidRPr="000E00A9" w:rsidRDefault="00ED273A" w:rsidP="00ED273A">
      <w:pPr>
        <w:pStyle w:val="Default"/>
        <w:numPr>
          <w:ilvl w:val="0"/>
          <w:numId w:val="30"/>
        </w:numPr>
        <w:spacing w:after="160"/>
        <w:ind w:left="630"/>
        <w:rPr>
          <w:color w:val="000000" w:themeColor="text1"/>
          <w:sz w:val="22"/>
          <w:szCs w:val="22"/>
        </w:rPr>
      </w:pPr>
      <w:r w:rsidRPr="000E00A9">
        <w:rPr>
          <w:b/>
          <w:bCs/>
          <w:color w:val="000000" w:themeColor="text1"/>
          <w:sz w:val="22"/>
          <w:szCs w:val="22"/>
        </w:rPr>
        <w:t>Step 3</w:t>
      </w:r>
      <w:r w:rsidRPr="000E00A9">
        <w:rPr>
          <w:color w:val="000000" w:themeColor="text1"/>
          <w:sz w:val="22"/>
          <w:szCs w:val="22"/>
        </w:rPr>
        <w:t xml:space="preserve">: PQA MDTs/TFs recommend measure concepts to the PQA Quality Metrics Expert Panel (QMEP) for evaluation and refinement. The QMEP reviews the measure concepts to provide an initial assessment of the key properties of performance measures (i.e., importance, scientific acceptability, feasibility and usability). The measure concepts that are rated highly on these key properties will undergo testing and possibly further technical specification as draft measures. </w:t>
      </w:r>
    </w:p>
    <w:p w14:paraId="36BC5477" w14:textId="77777777" w:rsidR="00ED273A" w:rsidRPr="000E00A9" w:rsidRDefault="00ED273A" w:rsidP="00ED273A">
      <w:pPr>
        <w:pStyle w:val="Default"/>
        <w:numPr>
          <w:ilvl w:val="0"/>
          <w:numId w:val="30"/>
        </w:numPr>
        <w:spacing w:after="160"/>
        <w:ind w:left="630"/>
        <w:rPr>
          <w:color w:val="000000" w:themeColor="text1"/>
          <w:sz w:val="22"/>
          <w:szCs w:val="22"/>
        </w:rPr>
      </w:pPr>
      <w:r w:rsidRPr="000E00A9">
        <w:rPr>
          <w:b/>
          <w:bCs/>
          <w:color w:val="000000" w:themeColor="text1"/>
          <w:sz w:val="22"/>
          <w:szCs w:val="22"/>
        </w:rPr>
        <w:t>Step 4</w:t>
      </w:r>
      <w:r w:rsidRPr="000E00A9">
        <w:rPr>
          <w:color w:val="000000" w:themeColor="text1"/>
          <w:sz w:val="22"/>
          <w:szCs w:val="22"/>
        </w:rPr>
        <w:t xml:space="preserve">: The draft measures are provided to PQA member organizations for their comments prior to preparing technical specifications (including National Drug Code [NDC] lists) for pilot testing. PQA staff use member comments and MDT/TF and QMEP recommendations to formulate a testing plan for each draft measure. </w:t>
      </w:r>
    </w:p>
    <w:p w14:paraId="72013B29" w14:textId="77777777" w:rsidR="00ED273A" w:rsidRPr="000E00A9" w:rsidRDefault="00ED273A" w:rsidP="00ED273A">
      <w:pPr>
        <w:pStyle w:val="Default"/>
        <w:numPr>
          <w:ilvl w:val="0"/>
          <w:numId w:val="30"/>
        </w:numPr>
        <w:spacing w:after="160"/>
        <w:ind w:left="630"/>
        <w:rPr>
          <w:color w:val="000000" w:themeColor="text1"/>
          <w:sz w:val="22"/>
          <w:szCs w:val="22"/>
        </w:rPr>
      </w:pPr>
      <w:r w:rsidRPr="000E00A9">
        <w:rPr>
          <w:b/>
          <w:bCs/>
          <w:color w:val="000000" w:themeColor="text1"/>
          <w:sz w:val="22"/>
          <w:szCs w:val="22"/>
        </w:rPr>
        <w:t>Step 5</w:t>
      </w:r>
      <w:r w:rsidRPr="000E00A9">
        <w:rPr>
          <w:color w:val="000000" w:themeColor="text1"/>
          <w:sz w:val="22"/>
          <w:szCs w:val="22"/>
        </w:rPr>
        <w:t xml:space="preserve">: PQA selects partners to test the draft measures. These partners are often PQA member health plans or academic institutions with expertise in quality and performance measure testing that also have access to the data sources needed to calculate the measure rates. The testing partner implements the draft technical specifications within their existing datasets and provides a report to PQA that details testing results and recommendations for modifications of the technical specifications. </w:t>
      </w:r>
    </w:p>
    <w:p w14:paraId="34477D3F" w14:textId="77777777" w:rsidR="00ED273A" w:rsidRPr="000E00A9" w:rsidRDefault="00ED273A" w:rsidP="00ED273A">
      <w:pPr>
        <w:pStyle w:val="Default"/>
        <w:numPr>
          <w:ilvl w:val="0"/>
          <w:numId w:val="30"/>
        </w:numPr>
        <w:spacing w:after="160"/>
        <w:ind w:left="630"/>
        <w:rPr>
          <w:color w:val="000000" w:themeColor="text1"/>
          <w:sz w:val="22"/>
          <w:szCs w:val="22"/>
        </w:rPr>
      </w:pPr>
      <w:r w:rsidRPr="000E00A9">
        <w:rPr>
          <w:b/>
          <w:bCs/>
          <w:color w:val="000000" w:themeColor="text1"/>
          <w:sz w:val="22"/>
          <w:szCs w:val="22"/>
        </w:rPr>
        <w:t>Step 6</w:t>
      </w:r>
      <w:r w:rsidRPr="000E00A9">
        <w:rPr>
          <w:color w:val="000000" w:themeColor="text1"/>
          <w:sz w:val="22"/>
          <w:szCs w:val="22"/>
        </w:rPr>
        <w:t xml:space="preserve">: The QMEP reviews the testing results and recommendations and determines final criteria for the measure based on the findings. The QMEP provides a final assessment of the feasibility and reliability of the draft measures. </w:t>
      </w:r>
    </w:p>
    <w:p w14:paraId="359C9C59" w14:textId="77777777" w:rsidR="00ED273A" w:rsidRPr="00BA37F8" w:rsidRDefault="00ED273A" w:rsidP="00ED273A">
      <w:pPr>
        <w:pStyle w:val="Default"/>
        <w:numPr>
          <w:ilvl w:val="0"/>
          <w:numId w:val="30"/>
        </w:numPr>
        <w:spacing w:after="160"/>
        <w:ind w:left="630"/>
        <w:rPr>
          <w:color w:val="000000" w:themeColor="text1"/>
          <w:sz w:val="22"/>
          <w:szCs w:val="22"/>
        </w:rPr>
      </w:pPr>
      <w:r w:rsidRPr="000E00A9">
        <w:rPr>
          <w:b/>
          <w:bCs/>
          <w:color w:val="000000" w:themeColor="text1"/>
          <w:sz w:val="22"/>
          <w:szCs w:val="22"/>
        </w:rPr>
        <w:t>Step 7</w:t>
      </w:r>
      <w:r w:rsidRPr="000E00A9">
        <w:rPr>
          <w:color w:val="000000" w:themeColor="text1"/>
          <w:sz w:val="22"/>
          <w:szCs w:val="22"/>
        </w:rPr>
        <w:t xml:space="preserve">: The Measure Validity Panel, an independent group of individuals not involved in the development </w:t>
      </w:r>
      <w:r w:rsidRPr="00BA37F8">
        <w:rPr>
          <w:color w:val="000000" w:themeColor="text1"/>
          <w:sz w:val="22"/>
          <w:szCs w:val="22"/>
        </w:rPr>
        <w:t>or review of the measure concept or draft measure, determines through discussion and vote whether the performance measure score is an accurate reflection of quality</w:t>
      </w:r>
      <w:r w:rsidRPr="00BA37F8">
        <w:rPr>
          <w:rFonts w:eastAsia="MS Gothic" w:cstheme="minorHAnsi"/>
          <w:bCs/>
          <w:sz w:val="22"/>
          <w:szCs w:val="22"/>
        </w:rPr>
        <w:t xml:space="preserve"> and can distinguish good from poor performance</w:t>
      </w:r>
      <w:r w:rsidRPr="00BA37F8">
        <w:rPr>
          <w:color w:val="000000" w:themeColor="text1"/>
          <w:sz w:val="22"/>
          <w:szCs w:val="22"/>
        </w:rPr>
        <w:t xml:space="preserve"> (i.e., face validity). </w:t>
      </w:r>
    </w:p>
    <w:p w14:paraId="5426E097" w14:textId="77777777" w:rsidR="00ED273A" w:rsidRPr="00DD5651" w:rsidRDefault="00ED273A" w:rsidP="00ED273A">
      <w:pPr>
        <w:pStyle w:val="Default"/>
        <w:numPr>
          <w:ilvl w:val="0"/>
          <w:numId w:val="30"/>
        </w:numPr>
        <w:spacing w:after="160"/>
        <w:ind w:left="630"/>
        <w:rPr>
          <w:rFonts w:asciiTheme="minorHAnsi" w:hAnsiTheme="minorHAnsi" w:cstheme="minorHAnsi"/>
          <w:color w:val="000000" w:themeColor="text1"/>
          <w:sz w:val="22"/>
          <w:szCs w:val="22"/>
        </w:rPr>
      </w:pPr>
      <w:r w:rsidRPr="00BA37F8">
        <w:rPr>
          <w:b/>
          <w:bCs/>
          <w:color w:val="000000" w:themeColor="text1"/>
          <w:sz w:val="22"/>
          <w:szCs w:val="22"/>
        </w:rPr>
        <w:t>Step 8</w:t>
      </w:r>
      <w:r w:rsidRPr="00BA37F8">
        <w:rPr>
          <w:color w:val="000000" w:themeColor="text1"/>
          <w:sz w:val="22"/>
          <w:szCs w:val="22"/>
        </w:rPr>
        <w:t xml:space="preserve">: Performance measures that are recommended by the QMEP </w:t>
      </w:r>
      <w:r w:rsidRPr="000E00A9">
        <w:rPr>
          <w:color w:val="000000" w:themeColor="text1"/>
          <w:sz w:val="22"/>
          <w:szCs w:val="22"/>
        </w:rPr>
        <w:t xml:space="preserve">for endorsement consideration by the PQA membership are posted on the PQA web site for member review, </w:t>
      </w:r>
      <w:r w:rsidRPr="00DD5651">
        <w:rPr>
          <w:rFonts w:asciiTheme="minorHAnsi" w:hAnsiTheme="minorHAnsi" w:cstheme="minorHAnsi"/>
          <w:color w:val="000000" w:themeColor="text1"/>
          <w:sz w:val="22"/>
          <w:szCs w:val="22"/>
        </w:rPr>
        <w:t xml:space="preserve">written comments are requested, and a </w:t>
      </w:r>
      <w:r>
        <w:rPr>
          <w:rFonts w:asciiTheme="minorHAnsi" w:hAnsiTheme="minorHAnsi" w:cstheme="minorHAnsi"/>
          <w:color w:val="000000" w:themeColor="text1"/>
          <w:sz w:val="22"/>
          <w:szCs w:val="22"/>
        </w:rPr>
        <w:t xml:space="preserve">webinar </w:t>
      </w:r>
      <w:r w:rsidRPr="00DD5651">
        <w:rPr>
          <w:rFonts w:asciiTheme="minorHAnsi" w:hAnsiTheme="minorHAnsi" w:cstheme="minorHAnsi"/>
          <w:color w:val="000000" w:themeColor="text1"/>
          <w:sz w:val="22"/>
          <w:szCs w:val="22"/>
        </w:rPr>
        <w:t xml:space="preserve">for member organizations is held to gather feedback and address any questions. This process allows members to discuss their views on the measures in advance of the voting period. </w:t>
      </w:r>
    </w:p>
    <w:p w14:paraId="3ABD5990" w14:textId="70B40D6D" w:rsidR="00ED273A" w:rsidRPr="00ED273A" w:rsidRDefault="00ED273A" w:rsidP="00ED273A">
      <w:pPr>
        <w:pStyle w:val="Default"/>
        <w:numPr>
          <w:ilvl w:val="0"/>
          <w:numId w:val="30"/>
        </w:numPr>
        <w:spacing w:after="160"/>
        <w:ind w:left="630"/>
        <w:rPr>
          <w:rFonts w:cstheme="minorHAnsi"/>
          <w:bCs/>
          <w:color w:val="000000" w:themeColor="text1"/>
        </w:rPr>
      </w:pPr>
      <w:r w:rsidRPr="008D2250">
        <w:rPr>
          <w:b/>
          <w:bCs/>
          <w:color w:val="000000" w:themeColor="text1"/>
          <w:sz w:val="22"/>
          <w:szCs w:val="22"/>
        </w:rPr>
        <w:t>Step</w:t>
      </w:r>
      <w:r w:rsidRPr="00DD5651">
        <w:rPr>
          <w:rFonts w:asciiTheme="minorHAnsi" w:hAnsiTheme="minorHAnsi" w:cstheme="minorHAnsi"/>
          <w:b/>
          <w:bCs/>
          <w:color w:val="000000" w:themeColor="text1"/>
          <w:sz w:val="22"/>
          <w:szCs w:val="22"/>
        </w:rPr>
        <w:t xml:space="preserve"> 9</w:t>
      </w:r>
      <w:r w:rsidRPr="00DD5651">
        <w:rPr>
          <w:rFonts w:asciiTheme="minorHAnsi" w:hAnsiTheme="minorHAnsi" w:cstheme="minorHAnsi"/>
          <w:color w:val="000000" w:themeColor="text1"/>
          <w:sz w:val="22"/>
          <w:szCs w:val="22"/>
        </w:rPr>
        <w:t>: PQA member organizations vote on endorsement of the performance measures.</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096B44A9" w14:textId="77777777" w:rsidR="00ED273A"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0AB33E46" w14:textId="77777777" w:rsidR="00ED273A" w:rsidRDefault="00ED273A" w:rsidP="00092566">
      <w:pPr>
        <w:autoSpaceDE w:val="0"/>
        <w:autoSpaceDN w:val="0"/>
        <w:adjustRightInd w:val="0"/>
        <w:spacing w:after="0" w:line="240" w:lineRule="auto"/>
        <w:rPr>
          <w:rFonts w:cstheme="minorHAnsi"/>
          <w:bCs/>
        </w:rPr>
      </w:pPr>
    </w:p>
    <w:p w14:paraId="2EA7227A" w14:textId="77777777" w:rsidR="00ED273A" w:rsidRPr="00DD5651" w:rsidRDefault="00ED273A" w:rsidP="00ED273A">
      <w:pPr>
        <w:widowControl w:val="0"/>
        <w:autoSpaceDE w:val="0"/>
        <w:autoSpaceDN w:val="0"/>
        <w:adjustRightInd w:val="0"/>
        <w:spacing w:after="120" w:line="240" w:lineRule="auto"/>
        <w:rPr>
          <w:rFonts w:cstheme="minorHAnsi"/>
          <w:color w:val="000000" w:themeColor="text1"/>
        </w:rPr>
      </w:pPr>
      <w:r w:rsidRPr="00DD5651">
        <w:rPr>
          <w:rFonts w:cstheme="minorHAnsi"/>
          <w:color w:val="000000" w:themeColor="text1"/>
        </w:rPr>
        <w:t xml:space="preserve">The measure was assessed for face validity (i.e., whether it appears to measure what it intends to measure) through review by the team that developed the measure (PQA Measure Development Team [MDT] 13: Concurrent Use of Opioids and Benzodiazepines), the PQA Quality Metrics Expert Panel (QMEP), the Measure Validity Panel (MVP), and PQA’s full membership. In addition, feedback about validity of the measure was sought </w:t>
      </w:r>
      <w:r w:rsidRPr="00DD785E">
        <w:rPr>
          <w:rFonts w:cstheme="minorHAnsi"/>
          <w:color w:val="000000" w:themeColor="text1"/>
        </w:rPr>
        <w:t xml:space="preserve">out by the </w:t>
      </w:r>
      <w:r w:rsidRPr="00C52475">
        <w:rPr>
          <w:rFonts w:cstheme="minorHAnsi"/>
          <w:color w:val="000000" w:themeColor="text1"/>
        </w:rPr>
        <w:t>two</w:t>
      </w:r>
      <w:r w:rsidRPr="00DD785E">
        <w:rPr>
          <w:rFonts w:cstheme="minorHAnsi"/>
          <w:color w:val="000000" w:themeColor="text1"/>
        </w:rPr>
        <w:t xml:space="preserve"> PQA</w:t>
      </w:r>
      <w:r w:rsidRPr="00DD5651">
        <w:rPr>
          <w:rFonts w:cstheme="minorHAnsi"/>
          <w:color w:val="000000" w:themeColor="text1"/>
        </w:rPr>
        <w:t xml:space="preserve"> member organizations who tested the measure using their own data</w:t>
      </w:r>
      <w:r>
        <w:rPr>
          <w:rFonts w:cstheme="minorHAnsi"/>
          <w:color w:val="000000" w:themeColor="text1"/>
        </w:rPr>
        <w:t>, and four external subject matter experts.</w:t>
      </w:r>
    </w:p>
    <w:p w14:paraId="5CE2703F" w14:textId="77777777" w:rsidR="00ED273A" w:rsidRPr="00DD5651" w:rsidRDefault="00ED273A" w:rsidP="00ED273A">
      <w:pPr>
        <w:widowControl w:val="0"/>
        <w:autoSpaceDE w:val="0"/>
        <w:autoSpaceDN w:val="0"/>
        <w:adjustRightInd w:val="0"/>
        <w:spacing w:after="120" w:line="240" w:lineRule="auto"/>
        <w:rPr>
          <w:rFonts w:cstheme="minorHAnsi"/>
          <w:color w:val="000000" w:themeColor="text1"/>
        </w:rPr>
      </w:pPr>
      <w:r w:rsidRPr="00DD5651">
        <w:rPr>
          <w:rFonts w:cstheme="minorHAnsi"/>
          <w:color w:val="000000" w:themeColor="text1"/>
        </w:rPr>
        <w:t xml:space="preserve">MDT 13 was composed of </w:t>
      </w:r>
      <w:r>
        <w:rPr>
          <w:rFonts w:cstheme="minorHAnsi"/>
          <w:color w:val="000000" w:themeColor="text1"/>
        </w:rPr>
        <w:t>27</w:t>
      </w:r>
      <w:r w:rsidRPr="00DD5651">
        <w:rPr>
          <w:rFonts w:cstheme="minorHAnsi"/>
          <w:color w:val="000000" w:themeColor="text1"/>
        </w:rPr>
        <w:t xml:space="preserve"> PQA members. After the MDT completed development of the measure specifications, </w:t>
      </w:r>
      <w:r>
        <w:rPr>
          <w:rFonts w:cstheme="minorHAnsi"/>
          <w:color w:val="000000" w:themeColor="text1"/>
        </w:rPr>
        <w:t xml:space="preserve">the group </w:t>
      </w:r>
      <w:r w:rsidRPr="00DD5651">
        <w:rPr>
          <w:rFonts w:cstheme="minorHAnsi"/>
          <w:color w:val="000000" w:themeColor="text1"/>
        </w:rPr>
        <w:t xml:space="preserve">voted to determine if the measure </w:t>
      </w:r>
      <w:r>
        <w:rPr>
          <w:rFonts w:cstheme="minorHAnsi"/>
          <w:color w:val="000000" w:themeColor="text1"/>
        </w:rPr>
        <w:t xml:space="preserve">concept </w:t>
      </w:r>
      <w:r w:rsidRPr="00DD5651">
        <w:rPr>
          <w:rFonts w:cstheme="minorHAnsi"/>
          <w:color w:val="000000" w:themeColor="text1"/>
        </w:rPr>
        <w:t xml:space="preserve">should continue </w:t>
      </w:r>
      <w:r>
        <w:rPr>
          <w:rFonts w:cstheme="minorHAnsi"/>
          <w:color w:val="000000" w:themeColor="text1"/>
        </w:rPr>
        <w:t xml:space="preserve">with </w:t>
      </w:r>
      <w:r w:rsidRPr="00DD5651">
        <w:rPr>
          <w:rFonts w:cstheme="minorHAnsi"/>
          <w:color w:val="000000" w:themeColor="text1"/>
        </w:rPr>
        <w:t xml:space="preserve">further development and review by the PQA </w:t>
      </w:r>
      <w:r w:rsidRPr="007E7249">
        <w:rPr>
          <w:rFonts w:cstheme="minorHAnsi"/>
          <w:color w:val="000000" w:themeColor="text1"/>
        </w:rPr>
        <w:t xml:space="preserve">QMEP.  </w:t>
      </w:r>
      <w:r>
        <w:rPr>
          <w:rFonts w:cstheme="minorHAnsi"/>
          <w:color w:val="000000" w:themeColor="text1"/>
        </w:rPr>
        <w:t xml:space="preserve">Out of 27 members of the MDT who voted, </w:t>
      </w:r>
      <w:r w:rsidRPr="008D00DF">
        <w:rPr>
          <w:rFonts w:cstheme="minorHAnsi"/>
          <w:color w:val="000000" w:themeColor="text1"/>
        </w:rPr>
        <w:t>92.5%</w:t>
      </w:r>
      <w:r w:rsidRPr="007E7249">
        <w:rPr>
          <w:rFonts w:cstheme="minorHAnsi"/>
          <w:color w:val="000000" w:themeColor="text1"/>
        </w:rPr>
        <w:t xml:space="preserve"> recommended that the measure move on for QMEP review.</w:t>
      </w:r>
    </w:p>
    <w:p w14:paraId="75F8F720" w14:textId="77777777" w:rsidR="00ED273A" w:rsidRPr="00DD5651" w:rsidRDefault="00ED273A" w:rsidP="00ED273A">
      <w:pPr>
        <w:widowControl w:val="0"/>
        <w:autoSpaceDE w:val="0"/>
        <w:autoSpaceDN w:val="0"/>
        <w:adjustRightInd w:val="0"/>
        <w:spacing w:after="120" w:line="240" w:lineRule="auto"/>
        <w:rPr>
          <w:rFonts w:cstheme="minorHAnsi"/>
          <w:color w:val="000000" w:themeColor="text1"/>
        </w:rPr>
      </w:pPr>
      <w:r w:rsidRPr="00DD5651">
        <w:rPr>
          <w:rFonts w:cstheme="minorHAnsi"/>
          <w:color w:val="000000" w:themeColor="text1"/>
        </w:rPr>
        <w:t xml:space="preserve">The PQA QMEP is a panel that includes individuals with expertise and experience in pharmacy, medicine, research, and clinical or other technical expertise related to quality improvement and measure development. The names and credentials of the </w:t>
      </w:r>
      <w:r>
        <w:rPr>
          <w:rFonts w:cstheme="minorHAnsi"/>
          <w:color w:val="000000" w:themeColor="text1"/>
        </w:rPr>
        <w:t xml:space="preserve">21 </w:t>
      </w:r>
      <w:r w:rsidRPr="00DD5651">
        <w:rPr>
          <w:rFonts w:cstheme="minorHAnsi"/>
          <w:color w:val="000000" w:themeColor="text1"/>
        </w:rPr>
        <w:t xml:space="preserve">QMEP </w:t>
      </w:r>
      <w:r>
        <w:rPr>
          <w:rFonts w:cstheme="minorHAnsi"/>
          <w:color w:val="000000" w:themeColor="text1"/>
        </w:rPr>
        <w:t xml:space="preserve">members in 2016 </w:t>
      </w:r>
      <w:r w:rsidRPr="00DD5651">
        <w:rPr>
          <w:rFonts w:cstheme="minorHAnsi"/>
          <w:color w:val="000000" w:themeColor="text1"/>
        </w:rPr>
        <w:t xml:space="preserve">are listed </w:t>
      </w:r>
      <w:r w:rsidRPr="00565724">
        <w:rPr>
          <w:rFonts w:cstheme="minorHAnsi"/>
          <w:color w:val="000000" w:themeColor="text1"/>
        </w:rPr>
        <w:t>in Table 5</w:t>
      </w:r>
      <w:r w:rsidRPr="00DD5651">
        <w:rPr>
          <w:rFonts w:cstheme="minorHAnsi"/>
          <w:color w:val="000000" w:themeColor="text1"/>
        </w:rPr>
        <w:t xml:space="preserve">.  The QMEP reviewed the measure prior to testing to ensure </w:t>
      </w:r>
      <w:r>
        <w:rPr>
          <w:rFonts w:cstheme="minorHAnsi"/>
          <w:color w:val="000000" w:themeColor="text1"/>
        </w:rPr>
        <w:t xml:space="preserve">the importance and usefulness of the draft measure. Specifically, they confirmed that </w:t>
      </w:r>
      <w:r w:rsidRPr="007E7249">
        <w:rPr>
          <w:rFonts w:cstheme="minorHAnsi"/>
          <w:color w:val="000000" w:themeColor="text1"/>
        </w:rPr>
        <w:t>evidence supported that concurrent</w:t>
      </w:r>
      <w:r w:rsidRPr="00771D50">
        <w:rPr>
          <w:rFonts w:cstheme="minorHAnsi"/>
          <w:color w:val="000000" w:themeColor="text1"/>
        </w:rPr>
        <w:t xml:space="preserve"> prescribing of opioids and benzodiazepines </w:t>
      </w:r>
      <w:r>
        <w:rPr>
          <w:rFonts w:cstheme="minorHAnsi"/>
          <w:color w:val="000000" w:themeColor="text1"/>
        </w:rPr>
        <w:t>was common and associated with overdose deaths</w:t>
      </w:r>
      <w:r w:rsidRPr="008D00DF">
        <w:rPr>
          <w:rFonts w:cstheme="minorHAnsi"/>
          <w:color w:val="000000" w:themeColor="text1"/>
        </w:rPr>
        <w:t>.</w:t>
      </w:r>
      <w:r w:rsidRPr="00DD5651">
        <w:rPr>
          <w:rFonts w:cstheme="minorHAnsi"/>
          <w:color w:val="000000" w:themeColor="text1"/>
        </w:rPr>
        <w:t xml:space="preserve"> The QMEP reviewed the results of the measure </w:t>
      </w:r>
      <w:r w:rsidRPr="00771D50">
        <w:rPr>
          <w:rFonts w:cstheme="minorHAnsi"/>
          <w:color w:val="000000" w:themeColor="text1"/>
        </w:rPr>
        <w:t xml:space="preserve">testing including the performance measure scores reported by plans </w:t>
      </w:r>
      <w:r w:rsidRPr="008D00DF">
        <w:rPr>
          <w:rFonts w:cstheme="minorHAnsi"/>
          <w:color w:val="000000" w:themeColor="text1"/>
        </w:rPr>
        <w:t>referenced in Section 2b</w:t>
      </w:r>
      <w:r>
        <w:rPr>
          <w:rFonts w:cstheme="minorHAnsi"/>
          <w:color w:val="000000" w:themeColor="text1"/>
        </w:rPr>
        <w:t>4</w:t>
      </w:r>
      <w:r w:rsidRPr="008D00DF">
        <w:rPr>
          <w:rFonts w:cstheme="minorHAnsi"/>
          <w:color w:val="000000" w:themeColor="text1"/>
        </w:rPr>
        <w:t xml:space="preserve"> (below).</w:t>
      </w:r>
      <w:r w:rsidRPr="00771D50">
        <w:rPr>
          <w:rFonts w:cstheme="minorHAnsi"/>
          <w:color w:val="000000" w:themeColor="text1"/>
        </w:rPr>
        <w:t xml:space="preserve">  Out of the </w:t>
      </w:r>
      <w:r w:rsidRPr="008D00DF">
        <w:rPr>
          <w:rFonts w:cstheme="minorHAnsi"/>
          <w:color w:val="000000" w:themeColor="text1"/>
        </w:rPr>
        <w:t>16</w:t>
      </w:r>
      <w:r w:rsidRPr="00771D50">
        <w:rPr>
          <w:rFonts w:cstheme="minorHAnsi"/>
          <w:color w:val="000000" w:themeColor="text1"/>
        </w:rPr>
        <w:t xml:space="preserve"> members of the QMEP who voted, </w:t>
      </w:r>
      <w:r>
        <w:rPr>
          <w:rFonts w:cstheme="minorHAnsi"/>
          <w:color w:val="000000" w:themeColor="text1"/>
        </w:rPr>
        <w:t>93.8</w:t>
      </w:r>
      <w:r w:rsidRPr="008D00DF">
        <w:rPr>
          <w:rFonts w:cstheme="minorHAnsi"/>
          <w:color w:val="000000" w:themeColor="text1"/>
        </w:rPr>
        <w:t>%</w:t>
      </w:r>
      <w:r w:rsidRPr="00771D50">
        <w:rPr>
          <w:rFonts w:cstheme="minorHAnsi"/>
          <w:color w:val="000000" w:themeColor="text1"/>
        </w:rPr>
        <w:t xml:space="preserve"> </w:t>
      </w:r>
      <w:r w:rsidRPr="00DD5651">
        <w:rPr>
          <w:rFonts w:cstheme="minorHAnsi"/>
          <w:color w:val="000000" w:themeColor="text1"/>
        </w:rPr>
        <w:t xml:space="preserve">recommended that the </w:t>
      </w:r>
      <w:r>
        <w:rPr>
          <w:rFonts w:cstheme="minorHAnsi"/>
          <w:color w:val="000000" w:themeColor="text1"/>
        </w:rPr>
        <w:t xml:space="preserve">draft </w:t>
      </w:r>
      <w:r w:rsidRPr="00DD5651">
        <w:rPr>
          <w:rFonts w:cstheme="minorHAnsi"/>
          <w:color w:val="000000" w:themeColor="text1"/>
        </w:rPr>
        <w:t>measure be considered for endorsement by the PQA membership</w:t>
      </w:r>
      <w:r>
        <w:rPr>
          <w:rFonts w:cstheme="minorHAnsi"/>
          <w:color w:val="000000" w:themeColor="text1"/>
        </w:rPr>
        <w:t>, considering the criteria of importance, scientific acceptability, feasibility, and usefulness</w:t>
      </w:r>
      <w:r w:rsidRPr="00DD5651">
        <w:rPr>
          <w:rFonts w:cstheme="minorHAnsi"/>
          <w:color w:val="000000" w:themeColor="text1"/>
        </w:rPr>
        <w:t>.</w:t>
      </w:r>
    </w:p>
    <w:p w14:paraId="6B2D8973" w14:textId="77777777" w:rsidR="00ED273A" w:rsidRPr="008D00DF" w:rsidRDefault="00ED273A" w:rsidP="00ED273A">
      <w:pPr>
        <w:widowControl w:val="0"/>
        <w:autoSpaceDE w:val="0"/>
        <w:autoSpaceDN w:val="0"/>
        <w:adjustRightInd w:val="0"/>
        <w:spacing w:after="0" w:line="240" w:lineRule="auto"/>
        <w:ind w:left="720"/>
        <w:rPr>
          <w:rFonts w:cstheme="minorHAnsi"/>
          <w:color w:val="000000" w:themeColor="text1"/>
        </w:rPr>
      </w:pPr>
      <w:r w:rsidRPr="00565724">
        <w:rPr>
          <w:rFonts w:cstheme="minorHAnsi"/>
          <w:b/>
          <w:color w:val="000000" w:themeColor="text1"/>
        </w:rPr>
        <w:t>Table 5</w:t>
      </w:r>
      <w:r>
        <w:rPr>
          <w:rFonts w:cstheme="minorHAnsi"/>
          <w:b/>
          <w:color w:val="000000" w:themeColor="text1"/>
        </w:rPr>
        <w:t>.</w:t>
      </w:r>
      <w:r w:rsidRPr="00E10BAE">
        <w:rPr>
          <w:rFonts w:cstheme="minorHAnsi"/>
          <w:color w:val="000000" w:themeColor="text1"/>
        </w:rPr>
        <w:t xml:space="preserve">  </w:t>
      </w:r>
      <w:r w:rsidRPr="008D00DF">
        <w:rPr>
          <w:rFonts w:cstheme="minorHAnsi"/>
          <w:b/>
          <w:color w:val="000000" w:themeColor="text1"/>
        </w:rPr>
        <w:t>PQA 2016 Quality Metrics Expert Panel (QMEP)</w:t>
      </w:r>
      <w:r w:rsidRPr="008D00DF">
        <w:rPr>
          <w:rFonts w:cstheme="minorHAnsi"/>
          <w:color w:val="000000" w:themeColor="text1"/>
        </w:rPr>
        <w:t xml:space="preserve"> </w:t>
      </w:r>
    </w:p>
    <w:tbl>
      <w:tblPr>
        <w:tblStyle w:val="TableGrid"/>
        <w:tblW w:w="0" w:type="auto"/>
        <w:tblInd w:w="607" w:type="dxa"/>
        <w:tblLook w:val="04A0" w:firstRow="1" w:lastRow="0" w:firstColumn="1" w:lastColumn="0" w:noHBand="0" w:noVBand="1"/>
      </w:tblPr>
      <w:tblGrid>
        <w:gridCol w:w="4675"/>
        <w:gridCol w:w="3510"/>
      </w:tblGrid>
      <w:tr w:rsidR="00ED273A" w14:paraId="6021287D" w14:textId="77777777" w:rsidTr="00165A1F">
        <w:tc>
          <w:tcPr>
            <w:tcW w:w="4675" w:type="dxa"/>
          </w:tcPr>
          <w:p w14:paraId="4CFEE04F" w14:textId="77777777" w:rsidR="00ED273A" w:rsidRPr="00E10BAE" w:rsidRDefault="00ED273A" w:rsidP="00165A1F">
            <w:pPr>
              <w:rPr>
                <w:b/>
              </w:rPr>
            </w:pPr>
            <w:r w:rsidRPr="00E10BAE">
              <w:rPr>
                <w:b/>
              </w:rPr>
              <w:t>QMEP Member Name</w:t>
            </w:r>
          </w:p>
        </w:tc>
        <w:tc>
          <w:tcPr>
            <w:tcW w:w="3510" w:type="dxa"/>
          </w:tcPr>
          <w:p w14:paraId="68F02750" w14:textId="77777777" w:rsidR="00ED273A" w:rsidRPr="00E10BAE" w:rsidRDefault="00ED273A" w:rsidP="00165A1F">
            <w:pPr>
              <w:rPr>
                <w:b/>
              </w:rPr>
            </w:pPr>
            <w:r w:rsidRPr="00E10BAE">
              <w:rPr>
                <w:b/>
              </w:rPr>
              <w:t>QMEP Member Organization</w:t>
            </w:r>
          </w:p>
        </w:tc>
      </w:tr>
      <w:tr w:rsidR="00ED273A" w14:paraId="0839158A" w14:textId="77777777" w:rsidTr="00165A1F">
        <w:tc>
          <w:tcPr>
            <w:tcW w:w="4675" w:type="dxa"/>
          </w:tcPr>
          <w:p w14:paraId="731B29FC" w14:textId="77777777" w:rsidR="00ED273A" w:rsidRDefault="00ED273A" w:rsidP="00165A1F">
            <w:r w:rsidRPr="008F1D23">
              <w:t>Amanda Brummel</w:t>
            </w:r>
            <w:r>
              <w:t>, PharmD</w:t>
            </w:r>
          </w:p>
        </w:tc>
        <w:tc>
          <w:tcPr>
            <w:tcW w:w="3510" w:type="dxa"/>
          </w:tcPr>
          <w:p w14:paraId="74269BEF" w14:textId="77777777" w:rsidR="00ED273A" w:rsidRDefault="00ED273A" w:rsidP="00165A1F">
            <w:r w:rsidRPr="008F1D23">
              <w:t>Fairview</w:t>
            </w:r>
          </w:p>
        </w:tc>
      </w:tr>
      <w:tr w:rsidR="00ED273A" w14:paraId="7A9FE13D" w14:textId="77777777" w:rsidTr="00165A1F">
        <w:tc>
          <w:tcPr>
            <w:tcW w:w="4675" w:type="dxa"/>
          </w:tcPr>
          <w:p w14:paraId="10FC1066" w14:textId="77777777" w:rsidR="00ED273A" w:rsidRDefault="00ED273A" w:rsidP="00165A1F">
            <w:r w:rsidRPr="008F1D23">
              <w:t>Bimal Patel</w:t>
            </w:r>
            <w:r>
              <w:t>, PharmD</w:t>
            </w:r>
          </w:p>
        </w:tc>
        <w:tc>
          <w:tcPr>
            <w:tcW w:w="3510" w:type="dxa"/>
          </w:tcPr>
          <w:p w14:paraId="310DD48D" w14:textId="77777777" w:rsidR="00ED273A" w:rsidRDefault="00ED273A" w:rsidP="00165A1F">
            <w:r w:rsidRPr="008F1D23">
              <w:t>MedImpact</w:t>
            </w:r>
          </w:p>
        </w:tc>
      </w:tr>
      <w:tr w:rsidR="00ED273A" w14:paraId="141D0637" w14:textId="77777777" w:rsidTr="00165A1F">
        <w:tc>
          <w:tcPr>
            <w:tcW w:w="4675" w:type="dxa"/>
          </w:tcPr>
          <w:p w14:paraId="6290CDF4" w14:textId="77777777" w:rsidR="00ED273A" w:rsidRDefault="00ED273A" w:rsidP="00165A1F">
            <w:r w:rsidRPr="008F1D23">
              <w:t>Catherine Coast</w:t>
            </w:r>
            <w:r>
              <w:t>, PharmD</w:t>
            </w:r>
          </w:p>
        </w:tc>
        <w:tc>
          <w:tcPr>
            <w:tcW w:w="3510" w:type="dxa"/>
          </w:tcPr>
          <w:p w14:paraId="6839FFF3" w14:textId="77777777" w:rsidR="00ED273A" w:rsidRDefault="00ED273A" w:rsidP="00165A1F">
            <w:r w:rsidRPr="008F1D23">
              <w:t>Highmark</w:t>
            </w:r>
            <w:r w:rsidRPr="008F1D23">
              <w:tab/>
            </w:r>
          </w:p>
        </w:tc>
      </w:tr>
      <w:tr w:rsidR="00ED273A" w14:paraId="0DBD3356" w14:textId="77777777" w:rsidTr="00165A1F">
        <w:tc>
          <w:tcPr>
            <w:tcW w:w="4675" w:type="dxa"/>
          </w:tcPr>
          <w:p w14:paraId="388425E7" w14:textId="77777777" w:rsidR="00ED273A" w:rsidRDefault="00ED273A" w:rsidP="00165A1F">
            <w:r w:rsidRPr="008F1D23">
              <w:t>Christopher Dezii</w:t>
            </w:r>
            <w:r>
              <w:t xml:space="preserve">, </w:t>
            </w:r>
            <w:r w:rsidRPr="00CA1D57">
              <w:rPr>
                <w:rFonts w:cstheme="minorHAnsi"/>
                <w:color w:val="000000" w:themeColor="text1"/>
              </w:rPr>
              <w:t>RN, MBA, CPHQ</w:t>
            </w:r>
          </w:p>
        </w:tc>
        <w:tc>
          <w:tcPr>
            <w:tcW w:w="3510" w:type="dxa"/>
          </w:tcPr>
          <w:p w14:paraId="40AED20E" w14:textId="77777777" w:rsidR="00ED273A" w:rsidRDefault="00ED273A" w:rsidP="00165A1F">
            <w:r w:rsidRPr="008F1D23">
              <w:t>Bristol-Myers Squibb</w:t>
            </w:r>
          </w:p>
        </w:tc>
      </w:tr>
      <w:tr w:rsidR="00ED273A" w14:paraId="1FA77A47" w14:textId="77777777" w:rsidTr="00165A1F">
        <w:tc>
          <w:tcPr>
            <w:tcW w:w="4675" w:type="dxa"/>
          </w:tcPr>
          <w:p w14:paraId="2E673253" w14:textId="77777777" w:rsidR="00ED273A" w:rsidRDefault="00ED273A" w:rsidP="00165A1F">
            <w:r>
              <w:t>Christopher Powers, PharmD</w:t>
            </w:r>
          </w:p>
        </w:tc>
        <w:tc>
          <w:tcPr>
            <w:tcW w:w="3510" w:type="dxa"/>
          </w:tcPr>
          <w:p w14:paraId="480269F3" w14:textId="77777777" w:rsidR="00ED273A" w:rsidRDefault="00ED273A" w:rsidP="00165A1F">
            <w:r w:rsidRPr="008F1D23">
              <w:t>CMS</w:t>
            </w:r>
          </w:p>
        </w:tc>
      </w:tr>
      <w:tr w:rsidR="00ED273A" w14:paraId="3D8F77C5" w14:textId="77777777" w:rsidTr="00165A1F">
        <w:tc>
          <w:tcPr>
            <w:tcW w:w="4675" w:type="dxa"/>
          </w:tcPr>
          <w:p w14:paraId="770AB7F4" w14:textId="77777777" w:rsidR="00ED273A" w:rsidRDefault="00ED273A" w:rsidP="00165A1F">
            <w:r w:rsidRPr="008F1D23">
              <w:t>Craig Schilling</w:t>
            </w:r>
            <w:r>
              <w:t>, PharmD</w:t>
            </w:r>
          </w:p>
        </w:tc>
        <w:tc>
          <w:tcPr>
            <w:tcW w:w="3510" w:type="dxa"/>
          </w:tcPr>
          <w:p w14:paraId="713FF463" w14:textId="77777777" w:rsidR="00ED273A" w:rsidRDefault="00ED273A" w:rsidP="00165A1F">
            <w:r w:rsidRPr="008F1D23">
              <w:t>Optum/UHG</w:t>
            </w:r>
          </w:p>
        </w:tc>
      </w:tr>
      <w:tr w:rsidR="00ED273A" w14:paraId="5B9999D7" w14:textId="77777777" w:rsidTr="00165A1F">
        <w:tc>
          <w:tcPr>
            <w:tcW w:w="4675" w:type="dxa"/>
          </w:tcPr>
          <w:p w14:paraId="43F29982" w14:textId="77777777" w:rsidR="00ED273A" w:rsidRDefault="00ED273A" w:rsidP="00165A1F">
            <w:r w:rsidRPr="008F1D23">
              <w:t>David Nau</w:t>
            </w:r>
            <w:r>
              <w:t xml:space="preserve">, </w:t>
            </w:r>
            <w:r w:rsidRPr="00CA1D57">
              <w:rPr>
                <w:rFonts w:cstheme="minorHAnsi"/>
                <w:color w:val="000000" w:themeColor="text1"/>
              </w:rPr>
              <w:t>PhD, RPh, CPHQ</w:t>
            </w:r>
          </w:p>
        </w:tc>
        <w:tc>
          <w:tcPr>
            <w:tcW w:w="3510" w:type="dxa"/>
          </w:tcPr>
          <w:p w14:paraId="4CF7DB01" w14:textId="77777777" w:rsidR="00ED273A" w:rsidRDefault="00ED273A" w:rsidP="00165A1F">
            <w:r w:rsidRPr="008F1D23">
              <w:t>PQS</w:t>
            </w:r>
          </w:p>
        </w:tc>
      </w:tr>
      <w:tr w:rsidR="00ED273A" w14:paraId="643E2468" w14:textId="77777777" w:rsidTr="00165A1F">
        <w:tc>
          <w:tcPr>
            <w:tcW w:w="4675" w:type="dxa"/>
          </w:tcPr>
          <w:p w14:paraId="2EAFBD33" w14:textId="77777777" w:rsidR="00ED273A" w:rsidRDefault="00ED273A" w:rsidP="00165A1F">
            <w:r w:rsidRPr="008F1D23">
              <w:t>Gary Erwin</w:t>
            </w:r>
            <w:r>
              <w:t>, PharmD</w:t>
            </w:r>
          </w:p>
        </w:tc>
        <w:tc>
          <w:tcPr>
            <w:tcW w:w="3510" w:type="dxa"/>
          </w:tcPr>
          <w:p w14:paraId="26FA1D2E" w14:textId="77777777" w:rsidR="00ED273A" w:rsidRDefault="00ED273A" w:rsidP="00165A1F">
            <w:r w:rsidRPr="008F1D23">
              <w:t>CVS Health</w:t>
            </w:r>
          </w:p>
        </w:tc>
      </w:tr>
      <w:tr w:rsidR="00ED273A" w14:paraId="7DB2DA41" w14:textId="77777777" w:rsidTr="00165A1F">
        <w:tc>
          <w:tcPr>
            <w:tcW w:w="4675" w:type="dxa"/>
          </w:tcPr>
          <w:p w14:paraId="3F079A8C" w14:textId="77777777" w:rsidR="00ED273A" w:rsidRDefault="00ED273A" w:rsidP="00165A1F">
            <w:r>
              <w:t>J</w:t>
            </w:r>
            <w:r w:rsidRPr="008F1D23">
              <w:t>enny Weber</w:t>
            </w:r>
            <w:r>
              <w:t xml:space="preserve">, </w:t>
            </w:r>
            <w:r w:rsidRPr="00CA1D57">
              <w:rPr>
                <w:rFonts w:cstheme="minorHAnsi"/>
                <w:color w:val="000000" w:themeColor="text1"/>
              </w:rPr>
              <w:t>PharmD, MS, PCPS,</w:t>
            </w:r>
            <w:r>
              <w:rPr>
                <w:rFonts w:cstheme="minorHAnsi"/>
                <w:color w:val="000000" w:themeColor="text1"/>
              </w:rPr>
              <w:t xml:space="preserve"> </w:t>
            </w:r>
            <w:r w:rsidRPr="00CA1D57">
              <w:rPr>
                <w:rFonts w:cstheme="minorHAnsi"/>
                <w:color w:val="000000" w:themeColor="text1"/>
              </w:rPr>
              <w:t>CGP, BCACP</w:t>
            </w:r>
          </w:p>
        </w:tc>
        <w:tc>
          <w:tcPr>
            <w:tcW w:w="3510" w:type="dxa"/>
          </w:tcPr>
          <w:p w14:paraId="21C0D4DD" w14:textId="77777777" w:rsidR="00ED273A" w:rsidRDefault="00ED273A" w:rsidP="00165A1F">
            <w:r w:rsidRPr="008F1D23">
              <w:t>Humana</w:t>
            </w:r>
          </w:p>
        </w:tc>
      </w:tr>
      <w:tr w:rsidR="00ED273A" w14:paraId="1B4D4C52" w14:textId="77777777" w:rsidTr="00165A1F">
        <w:tc>
          <w:tcPr>
            <w:tcW w:w="4675" w:type="dxa"/>
          </w:tcPr>
          <w:p w14:paraId="516BE3C0" w14:textId="77777777" w:rsidR="00ED273A" w:rsidRDefault="00ED273A" w:rsidP="00165A1F">
            <w:r w:rsidRPr="008F1D23">
              <w:t>Jessica Frank</w:t>
            </w:r>
            <w:r>
              <w:t>, PharmD</w:t>
            </w:r>
          </w:p>
        </w:tc>
        <w:tc>
          <w:tcPr>
            <w:tcW w:w="3510" w:type="dxa"/>
          </w:tcPr>
          <w:p w14:paraId="330D2B92" w14:textId="77777777" w:rsidR="00ED273A" w:rsidRPr="008F1D23" w:rsidRDefault="00ED273A" w:rsidP="00165A1F">
            <w:r w:rsidRPr="008F1D23">
              <w:t>OutcomesMTM</w:t>
            </w:r>
          </w:p>
        </w:tc>
      </w:tr>
      <w:tr w:rsidR="00ED273A" w14:paraId="1866104C" w14:textId="77777777" w:rsidTr="00165A1F">
        <w:tc>
          <w:tcPr>
            <w:tcW w:w="4675" w:type="dxa"/>
          </w:tcPr>
          <w:p w14:paraId="7F7595D1" w14:textId="77777777" w:rsidR="00ED273A" w:rsidRDefault="00ED273A" w:rsidP="00165A1F">
            <w:r w:rsidRPr="008F1D23">
              <w:t>Karen Farris</w:t>
            </w:r>
            <w:r>
              <w:t>, PhD</w:t>
            </w:r>
          </w:p>
        </w:tc>
        <w:tc>
          <w:tcPr>
            <w:tcW w:w="3510" w:type="dxa"/>
          </w:tcPr>
          <w:p w14:paraId="5D015D53" w14:textId="77777777" w:rsidR="00ED273A" w:rsidRPr="008F1D23" w:rsidRDefault="00ED273A" w:rsidP="00165A1F">
            <w:r w:rsidRPr="008F1D23">
              <w:t>University of Michigan</w:t>
            </w:r>
          </w:p>
        </w:tc>
      </w:tr>
      <w:tr w:rsidR="00ED273A" w14:paraId="27A0C343" w14:textId="77777777" w:rsidTr="00165A1F">
        <w:tc>
          <w:tcPr>
            <w:tcW w:w="4675" w:type="dxa"/>
          </w:tcPr>
          <w:p w14:paraId="1E8BF09A" w14:textId="77777777" w:rsidR="00ED273A" w:rsidRDefault="00ED273A" w:rsidP="00165A1F">
            <w:r w:rsidRPr="008F1D23">
              <w:t>Keith Widmer</w:t>
            </w:r>
            <w:r>
              <w:t xml:space="preserve">, </w:t>
            </w:r>
            <w:r w:rsidRPr="00CA1D57">
              <w:rPr>
                <w:rFonts w:cstheme="minorHAnsi"/>
                <w:color w:val="000000" w:themeColor="text1"/>
              </w:rPr>
              <w:t>RPh, BCPP</w:t>
            </w:r>
          </w:p>
        </w:tc>
        <w:tc>
          <w:tcPr>
            <w:tcW w:w="3510" w:type="dxa"/>
          </w:tcPr>
          <w:p w14:paraId="799A183D" w14:textId="77777777" w:rsidR="00ED273A" w:rsidRPr="008F1D23" w:rsidRDefault="00ED273A" w:rsidP="00165A1F">
            <w:r w:rsidRPr="008F1D23">
              <w:t>Express Scripts</w:t>
            </w:r>
          </w:p>
        </w:tc>
      </w:tr>
      <w:tr w:rsidR="00ED273A" w14:paraId="74443D7D" w14:textId="77777777" w:rsidTr="00165A1F">
        <w:tc>
          <w:tcPr>
            <w:tcW w:w="4675" w:type="dxa"/>
          </w:tcPr>
          <w:p w14:paraId="5D6FB8C8" w14:textId="77777777" w:rsidR="00ED273A" w:rsidRDefault="00ED273A" w:rsidP="00165A1F">
            <w:r w:rsidRPr="008F1D23">
              <w:t>Kent Summers</w:t>
            </w:r>
            <w:r>
              <w:t>, PhD, RPh</w:t>
            </w:r>
          </w:p>
        </w:tc>
        <w:tc>
          <w:tcPr>
            <w:tcW w:w="3510" w:type="dxa"/>
          </w:tcPr>
          <w:p w14:paraId="2210A986" w14:textId="77777777" w:rsidR="00ED273A" w:rsidRPr="008F1D23" w:rsidRDefault="00ED273A" w:rsidP="00165A1F">
            <w:r w:rsidRPr="008F1D23">
              <w:t>Astellas</w:t>
            </w:r>
          </w:p>
        </w:tc>
      </w:tr>
      <w:tr w:rsidR="00ED273A" w14:paraId="45BDA9A9" w14:textId="77777777" w:rsidTr="00165A1F">
        <w:tc>
          <w:tcPr>
            <w:tcW w:w="4675" w:type="dxa"/>
          </w:tcPr>
          <w:p w14:paraId="78F7CD02" w14:textId="77777777" w:rsidR="00ED273A" w:rsidRPr="008F1D23" w:rsidRDefault="00ED273A" w:rsidP="00165A1F">
            <w:r w:rsidRPr="008F1D23">
              <w:t>Lynn Deguzman</w:t>
            </w:r>
            <w:r>
              <w:t xml:space="preserve">, </w:t>
            </w:r>
            <w:r w:rsidRPr="00CA1D57">
              <w:rPr>
                <w:rFonts w:cstheme="minorHAnsi"/>
                <w:color w:val="000000" w:themeColor="text1"/>
              </w:rPr>
              <w:t>PharmD, CGP</w:t>
            </w:r>
          </w:p>
        </w:tc>
        <w:tc>
          <w:tcPr>
            <w:tcW w:w="3510" w:type="dxa"/>
          </w:tcPr>
          <w:p w14:paraId="5580B572" w14:textId="77777777" w:rsidR="00ED273A" w:rsidRPr="008F1D23" w:rsidRDefault="00ED273A" w:rsidP="00165A1F">
            <w:r w:rsidRPr="008F1D23">
              <w:t>Kaiser Permanente</w:t>
            </w:r>
          </w:p>
        </w:tc>
      </w:tr>
      <w:tr w:rsidR="00ED273A" w14:paraId="13EBE307" w14:textId="77777777" w:rsidTr="00165A1F">
        <w:tc>
          <w:tcPr>
            <w:tcW w:w="4675" w:type="dxa"/>
          </w:tcPr>
          <w:p w14:paraId="18228AAB" w14:textId="77777777" w:rsidR="00ED273A" w:rsidRPr="008F1D23" w:rsidRDefault="00ED273A" w:rsidP="00165A1F">
            <w:r w:rsidRPr="008F1D23">
              <w:t>Mary Ann Kliethermes</w:t>
            </w:r>
            <w:r>
              <w:t>, PharmD</w:t>
            </w:r>
          </w:p>
        </w:tc>
        <w:tc>
          <w:tcPr>
            <w:tcW w:w="3510" w:type="dxa"/>
          </w:tcPr>
          <w:p w14:paraId="002E8689" w14:textId="77777777" w:rsidR="00ED273A" w:rsidRPr="008F1D23" w:rsidRDefault="00ED273A" w:rsidP="00165A1F">
            <w:r w:rsidRPr="008F1D23">
              <w:t>Midwestern University</w:t>
            </w:r>
          </w:p>
        </w:tc>
      </w:tr>
      <w:tr w:rsidR="00ED273A" w14:paraId="2B583039" w14:textId="77777777" w:rsidTr="00165A1F">
        <w:tc>
          <w:tcPr>
            <w:tcW w:w="4675" w:type="dxa"/>
          </w:tcPr>
          <w:p w14:paraId="5B71524B" w14:textId="77777777" w:rsidR="00ED273A" w:rsidRPr="008F1D23" w:rsidRDefault="00ED273A" w:rsidP="00165A1F">
            <w:r w:rsidRPr="008F1D23">
              <w:t>Mitzi Wasik</w:t>
            </w:r>
            <w:r>
              <w:t>, PharmD, BCPS</w:t>
            </w:r>
          </w:p>
        </w:tc>
        <w:tc>
          <w:tcPr>
            <w:tcW w:w="3510" w:type="dxa"/>
          </w:tcPr>
          <w:p w14:paraId="256EEBC8" w14:textId="77777777" w:rsidR="00ED273A" w:rsidRPr="008F1D23" w:rsidRDefault="00ED273A" w:rsidP="00165A1F">
            <w:r w:rsidRPr="008F1D23">
              <w:t>Coventry Health Care/Aetna</w:t>
            </w:r>
          </w:p>
        </w:tc>
      </w:tr>
      <w:tr w:rsidR="00ED273A" w14:paraId="1D2D17A3" w14:textId="77777777" w:rsidTr="00165A1F">
        <w:tc>
          <w:tcPr>
            <w:tcW w:w="4675" w:type="dxa"/>
          </w:tcPr>
          <w:p w14:paraId="713EC901" w14:textId="77777777" w:rsidR="00ED273A" w:rsidRPr="008F1D23" w:rsidRDefault="00ED273A" w:rsidP="00165A1F">
            <w:r w:rsidRPr="008F1D23">
              <w:t>Pat Gleason</w:t>
            </w:r>
            <w:r>
              <w:t>, PharmD, BCPS</w:t>
            </w:r>
          </w:p>
        </w:tc>
        <w:tc>
          <w:tcPr>
            <w:tcW w:w="3510" w:type="dxa"/>
          </w:tcPr>
          <w:p w14:paraId="10B22473" w14:textId="77777777" w:rsidR="00ED273A" w:rsidRPr="008F1D23" w:rsidRDefault="00ED273A" w:rsidP="00165A1F">
            <w:r w:rsidRPr="008F1D23">
              <w:t>Prime Therapeutics</w:t>
            </w:r>
          </w:p>
        </w:tc>
      </w:tr>
      <w:tr w:rsidR="00ED273A" w14:paraId="4E414B06" w14:textId="77777777" w:rsidTr="00165A1F">
        <w:tc>
          <w:tcPr>
            <w:tcW w:w="4675" w:type="dxa"/>
          </w:tcPr>
          <w:p w14:paraId="65F0831B" w14:textId="77777777" w:rsidR="00ED273A" w:rsidRPr="008F1D23" w:rsidRDefault="00ED273A" w:rsidP="00165A1F">
            <w:r>
              <w:t>Steve Riddle, PharmD, BCPS</w:t>
            </w:r>
          </w:p>
        </w:tc>
        <w:tc>
          <w:tcPr>
            <w:tcW w:w="3510" w:type="dxa"/>
          </w:tcPr>
          <w:p w14:paraId="56E29A2B" w14:textId="77777777" w:rsidR="00ED273A" w:rsidRPr="008F1D23" w:rsidRDefault="00ED273A" w:rsidP="00165A1F">
            <w:r w:rsidRPr="008F1D23">
              <w:t>Wolters Kluwer Health</w:t>
            </w:r>
          </w:p>
        </w:tc>
      </w:tr>
      <w:tr w:rsidR="00ED273A" w14:paraId="5AAE539B" w14:textId="77777777" w:rsidTr="00165A1F">
        <w:tc>
          <w:tcPr>
            <w:tcW w:w="4675" w:type="dxa"/>
          </w:tcPr>
          <w:p w14:paraId="39E7F222" w14:textId="77777777" w:rsidR="00ED273A" w:rsidRPr="008F1D23" w:rsidRDefault="00ED273A" w:rsidP="00165A1F">
            <w:r w:rsidRPr="008F1D23">
              <w:t>Steven Burch</w:t>
            </w:r>
            <w:r>
              <w:t>, PhD, RPh</w:t>
            </w:r>
          </w:p>
        </w:tc>
        <w:tc>
          <w:tcPr>
            <w:tcW w:w="3510" w:type="dxa"/>
          </w:tcPr>
          <w:p w14:paraId="1240CABC" w14:textId="77777777" w:rsidR="00ED273A" w:rsidRPr="008F1D23" w:rsidRDefault="00ED273A" w:rsidP="00165A1F">
            <w:r w:rsidRPr="008F1D23">
              <w:t>GlaxoSmithKline</w:t>
            </w:r>
          </w:p>
        </w:tc>
      </w:tr>
      <w:tr w:rsidR="00ED273A" w14:paraId="4E1BC4CD" w14:textId="77777777" w:rsidTr="00165A1F">
        <w:tc>
          <w:tcPr>
            <w:tcW w:w="4675" w:type="dxa"/>
          </w:tcPr>
          <w:p w14:paraId="6CCA3BD2" w14:textId="77777777" w:rsidR="00ED273A" w:rsidRPr="008F1D23" w:rsidRDefault="00ED273A" w:rsidP="00165A1F">
            <w:r>
              <w:t>T</w:t>
            </w:r>
            <w:r w:rsidRPr="008F1D23">
              <w:t>ony Willoughby</w:t>
            </w:r>
            <w:r>
              <w:t>, PharmD</w:t>
            </w:r>
          </w:p>
        </w:tc>
        <w:tc>
          <w:tcPr>
            <w:tcW w:w="3510" w:type="dxa"/>
          </w:tcPr>
          <w:p w14:paraId="2565D151" w14:textId="77777777" w:rsidR="00ED273A" w:rsidRPr="008F1D23" w:rsidRDefault="00ED273A" w:rsidP="00165A1F">
            <w:r w:rsidRPr="008F1D23">
              <w:t>HealthMart-McKesson</w:t>
            </w:r>
          </w:p>
        </w:tc>
      </w:tr>
      <w:tr w:rsidR="00ED273A" w14:paraId="00BD498D" w14:textId="77777777" w:rsidTr="00165A1F">
        <w:tc>
          <w:tcPr>
            <w:tcW w:w="4675" w:type="dxa"/>
          </w:tcPr>
          <w:p w14:paraId="1A59C50A" w14:textId="77777777" w:rsidR="00ED273A" w:rsidRPr="008F1D23" w:rsidRDefault="00ED273A" w:rsidP="00165A1F">
            <w:r w:rsidRPr="008F1D23">
              <w:t>Tripp Logan</w:t>
            </w:r>
            <w:r>
              <w:t>, PharmD</w:t>
            </w:r>
          </w:p>
        </w:tc>
        <w:tc>
          <w:tcPr>
            <w:tcW w:w="3510" w:type="dxa"/>
          </w:tcPr>
          <w:p w14:paraId="00E8DEF0" w14:textId="77777777" w:rsidR="00ED273A" w:rsidRPr="008F1D23" w:rsidRDefault="00ED273A" w:rsidP="00165A1F">
            <w:r>
              <w:t>MedHere Today</w:t>
            </w:r>
          </w:p>
        </w:tc>
      </w:tr>
    </w:tbl>
    <w:p w14:paraId="78BB47B7" w14:textId="77777777" w:rsidR="00ED273A" w:rsidRPr="00DD5651" w:rsidRDefault="00ED273A" w:rsidP="00ED273A">
      <w:pPr>
        <w:spacing w:after="0" w:line="240" w:lineRule="auto"/>
        <w:rPr>
          <w:rFonts w:cstheme="minorHAnsi"/>
          <w:color w:val="000000" w:themeColor="text1"/>
        </w:rPr>
      </w:pPr>
    </w:p>
    <w:p w14:paraId="43BB243D" w14:textId="0311E0C8" w:rsidR="00ED273A" w:rsidRPr="00DD5651" w:rsidRDefault="00ED273A" w:rsidP="00ED273A">
      <w:pPr>
        <w:widowControl w:val="0"/>
        <w:autoSpaceDE w:val="0"/>
        <w:autoSpaceDN w:val="0"/>
        <w:adjustRightInd w:val="0"/>
        <w:spacing w:after="120" w:line="240" w:lineRule="auto"/>
        <w:rPr>
          <w:rFonts w:cstheme="minorHAnsi"/>
          <w:color w:val="000000" w:themeColor="text1"/>
        </w:rPr>
      </w:pPr>
      <w:r w:rsidRPr="00DD5651">
        <w:rPr>
          <w:rFonts w:cstheme="minorHAnsi"/>
          <w:color w:val="000000" w:themeColor="text1"/>
        </w:rPr>
        <w:t xml:space="preserve">After QMEP approval, the </w:t>
      </w:r>
      <w:r>
        <w:rPr>
          <w:rFonts w:cstheme="minorHAnsi"/>
          <w:color w:val="000000" w:themeColor="text1"/>
        </w:rPr>
        <w:t xml:space="preserve">draft </w:t>
      </w:r>
      <w:r w:rsidRPr="00DD5651">
        <w:rPr>
          <w:rFonts w:cstheme="minorHAnsi"/>
          <w:color w:val="000000" w:themeColor="text1"/>
        </w:rPr>
        <w:t>measure was reviewed by the MVP.</w:t>
      </w:r>
      <w:r>
        <w:rPr>
          <w:rFonts w:cstheme="minorHAnsi"/>
          <w:color w:val="000000" w:themeColor="text1"/>
        </w:rPr>
        <w:t xml:space="preserve"> </w:t>
      </w:r>
      <w:r w:rsidRPr="00DD5651">
        <w:rPr>
          <w:rFonts w:cstheme="minorHAnsi"/>
          <w:color w:val="000000" w:themeColor="text1"/>
        </w:rPr>
        <w:t xml:space="preserve">The MVP is made up of an independent group of </w:t>
      </w:r>
      <w:r w:rsidRPr="008D00DF">
        <w:rPr>
          <w:rFonts w:cstheme="minorHAnsi"/>
          <w:color w:val="000000" w:themeColor="text1"/>
        </w:rPr>
        <w:t>individuals not involved in the development or review of the measure concept or draft measure. Through discussion and vote, the MVP determines whether the performance measure scores have face validity. Of the 6 MVP members who voted, 100% agreed or strongly agreed that the scores obtained from the measure as specified will provide an accurate reflection of quality, and can be used to distinguish good and poor quality between health plans.</w:t>
      </w:r>
    </w:p>
    <w:p w14:paraId="7D6A00E9" w14:textId="77777777" w:rsidR="00ED273A" w:rsidRPr="00DD5651" w:rsidRDefault="00ED273A" w:rsidP="00ED273A">
      <w:pPr>
        <w:widowControl w:val="0"/>
        <w:autoSpaceDE w:val="0"/>
        <w:autoSpaceDN w:val="0"/>
        <w:adjustRightInd w:val="0"/>
        <w:spacing w:after="120" w:line="240" w:lineRule="auto"/>
        <w:rPr>
          <w:rFonts w:cstheme="minorHAnsi"/>
          <w:bCs/>
          <w:color w:val="000000" w:themeColor="text1"/>
        </w:rPr>
      </w:pPr>
      <w:r w:rsidRPr="00DD5651">
        <w:rPr>
          <w:rFonts w:cstheme="minorHAnsi"/>
          <w:color w:val="000000" w:themeColor="text1"/>
        </w:rPr>
        <w:t xml:space="preserve">PQA membership was notified in November 2016 of the opportunity to consider and vote </w:t>
      </w:r>
      <w:r>
        <w:rPr>
          <w:rFonts w:cstheme="minorHAnsi"/>
          <w:color w:val="000000" w:themeColor="text1"/>
        </w:rPr>
        <w:t>on</w:t>
      </w:r>
      <w:r w:rsidRPr="00DD5651">
        <w:rPr>
          <w:rFonts w:cstheme="minorHAnsi"/>
          <w:color w:val="000000" w:themeColor="text1"/>
        </w:rPr>
        <w:t xml:space="preserve"> </w:t>
      </w:r>
      <w:r>
        <w:rPr>
          <w:rFonts w:cstheme="minorHAnsi"/>
          <w:color w:val="000000" w:themeColor="text1"/>
        </w:rPr>
        <w:t xml:space="preserve">endorsement of </w:t>
      </w:r>
      <w:r w:rsidRPr="00DD5651">
        <w:rPr>
          <w:rFonts w:cstheme="minorHAnsi"/>
          <w:color w:val="000000" w:themeColor="text1"/>
        </w:rPr>
        <w:t xml:space="preserve">the performance measure. (Note: PQA membership </w:t>
      </w:r>
      <w:r>
        <w:rPr>
          <w:rFonts w:cstheme="minorHAnsi"/>
          <w:color w:val="000000" w:themeColor="text1"/>
        </w:rPr>
        <w:t xml:space="preserve">is </w:t>
      </w:r>
      <w:r w:rsidRPr="00DD5651">
        <w:rPr>
          <w:rFonts w:cstheme="minorHAnsi"/>
          <w:color w:val="000000" w:themeColor="text1"/>
        </w:rPr>
        <w:t>comprise</w:t>
      </w:r>
      <w:r>
        <w:rPr>
          <w:rFonts w:cstheme="minorHAnsi"/>
          <w:color w:val="000000" w:themeColor="text1"/>
        </w:rPr>
        <w:t>d of</w:t>
      </w:r>
      <w:r w:rsidRPr="00DD5651">
        <w:rPr>
          <w:rFonts w:cstheme="minorHAnsi"/>
          <w:color w:val="000000" w:themeColor="text1"/>
        </w:rPr>
        <w:t xml:space="preserve"> health plans, community pharmacy, long-term care pharmacies, </w:t>
      </w:r>
      <w:r>
        <w:rPr>
          <w:rFonts w:cstheme="minorHAnsi"/>
          <w:color w:val="000000" w:themeColor="text1"/>
        </w:rPr>
        <w:t>health information technology</w:t>
      </w:r>
      <w:r w:rsidRPr="00DD5651">
        <w:rPr>
          <w:rFonts w:cstheme="minorHAnsi"/>
          <w:color w:val="000000" w:themeColor="text1"/>
        </w:rPr>
        <w:t xml:space="preserve"> companies, </w:t>
      </w:r>
      <w:r>
        <w:rPr>
          <w:rFonts w:cstheme="minorHAnsi"/>
          <w:color w:val="000000" w:themeColor="text1"/>
        </w:rPr>
        <w:t>pharmacy benefit managers</w:t>
      </w:r>
      <w:r w:rsidRPr="00DD5651">
        <w:rPr>
          <w:rFonts w:cstheme="minorHAnsi"/>
          <w:color w:val="000000" w:themeColor="text1"/>
        </w:rPr>
        <w:t xml:space="preserve">, healthcare quality and standards organizations, professional and trade associations, </w:t>
      </w:r>
      <w:r>
        <w:rPr>
          <w:rFonts w:cstheme="minorHAnsi"/>
          <w:color w:val="000000" w:themeColor="text1"/>
        </w:rPr>
        <w:t xml:space="preserve">government agencies, </w:t>
      </w:r>
      <w:r w:rsidRPr="00DD5651">
        <w:rPr>
          <w:rFonts w:cstheme="minorHAnsi"/>
          <w:color w:val="000000" w:themeColor="text1"/>
        </w:rPr>
        <w:t xml:space="preserve">and others.) Members received the measure description, key points and </w:t>
      </w:r>
      <w:r>
        <w:rPr>
          <w:rFonts w:cstheme="minorHAnsi"/>
          <w:color w:val="000000" w:themeColor="text1"/>
        </w:rPr>
        <w:t xml:space="preserve">supporting </w:t>
      </w:r>
      <w:r w:rsidRPr="00DD5651">
        <w:rPr>
          <w:rFonts w:cstheme="minorHAnsi"/>
          <w:color w:val="000000" w:themeColor="text1"/>
        </w:rPr>
        <w:t xml:space="preserve">evidence, measure specifications, and the performance measure scores reported by the plans. Voting options included, “Agree” (indicating that the organization approved </w:t>
      </w:r>
      <w:r>
        <w:rPr>
          <w:rFonts w:cstheme="minorHAnsi"/>
          <w:color w:val="000000" w:themeColor="text1"/>
        </w:rPr>
        <w:t xml:space="preserve">endorsement of </w:t>
      </w:r>
      <w:r w:rsidRPr="00DD5651">
        <w:rPr>
          <w:rFonts w:cstheme="minorHAnsi"/>
          <w:color w:val="000000" w:themeColor="text1"/>
        </w:rPr>
        <w:t>the measure), “Disagree</w:t>
      </w:r>
      <w:r>
        <w:rPr>
          <w:rFonts w:cstheme="minorHAnsi"/>
          <w:color w:val="000000" w:themeColor="text1"/>
        </w:rPr>
        <w:t>”</w:t>
      </w:r>
      <w:r w:rsidRPr="00DD5651">
        <w:rPr>
          <w:rFonts w:cstheme="minorHAnsi"/>
          <w:color w:val="000000" w:themeColor="text1"/>
        </w:rPr>
        <w:t xml:space="preserve"> (indicating that the organization opposed </w:t>
      </w:r>
      <w:r>
        <w:rPr>
          <w:rFonts w:cstheme="minorHAnsi"/>
          <w:color w:val="000000" w:themeColor="text1"/>
        </w:rPr>
        <w:t xml:space="preserve">endorsement of </w:t>
      </w:r>
      <w:r w:rsidRPr="00DD5651">
        <w:rPr>
          <w:rFonts w:cstheme="minorHAnsi"/>
          <w:color w:val="000000" w:themeColor="text1"/>
        </w:rPr>
        <w:t xml:space="preserve">the measure) and “Abstain.”  </w:t>
      </w:r>
      <w:r w:rsidRPr="008D00DF">
        <w:rPr>
          <w:rFonts w:cstheme="minorHAnsi"/>
          <w:color w:val="000000" w:themeColor="text1"/>
        </w:rPr>
        <w:t xml:space="preserve">Out of the </w:t>
      </w:r>
      <w:r>
        <w:rPr>
          <w:rFonts w:cstheme="minorHAnsi"/>
          <w:color w:val="000000" w:themeColor="text1"/>
        </w:rPr>
        <w:t>93</w:t>
      </w:r>
      <w:r w:rsidRPr="008D00DF">
        <w:rPr>
          <w:rFonts w:cstheme="minorHAnsi"/>
          <w:color w:val="000000" w:themeColor="text1"/>
        </w:rPr>
        <w:t xml:space="preserve"> PQA member</w:t>
      </w:r>
      <w:r>
        <w:rPr>
          <w:rFonts w:cstheme="minorHAnsi"/>
          <w:color w:val="000000" w:themeColor="text1"/>
        </w:rPr>
        <w:t xml:space="preserve"> organization</w:t>
      </w:r>
      <w:r w:rsidRPr="008D00DF">
        <w:rPr>
          <w:rFonts w:cstheme="minorHAnsi"/>
          <w:color w:val="000000" w:themeColor="text1"/>
        </w:rPr>
        <w:t xml:space="preserve">s </w:t>
      </w:r>
      <w:r>
        <w:rPr>
          <w:rFonts w:cstheme="minorHAnsi"/>
          <w:color w:val="000000" w:themeColor="text1"/>
        </w:rPr>
        <w:t>that</w:t>
      </w:r>
      <w:r w:rsidRPr="008D00DF">
        <w:rPr>
          <w:rFonts w:cstheme="minorHAnsi"/>
          <w:color w:val="000000" w:themeColor="text1"/>
        </w:rPr>
        <w:t xml:space="preserve"> </w:t>
      </w:r>
      <w:r>
        <w:rPr>
          <w:rFonts w:cstheme="minorHAnsi"/>
          <w:color w:val="000000" w:themeColor="text1"/>
        </w:rPr>
        <w:t>cast a vote either in favor of or opposed to endorsement</w:t>
      </w:r>
      <w:r w:rsidRPr="008D00DF">
        <w:rPr>
          <w:rFonts w:cstheme="minorHAnsi"/>
          <w:color w:val="000000" w:themeColor="text1"/>
        </w:rPr>
        <w:t xml:space="preserve">, </w:t>
      </w:r>
      <w:r>
        <w:rPr>
          <w:rFonts w:cstheme="minorHAnsi"/>
          <w:color w:val="000000" w:themeColor="text1"/>
        </w:rPr>
        <w:t>89</w:t>
      </w:r>
      <w:r w:rsidRPr="008D00DF">
        <w:rPr>
          <w:rFonts w:cstheme="minorHAnsi"/>
          <w:color w:val="000000" w:themeColor="text1"/>
        </w:rPr>
        <w:t xml:space="preserve">% voted in favor of endorsing the measure. </w:t>
      </w:r>
    </w:p>
    <w:p w14:paraId="66B1F928" w14:textId="77777777" w:rsidR="00ED273A" w:rsidRDefault="00ED273A" w:rsidP="00ED273A">
      <w:pPr>
        <w:widowControl w:val="0"/>
        <w:autoSpaceDE w:val="0"/>
        <w:autoSpaceDN w:val="0"/>
        <w:adjustRightInd w:val="0"/>
        <w:spacing w:after="120" w:line="240" w:lineRule="auto"/>
        <w:rPr>
          <w:rFonts w:cstheme="minorHAnsi"/>
          <w:color w:val="000000" w:themeColor="text1"/>
        </w:rPr>
      </w:pPr>
      <w:r w:rsidRPr="00DD5651">
        <w:rPr>
          <w:rFonts w:cstheme="minorHAnsi"/>
          <w:bCs/>
          <w:color w:val="000000" w:themeColor="text1"/>
        </w:rPr>
        <w:t xml:space="preserve">In </w:t>
      </w:r>
      <w:r w:rsidRPr="008D00DF">
        <w:rPr>
          <w:rFonts w:cstheme="minorHAnsi"/>
          <w:bCs/>
          <w:color w:val="000000" w:themeColor="text1"/>
        </w:rPr>
        <w:t xml:space="preserve">addition </w:t>
      </w:r>
      <w:r w:rsidRPr="00342A9A">
        <w:rPr>
          <w:rFonts w:cstheme="minorHAnsi"/>
          <w:bCs/>
          <w:color w:val="000000" w:themeColor="text1"/>
        </w:rPr>
        <w:t xml:space="preserve">to this process, 100% of the </w:t>
      </w:r>
      <w:r w:rsidRPr="00C52475">
        <w:rPr>
          <w:rFonts w:cstheme="minorHAnsi"/>
          <w:color w:val="000000" w:themeColor="text1"/>
        </w:rPr>
        <w:t>two</w:t>
      </w:r>
      <w:r w:rsidRPr="00342A9A">
        <w:rPr>
          <w:rFonts w:cstheme="minorHAnsi"/>
          <w:color w:val="000000" w:themeColor="text1"/>
        </w:rPr>
        <w:t xml:space="preserve"> PQ</w:t>
      </w:r>
      <w:r w:rsidRPr="008D00DF">
        <w:rPr>
          <w:rFonts w:cstheme="minorHAnsi"/>
          <w:color w:val="000000" w:themeColor="text1"/>
        </w:rPr>
        <w:t>A member organizations who tested the measure using their own data strongly agreed that the measure reflected the quality of care provided for their population.</w:t>
      </w:r>
    </w:p>
    <w:p w14:paraId="0CABCFDE" w14:textId="2A6EF1F2" w:rsidR="007422FD" w:rsidRPr="00ED273A" w:rsidRDefault="00ED273A" w:rsidP="00ED273A">
      <w:pPr>
        <w:widowControl w:val="0"/>
        <w:autoSpaceDE w:val="0"/>
        <w:autoSpaceDN w:val="0"/>
        <w:adjustRightInd w:val="0"/>
        <w:spacing w:after="120" w:line="240" w:lineRule="auto"/>
        <w:rPr>
          <w:rFonts w:cstheme="minorHAnsi"/>
          <w:color w:val="000000" w:themeColor="text1"/>
        </w:rPr>
      </w:pPr>
      <w:r>
        <w:rPr>
          <w:rFonts w:cstheme="minorHAnsi"/>
          <w:color w:val="000000" w:themeColor="text1"/>
        </w:rPr>
        <w:t>The opinion of four subject matter experts was sought in July 2016 for input on the measure elements and assessment of the measure overall. The experts were: Deborah Dowell, MD, MPH, Centers for Disease Control &amp; Prevention; Christopher Jones, PharmD, US Department of Health and Human Services; Joshua Sharenstein, MD, Associate Dean, Johns Hopkins Bloomberg School of Public Health; and Don Teater, MD, Teater Health Solutions (previously, National Safety Council). All four subject matter experts were strongly supportive of the measure.</w:t>
      </w:r>
      <w:r w:rsidR="00833325" w:rsidRPr="00A25024">
        <w:rPr>
          <w:rFonts w:cstheme="minorHAnsi"/>
          <w:bCs/>
        </w:rPr>
        <w:br/>
      </w:r>
    </w:p>
    <w:p w14:paraId="0CABCFDF" w14:textId="50D28738" w:rsidR="007422FD"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379A5CF7" w14:textId="16A5A686" w:rsidR="00ED273A" w:rsidRPr="00ED273A" w:rsidRDefault="00ED273A" w:rsidP="00DB3627">
      <w:pPr>
        <w:autoSpaceDE w:val="0"/>
        <w:autoSpaceDN w:val="0"/>
        <w:adjustRightInd w:val="0"/>
        <w:spacing w:after="0" w:line="240" w:lineRule="auto"/>
        <w:rPr>
          <w:rFonts w:cstheme="minorHAnsi"/>
          <w:bCs/>
          <w:color w:val="000000" w:themeColor="text1"/>
        </w:rPr>
      </w:pPr>
      <w:r w:rsidRPr="00DD5651">
        <w:rPr>
          <w:rFonts w:cstheme="minorHAnsi"/>
          <w:bCs/>
          <w:color w:val="000000" w:themeColor="text1"/>
        </w:rPr>
        <w:t>Based upon the systematic, consensus</w:t>
      </w:r>
      <w:r>
        <w:rPr>
          <w:rFonts w:cstheme="minorHAnsi"/>
          <w:bCs/>
          <w:color w:val="000000" w:themeColor="text1"/>
        </w:rPr>
        <w:t>-</w:t>
      </w:r>
      <w:r w:rsidRPr="00DD5651">
        <w:rPr>
          <w:rFonts w:cstheme="minorHAnsi"/>
          <w:bCs/>
          <w:color w:val="000000" w:themeColor="text1"/>
        </w:rPr>
        <w:t xml:space="preserve">based PQA measure development process designed to assure face validity, the measure has been determined to have face validity.  </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DC2C131"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45FE3336" w14:textId="77777777" w:rsidR="00ED273A" w:rsidRDefault="00ED273A" w:rsidP="00ED273A">
      <w:pPr>
        <w:autoSpaceDE w:val="0"/>
        <w:autoSpaceDN w:val="0"/>
        <w:adjustRightInd w:val="0"/>
        <w:spacing w:after="0" w:line="240" w:lineRule="auto"/>
        <w:rPr>
          <w:rFonts w:cstheme="minorHAnsi"/>
          <w:bCs/>
        </w:rPr>
      </w:pPr>
      <w:r>
        <w:rPr>
          <w:rFonts w:cstheme="minorHAnsi"/>
          <w:bCs/>
        </w:rPr>
        <w:t xml:space="preserve">Patients at end of life, undergoing hospice care, and those with cancer may have unusual requirements for pain management. Thus, these are excluded from these measures whenever data are available. </w:t>
      </w:r>
    </w:p>
    <w:p w14:paraId="43FF886B" w14:textId="77777777" w:rsidR="00ED273A" w:rsidRDefault="00ED273A" w:rsidP="00ED273A">
      <w:pPr>
        <w:autoSpaceDE w:val="0"/>
        <w:autoSpaceDN w:val="0"/>
        <w:adjustRightInd w:val="0"/>
        <w:spacing w:after="0" w:line="240" w:lineRule="auto"/>
        <w:rPr>
          <w:rFonts w:cstheme="minorHAnsi"/>
          <w:bCs/>
        </w:rPr>
      </w:pPr>
      <w:r>
        <w:rPr>
          <w:rFonts w:cstheme="minorHAnsi"/>
          <w:bCs/>
        </w:rPr>
        <w:t xml:space="preserve">Testing was performed for the hospice exclusion by identifying the number of members in hospice, where available, and determining the percent of the overall population that would be affected by including patients in hospice care. </w:t>
      </w:r>
    </w:p>
    <w:p w14:paraId="3D2136A1" w14:textId="77777777" w:rsidR="00ED273A" w:rsidRDefault="00ED273A" w:rsidP="00ED273A">
      <w:pPr>
        <w:autoSpaceDE w:val="0"/>
        <w:autoSpaceDN w:val="0"/>
        <w:adjustRightInd w:val="0"/>
        <w:spacing w:after="0" w:line="240" w:lineRule="auto"/>
        <w:rPr>
          <w:rFonts w:cstheme="minorHAnsi"/>
          <w:bCs/>
        </w:rPr>
      </w:pPr>
    </w:p>
    <w:p w14:paraId="3E399C73" w14:textId="1406B110" w:rsidR="00ED273A" w:rsidRDefault="00ED273A" w:rsidP="00ED273A">
      <w:pPr>
        <w:autoSpaceDE w:val="0"/>
        <w:autoSpaceDN w:val="0"/>
        <w:adjustRightInd w:val="0"/>
        <w:spacing w:after="0" w:line="240" w:lineRule="auto"/>
        <w:rPr>
          <w:rFonts w:cstheme="minorHAnsi"/>
          <w:bCs/>
        </w:rPr>
      </w:pPr>
      <w:r>
        <w:rPr>
          <w:rFonts w:cstheme="minorHAnsi"/>
          <w:bCs/>
        </w:rPr>
        <w:t xml:space="preserve">Cancer exclusions were identified in the Medicare and Medicaid populations using ICD-9 and ICD-10 codes, depending on the time period of the data (ICD-10 coding began in October 2015). Testing involved identifying the number of exclusions, and determining the percent of the overall population that would be affected by including patients with cancer diagnoses. </w:t>
      </w:r>
    </w:p>
    <w:p w14:paraId="4333B913" w14:textId="77777777" w:rsidR="00ED273A" w:rsidRDefault="00ED273A" w:rsidP="00ED273A">
      <w:pPr>
        <w:autoSpaceDE w:val="0"/>
        <w:autoSpaceDN w:val="0"/>
        <w:adjustRightInd w:val="0"/>
        <w:spacing w:after="0" w:line="240" w:lineRule="auto"/>
        <w:rPr>
          <w:rFonts w:cstheme="minorHAnsi"/>
          <w:bCs/>
        </w:rPr>
      </w:pPr>
    </w:p>
    <w:p w14:paraId="324FEAD1" w14:textId="77777777" w:rsidR="00ED273A" w:rsidRDefault="00ED273A" w:rsidP="00ED273A">
      <w:pPr>
        <w:autoSpaceDE w:val="0"/>
        <w:autoSpaceDN w:val="0"/>
        <w:adjustRightInd w:val="0"/>
        <w:spacing w:after="0" w:line="240" w:lineRule="auto"/>
        <w:rPr>
          <w:rFonts w:cstheme="minorHAnsi"/>
          <w:bCs/>
          <w:sz w:val="12"/>
        </w:rPr>
      </w:pPr>
      <w:r>
        <w:rPr>
          <w:rFonts w:cstheme="minorHAnsi"/>
          <w:bCs/>
        </w:rPr>
        <w:t>The exclusions of hospice and cancer are consistent with the 2016 CDC Guideline for Prescribing Opioids for Chronic Pain, which does not apply to active cancer treatment, palliative care, and end-of life treatment because of the unique therapeutic goals, ethical considerations, opportunities for medical supervision, and balance of risks and benefits with opioid therapy in such care.</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54FB640C"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7E20609D" w14:textId="77777777" w:rsidR="00ED273A" w:rsidRDefault="00ED273A" w:rsidP="00ED273A">
      <w:pPr>
        <w:autoSpaceDE w:val="0"/>
        <w:autoSpaceDN w:val="0"/>
        <w:adjustRightInd w:val="0"/>
        <w:spacing w:after="0" w:line="240" w:lineRule="auto"/>
        <w:rPr>
          <w:rFonts w:cstheme="minorHAnsi"/>
          <w:bCs/>
        </w:rPr>
      </w:pPr>
      <w:r>
        <w:rPr>
          <w:rFonts w:cstheme="minorHAnsi"/>
          <w:bCs/>
        </w:rPr>
        <w:t xml:space="preserve">For the Medicare population, after applying the age, continuous enrollment and opioid prescription criteria, the hospice patient exclusions ranged from 0.0% to 27.0% among plan contracts, and the cancer exclusions among plan contracts ranged from 0.0% to 52.8%.  </w:t>
      </w:r>
    </w:p>
    <w:p w14:paraId="3B275CE6" w14:textId="77777777" w:rsidR="00ED273A" w:rsidRDefault="00ED273A" w:rsidP="00ED273A">
      <w:pPr>
        <w:autoSpaceDE w:val="0"/>
        <w:autoSpaceDN w:val="0"/>
        <w:adjustRightInd w:val="0"/>
        <w:spacing w:after="0" w:line="240" w:lineRule="auto"/>
        <w:rPr>
          <w:rFonts w:cstheme="minorHAnsi"/>
          <w:bCs/>
        </w:rPr>
      </w:pPr>
    </w:p>
    <w:p w14:paraId="7023B2C0" w14:textId="14EE5061" w:rsidR="00ED273A" w:rsidRDefault="00ED273A" w:rsidP="00ED273A">
      <w:pPr>
        <w:autoSpaceDE w:val="0"/>
        <w:autoSpaceDN w:val="0"/>
        <w:adjustRightInd w:val="0"/>
        <w:spacing w:after="0" w:line="240" w:lineRule="auto"/>
        <w:rPr>
          <w:rFonts w:cstheme="minorHAnsi"/>
          <w:bCs/>
        </w:rPr>
      </w:pPr>
      <w:r w:rsidRPr="00163A2B">
        <w:rPr>
          <w:rFonts w:cstheme="minorHAnsi"/>
          <w:bCs/>
        </w:rPr>
        <w:t xml:space="preserve">For the Medicaid MAX population, after applying the age, continuous enrollment and opioid prescription criteria, the hospice patient exclusions ranged from 0.0% to </w:t>
      </w:r>
      <w:r w:rsidR="00163A2B" w:rsidRPr="00163A2B">
        <w:rPr>
          <w:rFonts w:cstheme="minorHAnsi"/>
          <w:bCs/>
        </w:rPr>
        <w:t>1.3</w:t>
      </w:r>
      <w:r w:rsidRPr="00163A2B">
        <w:rPr>
          <w:rFonts w:cstheme="minorHAnsi"/>
          <w:bCs/>
        </w:rPr>
        <w:t xml:space="preserve">% among plans, and the cancer exclusions among plans ranged from 0.0% to </w:t>
      </w:r>
      <w:r w:rsidR="00163A2B" w:rsidRPr="00163A2B">
        <w:rPr>
          <w:rFonts w:cstheme="minorHAnsi"/>
          <w:bCs/>
        </w:rPr>
        <w:t>4.5</w:t>
      </w:r>
      <w:r w:rsidRPr="00163A2B">
        <w:rPr>
          <w:rFonts w:cstheme="minorHAnsi"/>
          <w:bCs/>
        </w:rPr>
        <w:t>%.</w:t>
      </w:r>
      <w:r>
        <w:rPr>
          <w:rFonts w:cstheme="minorHAnsi"/>
          <w:bCs/>
        </w:rPr>
        <w:t xml:space="preserve">  </w:t>
      </w:r>
    </w:p>
    <w:p w14:paraId="248D6FBB" w14:textId="77777777" w:rsidR="00ED273A" w:rsidRDefault="00ED273A" w:rsidP="00ED273A">
      <w:pPr>
        <w:autoSpaceDE w:val="0"/>
        <w:autoSpaceDN w:val="0"/>
        <w:adjustRightInd w:val="0"/>
        <w:spacing w:after="0" w:line="240" w:lineRule="auto"/>
        <w:rPr>
          <w:rFonts w:cstheme="minorHAnsi"/>
          <w:bCs/>
        </w:rPr>
      </w:pPr>
    </w:p>
    <w:p w14:paraId="4B3A01B1" w14:textId="66DC4803" w:rsidR="00ED273A" w:rsidRDefault="00ED273A" w:rsidP="00092566">
      <w:pPr>
        <w:autoSpaceDE w:val="0"/>
        <w:autoSpaceDN w:val="0"/>
        <w:adjustRightInd w:val="0"/>
        <w:spacing w:after="0" w:line="240" w:lineRule="auto"/>
        <w:rPr>
          <w:rFonts w:cstheme="minorHAnsi"/>
          <w:bCs/>
        </w:rPr>
      </w:pPr>
      <w:r>
        <w:rPr>
          <w:rFonts w:cstheme="minorHAnsi"/>
          <w:bCs/>
        </w:rPr>
        <w:t xml:space="preserve">For the one state-based Medicaid program, only one plan was able to identify 3 hospice patients. The cancer exclusion rate was about 4.5% across the three plans. </w:t>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15CC964A"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1E463DC3" w14:textId="4E1011B5" w:rsidR="00ED273A" w:rsidRPr="008D04F4" w:rsidRDefault="00ED273A" w:rsidP="00ED273A">
      <w:pPr>
        <w:autoSpaceDE w:val="0"/>
        <w:autoSpaceDN w:val="0"/>
        <w:adjustRightInd w:val="0"/>
        <w:spacing w:after="0" w:line="240" w:lineRule="auto"/>
        <w:rPr>
          <w:rFonts w:cstheme="minorHAnsi"/>
          <w:bCs/>
        </w:rPr>
      </w:pPr>
      <w:r w:rsidRPr="008D04F4">
        <w:rPr>
          <w:rFonts w:cstheme="minorHAnsi"/>
          <w:bCs/>
        </w:rPr>
        <w:t>The Medicare population show</w:t>
      </w:r>
      <w:r>
        <w:rPr>
          <w:rFonts w:cstheme="minorHAnsi"/>
          <w:bCs/>
        </w:rPr>
        <w:t>s</w:t>
      </w:r>
      <w:r w:rsidRPr="008D04F4">
        <w:rPr>
          <w:rFonts w:cstheme="minorHAnsi"/>
          <w:bCs/>
        </w:rPr>
        <w:t xml:space="preserve"> significant impact of the hospice and cancer exclusions. </w:t>
      </w:r>
      <w:r>
        <w:rPr>
          <w:rFonts w:cstheme="minorHAnsi"/>
          <w:bCs/>
        </w:rPr>
        <w:t xml:space="preserve">For the hospice exclusion, up to </w:t>
      </w:r>
      <w:r w:rsidRPr="008D04F4">
        <w:rPr>
          <w:rFonts w:cstheme="minorHAnsi"/>
          <w:bCs/>
        </w:rPr>
        <w:t xml:space="preserve">27% of beneficiaries in some plan contracts </w:t>
      </w:r>
      <w:r>
        <w:rPr>
          <w:rFonts w:cstheme="minorHAnsi"/>
          <w:bCs/>
        </w:rPr>
        <w:t>were</w:t>
      </w:r>
      <w:r w:rsidRPr="008D04F4">
        <w:rPr>
          <w:rFonts w:cstheme="minorHAnsi"/>
          <w:bCs/>
        </w:rPr>
        <w:t xml:space="preserve"> affected by this exclusion, </w:t>
      </w:r>
      <w:r>
        <w:rPr>
          <w:rFonts w:cstheme="minorHAnsi"/>
          <w:bCs/>
        </w:rPr>
        <w:t>and the cancer exclusion showed</w:t>
      </w:r>
      <w:r w:rsidRPr="008D04F4">
        <w:rPr>
          <w:rFonts w:cstheme="minorHAnsi"/>
          <w:bCs/>
        </w:rPr>
        <w:t xml:space="preserve"> that for some plan contracts, more than half of the population would be </w:t>
      </w:r>
      <w:r>
        <w:rPr>
          <w:rFonts w:cstheme="minorHAnsi"/>
          <w:bCs/>
        </w:rPr>
        <w:t>affected</w:t>
      </w:r>
      <w:r w:rsidRPr="008D04F4">
        <w:rPr>
          <w:rFonts w:cstheme="minorHAnsi"/>
          <w:bCs/>
        </w:rPr>
        <w:t xml:space="preserve"> by this exclusion</w:t>
      </w:r>
      <w:r>
        <w:rPr>
          <w:rFonts w:cstheme="minorHAnsi"/>
          <w:bCs/>
        </w:rPr>
        <w:t>. Without applying these exclusions, these beneficiaries would be included in the measure</w:t>
      </w:r>
      <w:r w:rsidRPr="008D04F4">
        <w:rPr>
          <w:rFonts w:cstheme="minorHAnsi"/>
          <w:bCs/>
        </w:rPr>
        <w:t xml:space="preserve">. These are significant proportions of the population that could potentially impact the measure rate. </w:t>
      </w:r>
    </w:p>
    <w:p w14:paraId="07BC2DF9" w14:textId="77777777" w:rsidR="00ED273A" w:rsidRDefault="00ED273A" w:rsidP="00ED273A">
      <w:pPr>
        <w:autoSpaceDE w:val="0"/>
        <w:autoSpaceDN w:val="0"/>
        <w:adjustRightInd w:val="0"/>
        <w:spacing w:after="0" w:line="240" w:lineRule="auto"/>
        <w:rPr>
          <w:rFonts w:cstheme="minorHAnsi"/>
          <w:bCs/>
        </w:rPr>
      </w:pPr>
    </w:p>
    <w:p w14:paraId="64AE43A3" w14:textId="598430AB" w:rsidR="00ED273A" w:rsidRPr="00A25024" w:rsidRDefault="00ED273A" w:rsidP="00DB3627">
      <w:pPr>
        <w:autoSpaceDE w:val="0"/>
        <w:autoSpaceDN w:val="0"/>
        <w:adjustRightInd w:val="0"/>
        <w:spacing w:after="0" w:line="240" w:lineRule="auto"/>
        <w:rPr>
          <w:rFonts w:cstheme="minorHAnsi"/>
          <w:bCs/>
        </w:rPr>
      </w:pPr>
      <w:r>
        <w:rPr>
          <w:rFonts w:cstheme="minorHAnsi"/>
          <w:bCs/>
        </w:rPr>
        <w:t>For the Medicaid populations, at the plan level, most of the plans did not identify</w:t>
      </w:r>
      <w:r w:rsidR="0053544D">
        <w:rPr>
          <w:rFonts w:cstheme="minorHAnsi"/>
          <w:bCs/>
        </w:rPr>
        <w:t xml:space="preserve"> a substantial number </w:t>
      </w:r>
      <w:r>
        <w:rPr>
          <w:rFonts w:cstheme="minorHAnsi"/>
          <w:bCs/>
        </w:rPr>
        <w:t xml:space="preserve">of hospice patients – therefore, no inferences can be drawn </w:t>
      </w:r>
      <w:r w:rsidRPr="00B65B17">
        <w:rPr>
          <w:rFonts w:cstheme="minorHAnsi"/>
          <w:bCs/>
        </w:rPr>
        <w:t>from this exclusion. The cancer exclusion had a higher impact</w:t>
      </w:r>
      <w:r>
        <w:rPr>
          <w:rFonts w:cstheme="minorHAnsi"/>
          <w:bCs/>
        </w:rPr>
        <w:t xml:space="preserve">. </w:t>
      </w:r>
      <w:r w:rsidRPr="00B65B17">
        <w:rPr>
          <w:rFonts w:cstheme="minorHAnsi"/>
          <w:bCs/>
        </w:rPr>
        <w:t>The results show that in some plans, a</w:t>
      </w:r>
      <w:r w:rsidR="00163A2B">
        <w:rPr>
          <w:rFonts w:cstheme="minorHAnsi"/>
          <w:bCs/>
        </w:rPr>
        <w:t>lmost 5</w:t>
      </w:r>
      <w:r w:rsidRPr="00B65B17">
        <w:rPr>
          <w:rFonts w:cstheme="minorHAnsi"/>
          <w:bCs/>
        </w:rPr>
        <w:t>% of the population has cancer and would be included in the measure if cancer was not excluded. This is a significant proportion of the population that could potentially impact the measure rate.</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7AF9A348" w:rsidR="00033038" w:rsidRPr="005232D6" w:rsidRDefault="00916FB4"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113F67">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916FB4"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916FB4"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916FB4"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77777777" w:rsidR="00AF2D68" w:rsidRDefault="00AF2D68" w:rsidP="009D3882">
      <w:pPr>
        <w:rPr>
          <w:rFonts w:cs="Calibri"/>
          <w:b/>
          <w:bCs/>
        </w:rPr>
      </w:pPr>
    </w:p>
    <w:p w14:paraId="0CABCFF4" w14:textId="72F05C9F" w:rsidR="009D3882" w:rsidRPr="009D3882" w:rsidRDefault="009C7513" w:rsidP="009D3882">
      <w:pPr>
        <w:rPr>
          <w:rFonts w:cstheme="minorHAnsi"/>
          <w:b/>
          <w:bCs/>
          <w:sz w:val="14"/>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0CABCFF6" w14:textId="6B194552" w:rsidR="00001D73" w:rsidRPr="00AF2D68"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916FB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916FB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916FB4"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434655CC" w:rsidR="0009256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0CABCFFA" w14:textId="5F1D568F"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79D5D7A7" w:rsidR="00001D73" w:rsidRP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CABCFFE" w14:textId="57E7DDD4"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0CABCFFF" w14:textId="7ECFB7AA"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2" w:name="question2b49"/>
      <w:bookmarkEnd w:id="12"/>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7777777" w:rsidR="00092566" w:rsidRPr="00A25024" w:rsidRDefault="00092566" w:rsidP="00092566">
      <w:pPr>
        <w:pStyle w:val="ListParagraph"/>
        <w:rPr>
          <w:rFonts w:cstheme="minorHAnsi"/>
          <w:bCs/>
        </w:rPr>
      </w:pPr>
    </w:p>
    <w:p w14:paraId="0CABD002" w14:textId="35305BFC"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3" w:name="section2b5"/>
      <w:bookmarkEnd w:id="13"/>
      <w:r>
        <w:rPr>
          <w:rFonts w:cstheme="minorHAnsi"/>
          <w:b/>
          <w:bCs/>
        </w:rPr>
        <w:t>2b4</w:t>
      </w:r>
      <w:r w:rsidR="00D61410" w:rsidRPr="00A25024">
        <w:rPr>
          <w:rFonts w:cstheme="minorHAnsi"/>
          <w:b/>
          <w:bCs/>
        </w:rPr>
        <w:t>. IDENTIFICATION OF STATISTICALLY SIGNIFICANT &amp; MEANINGFUL DIFFERENCES IN PERFORMANCE</w:t>
      </w:r>
    </w:p>
    <w:p w14:paraId="0CABD008" w14:textId="2D3565CB" w:rsidR="00D61410" w:rsidRPr="00A250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68DDBC01" w14:textId="77777777" w:rsidR="00ED273A" w:rsidRDefault="00ED273A" w:rsidP="00ED273A">
      <w:pPr>
        <w:autoSpaceDE w:val="0"/>
        <w:autoSpaceDN w:val="0"/>
        <w:adjustRightInd w:val="0"/>
        <w:spacing w:after="0" w:line="240" w:lineRule="auto"/>
        <w:rPr>
          <w:rFonts w:cstheme="minorHAnsi"/>
          <w:bCs/>
        </w:rPr>
      </w:pPr>
      <w:r>
        <w:rPr>
          <w:rFonts w:cstheme="minorHAnsi"/>
          <w:bCs/>
        </w:rPr>
        <w:t>To assess significant differences in measure rates, the data described in sections 1.5 and 1.6 above were used to calculate the mean, median, standard deviation, and interquartile range for the measure rates for the Medicare and Medicaid (MAX) populations. In addition, the rates were divided into quartiles, and a Student’s t-test was used to compare the rates of the plans in the 25</w:t>
      </w:r>
      <w:r w:rsidRPr="001F45D4">
        <w:rPr>
          <w:rFonts w:cstheme="minorHAnsi"/>
          <w:bCs/>
          <w:vertAlign w:val="superscript"/>
        </w:rPr>
        <w:t>th</w:t>
      </w:r>
      <w:r>
        <w:rPr>
          <w:rFonts w:cstheme="minorHAnsi"/>
          <w:bCs/>
        </w:rPr>
        <w:t xml:space="preserve"> percentile to the rates of the plans in the 75</w:t>
      </w:r>
      <w:r w:rsidRPr="001F45D4">
        <w:rPr>
          <w:rFonts w:cstheme="minorHAnsi"/>
          <w:bCs/>
          <w:vertAlign w:val="superscript"/>
        </w:rPr>
        <w:t>th</w:t>
      </w:r>
      <w:r>
        <w:rPr>
          <w:rFonts w:cstheme="minorHAnsi"/>
          <w:bCs/>
        </w:rPr>
        <w:t xml:space="preserve"> percentile.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1BA155D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071D1CE9" w14:textId="77777777" w:rsidR="00ED273A" w:rsidRDefault="00ED273A" w:rsidP="00ED273A">
      <w:pPr>
        <w:autoSpaceDE w:val="0"/>
        <w:autoSpaceDN w:val="0"/>
        <w:adjustRightInd w:val="0"/>
        <w:spacing w:after="0" w:line="240" w:lineRule="auto"/>
        <w:rPr>
          <w:rFonts w:cstheme="minorHAnsi"/>
          <w:bCs/>
        </w:rPr>
      </w:pPr>
      <w:r>
        <w:rPr>
          <w:rFonts w:cstheme="minorHAnsi"/>
          <w:bCs/>
        </w:rPr>
        <w:t>Tables 6 and 7 show the distribution of the measure rates for the Medicare population. The mean rate was 22.2%, with a median rate of 21.4%, with the lowest plan contract rate at 2.1% and the highest plan contract rate of 44.7%.</w:t>
      </w:r>
    </w:p>
    <w:p w14:paraId="02EACE18" w14:textId="77777777" w:rsidR="00ED273A" w:rsidRDefault="00ED273A" w:rsidP="00ED273A">
      <w:pPr>
        <w:autoSpaceDE w:val="0"/>
        <w:autoSpaceDN w:val="0"/>
        <w:adjustRightInd w:val="0"/>
        <w:spacing w:after="0" w:line="240" w:lineRule="auto"/>
        <w:jc w:val="center"/>
        <w:rPr>
          <w:rFonts w:cstheme="minorHAnsi"/>
          <w:b/>
          <w:bCs/>
        </w:rPr>
      </w:pPr>
      <w:r w:rsidRPr="00A25024">
        <w:rPr>
          <w:rFonts w:cstheme="minorHAnsi"/>
          <w:bCs/>
        </w:rPr>
        <w:br/>
      </w:r>
      <w:r w:rsidRPr="00587D1A">
        <w:rPr>
          <w:rFonts w:cstheme="minorHAnsi"/>
          <w:b/>
          <w:bCs/>
        </w:rPr>
        <w:t>Table 6.</w:t>
      </w:r>
      <w:r>
        <w:rPr>
          <w:rFonts w:cstheme="minorHAnsi"/>
          <w:b/>
          <w:bCs/>
        </w:rPr>
        <w:t xml:space="preserve"> Variation in Measure Rates – 2015 Medicare Sample</w:t>
      </w:r>
    </w:p>
    <w:tbl>
      <w:tblPr>
        <w:tblW w:w="5580" w:type="dxa"/>
        <w:tblInd w:w="1885" w:type="dxa"/>
        <w:tblLook w:val="04A0" w:firstRow="1" w:lastRow="0" w:firstColumn="1" w:lastColumn="0" w:noHBand="0" w:noVBand="1"/>
      </w:tblPr>
      <w:tblGrid>
        <w:gridCol w:w="1722"/>
        <w:gridCol w:w="1788"/>
        <w:gridCol w:w="2070"/>
      </w:tblGrid>
      <w:tr w:rsidR="00ED273A" w14:paraId="17747DE3" w14:textId="77777777" w:rsidTr="00165A1F">
        <w:trPr>
          <w:trHeight w:val="288"/>
        </w:trPr>
        <w:tc>
          <w:tcPr>
            <w:tcW w:w="172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4F13215" w14:textId="77777777" w:rsidR="00ED273A" w:rsidRDefault="00ED273A" w:rsidP="00165A1F">
            <w:pPr>
              <w:spacing w:after="0" w:line="240" w:lineRule="auto"/>
              <w:jc w:val="center"/>
              <w:rPr>
                <w:rFonts w:ascii="Calibri" w:eastAsia="Times New Roman" w:hAnsi="Calibri" w:cs="Calibri"/>
                <w:b/>
                <w:color w:val="000000"/>
              </w:rPr>
            </w:pPr>
            <w:r>
              <w:rPr>
                <w:rFonts w:ascii="Calibri" w:eastAsia="Times New Roman" w:hAnsi="Calibri" w:cs="Calibri"/>
                <w:b/>
                <w:color w:val="000000"/>
              </w:rPr>
              <w:t>Mean</w:t>
            </w:r>
          </w:p>
        </w:tc>
        <w:tc>
          <w:tcPr>
            <w:tcW w:w="1788" w:type="dxa"/>
            <w:tcBorders>
              <w:top w:val="single" w:sz="4" w:space="0" w:color="auto"/>
              <w:left w:val="nil"/>
              <w:bottom w:val="single" w:sz="4" w:space="0" w:color="auto"/>
              <w:right w:val="single" w:sz="4" w:space="0" w:color="auto"/>
            </w:tcBorders>
            <w:shd w:val="clear" w:color="auto" w:fill="D9D9D9"/>
            <w:noWrap/>
            <w:vAlign w:val="bottom"/>
            <w:hideMark/>
          </w:tcPr>
          <w:p w14:paraId="341B0E6C" w14:textId="77777777" w:rsidR="00ED273A" w:rsidRDefault="00ED273A" w:rsidP="00165A1F">
            <w:pPr>
              <w:spacing w:after="0" w:line="240" w:lineRule="auto"/>
              <w:jc w:val="center"/>
              <w:rPr>
                <w:rFonts w:ascii="Calibri" w:eastAsia="Times New Roman" w:hAnsi="Calibri" w:cs="Calibri"/>
                <w:b/>
                <w:color w:val="000000"/>
              </w:rPr>
            </w:pPr>
            <w:r>
              <w:rPr>
                <w:rFonts w:ascii="Calibri" w:eastAsia="Times New Roman" w:hAnsi="Calibri" w:cs="Calibri"/>
                <w:b/>
                <w:color w:val="000000"/>
              </w:rPr>
              <w:t>Median</w:t>
            </w:r>
          </w:p>
        </w:tc>
        <w:tc>
          <w:tcPr>
            <w:tcW w:w="2070" w:type="dxa"/>
            <w:tcBorders>
              <w:top w:val="single" w:sz="4" w:space="0" w:color="auto"/>
              <w:left w:val="nil"/>
              <w:bottom w:val="single" w:sz="4" w:space="0" w:color="auto"/>
              <w:right w:val="single" w:sz="4" w:space="0" w:color="auto"/>
            </w:tcBorders>
            <w:shd w:val="clear" w:color="auto" w:fill="D9D9D9"/>
            <w:noWrap/>
            <w:vAlign w:val="bottom"/>
            <w:hideMark/>
          </w:tcPr>
          <w:p w14:paraId="0D0517F3" w14:textId="77777777" w:rsidR="00ED273A" w:rsidRDefault="00ED273A" w:rsidP="00165A1F">
            <w:pPr>
              <w:spacing w:after="0" w:line="240" w:lineRule="auto"/>
              <w:jc w:val="center"/>
              <w:rPr>
                <w:rFonts w:ascii="Calibri" w:eastAsia="Times New Roman" w:hAnsi="Calibri" w:cs="Calibri"/>
                <w:b/>
                <w:color w:val="000000"/>
              </w:rPr>
            </w:pPr>
            <w:r>
              <w:rPr>
                <w:rFonts w:ascii="Calibri" w:eastAsia="Times New Roman" w:hAnsi="Calibri" w:cs="Calibri"/>
                <w:b/>
                <w:color w:val="000000"/>
              </w:rPr>
              <w:t>Standard Deviation</w:t>
            </w:r>
          </w:p>
        </w:tc>
      </w:tr>
      <w:tr w:rsidR="00ED273A" w14:paraId="79AB9BF9" w14:textId="77777777" w:rsidTr="00165A1F">
        <w:trPr>
          <w:trHeight w:val="288"/>
        </w:trPr>
        <w:tc>
          <w:tcPr>
            <w:tcW w:w="1722" w:type="dxa"/>
            <w:tcBorders>
              <w:top w:val="nil"/>
              <w:left w:val="single" w:sz="4" w:space="0" w:color="auto"/>
              <w:bottom w:val="single" w:sz="4" w:space="0" w:color="auto"/>
              <w:right w:val="single" w:sz="4" w:space="0" w:color="auto"/>
            </w:tcBorders>
            <w:shd w:val="clear" w:color="auto" w:fill="FFFFFF"/>
            <w:noWrap/>
            <w:vAlign w:val="bottom"/>
            <w:hideMark/>
          </w:tcPr>
          <w:p w14:paraId="6B0E3CED" w14:textId="77777777" w:rsidR="00ED273A" w:rsidRDefault="00ED273A"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22.2%</w:t>
            </w:r>
          </w:p>
        </w:tc>
        <w:tc>
          <w:tcPr>
            <w:tcW w:w="1788" w:type="dxa"/>
            <w:tcBorders>
              <w:top w:val="nil"/>
              <w:left w:val="nil"/>
              <w:bottom w:val="single" w:sz="4" w:space="0" w:color="auto"/>
              <w:right w:val="single" w:sz="4" w:space="0" w:color="auto"/>
            </w:tcBorders>
            <w:shd w:val="clear" w:color="auto" w:fill="FFFFFF"/>
            <w:noWrap/>
            <w:vAlign w:val="bottom"/>
            <w:hideMark/>
          </w:tcPr>
          <w:p w14:paraId="1C442EEC" w14:textId="77777777" w:rsidR="00ED273A" w:rsidRDefault="00ED273A"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21.4%</w:t>
            </w:r>
          </w:p>
        </w:tc>
        <w:tc>
          <w:tcPr>
            <w:tcW w:w="2070" w:type="dxa"/>
            <w:tcBorders>
              <w:top w:val="nil"/>
              <w:left w:val="nil"/>
              <w:bottom w:val="single" w:sz="4" w:space="0" w:color="auto"/>
              <w:right w:val="single" w:sz="4" w:space="0" w:color="auto"/>
            </w:tcBorders>
            <w:shd w:val="clear" w:color="auto" w:fill="FFFFFF"/>
            <w:noWrap/>
            <w:vAlign w:val="bottom"/>
            <w:hideMark/>
          </w:tcPr>
          <w:p w14:paraId="7EC8D54B" w14:textId="77777777" w:rsidR="00ED273A" w:rsidRDefault="00ED273A"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7.3%</w:t>
            </w:r>
          </w:p>
        </w:tc>
      </w:tr>
    </w:tbl>
    <w:p w14:paraId="478B97DE" w14:textId="77777777" w:rsidR="00ED273A" w:rsidRDefault="00ED273A" w:rsidP="00ED273A">
      <w:pPr>
        <w:autoSpaceDE w:val="0"/>
        <w:autoSpaceDN w:val="0"/>
        <w:adjustRightInd w:val="0"/>
        <w:spacing w:after="0" w:line="240" w:lineRule="auto"/>
        <w:rPr>
          <w:rFonts w:cstheme="minorHAnsi"/>
          <w:bCs/>
        </w:rPr>
      </w:pPr>
    </w:p>
    <w:p w14:paraId="514DF597" w14:textId="77777777" w:rsidR="00ED273A" w:rsidRDefault="00ED273A" w:rsidP="00ED273A">
      <w:pPr>
        <w:autoSpaceDE w:val="0"/>
        <w:autoSpaceDN w:val="0"/>
        <w:adjustRightInd w:val="0"/>
        <w:spacing w:after="0" w:line="240" w:lineRule="auto"/>
        <w:jc w:val="center"/>
        <w:rPr>
          <w:rFonts w:cstheme="minorHAnsi"/>
          <w:b/>
          <w:bCs/>
        </w:rPr>
      </w:pPr>
      <w:r>
        <w:rPr>
          <w:rFonts w:cstheme="minorHAnsi"/>
          <w:b/>
          <w:bCs/>
        </w:rPr>
        <w:t xml:space="preserve">Table </w:t>
      </w:r>
      <w:r w:rsidRPr="00587D1A">
        <w:rPr>
          <w:rFonts w:cstheme="minorHAnsi"/>
          <w:b/>
          <w:bCs/>
        </w:rPr>
        <w:t>7</w:t>
      </w:r>
      <w:r>
        <w:rPr>
          <w:rFonts w:cstheme="minorHAnsi"/>
          <w:b/>
          <w:bCs/>
        </w:rPr>
        <w:t>. Interquartile Range of Measure Rates – 2015 Medicare Sample</w:t>
      </w:r>
    </w:p>
    <w:tbl>
      <w:tblPr>
        <w:tblW w:w="4045" w:type="dxa"/>
        <w:tblInd w:w="2647" w:type="dxa"/>
        <w:tblLook w:val="04A0" w:firstRow="1" w:lastRow="0" w:firstColumn="1" w:lastColumn="0" w:noHBand="0" w:noVBand="1"/>
      </w:tblPr>
      <w:tblGrid>
        <w:gridCol w:w="2335"/>
        <w:gridCol w:w="1710"/>
      </w:tblGrid>
      <w:tr w:rsidR="00ED273A" w14:paraId="2A237880" w14:textId="77777777" w:rsidTr="00165A1F">
        <w:trPr>
          <w:trHeight w:val="288"/>
        </w:trPr>
        <w:tc>
          <w:tcPr>
            <w:tcW w:w="23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D388CF" w14:textId="77777777" w:rsidR="00ED273A" w:rsidRDefault="00ED273A" w:rsidP="00165A1F">
            <w:pPr>
              <w:spacing w:after="0" w:line="240" w:lineRule="auto"/>
              <w:jc w:val="center"/>
              <w:rPr>
                <w:rFonts w:ascii="Calibri" w:eastAsia="Times New Roman" w:hAnsi="Calibri" w:cs="Calibri"/>
                <w:b/>
                <w:color w:val="000000"/>
              </w:rPr>
            </w:pPr>
            <w:r>
              <w:rPr>
                <w:rFonts w:ascii="Calibri" w:eastAsia="Times New Roman" w:hAnsi="Calibri" w:cs="Calibri"/>
                <w:b/>
                <w:color w:val="000000"/>
              </w:rPr>
              <w:t>Statistic</w:t>
            </w:r>
          </w:p>
        </w:tc>
        <w:tc>
          <w:tcPr>
            <w:tcW w:w="171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C3436B4" w14:textId="77777777" w:rsidR="00ED273A" w:rsidRDefault="00ED273A" w:rsidP="00165A1F">
            <w:pPr>
              <w:spacing w:after="0" w:line="240" w:lineRule="auto"/>
              <w:jc w:val="center"/>
              <w:rPr>
                <w:rFonts w:ascii="Calibri" w:eastAsia="Times New Roman" w:hAnsi="Calibri" w:cs="Calibri"/>
                <w:b/>
                <w:color w:val="000000"/>
              </w:rPr>
            </w:pPr>
            <w:r>
              <w:rPr>
                <w:rFonts w:ascii="Calibri" w:eastAsia="Times New Roman" w:hAnsi="Calibri" w:cs="Calibri"/>
                <w:b/>
                <w:color w:val="000000"/>
              </w:rPr>
              <w:t>Value</w:t>
            </w:r>
          </w:p>
        </w:tc>
      </w:tr>
      <w:tr w:rsidR="00ED273A" w14:paraId="30DFED6C" w14:textId="77777777" w:rsidTr="00165A1F">
        <w:trPr>
          <w:trHeight w:val="288"/>
        </w:trPr>
        <w:tc>
          <w:tcPr>
            <w:tcW w:w="23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D28990" w14:textId="77777777" w:rsidR="00ED273A" w:rsidRDefault="00ED273A" w:rsidP="00165A1F">
            <w:pPr>
              <w:spacing w:after="0" w:line="240" w:lineRule="auto"/>
              <w:rPr>
                <w:rFonts w:ascii="Calibri" w:eastAsia="Times New Roman" w:hAnsi="Calibri" w:cs="Calibri"/>
                <w:color w:val="000000"/>
              </w:rPr>
            </w:pPr>
            <w:r>
              <w:rPr>
                <w:rFonts w:ascii="Calibri" w:eastAsia="Times New Roman" w:hAnsi="Calibri" w:cs="Calibri"/>
                <w:color w:val="000000"/>
              </w:rPr>
              <w:t>Minimum</w:t>
            </w:r>
          </w:p>
        </w:tc>
        <w:tc>
          <w:tcPr>
            <w:tcW w:w="1710" w:type="dxa"/>
            <w:tcBorders>
              <w:top w:val="single" w:sz="4" w:space="0" w:color="auto"/>
              <w:left w:val="nil"/>
              <w:bottom w:val="single" w:sz="4" w:space="0" w:color="auto"/>
              <w:right w:val="single" w:sz="4" w:space="0" w:color="auto"/>
            </w:tcBorders>
            <w:shd w:val="clear" w:color="auto" w:fill="FFFFFF"/>
            <w:noWrap/>
            <w:vAlign w:val="bottom"/>
            <w:hideMark/>
          </w:tcPr>
          <w:p w14:paraId="00F42299" w14:textId="77777777" w:rsidR="00ED273A" w:rsidRDefault="00ED273A"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2.1%</w:t>
            </w:r>
          </w:p>
        </w:tc>
      </w:tr>
      <w:tr w:rsidR="00ED273A" w14:paraId="11861224" w14:textId="77777777" w:rsidTr="00165A1F">
        <w:trPr>
          <w:trHeight w:val="288"/>
        </w:trPr>
        <w:tc>
          <w:tcPr>
            <w:tcW w:w="2335" w:type="dxa"/>
            <w:tcBorders>
              <w:top w:val="nil"/>
              <w:left w:val="single" w:sz="4" w:space="0" w:color="auto"/>
              <w:bottom w:val="single" w:sz="4" w:space="0" w:color="auto"/>
              <w:right w:val="single" w:sz="4" w:space="0" w:color="auto"/>
            </w:tcBorders>
            <w:shd w:val="clear" w:color="auto" w:fill="FFFFFF"/>
            <w:vAlign w:val="center"/>
            <w:hideMark/>
          </w:tcPr>
          <w:p w14:paraId="19A417AA" w14:textId="77777777" w:rsidR="00ED273A" w:rsidRDefault="00ED273A" w:rsidP="00165A1F">
            <w:pPr>
              <w:spacing w:after="0" w:line="240" w:lineRule="auto"/>
              <w:rPr>
                <w:rFonts w:ascii="Calibri" w:eastAsia="Times New Roman" w:hAnsi="Calibri" w:cs="Calibri"/>
                <w:color w:val="000000"/>
              </w:rPr>
            </w:pPr>
            <w:r>
              <w:rPr>
                <w:rFonts w:ascii="Calibri" w:eastAsia="Times New Roman" w:hAnsi="Calibri" w:cs="Calibri"/>
                <w:color w:val="000000"/>
              </w:rPr>
              <w:t>25th percentile</w:t>
            </w:r>
          </w:p>
        </w:tc>
        <w:tc>
          <w:tcPr>
            <w:tcW w:w="1710" w:type="dxa"/>
            <w:tcBorders>
              <w:top w:val="nil"/>
              <w:left w:val="nil"/>
              <w:bottom w:val="single" w:sz="4" w:space="0" w:color="auto"/>
              <w:right w:val="single" w:sz="4" w:space="0" w:color="auto"/>
            </w:tcBorders>
            <w:shd w:val="clear" w:color="auto" w:fill="FFFFFF"/>
            <w:noWrap/>
            <w:vAlign w:val="bottom"/>
            <w:hideMark/>
          </w:tcPr>
          <w:p w14:paraId="472C820D" w14:textId="77777777" w:rsidR="00ED273A" w:rsidRDefault="00ED273A"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17.4%</w:t>
            </w:r>
          </w:p>
        </w:tc>
      </w:tr>
      <w:tr w:rsidR="00ED273A" w14:paraId="12070ECC" w14:textId="77777777" w:rsidTr="00165A1F">
        <w:trPr>
          <w:trHeight w:val="288"/>
        </w:trPr>
        <w:tc>
          <w:tcPr>
            <w:tcW w:w="2335" w:type="dxa"/>
            <w:tcBorders>
              <w:top w:val="nil"/>
              <w:left w:val="single" w:sz="4" w:space="0" w:color="auto"/>
              <w:bottom w:val="single" w:sz="4" w:space="0" w:color="auto"/>
              <w:right w:val="single" w:sz="4" w:space="0" w:color="auto"/>
            </w:tcBorders>
            <w:shd w:val="clear" w:color="auto" w:fill="FFFFFF"/>
            <w:vAlign w:val="center"/>
            <w:hideMark/>
          </w:tcPr>
          <w:p w14:paraId="5F72AFF7" w14:textId="77777777" w:rsidR="00ED273A" w:rsidRDefault="00ED273A" w:rsidP="00165A1F">
            <w:pPr>
              <w:spacing w:after="0" w:line="240" w:lineRule="auto"/>
              <w:rPr>
                <w:rFonts w:ascii="Calibri" w:eastAsia="Times New Roman" w:hAnsi="Calibri" w:cs="Calibri"/>
                <w:color w:val="000000"/>
              </w:rPr>
            </w:pPr>
            <w:r>
              <w:rPr>
                <w:rFonts w:ascii="Calibri" w:eastAsia="Times New Roman" w:hAnsi="Calibri" w:cs="Calibri"/>
                <w:color w:val="000000"/>
              </w:rPr>
              <w:t>50th percentile</w:t>
            </w:r>
          </w:p>
        </w:tc>
        <w:tc>
          <w:tcPr>
            <w:tcW w:w="1710" w:type="dxa"/>
            <w:tcBorders>
              <w:top w:val="nil"/>
              <w:left w:val="nil"/>
              <w:bottom w:val="single" w:sz="4" w:space="0" w:color="auto"/>
              <w:right w:val="single" w:sz="4" w:space="0" w:color="auto"/>
            </w:tcBorders>
            <w:shd w:val="clear" w:color="auto" w:fill="FFFFFF"/>
            <w:noWrap/>
            <w:vAlign w:val="bottom"/>
            <w:hideMark/>
          </w:tcPr>
          <w:p w14:paraId="4DD57C1C" w14:textId="77777777" w:rsidR="00ED273A" w:rsidRDefault="00ED273A"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21.4%</w:t>
            </w:r>
          </w:p>
        </w:tc>
      </w:tr>
      <w:tr w:rsidR="00ED273A" w14:paraId="13E182B9" w14:textId="77777777" w:rsidTr="00165A1F">
        <w:trPr>
          <w:trHeight w:val="288"/>
        </w:trPr>
        <w:tc>
          <w:tcPr>
            <w:tcW w:w="2335" w:type="dxa"/>
            <w:tcBorders>
              <w:top w:val="nil"/>
              <w:left w:val="single" w:sz="4" w:space="0" w:color="auto"/>
              <w:bottom w:val="single" w:sz="4" w:space="0" w:color="auto"/>
              <w:right w:val="single" w:sz="4" w:space="0" w:color="auto"/>
            </w:tcBorders>
            <w:shd w:val="clear" w:color="auto" w:fill="FFFFFF"/>
            <w:vAlign w:val="center"/>
            <w:hideMark/>
          </w:tcPr>
          <w:p w14:paraId="33CF6CAB" w14:textId="77777777" w:rsidR="00ED273A" w:rsidRDefault="00ED273A" w:rsidP="00165A1F">
            <w:pPr>
              <w:spacing w:after="0" w:line="240" w:lineRule="auto"/>
              <w:rPr>
                <w:rFonts w:ascii="Calibri" w:eastAsia="Times New Roman" w:hAnsi="Calibri" w:cs="Calibri"/>
                <w:color w:val="000000"/>
              </w:rPr>
            </w:pPr>
            <w:r>
              <w:rPr>
                <w:rFonts w:ascii="Calibri" w:eastAsia="Times New Roman" w:hAnsi="Calibri" w:cs="Calibri"/>
                <w:color w:val="000000"/>
              </w:rPr>
              <w:t>75th percentile</w:t>
            </w:r>
          </w:p>
        </w:tc>
        <w:tc>
          <w:tcPr>
            <w:tcW w:w="1710" w:type="dxa"/>
            <w:tcBorders>
              <w:top w:val="nil"/>
              <w:left w:val="nil"/>
              <w:bottom w:val="single" w:sz="4" w:space="0" w:color="auto"/>
              <w:right w:val="single" w:sz="4" w:space="0" w:color="auto"/>
            </w:tcBorders>
            <w:shd w:val="clear" w:color="auto" w:fill="FFFFFF"/>
            <w:noWrap/>
            <w:vAlign w:val="bottom"/>
            <w:hideMark/>
          </w:tcPr>
          <w:p w14:paraId="3788BDAE" w14:textId="77777777" w:rsidR="00ED273A" w:rsidRDefault="00ED273A"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27.3%</w:t>
            </w:r>
          </w:p>
        </w:tc>
      </w:tr>
      <w:tr w:rsidR="00ED273A" w14:paraId="6C9D7D8A" w14:textId="77777777" w:rsidTr="00165A1F">
        <w:trPr>
          <w:trHeight w:val="288"/>
        </w:trPr>
        <w:tc>
          <w:tcPr>
            <w:tcW w:w="2335" w:type="dxa"/>
            <w:tcBorders>
              <w:top w:val="nil"/>
              <w:left w:val="single" w:sz="4" w:space="0" w:color="auto"/>
              <w:bottom w:val="single" w:sz="4" w:space="0" w:color="auto"/>
              <w:right w:val="single" w:sz="4" w:space="0" w:color="auto"/>
            </w:tcBorders>
            <w:shd w:val="clear" w:color="auto" w:fill="FFFFFF"/>
            <w:vAlign w:val="center"/>
            <w:hideMark/>
          </w:tcPr>
          <w:p w14:paraId="4D60A3C3" w14:textId="77777777" w:rsidR="00ED273A" w:rsidRDefault="00ED273A" w:rsidP="00165A1F">
            <w:pPr>
              <w:spacing w:after="0" w:line="240" w:lineRule="auto"/>
              <w:rPr>
                <w:rFonts w:ascii="Calibri" w:eastAsia="Times New Roman" w:hAnsi="Calibri" w:cs="Calibri"/>
                <w:color w:val="000000"/>
              </w:rPr>
            </w:pPr>
            <w:r>
              <w:rPr>
                <w:rFonts w:ascii="Calibri" w:eastAsia="Times New Roman" w:hAnsi="Calibri" w:cs="Calibri"/>
                <w:color w:val="000000"/>
              </w:rPr>
              <w:t xml:space="preserve">Maximum </w:t>
            </w:r>
          </w:p>
        </w:tc>
        <w:tc>
          <w:tcPr>
            <w:tcW w:w="1710" w:type="dxa"/>
            <w:tcBorders>
              <w:top w:val="nil"/>
              <w:left w:val="nil"/>
              <w:bottom w:val="single" w:sz="4" w:space="0" w:color="auto"/>
              <w:right w:val="single" w:sz="4" w:space="0" w:color="auto"/>
            </w:tcBorders>
            <w:shd w:val="clear" w:color="auto" w:fill="FFFFFF"/>
            <w:noWrap/>
            <w:vAlign w:val="bottom"/>
            <w:hideMark/>
          </w:tcPr>
          <w:p w14:paraId="0F773E4B" w14:textId="77777777" w:rsidR="00ED273A" w:rsidRDefault="00ED273A"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44.7%</w:t>
            </w:r>
          </w:p>
        </w:tc>
      </w:tr>
      <w:tr w:rsidR="00ED273A" w14:paraId="2C9F779D" w14:textId="77777777" w:rsidTr="00165A1F">
        <w:trPr>
          <w:trHeight w:val="288"/>
        </w:trPr>
        <w:tc>
          <w:tcPr>
            <w:tcW w:w="2335" w:type="dxa"/>
            <w:tcBorders>
              <w:top w:val="nil"/>
              <w:left w:val="single" w:sz="4" w:space="0" w:color="auto"/>
              <w:bottom w:val="single" w:sz="4" w:space="0" w:color="auto"/>
              <w:right w:val="single" w:sz="4" w:space="0" w:color="auto"/>
            </w:tcBorders>
            <w:shd w:val="clear" w:color="auto" w:fill="FFFFFF"/>
            <w:noWrap/>
            <w:vAlign w:val="bottom"/>
            <w:hideMark/>
          </w:tcPr>
          <w:p w14:paraId="70E5FD1C" w14:textId="77777777" w:rsidR="00ED273A" w:rsidRDefault="00ED273A" w:rsidP="00165A1F">
            <w:pPr>
              <w:spacing w:after="0" w:line="240" w:lineRule="auto"/>
              <w:rPr>
                <w:rFonts w:ascii="Calibri" w:eastAsia="Times New Roman" w:hAnsi="Calibri" w:cs="Calibri"/>
                <w:color w:val="000000"/>
              </w:rPr>
            </w:pPr>
            <w:r>
              <w:rPr>
                <w:rFonts w:ascii="Calibri" w:eastAsia="Times New Roman" w:hAnsi="Calibri" w:cs="Calibri"/>
                <w:color w:val="000000"/>
              </w:rPr>
              <w:t>Interquartile Range</w:t>
            </w:r>
          </w:p>
        </w:tc>
        <w:tc>
          <w:tcPr>
            <w:tcW w:w="1710" w:type="dxa"/>
            <w:tcBorders>
              <w:top w:val="nil"/>
              <w:left w:val="nil"/>
              <w:bottom w:val="single" w:sz="4" w:space="0" w:color="auto"/>
              <w:right w:val="single" w:sz="4" w:space="0" w:color="auto"/>
            </w:tcBorders>
            <w:shd w:val="clear" w:color="auto" w:fill="FFFFFF"/>
            <w:noWrap/>
            <w:vAlign w:val="bottom"/>
            <w:hideMark/>
          </w:tcPr>
          <w:p w14:paraId="422BFD41" w14:textId="77777777" w:rsidR="00ED273A" w:rsidRDefault="00ED273A"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9.9%</w:t>
            </w:r>
          </w:p>
        </w:tc>
      </w:tr>
      <w:tr w:rsidR="00ED273A" w:rsidRPr="00D3780A" w14:paraId="1C146604" w14:textId="77777777" w:rsidTr="00165A1F">
        <w:trPr>
          <w:trHeight w:val="288"/>
        </w:trPr>
        <w:tc>
          <w:tcPr>
            <w:tcW w:w="2335"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CBC8312" w14:textId="77777777" w:rsidR="00ED273A" w:rsidRDefault="00ED273A" w:rsidP="00165A1F">
            <w:pPr>
              <w:spacing w:after="0" w:line="240" w:lineRule="auto"/>
              <w:rPr>
                <w:rFonts w:ascii="Calibri" w:eastAsia="Times New Roman" w:hAnsi="Calibri" w:cs="Calibri"/>
                <w:color w:val="000000"/>
              </w:rPr>
            </w:pPr>
            <w:r>
              <w:rPr>
                <w:rFonts w:ascii="Calibri" w:eastAsia="Times New Roman" w:hAnsi="Calibri" w:cs="Calibri"/>
                <w:color w:val="000000"/>
              </w:rPr>
              <w:t>Student’s t-test p-value</w:t>
            </w:r>
          </w:p>
        </w:tc>
        <w:tc>
          <w:tcPr>
            <w:tcW w:w="1710" w:type="dxa"/>
            <w:tcBorders>
              <w:top w:val="single" w:sz="4" w:space="0" w:color="auto"/>
              <w:left w:val="nil"/>
              <w:bottom w:val="single" w:sz="4" w:space="0" w:color="auto"/>
              <w:right w:val="single" w:sz="4" w:space="0" w:color="auto"/>
            </w:tcBorders>
            <w:shd w:val="clear" w:color="auto" w:fill="FFFFFF"/>
            <w:noWrap/>
            <w:vAlign w:val="bottom"/>
          </w:tcPr>
          <w:p w14:paraId="66FD3CDA" w14:textId="77777777" w:rsidR="00ED273A" w:rsidRPr="00D3780A" w:rsidRDefault="00ED273A" w:rsidP="00165A1F">
            <w:pPr>
              <w:spacing w:after="0" w:line="240" w:lineRule="auto"/>
              <w:jc w:val="right"/>
              <w:rPr>
                <w:rFonts w:ascii="Calibri" w:eastAsia="Times New Roman" w:hAnsi="Calibri" w:cs="Calibri"/>
              </w:rPr>
            </w:pPr>
            <w:r w:rsidRPr="00D3780A">
              <w:rPr>
                <w:rFonts w:ascii="Calibri" w:eastAsia="Times New Roman" w:hAnsi="Calibri" w:cs="Calibri"/>
              </w:rPr>
              <w:t>&lt;.0001</w:t>
            </w:r>
          </w:p>
        </w:tc>
      </w:tr>
    </w:tbl>
    <w:p w14:paraId="559A73BB" w14:textId="77777777" w:rsidR="00ED273A" w:rsidRDefault="00ED273A" w:rsidP="00ED273A">
      <w:pPr>
        <w:autoSpaceDE w:val="0"/>
        <w:autoSpaceDN w:val="0"/>
        <w:adjustRightInd w:val="0"/>
        <w:spacing w:after="0" w:line="240" w:lineRule="auto"/>
        <w:rPr>
          <w:rFonts w:cstheme="minorHAnsi"/>
          <w:b/>
          <w:bCs/>
        </w:rPr>
      </w:pPr>
    </w:p>
    <w:p w14:paraId="2156A354" w14:textId="1AF22C92" w:rsidR="00ED273A" w:rsidRDefault="00ED273A" w:rsidP="00ED273A">
      <w:pPr>
        <w:autoSpaceDE w:val="0"/>
        <w:autoSpaceDN w:val="0"/>
        <w:adjustRightInd w:val="0"/>
        <w:spacing w:after="0" w:line="240" w:lineRule="auto"/>
        <w:rPr>
          <w:rFonts w:cstheme="minorHAnsi"/>
          <w:bCs/>
        </w:rPr>
      </w:pPr>
      <w:r>
        <w:rPr>
          <w:rFonts w:cstheme="minorHAnsi"/>
          <w:bCs/>
        </w:rPr>
        <w:t>Tables 8 and 9 show the distribution of the measure rates for the Medicaid MAX p</w:t>
      </w:r>
      <w:r w:rsidR="00B330AB">
        <w:rPr>
          <w:rFonts w:cstheme="minorHAnsi"/>
          <w:bCs/>
        </w:rPr>
        <w:t>opulation. The mean rate was 5.0%, with a median rate of 4.5</w:t>
      </w:r>
      <w:r>
        <w:rPr>
          <w:rFonts w:cstheme="minorHAnsi"/>
          <w:bCs/>
        </w:rPr>
        <w:t xml:space="preserve">%.  The lowest plan contract rate was 0.0% and the highest plan contract rate was </w:t>
      </w:r>
      <w:r w:rsidR="00B330AB">
        <w:rPr>
          <w:rFonts w:cstheme="minorHAnsi"/>
          <w:bCs/>
        </w:rPr>
        <w:t>17.3</w:t>
      </w:r>
      <w:r>
        <w:rPr>
          <w:rFonts w:cstheme="minorHAnsi"/>
          <w:bCs/>
        </w:rPr>
        <w:t>%.</w:t>
      </w:r>
    </w:p>
    <w:p w14:paraId="0CABD00B" w14:textId="7548B747" w:rsidR="00D61410" w:rsidRDefault="00D61410" w:rsidP="00D61410">
      <w:pPr>
        <w:autoSpaceDE w:val="0"/>
        <w:autoSpaceDN w:val="0"/>
        <w:adjustRightInd w:val="0"/>
        <w:spacing w:after="0" w:line="240" w:lineRule="auto"/>
        <w:rPr>
          <w:rFonts w:cstheme="minorHAnsi"/>
          <w:bCs/>
        </w:rPr>
      </w:pPr>
    </w:p>
    <w:p w14:paraId="01AC0AC5" w14:textId="5B399094" w:rsidR="00ED273A" w:rsidRDefault="00ED273A" w:rsidP="00D61410">
      <w:pPr>
        <w:autoSpaceDE w:val="0"/>
        <w:autoSpaceDN w:val="0"/>
        <w:adjustRightInd w:val="0"/>
        <w:spacing w:after="0" w:line="240" w:lineRule="auto"/>
        <w:rPr>
          <w:rFonts w:cstheme="minorHAnsi"/>
          <w:bCs/>
        </w:rPr>
      </w:pPr>
    </w:p>
    <w:p w14:paraId="4A6C5548" w14:textId="77777777" w:rsidR="00ED273A" w:rsidRDefault="00ED273A" w:rsidP="00D61410">
      <w:pPr>
        <w:autoSpaceDE w:val="0"/>
        <w:autoSpaceDN w:val="0"/>
        <w:adjustRightInd w:val="0"/>
        <w:spacing w:after="0" w:line="240" w:lineRule="auto"/>
        <w:rPr>
          <w:rFonts w:cstheme="minorHAnsi"/>
          <w:bCs/>
        </w:rPr>
      </w:pPr>
    </w:p>
    <w:p w14:paraId="7C651D2F" w14:textId="5203C06A" w:rsidR="00ED273A" w:rsidRPr="006B404A" w:rsidRDefault="00ED273A" w:rsidP="00ED273A">
      <w:pPr>
        <w:pStyle w:val="NoSpacing"/>
        <w:jc w:val="center"/>
        <w:rPr>
          <w:b/>
        </w:rPr>
      </w:pPr>
      <w:r w:rsidRPr="006B404A">
        <w:rPr>
          <w:b/>
        </w:rPr>
        <w:t>Table 8. V</w:t>
      </w:r>
      <w:r w:rsidR="001F5D85">
        <w:rPr>
          <w:b/>
        </w:rPr>
        <w:t>ariation in Measure Rates – 2014</w:t>
      </w:r>
      <w:r w:rsidRPr="006B404A">
        <w:rPr>
          <w:b/>
        </w:rPr>
        <w:t xml:space="preserve"> Medicaid MAX Sample</w:t>
      </w:r>
    </w:p>
    <w:tbl>
      <w:tblPr>
        <w:tblW w:w="5580" w:type="dxa"/>
        <w:tblInd w:w="1885" w:type="dxa"/>
        <w:tblLook w:val="04A0" w:firstRow="1" w:lastRow="0" w:firstColumn="1" w:lastColumn="0" w:noHBand="0" w:noVBand="1"/>
      </w:tblPr>
      <w:tblGrid>
        <w:gridCol w:w="1722"/>
        <w:gridCol w:w="1788"/>
        <w:gridCol w:w="2070"/>
      </w:tblGrid>
      <w:tr w:rsidR="00ED273A" w14:paraId="7C14640E" w14:textId="77777777" w:rsidTr="00165A1F">
        <w:trPr>
          <w:trHeight w:val="288"/>
        </w:trPr>
        <w:tc>
          <w:tcPr>
            <w:tcW w:w="172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E1D88E3" w14:textId="77777777" w:rsidR="00ED273A" w:rsidRDefault="00ED273A" w:rsidP="00165A1F">
            <w:pPr>
              <w:spacing w:after="0" w:line="240" w:lineRule="auto"/>
              <w:jc w:val="center"/>
              <w:rPr>
                <w:rFonts w:ascii="Calibri" w:eastAsia="Times New Roman" w:hAnsi="Calibri" w:cs="Calibri"/>
                <w:b/>
                <w:color w:val="000000"/>
              </w:rPr>
            </w:pPr>
            <w:r>
              <w:rPr>
                <w:rFonts w:ascii="Calibri" w:eastAsia="Times New Roman" w:hAnsi="Calibri" w:cs="Calibri"/>
                <w:b/>
                <w:color w:val="000000"/>
              </w:rPr>
              <w:t>Mean</w:t>
            </w:r>
          </w:p>
        </w:tc>
        <w:tc>
          <w:tcPr>
            <w:tcW w:w="1788" w:type="dxa"/>
            <w:tcBorders>
              <w:top w:val="single" w:sz="4" w:space="0" w:color="auto"/>
              <w:left w:val="nil"/>
              <w:bottom w:val="single" w:sz="4" w:space="0" w:color="auto"/>
              <w:right w:val="single" w:sz="4" w:space="0" w:color="auto"/>
            </w:tcBorders>
            <w:shd w:val="clear" w:color="auto" w:fill="D9D9D9"/>
            <w:noWrap/>
            <w:vAlign w:val="bottom"/>
            <w:hideMark/>
          </w:tcPr>
          <w:p w14:paraId="5E194D32" w14:textId="77777777" w:rsidR="00ED273A" w:rsidRDefault="00ED273A" w:rsidP="00165A1F">
            <w:pPr>
              <w:spacing w:after="0" w:line="240" w:lineRule="auto"/>
              <w:jc w:val="center"/>
              <w:rPr>
                <w:rFonts w:ascii="Calibri" w:eastAsia="Times New Roman" w:hAnsi="Calibri" w:cs="Calibri"/>
                <w:b/>
                <w:color w:val="000000"/>
              </w:rPr>
            </w:pPr>
            <w:r>
              <w:rPr>
                <w:rFonts w:ascii="Calibri" w:eastAsia="Times New Roman" w:hAnsi="Calibri" w:cs="Calibri"/>
                <w:b/>
                <w:color w:val="000000"/>
              </w:rPr>
              <w:t>Median</w:t>
            </w:r>
          </w:p>
        </w:tc>
        <w:tc>
          <w:tcPr>
            <w:tcW w:w="2070" w:type="dxa"/>
            <w:tcBorders>
              <w:top w:val="single" w:sz="4" w:space="0" w:color="auto"/>
              <w:left w:val="nil"/>
              <w:bottom w:val="single" w:sz="4" w:space="0" w:color="auto"/>
              <w:right w:val="single" w:sz="4" w:space="0" w:color="auto"/>
            </w:tcBorders>
            <w:shd w:val="clear" w:color="auto" w:fill="D9D9D9"/>
            <w:noWrap/>
            <w:vAlign w:val="bottom"/>
            <w:hideMark/>
          </w:tcPr>
          <w:p w14:paraId="0BB3641D" w14:textId="77777777" w:rsidR="00ED273A" w:rsidRDefault="00ED273A" w:rsidP="00165A1F">
            <w:pPr>
              <w:spacing w:after="0" w:line="240" w:lineRule="auto"/>
              <w:jc w:val="center"/>
              <w:rPr>
                <w:rFonts w:ascii="Calibri" w:eastAsia="Times New Roman" w:hAnsi="Calibri" w:cs="Calibri"/>
                <w:b/>
                <w:color w:val="000000"/>
              </w:rPr>
            </w:pPr>
            <w:r>
              <w:rPr>
                <w:rFonts w:ascii="Calibri" w:eastAsia="Times New Roman" w:hAnsi="Calibri" w:cs="Calibri"/>
                <w:b/>
                <w:color w:val="000000"/>
              </w:rPr>
              <w:t>Standard Deviation</w:t>
            </w:r>
          </w:p>
        </w:tc>
      </w:tr>
      <w:tr w:rsidR="00ED273A" w14:paraId="4F655412" w14:textId="77777777" w:rsidTr="00165A1F">
        <w:trPr>
          <w:trHeight w:val="288"/>
        </w:trPr>
        <w:tc>
          <w:tcPr>
            <w:tcW w:w="1722" w:type="dxa"/>
            <w:tcBorders>
              <w:top w:val="nil"/>
              <w:left w:val="single" w:sz="4" w:space="0" w:color="auto"/>
              <w:bottom w:val="single" w:sz="4" w:space="0" w:color="auto"/>
              <w:right w:val="single" w:sz="4" w:space="0" w:color="auto"/>
            </w:tcBorders>
            <w:shd w:val="clear" w:color="auto" w:fill="FFFFFF"/>
            <w:noWrap/>
            <w:vAlign w:val="bottom"/>
            <w:hideMark/>
          </w:tcPr>
          <w:p w14:paraId="354F5DC7" w14:textId="18D49402" w:rsidR="00ED273A" w:rsidRDefault="00B330AB"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5.0</w:t>
            </w:r>
            <w:r w:rsidR="00ED273A">
              <w:rPr>
                <w:rFonts w:ascii="Calibri" w:eastAsia="Times New Roman" w:hAnsi="Calibri" w:cs="Calibri"/>
                <w:color w:val="000000"/>
              </w:rPr>
              <w:t>%</w:t>
            </w:r>
          </w:p>
        </w:tc>
        <w:tc>
          <w:tcPr>
            <w:tcW w:w="1788" w:type="dxa"/>
            <w:tcBorders>
              <w:top w:val="nil"/>
              <w:left w:val="nil"/>
              <w:bottom w:val="single" w:sz="4" w:space="0" w:color="auto"/>
              <w:right w:val="single" w:sz="4" w:space="0" w:color="auto"/>
            </w:tcBorders>
            <w:shd w:val="clear" w:color="auto" w:fill="FFFFFF"/>
            <w:noWrap/>
            <w:vAlign w:val="bottom"/>
            <w:hideMark/>
          </w:tcPr>
          <w:p w14:paraId="40CD7C53" w14:textId="42CC556E" w:rsidR="00ED273A" w:rsidRDefault="00B330AB"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4.5</w:t>
            </w:r>
            <w:r w:rsidR="00ED273A">
              <w:rPr>
                <w:rFonts w:ascii="Calibri" w:eastAsia="Times New Roman" w:hAnsi="Calibri" w:cs="Calibri"/>
                <w:color w:val="000000"/>
              </w:rPr>
              <w:t>%</w:t>
            </w:r>
          </w:p>
        </w:tc>
        <w:tc>
          <w:tcPr>
            <w:tcW w:w="2070" w:type="dxa"/>
            <w:tcBorders>
              <w:top w:val="nil"/>
              <w:left w:val="nil"/>
              <w:bottom w:val="single" w:sz="4" w:space="0" w:color="auto"/>
              <w:right w:val="single" w:sz="4" w:space="0" w:color="auto"/>
            </w:tcBorders>
            <w:shd w:val="clear" w:color="auto" w:fill="FFFFFF"/>
            <w:noWrap/>
            <w:vAlign w:val="bottom"/>
            <w:hideMark/>
          </w:tcPr>
          <w:p w14:paraId="26275E9C" w14:textId="774F8E5C" w:rsidR="00ED273A" w:rsidRDefault="00B330AB"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3.5</w:t>
            </w:r>
            <w:r w:rsidR="00ED273A">
              <w:rPr>
                <w:rFonts w:ascii="Calibri" w:eastAsia="Times New Roman" w:hAnsi="Calibri" w:cs="Calibri"/>
                <w:color w:val="000000"/>
              </w:rPr>
              <w:t>%</w:t>
            </w:r>
          </w:p>
        </w:tc>
      </w:tr>
    </w:tbl>
    <w:p w14:paraId="7D5728BA" w14:textId="77777777" w:rsidR="00ED273A" w:rsidRDefault="00ED273A" w:rsidP="00ED273A">
      <w:pPr>
        <w:autoSpaceDE w:val="0"/>
        <w:autoSpaceDN w:val="0"/>
        <w:adjustRightInd w:val="0"/>
        <w:spacing w:after="0" w:line="240" w:lineRule="auto"/>
        <w:jc w:val="center"/>
        <w:rPr>
          <w:rFonts w:cstheme="minorHAnsi"/>
          <w:b/>
          <w:bCs/>
        </w:rPr>
      </w:pPr>
    </w:p>
    <w:p w14:paraId="13C260E2" w14:textId="0FCE523A" w:rsidR="00ED273A" w:rsidRDefault="00ED273A" w:rsidP="00ED273A">
      <w:pPr>
        <w:autoSpaceDE w:val="0"/>
        <w:autoSpaceDN w:val="0"/>
        <w:adjustRightInd w:val="0"/>
        <w:spacing w:after="0" w:line="240" w:lineRule="auto"/>
        <w:jc w:val="center"/>
        <w:rPr>
          <w:rFonts w:cstheme="minorHAnsi"/>
          <w:b/>
          <w:bCs/>
        </w:rPr>
      </w:pPr>
      <w:r>
        <w:rPr>
          <w:rFonts w:cstheme="minorHAnsi"/>
          <w:b/>
          <w:bCs/>
        </w:rPr>
        <w:t>Table 9. Interquarti</w:t>
      </w:r>
      <w:r w:rsidR="001F5D85">
        <w:rPr>
          <w:rFonts w:cstheme="minorHAnsi"/>
          <w:b/>
          <w:bCs/>
        </w:rPr>
        <w:t>le Range of Measure Rates – 2014</w:t>
      </w:r>
      <w:r>
        <w:rPr>
          <w:rFonts w:cstheme="minorHAnsi"/>
          <w:b/>
          <w:bCs/>
        </w:rPr>
        <w:t xml:space="preserve"> Medicaid MAX Sample</w:t>
      </w:r>
    </w:p>
    <w:tbl>
      <w:tblPr>
        <w:tblW w:w="4045" w:type="dxa"/>
        <w:tblInd w:w="2647" w:type="dxa"/>
        <w:tblLook w:val="04A0" w:firstRow="1" w:lastRow="0" w:firstColumn="1" w:lastColumn="0" w:noHBand="0" w:noVBand="1"/>
      </w:tblPr>
      <w:tblGrid>
        <w:gridCol w:w="2335"/>
        <w:gridCol w:w="1710"/>
      </w:tblGrid>
      <w:tr w:rsidR="00ED273A" w14:paraId="291789B5" w14:textId="77777777" w:rsidTr="00165A1F">
        <w:trPr>
          <w:trHeight w:val="288"/>
        </w:trPr>
        <w:tc>
          <w:tcPr>
            <w:tcW w:w="23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0B7494" w14:textId="77777777" w:rsidR="00ED273A" w:rsidRDefault="00ED273A" w:rsidP="00165A1F">
            <w:pPr>
              <w:spacing w:after="0" w:line="240" w:lineRule="auto"/>
              <w:jc w:val="center"/>
              <w:rPr>
                <w:rFonts w:ascii="Calibri" w:eastAsia="Times New Roman" w:hAnsi="Calibri" w:cs="Calibri"/>
                <w:b/>
                <w:color w:val="000000"/>
              </w:rPr>
            </w:pPr>
            <w:r>
              <w:rPr>
                <w:rFonts w:ascii="Calibri" w:eastAsia="Times New Roman" w:hAnsi="Calibri" w:cs="Calibri"/>
                <w:b/>
                <w:color w:val="000000"/>
              </w:rPr>
              <w:t>Statistic</w:t>
            </w:r>
          </w:p>
        </w:tc>
        <w:tc>
          <w:tcPr>
            <w:tcW w:w="171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9840745" w14:textId="77777777" w:rsidR="00ED273A" w:rsidRDefault="00ED273A" w:rsidP="00165A1F">
            <w:pPr>
              <w:spacing w:after="0" w:line="240" w:lineRule="auto"/>
              <w:jc w:val="center"/>
              <w:rPr>
                <w:rFonts w:ascii="Calibri" w:eastAsia="Times New Roman" w:hAnsi="Calibri" w:cs="Calibri"/>
                <w:b/>
                <w:color w:val="000000"/>
              </w:rPr>
            </w:pPr>
            <w:r>
              <w:rPr>
                <w:rFonts w:ascii="Calibri" w:eastAsia="Times New Roman" w:hAnsi="Calibri" w:cs="Calibri"/>
                <w:b/>
                <w:color w:val="000000"/>
              </w:rPr>
              <w:t>Value</w:t>
            </w:r>
          </w:p>
        </w:tc>
      </w:tr>
      <w:tr w:rsidR="00ED273A" w14:paraId="4CEF3F47" w14:textId="77777777" w:rsidTr="00165A1F">
        <w:trPr>
          <w:trHeight w:val="288"/>
        </w:trPr>
        <w:tc>
          <w:tcPr>
            <w:tcW w:w="23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0A9B9B" w14:textId="77777777" w:rsidR="00ED273A" w:rsidRDefault="00ED273A" w:rsidP="00165A1F">
            <w:pPr>
              <w:spacing w:after="0" w:line="240" w:lineRule="auto"/>
              <w:rPr>
                <w:rFonts w:ascii="Calibri" w:eastAsia="Times New Roman" w:hAnsi="Calibri" w:cs="Calibri"/>
                <w:color w:val="000000"/>
              </w:rPr>
            </w:pPr>
            <w:r>
              <w:rPr>
                <w:rFonts w:ascii="Calibri" w:eastAsia="Times New Roman" w:hAnsi="Calibri" w:cs="Calibri"/>
                <w:color w:val="000000"/>
              </w:rPr>
              <w:t>Minimum</w:t>
            </w:r>
          </w:p>
        </w:tc>
        <w:tc>
          <w:tcPr>
            <w:tcW w:w="1710" w:type="dxa"/>
            <w:tcBorders>
              <w:top w:val="single" w:sz="4" w:space="0" w:color="auto"/>
              <w:left w:val="nil"/>
              <w:bottom w:val="single" w:sz="4" w:space="0" w:color="auto"/>
              <w:right w:val="single" w:sz="4" w:space="0" w:color="auto"/>
            </w:tcBorders>
            <w:shd w:val="clear" w:color="auto" w:fill="FFFFFF"/>
            <w:noWrap/>
            <w:vAlign w:val="bottom"/>
            <w:hideMark/>
          </w:tcPr>
          <w:p w14:paraId="3D003B49" w14:textId="77777777" w:rsidR="00ED273A" w:rsidRDefault="00ED273A"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0.0%</w:t>
            </w:r>
          </w:p>
        </w:tc>
      </w:tr>
      <w:tr w:rsidR="00ED273A" w14:paraId="5709FA6A" w14:textId="77777777" w:rsidTr="00165A1F">
        <w:trPr>
          <w:trHeight w:val="288"/>
        </w:trPr>
        <w:tc>
          <w:tcPr>
            <w:tcW w:w="2335" w:type="dxa"/>
            <w:tcBorders>
              <w:top w:val="nil"/>
              <w:left w:val="single" w:sz="4" w:space="0" w:color="auto"/>
              <w:bottom w:val="single" w:sz="4" w:space="0" w:color="auto"/>
              <w:right w:val="single" w:sz="4" w:space="0" w:color="auto"/>
            </w:tcBorders>
            <w:shd w:val="clear" w:color="auto" w:fill="FFFFFF"/>
            <w:vAlign w:val="center"/>
            <w:hideMark/>
          </w:tcPr>
          <w:p w14:paraId="115B65E1" w14:textId="77777777" w:rsidR="00ED273A" w:rsidRDefault="00ED273A" w:rsidP="00165A1F">
            <w:pPr>
              <w:spacing w:after="0" w:line="240" w:lineRule="auto"/>
              <w:rPr>
                <w:rFonts w:ascii="Calibri" w:eastAsia="Times New Roman" w:hAnsi="Calibri" w:cs="Calibri"/>
                <w:color w:val="000000"/>
              </w:rPr>
            </w:pPr>
            <w:r>
              <w:rPr>
                <w:rFonts w:ascii="Calibri" w:eastAsia="Times New Roman" w:hAnsi="Calibri" w:cs="Calibri"/>
                <w:color w:val="000000"/>
              </w:rPr>
              <w:t>25th percentile</w:t>
            </w:r>
          </w:p>
        </w:tc>
        <w:tc>
          <w:tcPr>
            <w:tcW w:w="1710" w:type="dxa"/>
            <w:tcBorders>
              <w:top w:val="nil"/>
              <w:left w:val="nil"/>
              <w:bottom w:val="single" w:sz="4" w:space="0" w:color="auto"/>
              <w:right w:val="single" w:sz="4" w:space="0" w:color="auto"/>
            </w:tcBorders>
            <w:shd w:val="clear" w:color="auto" w:fill="FFFFFF"/>
            <w:noWrap/>
            <w:vAlign w:val="bottom"/>
            <w:hideMark/>
          </w:tcPr>
          <w:p w14:paraId="7A602F78" w14:textId="0B545AFA" w:rsidR="00ED273A" w:rsidRDefault="00163A2B"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2.4</w:t>
            </w:r>
            <w:r w:rsidR="00ED273A">
              <w:rPr>
                <w:rFonts w:ascii="Calibri" w:eastAsia="Times New Roman" w:hAnsi="Calibri" w:cs="Calibri"/>
                <w:color w:val="000000"/>
              </w:rPr>
              <w:t>%</w:t>
            </w:r>
          </w:p>
        </w:tc>
      </w:tr>
      <w:tr w:rsidR="00ED273A" w14:paraId="14441853" w14:textId="77777777" w:rsidTr="00165A1F">
        <w:trPr>
          <w:trHeight w:val="288"/>
        </w:trPr>
        <w:tc>
          <w:tcPr>
            <w:tcW w:w="2335" w:type="dxa"/>
            <w:tcBorders>
              <w:top w:val="nil"/>
              <w:left w:val="single" w:sz="4" w:space="0" w:color="auto"/>
              <w:bottom w:val="single" w:sz="4" w:space="0" w:color="auto"/>
              <w:right w:val="single" w:sz="4" w:space="0" w:color="auto"/>
            </w:tcBorders>
            <w:shd w:val="clear" w:color="auto" w:fill="FFFFFF"/>
            <w:vAlign w:val="center"/>
            <w:hideMark/>
          </w:tcPr>
          <w:p w14:paraId="34D89D09" w14:textId="77777777" w:rsidR="00ED273A" w:rsidRDefault="00ED273A" w:rsidP="00165A1F">
            <w:pPr>
              <w:spacing w:after="0" w:line="240" w:lineRule="auto"/>
              <w:rPr>
                <w:rFonts w:ascii="Calibri" w:eastAsia="Times New Roman" w:hAnsi="Calibri" w:cs="Calibri"/>
                <w:color w:val="000000"/>
              </w:rPr>
            </w:pPr>
            <w:r>
              <w:rPr>
                <w:rFonts w:ascii="Calibri" w:eastAsia="Times New Roman" w:hAnsi="Calibri" w:cs="Calibri"/>
                <w:color w:val="000000"/>
              </w:rPr>
              <w:t>50th percentile</w:t>
            </w:r>
          </w:p>
        </w:tc>
        <w:tc>
          <w:tcPr>
            <w:tcW w:w="1710" w:type="dxa"/>
            <w:tcBorders>
              <w:top w:val="nil"/>
              <w:left w:val="nil"/>
              <w:bottom w:val="single" w:sz="4" w:space="0" w:color="auto"/>
              <w:right w:val="single" w:sz="4" w:space="0" w:color="auto"/>
            </w:tcBorders>
            <w:shd w:val="clear" w:color="auto" w:fill="FFFFFF"/>
            <w:noWrap/>
            <w:vAlign w:val="bottom"/>
            <w:hideMark/>
          </w:tcPr>
          <w:p w14:paraId="750D24A7" w14:textId="18C7A4AE" w:rsidR="00ED273A" w:rsidRDefault="00163A2B"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4.5</w:t>
            </w:r>
            <w:r w:rsidR="00ED273A">
              <w:rPr>
                <w:rFonts w:ascii="Calibri" w:eastAsia="Times New Roman" w:hAnsi="Calibri" w:cs="Calibri"/>
                <w:color w:val="000000"/>
              </w:rPr>
              <w:t>%</w:t>
            </w:r>
          </w:p>
        </w:tc>
      </w:tr>
      <w:tr w:rsidR="00ED273A" w14:paraId="0870BCF5" w14:textId="77777777" w:rsidTr="00165A1F">
        <w:trPr>
          <w:trHeight w:val="288"/>
        </w:trPr>
        <w:tc>
          <w:tcPr>
            <w:tcW w:w="2335" w:type="dxa"/>
            <w:tcBorders>
              <w:top w:val="nil"/>
              <w:left w:val="single" w:sz="4" w:space="0" w:color="auto"/>
              <w:bottom w:val="single" w:sz="4" w:space="0" w:color="auto"/>
              <w:right w:val="single" w:sz="4" w:space="0" w:color="auto"/>
            </w:tcBorders>
            <w:shd w:val="clear" w:color="auto" w:fill="FFFFFF"/>
            <w:vAlign w:val="center"/>
            <w:hideMark/>
          </w:tcPr>
          <w:p w14:paraId="1365F329" w14:textId="77777777" w:rsidR="00ED273A" w:rsidRDefault="00ED273A" w:rsidP="00165A1F">
            <w:pPr>
              <w:spacing w:after="0" w:line="240" w:lineRule="auto"/>
              <w:rPr>
                <w:rFonts w:ascii="Calibri" w:eastAsia="Times New Roman" w:hAnsi="Calibri" w:cs="Calibri"/>
                <w:color w:val="000000"/>
              </w:rPr>
            </w:pPr>
            <w:r>
              <w:rPr>
                <w:rFonts w:ascii="Calibri" w:eastAsia="Times New Roman" w:hAnsi="Calibri" w:cs="Calibri"/>
                <w:color w:val="000000"/>
              </w:rPr>
              <w:t>75th percentile</w:t>
            </w:r>
          </w:p>
        </w:tc>
        <w:tc>
          <w:tcPr>
            <w:tcW w:w="1710" w:type="dxa"/>
            <w:tcBorders>
              <w:top w:val="nil"/>
              <w:left w:val="nil"/>
              <w:bottom w:val="single" w:sz="4" w:space="0" w:color="auto"/>
              <w:right w:val="single" w:sz="4" w:space="0" w:color="auto"/>
            </w:tcBorders>
            <w:shd w:val="clear" w:color="auto" w:fill="FFFFFF"/>
            <w:noWrap/>
            <w:vAlign w:val="bottom"/>
            <w:hideMark/>
          </w:tcPr>
          <w:p w14:paraId="492E188D" w14:textId="7F3FDD28" w:rsidR="00ED273A" w:rsidRDefault="00163A2B"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6.9</w:t>
            </w:r>
            <w:r w:rsidR="00ED273A">
              <w:rPr>
                <w:rFonts w:ascii="Calibri" w:eastAsia="Times New Roman" w:hAnsi="Calibri" w:cs="Calibri"/>
                <w:color w:val="000000"/>
              </w:rPr>
              <w:t>%</w:t>
            </w:r>
          </w:p>
        </w:tc>
      </w:tr>
      <w:tr w:rsidR="00ED273A" w14:paraId="15CE95AE" w14:textId="77777777" w:rsidTr="00165A1F">
        <w:trPr>
          <w:trHeight w:val="288"/>
        </w:trPr>
        <w:tc>
          <w:tcPr>
            <w:tcW w:w="2335" w:type="dxa"/>
            <w:tcBorders>
              <w:top w:val="nil"/>
              <w:left w:val="single" w:sz="4" w:space="0" w:color="auto"/>
              <w:bottom w:val="single" w:sz="4" w:space="0" w:color="auto"/>
              <w:right w:val="single" w:sz="4" w:space="0" w:color="auto"/>
            </w:tcBorders>
            <w:shd w:val="clear" w:color="auto" w:fill="FFFFFF"/>
            <w:vAlign w:val="center"/>
            <w:hideMark/>
          </w:tcPr>
          <w:p w14:paraId="680DAD69" w14:textId="77777777" w:rsidR="00ED273A" w:rsidRDefault="00ED273A" w:rsidP="00165A1F">
            <w:pPr>
              <w:spacing w:after="0" w:line="240" w:lineRule="auto"/>
              <w:rPr>
                <w:rFonts w:ascii="Calibri" w:eastAsia="Times New Roman" w:hAnsi="Calibri" w:cs="Calibri"/>
                <w:color w:val="000000"/>
              </w:rPr>
            </w:pPr>
            <w:r>
              <w:rPr>
                <w:rFonts w:ascii="Calibri" w:eastAsia="Times New Roman" w:hAnsi="Calibri" w:cs="Calibri"/>
                <w:color w:val="000000"/>
              </w:rPr>
              <w:t xml:space="preserve">Maximum </w:t>
            </w:r>
          </w:p>
        </w:tc>
        <w:tc>
          <w:tcPr>
            <w:tcW w:w="1710" w:type="dxa"/>
            <w:tcBorders>
              <w:top w:val="nil"/>
              <w:left w:val="nil"/>
              <w:bottom w:val="single" w:sz="4" w:space="0" w:color="auto"/>
              <w:right w:val="single" w:sz="4" w:space="0" w:color="auto"/>
            </w:tcBorders>
            <w:shd w:val="clear" w:color="auto" w:fill="FFFFFF"/>
            <w:noWrap/>
            <w:vAlign w:val="bottom"/>
            <w:hideMark/>
          </w:tcPr>
          <w:p w14:paraId="6FC28E00" w14:textId="5729EA5B" w:rsidR="00ED273A" w:rsidRDefault="00B330AB"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17.3</w:t>
            </w:r>
            <w:r w:rsidR="00ED273A">
              <w:rPr>
                <w:rFonts w:ascii="Calibri" w:eastAsia="Times New Roman" w:hAnsi="Calibri" w:cs="Calibri"/>
                <w:color w:val="000000"/>
              </w:rPr>
              <w:t>%</w:t>
            </w:r>
          </w:p>
        </w:tc>
      </w:tr>
      <w:tr w:rsidR="00ED273A" w14:paraId="4E549932" w14:textId="77777777" w:rsidTr="00165A1F">
        <w:trPr>
          <w:trHeight w:val="288"/>
        </w:trPr>
        <w:tc>
          <w:tcPr>
            <w:tcW w:w="2335" w:type="dxa"/>
            <w:tcBorders>
              <w:top w:val="nil"/>
              <w:left w:val="single" w:sz="4" w:space="0" w:color="auto"/>
              <w:bottom w:val="single" w:sz="4" w:space="0" w:color="auto"/>
              <w:right w:val="single" w:sz="4" w:space="0" w:color="auto"/>
            </w:tcBorders>
            <w:shd w:val="clear" w:color="auto" w:fill="FFFFFF"/>
            <w:noWrap/>
            <w:vAlign w:val="bottom"/>
            <w:hideMark/>
          </w:tcPr>
          <w:p w14:paraId="3150FB78" w14:textId="77777777" w:rsidR="00ED273A" w:rsidRDefault="00ED273A" w:rsidP="00165A1F">
            <w:pPr>
              <w:spacing w:after="0" w:line="240" w:lineRule="auto"/>
              <w:rPr>
                <w:rFonts w:ascii="Calibri" w:eastAsia="Times New Roman" w:hAnsi="Calibri" w:cs="Calibri"/>
                <w:color w:val="000000"/>
              </w:rPr>
            </w:pPr>
            <w:r>
              <w:rPr>
                <w:rFonts w:ascii="Calibri" w:eastAsia="Times New Roman" w:hAnsi="Calibri" w:cs="Calibri"/>
                <w:color w:val="000000"/>
              </w:rPr>
              <w:t>Interquartile Range</w:t>
            </w:r>
          </w:p>
        </w:tc>
        <w:tc>
          <w:tcPr>
            <w:tcW w:w="1710" w:type="dxa"/>
            <w:tcBorders>
              <w:top w:val="nil"/>
              <w:left w:val="nil"/>
              <w:bottom w:val="single" w:sz="4" w:space="0" w:color="auto"/>
              <w:right w:val="single" w:sz="4" w:space="0" w:color="auto"/>
            </w:tcBorders>
            <w:shd w:val="clear" w:color="auto" w:fill="FFFFFF"/>
            <w:noWrap/>
            <w:vAlign w:val="bottom"/>
            <w:hideMark/>
          </w:tcPr>
          <w:p w14:paraId="0ACBFA79" w14:textId="6118242B" w:rsidR="00ED273A" w:rsidRDefault="00B330AB"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4.5</w:t>
            </w:r>
            <w:r w:rsidR="00ED273A">
              <w:rPr>
                <w:rFonts w:ascii="Calibri" w:eastAsia="Times New Roman" w:hAnsi="Calibri" w:cs="Calibri"/>
                <w:color w:val="000000"/>
              </w:rPr>
              <w:t>%</w:t>
            </w:r>
          </w:p>
        </w:tc>
      </w:tr>
      <w:tr w:rsidR="00ED273A" w14:paraId="427CB23E" w14:textId="77777777" w:rsidTr="00165A1F">
        <w:trPr>
          <w:trHeight w:val="288"/>
        </w:trPr>
        <w:tc>
          <w:tcPr>
            <w:tcW w:w="2335"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E85F792" w14:textId="77777777" w:rsidR="00ED273A" w:rsidRDefault="00ED273A" w:rsidP="00165A1F">
            <w:pPr>
              <w:spacing w:after="0" w:line="240" w:lineRule="auto"/>
              <w:rPr>
                <w:rFonts w:ascii="Calibri" w:eastAsia="Times New Roman" w:hAnsi="Calibri" w:cs="Calibri"/>
                <w:color w:val="000000"/>
              </w:rPr>
            </w:pPr>
            <w:r>
              <w:rPr>
                <w:rFonts w:ascii="Calibri" w:eastAsia="Times New Roman" w:hAnsi="Calibri" w:cs="Calibri"/>
                <w:color w:val="000000"/>
              </w:rPr>
              <w:t>Student’s t-test p-value</w:t>
            </w:r>
          </w:p>
        </w:tc>
        <w:tc>
          <w:tcPr>
            <w:tcW w:w="1710" w:type="dxa"/>
            <w:tcBorders>
              <w:top w:val="single" w:sz="4" w:space="0" w:color="auto"/>
              <w:left w:val="nil"/>
              <w:bottom w:val="single" w:sz="4" w:space="0" w:color="auto"/>
              <w:right w:val="single" w:sz="4" w:space="0" w:color="auto"/>
            </w:tcBorders>
            <w:shd w:val="clear" w:color="auto" w:fill="FFFFFF"/>
            <w:noWrap/>
            <w:vAlign w:val="bottom"/>
            <w:hideMark/>
          </w:tcPr>
          <w:p w14:paraId="14775ECE" w14:textId="77777777" w:rsidR="00ED273A" w:rsidRDefault="00ED273A" w:rsidP="00165A1F">
            <w:pPr>
              <w:spacing w:after="0" w:line="240" w:lineRule="auto"/>
              <w:jc w:val="right"/>
              <w:rPr>
                <w:rFonts w:ascii="Calibri" w:eastAsia="Times New Roman" w:hAnsi="Calibri" w:cs="Calibri"/>
                <w:color w:val="000000"/>
              </w:rPr>
            </w:pPr>
            <w:r>
              <w:rPr>
                <w:rFonts w:ascii="Calibri" w:eastAsia="Times New Roman" w:hAnsi="Calibri" w:cs="Calibri"/>
                <w:color w:val="000000"/>
              </w:rPr>
              <w:t>&lt;.0001</w:t>
            </w:r>
          </w:p>
        </w:tc>
      </w:tr>
    </w:tbl>
    <w:p w14:paraId="53570735" w14:textId="77777777" w:rsidR="00ED273A" w:rsidRPr="00927027" w:rsidRDefault="00ED273A" w:rsidP="00D61410">
      <w:pPr>
        <w:autoSpaceDE w:val="0"/>
        <w:autoSpaceDN w:val="0"/>
        <w:adjustRightInd w:val="0"/>
        <w:spacing w:after="0" w:line="240" w:lineRule="auto"/>
        <w:rPr>
          <w:rFonts w:cstheme="minorHAnsi"/>
          <w:bCs/>
        </w:rPr>
      </w:pPr>
    </w:p>
    <w:p w14:paraId="0CABD00C" w14:textId="39C3E9A1"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38EFAB3C" w14:textId="77777777" w:rsidR="00ED273A" w:rsidRDefault="00ED273A" w:rsidP="00ED273A">
      <w:pPr>
        <w:autoSpaceDE w:val="0"/>
        <w:autoSpaceDN w:val="0"/>
        <w:adjustRightInd w:val="0"/>
        <w:spacing w:after="0" w:line="240" w:lineRule="auto"/>
        <w:rPr>
          <w:rFonts w:cstheme="minorHAnsi"/>
          <w:bCs/>
        </w:rPr>
      </w:pPr>
      <w:r>
        <w:rPr>
          <w:rFonts w:cstheme="minorHAnsi"/>
          <w:bCs/>
        </w:rPr>
        <w:t>For the Medicare population, the measure rates showed significant variation, with a standard deviation of 7.3% and an Interquartile Range of 9.9%.  There is a statistically significant difference in measure rates between the top and bottom quartile of the plans included in the testing (</w:t>
      </w:r>
      <w:r>
        <w:rPr>
          <w:rFonts w:cstheme="minorHAnsi"/>
          <w:bCs/>
          <w:i/>
        </w:rPr>
        <w:t>P</w:t>
      </w:r>
      <w:r>
        <w:rPr>
          <w:rFonts w:cstheme="minorHAnsi"/>
          <w:bCs/>
        </w:rPr>
        <w:t>&lt; .0001 at alpha = 0.05). This variation shows that there are statistically significant and clinically meaningful differences in rates across plans.</w:t>
      </w:r>
    </w:p>
    <w:p w14:paraId="5D88E03B" w14:textId="77777777" w:rsidR="00ED273A" w:rsidRDefault="00ED273A" w:rsidP="00ED273A">
      <w:pPr>
        <w:autoSpaceDE w:val="0"/>
        <w:autoSpaceDN w:val="0"/>
        <w:adjustRightInd w:val="0"/>
        <w:spacing w:after="0" w:line="240" w:lineRule="auto"/>
        <w:rPr>
          <w:rFonts w:cstheme="minorHAnsi"/>
          <w:bCs/>
        </w:rPr>
      </w:pPr>
    </w:p>
    <w:p w14:paraId="670F238E" w14:textId="01C2D3E4" w:rsidR="00ED273A" w:rsidRDefault="00ED273A" w:rsidP="00ED273A">
      <w:pPr>
        <w:autoSpaceDE w:val="0"/>
        <w:autoSpaceDN w:val="0"/>
        <w:adjustRightInd w:val="0"/>
        <w:spacing w:after="0" w:line="240" w:lineRule="auto"/>
        <w:rPr>
          <w:rFonts w:cstheme="minorHAnsi"/>
          <w:bCs/>
        </w:rPr>
      </w:pPr>
      <w:r>
        <w:rPr>
          <w:rFonts w:cstheme="minorHAnsi"/>
          <w:bCs/>
        </w:rPr>
        <w:t xml:space="preserve">For the Medicaid population, the measure rates showed significant variation, </w:t>
      </w:r>
      <w:r w:rsidR="00B330AB">
        <w:rPr>
          <w:rFonts w:cstheme="minorHAnsi"/>
          <w:bCs/>
        </w:rPr>
        <w:t>with a standard deviation of 3.5</w:t>
      </w:r>
      <w:r>
        <w:rPr>
          <w:rFonts w:cstheme="minorHAnsi"/>
          <w:bCs/>
        </w:rPr>
        <w:t xml:space="preserve">% and an Interquartile Range of </w:t>
      </w:r>
      <w:r w:rsidR="00B330AB">
        <w:rPr>
          <w:rFonts w:cstheme="minorHAnsi"/>
          <w:bCs/>
        </w:rPr>
        <w:t>4.5</w:t>
      </w:r>
      <w:r>
        <w:rPr>
          <w:rFonts w:cstheme="minorHAnsi"/>
          <w:bCs/>
        </w:rPr>
        <w:t>%.  There is a statistically significant difference in measure rates between the top and bottom quartile of the plans included in the testing (</w:t>
      </w:r>
      <w:r>
        <w:rPr>
          <w:rFonts w:cstheme="minorHAnsi"/>
          <w:bCs/>
          <w:i/>
        </w:rPr>
        <w:t>P</w:t>
      </w:r>
      <w:r>
        <w:rPr>
          <w:rFonts w:cstheme="minorHAnsi"/>
          <w:bCs/>
        </w:rPr>
        <w:t>&lt; .0001 at alpha = 0.05).  This variation shows that there are statistically significant and clinically meaningful differences in rates across plans.</w:t>
      </w:r>
    </w:p>
    <w:p w14:paraId="2BE6A626" w14:textId="77777777" w:rsidR="00ED273A" w:rsidRPr="00A25024" w:rsidRDefault="00ED273A"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2C74838B" w:rsidR="008F7E67" w:rsidRPr="00A2502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4FE3E00F" w14:textId="77777777" w:rsidR="00ED273A" w:rsidRDefault="00ED273A" w:rsidP="00ED273A">
      <w:pPr>
        <w:autoSpaceDE w:val="0"/>
        <w:autoSpaceDN w:val="0"/>
        <w:adjustRightInd w:val="0"/>
        <w:spacing w:after="0" w:line="240" w:lineRule="auto"/>
        <w:rPr>
          <w:rFonts w:cstheme="minorHAnsi"/>
          <w:bCs/>
        </w:rPr>
      </w:pPr>
      <w:r>
        <w:rPr>
          <w:rFonts w:cstheme="minorHAnsi"/>
          <w:bCs/>
        </w:rPr>
        <w:t xml:space="preserve">With the use of prescription claims data as the data source for this measure, the dispensing information (including medication, days’ supply, quantity dispensed, and dosage) is available for each patient.  </w:t>
      </w:r>
    </w:p>
    <w:p w14:paraId="7417801B" w14:textId="77777777" w:rsidR="00ED273A" w:rsidRDefault="00ED273A" w:rsidP="00ED273A">
      <w:pPr>
        <w:autoSpaceDE w:val="0"/>
        <w:autoSpaceDN w:val="0"/>
        <w:adjustRightInd w:val="0"/>
        <w:spacing w:after="0" w:line="240" w:lineRule="auto"/>
        <w:rPr>
          <w:rFonts w:cstheme="minorHAnsi"/>
          <w:bCs/>
        </w:rPr>
      </w:pPr>
      <w:r>
        <w:rPr>
          <w:rFonts w:cstheme="minorHAnsi"/>
          <w:bCs/>
        </w:rPr>
        <w:t xml:space="preserve"> </w:t>
      </w:r>
    </w:p>
    <w:p w14:paraId="449A71C9" w14:textId="77777777" w:rsidR="00ED273A" w:rsidRDefault="00ED273A" w:rsidP="00ED273A">
      <w:pPr>
        <w:autoSpaceDE w:val="0"/>
        <w:autoSpaceDN w:val="0"/>
        <w:adjustRightInd w:val="0"/>
        <w:spacing w:after="0" w:line="240" w:lineRule="auto"/>
        <w:rPr>
          <w:rFonts w:cstheme="minorHAnsi"/>
          <w:bCs/>
        </w:rPr>
      </w:pPr>
      <w:r>
        <w:rPr>
          <w:rFonts w:cstheme="minorHAnsi"/>
          <w:bCs/>
        </w:rPr>
        <w:t xml:space="preserve">Since each of these data elements are available via prescription claims data, it is not expected—nor was it found—that missing data would result. Age is derived from the date of birth in the enrollment data.  The date of birth in the CMS </w:t>
      </w:r>
      <w:r>
        <w:rPr>
          <w:rFonts w:cstheme="minorHAnsi"/>
        </w:rPr>
        <w:t>Medicare Beneficiaries Summary Files (MBSF)</w:t>
      </w:r>
      <w:r>
        <w:rPr>
          <w:rFonts w:cstheme="minorHAnsi"/>
          <w:bCs/>
        </w:rPr>
        <w:t xml:space="preserve"> and Medicaid administrative data is considered to largely be valid and reliable since it determines eligibility for enrollment and payment of services.  </w:t>
      </w:r>
    </w:p>
    <w:p w14:paraId="740C0E19" w14:textId="77777777" w:rsidR="00ED273A" w:rsidRDefault="00ED273A" w:rsidP="00ED273A">
      <w:pPr>
        <w:autoSpaceDE w:val="0"/>
        <w:autoSpaceDN w:val="0"/>
        <w:adjustRightInd w:val="0"/>
        <w:spacing w:after="0" w:line="240" w:lineRule="auto"/>
        <w:rPr>
          <w:rFonts w:cstheme="minorHAnsi"/>
          <w:bCs/>
        </w:rPr>
      </w:pPr>
    </w:p>
    <w:p w14:paraId="0D85CC5F" w14:textId="77777777" w:rsidR="00ED273A" w:rsidRPr="00A25024" w:rsidRDefault="00ED273A" w:rsidP="00ED273A">
      <w:pPr>
        <w:autoSpaceDE w:val="0"/>
        <w:autoSpaceDN w:val="0"/>
        <w:adjustRightInd w:val="0"/>
        <w:spacing w:after="0" w:line="240" w:lineRule="auto"/>
        <w:rPr>
          <w:rFonts w:cstheme="minorHAnsi"/>
          <w:bCs/>
        </w:rPr>
      </w:pPr>
      <w:r>
        <w:rPr>
          <w:rFonts w:cstheme="minorHAnsi"/>
          <w:bCs/>
        </w:rPr>
        <w:t xml:space="preserve">Patients in hospice are excluded from this measure. No testing was performed on this exclusion as the data source, prescription claims data, do not contain claims for palliative medication, such as opioids, for persons in Medicare Part D that are in hospice care. For the Medicaid population, the majority of the plans were not able to identify hospice exclusions in their data.  </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2C42987E" w14:textId="77777777" w:rsidR="00ED273A" w:rsidRDefault="00ED273A" w:rsidP="00ED273A">
      <w:pPr>
        <w:autoSpaceDE w:val="0"/>
        <w:autoSpaceDN w:val="0"/>
        <w:adjustRightInd w:val="0"/>
        <w:spacing w:after="0" w:line="240" w:lineRule="auto"/>
        <w:rPr>
          <w:rFonts w:cstheme="minorHAnsi"/>
          <w:bCs/>
        </w:rPr>
      </w:pPr>
      <w:r>
        <w:rPr>
          <w:rFonts w:cstheme="minorHAnsi"/>
          <w:bCs/>
        </w:rPr>
        <w:t>No missing data was found in the testing of this measure.</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19C987CA" w:rsidR="00BA053B" w:rsidRDefault="00BA053B">
      <w:pPr>
        <w:autoSpaceDE w:val="0"/>
        <w:autoSpaceDN w:val="0"/>
        <w:adjustRightInd w:val="0"/>
        <w:spacing w:after="0" w:line="240" w:lineRule="auto"/>
        <w:rPr>
          <w:rFonts w:cstheme="minorHAnsi"/>
          <w:bCs/>
        </w:rPr>
      </w:pPr>
    </w:p>
    <w:p w14:paraId="2AE9B12A" w14:textId="77777777" w:rsidR="00ED273A" w:rsidRPr="00B53756" w:rsidRDefault="00ED273A" w:rsidP="00ED273A">
      <w:pPr>
        <w:autoSpaceDE w:val="0"/>
        <w:autoSpaceDN w:val="0"/>
        <w:adjustRightInd w:val="0"/>
        <w:spacing w:after="0" w:line="240" w:lineRule="auto"/>
        <w:rPr>
          <w:rFonts w:cstheme="minorHAnsi"/>
          <w:bCs/>
          <w:color w:val="FF0000"/>
        </w:rPr>
      </w:pPr>
      <w:r>
        <w:rPr>
          <w:rFonts w:cstheme="minorHAnsi"/>
          <w:bCs/>
        </w:rPr>
        <w:t>As stated above, no missing data was found through testing, nor would missing data be expected to occur in the future. Therefore, performance results would not be biased, as prescription claims data provides the data elements necessary to calculate the measure rate.</w:t>
      </w:r>
    </w:p>
    <w:p w14:paraId="636B1A09" w14:textId="77777777" w:rsidR="00ED273A" w:rsidRPr="005560E7" w:rsidRDefault="00ED273A">
      <w:pPr>
        <w:autoSpaceDE w:val="0"/>
        <w:autoSpaceDN w:val="0"/>
        <w:adjustRightInd w:val="0"/>
        <w:spacing w:after="0" w:line="240" w:lineRule="auto"/>
        <w:rPr>
          <w:rFonts w:cstheme="minorHAnsi"/>
          <w:bCs/>
        </w:rPr>
      </w:pPr>
    </w:p>
    <w:sectPr w:rsidR="00ED273A" w:rsidRPr="005560E7"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0BF43" w14:textId="77777777" w:rsidR="00916FB4" w:rsidRDefault="00916FB4" w:rsidP="005C73CA">
      <w:pPr>
        <w:spacing w:after="0" w:line="240" w:lineRule="auto"/>
      </w:pPr>
      <w:r>
        <w:separator/>
      </w:r>
    </w:p>
  </w:endnote>
  <w:endnote w:type="continuationSeparator" w:id="0">
    <w:p w14:paraId="5A8CDB9E" w14:textId="77777777" w:rsidR="00916FB4" w:rsidRDefault="00916FB4"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emilight">
    <w:altName w:val="Arial"/>
    <w:panose1 w:val="020B04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37EFB38B" w:rsidR="000744FC" w:rsidRDefault="000744FC">
    <w:pPr>
      <w:pStyle w:val="Footer"/>
    </w:pPr>
    <w:r>
      <w:t>Version 7.1 9/6/2017</w:t>
    </w:r>
    <w:r>
      <w:ptab w:relativeTo="margin" w:alignment="right" w:leader="none"/>
    </w:r>
    <w:r>
      <w:fldChar w:fldCharType="begin"/>
    </w:r>
    <w:r>
      <w:instrText xml:space="preserve"> PAGE   \* MERGEFORMAT </w:instrText>
    </w:r>
    <w:r>
      <w:fldChar w:fldCharType="separate"/>
    </w:r>
    <w:r>
      <w:rPr>
        <w:noProof/>
      </w:rPr>
      <w:t>19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0B2B4" w14:textId="77777777" w:rsidR="00916FB4" w:rsidRDefault="00916FB4" w:rsidP="005C73CA">
      <w:pPr>
        <w:spacing w:after="0" w:line="240" w:lineRule="auto"/>
      </w:pPr>
      <w:r>
        <w:separator/>
      </w:r>
    </w:p>
  </w:footnote>
  <w:footnote w:type="continuationSeparator" w:id="0">
    <w:p w14:paraId="4BA9163E" w14:textId="77777777" w:rsidR="00916FB4" w:rsidRDefault="00916FB4"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0744FC" w:rsidRPr="00105D8B" w:rsidRDefault="000744FC"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A80DB0"/>
    <w:multiLevelType w:val="hybridMultilevel"/>
    <w:tmpl w:val="ADD092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27"/>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6"/>
  </w:num>
  <w:num w:numId="18">
    <w:abstractNumId w:val="24"/>
  </w:num>
  <w:num w:numId="19">
    <w:abstractNumId w:val="23"/>
  </w:num>
  <w:num w:numId="20">
    <w:abstractNumId w:val="17"/>
  </w:num>
  <w:num w:numId="21">
    <w:abstractNumId w:val="21"/>
  </w:num>
  <w:num w:numId="22">
    <w:abstractNumId w:val="16"/>
  </w:num>
  <w:num w:numId="23">
    <w:abstractNumId w:val="7"/>
  </w:num>
  <w:num w:numId="24">
    <w:abstractNumId w:val="15"/>
  </w:num>
  <w:num w:numId="25">
    <w:abstractNumId w:val="14"/>
  </w:num>
  <w:num w:numId="26">
    <w:abstractNumId w:val="28"/>
  </w:num>
  <w:num w:numId="27">
    <w:abstractNumId w:val="0"/>
  </w:num>
  <w:num w:numId="28">
    <w:abstractNumId w:val="9"/>
  </w:num>
  <w:num w:numId="29">
    <w:abstractNumId w:val="18"/>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354FE"/>
    <w:rsid w:val="000414E8"/>
    <w:rsid w:val="0004593A"/>
    <w:rsid w:val="00050A3E"/>
    <w:rsid w:val="00052A6F"/>
    <w:rsid w:val="00053F02"/>
    <w:rsid w:val="0005612B"/>
    <w:rsid w:val="000574AB"/>
    <w:rsid w:val="0006147A"/>
    <w:rsid w:val="0006234F"/>
    <w:rsid w:val="000744FC"/>
    <w:rsid w:val="000775F8"/>
    <w:rsid w:val="00080CF7"/>
    <w:rsid w:val="00083925"/>
    <w:rsid w:val="000851B2"/>
    <w:rsid w:val="00092566"/>
    <w:rsid w:val="000968F8"/>
    <w:rsid w:val="00097012"/>
    <w:rsid w:val="000B032A"/>
    <w:rsid w:val="000B036E"/>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13F67"/>
    <w:rsid w:val="00116862"/>
    <w:rsid w:val="001202E9"/>
    <w:rsid w:val="0012454F"/>
    <w:rsid w:val="00125273"/>
    <w:rsid w:val="0012575E"/>
    <w:rsid w:val="00127C06"/>
    <w:rsid w:val="00145149"/>
    <w:rsid w:val="00145D4F"/>
    <w:rsid w:val="0014773C"/>
    <w:rsid w:val="00161962"/>
    <w:rsid w:val="00163A2B"/>
    <w:rsid w:val="00165A1F"/>
    <w:rsid w:val="0017696D"/>
    <w:rsid w:val="001848FC"/>
    <w:rsid w:val="00193F21"/>
    <w:rsid w:val="001969C5"/>
    <w:rsid w:val="001A6CDD"/>
    <w:rsid w:val="001C12EE"/>
    <w:rsid w:val="001C7B02"/>
    <w:rsid w:val="001E4303"/>
    <w:rsid w:val="001E4DD4"/>
    <w:rsid w:val="001E69DC"/>
    <w:rsid w:val="001F169D"/>
    <w:rsid w:val="001F1DA1"/>
    <w:rsid w:val="001F5D85"/>
    <w:rsid w:val="001F6F93"/>
    <w:rsid w:val="001F7284"/>
    <w:rsid w:val="001F7A20"/>
    <w:rsid w:val="0021054A"/>
    <w:rsid w:val="0021195A"/>
    <w:rsid w:val="00213383"/>
    <w:rsid w:val="00220250"/>
    <w:rsid w:val="00220C6D"/>
    <w:rsid w:val="00222444"/>
    <w:rsid w:val="0022691B"/>
    <w:rsid w:val="00232163"/>
    <w:rsid w:val="002376F8"/>
    <w:rsid w:val="002408E4"/>
    <w:rsid w:val="00241591"/>
    <w:rsid w:val="00250B4F"/>
    <w:rsid w:val="0025762F"/>
    <w:rsid w:val="00275563"/>
    <w:rsid w:val="0028114D"/>
    <w:rsid w:val="0028629C"/>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1A3D"/>
    <w:rsid w:val="002F2687"/>
    <w:rsid w:val="002F48E1"/>
    <w:rsid w:val="002F4F3B"/>
    <w:rsid w:val="00304C86"/>
    <w:rsid w:val="003059EB"/>
    <w:rsid w:val="003116AC"/>
    <w:rsid w:val="00315567"/>
    <w:rsid w:val="00330144"/>
    <w:rsid w:val="00334329"/>
    <w:rsid w:val="00345CBA"/>
    <w:rsid w:val="00346245"/>
    <w:rsid w:val="0035589C"/>
    <w:rsid w:val="00356267"/>
    <w:rsid w:val="00356BAD"/>
    <w:rsid w:val="003605B4"/>
    <w:rsid w:val="003627AC"/>
    <w:rsid w:val="00366914"/>
    <w:rsid w:val="00367AA1"/>
    <w:rsid w:val="00372FE3"/>
    <w:rsid w:val="003755CB"/>
    <w:rsid w:val="00383F85"/>
    <w:rsid w:val="00387BA1"/>
    <w:rsid w:val="003A306C"/>
    <w:rsid w:val="003A7DE7"/>
    <w:rsid w:val="003B1006"/>
    <w:rsid w:val="003C5F11"/>
    <w:rsid w:val="003D294B"/>
    <w:rsid w:val="003D6401"/>
    <w:rsid w:val="003E1863"/>
    <w:rsid w:val="003E33D6"/>
    <w:rsid w:val="0041606D"/>
    <w:rsid w:val="00416962"/>
    <w:rsid w:val="004206A8"/>
    <w:rsid w:val="004348CC"/>
    <w:rsid w:val="00436159"/>
    <w:rsid w:val="004433E6"/>
    <w:rsid w:val="00450C58"/>
    <w:rsid w:val="004658FF"/>
    <w:rsid w:val="00474ED7"/>
    <w:rsid w:val="004756E1"/>
    <w:rsid w:val="0048008A"/>
    <w:rsid w:val="00483E94"/>
    <w:rsid w:val="00484120"/>
    <w:rsid w:val="004853A0"/>
    <w:rsid w:val="00496B5F"/>
    <w:rsid w:val="004A2E10"/>
    <w:rsid w:val="004B17FF"/>
    <w:rsid w:val="004B1BA0"/>
    <w:rsid w:val="004B5403"/>
    <w:rsid w:val="004B6CEE"/>
    <w:rsid w:val="004C2443"/>
    <w:rsid w:val="004C498F"/>
    <w:rsid w:val="004C5D29"/>
    <w:rsid w:val="004C681A"/>
    <w:rsid w:val="004D4D8A"/>
    <w:rsid w:val="004F68EE"/>
    <w:rsid w:val="005038D5"/>
    <w:rsid w:val="00511BA4"/>
    <w:rsid w:val="005149E7"/>
    <w:rsid w:val="005232D6"/>
    <w:rsid w:val="005333CC"/>
    <w:rsid w:val="0053544D"/>
    <w:rsid w:val="005363F1"/>
    <w:rsid w:val="00537C1B"/>
    <w:rsid w:val="0055007C"/>
    <w:rsid w:val="00554922"/>
    <w:rsid w:val="00555282"/>
    <w:rsid w:val="005560E7"/>
    <w:rsid w:val="005612CC"/>
    <w:rsid w:val="00563029"/>
    <w:rsid w:val="00565946"/>
    <w:rsid w:val="00567D12"/>
    <w:rsid w:val="00576062"/>
    <w:rsid w:val="0059559F"/>
    <w:rsid w:val="005A1732"/>
    <w:rsid w:val="005A49FF"/>
    <w:rsid w:val="005A7533"/>
    <w:rsid w:val="005A7634"/>
    <w:rsid w:val="005B6F04"/>
    <w:rsid w:val="005C0344"/>
    <w:rsid w:val="005C0447"/>
    <w:rsid w:val="005C739F"/>
    <w:rsid w:val="005C73CA"/>
    <w:rsid w:val="005D4768"/>
    <w:rsid w:val="005E2CAB"/>
    <w:rsid w:val="005E429E"/>
    <w:rsid w:val="005F535D"/>
    <w:rsid w:val="00601ED4"/>
    <w:rsid w:val="006030BC"/>
    <w:rsid w:val="00612866"/>
    <w:rsid w:val="00616EB5"/>
    <w:rsid w:val="006222DF"/>
    <w:rsid w:val="006269D4"/>
    <w:rsid w:val="006327D8"/>
    <w:rsid w:val="0064070A"/>
    <w:rsid w:val="00643A01"/>
    <w:rsid w:val="00651D44"/>
    <w:rsid w:val="006574D2"/>
    <w:rsid w:val="00663563"/>
    <w:rsid w:val="006676D4"/>
    <w:rsid w:val="00675535"/>
    <w:rsid w:val="00681359"/>
    <w:rsid w:val="0069157C"/>
    <w:rsid w:val="00695E3D"/>
    <w:rsid w:val="00696262"/>
    <w:rsid w:val="006C3A4F"/>
    <w:rsid w:val="006C4845"/>
    <w:rsid w:val="006D6BC1"/>
    <w:rsid w:val="006E2BFC"/>
    <w:rsid w:val="006E5C57"/>
    <w:rsid w:val="006F22A5"/>
    <w:rsid w:val="006F76F7"/>
    <w:rsid w:val="00702C73"/>
    <w:rsid w:val="00713394"/>
    <w:rsid w:val="00721010"/>
    <w:rsid w:val="00724677"/>
    <w:rsid w:val="00725AC2"/>
    <w:rsid w:val="00731FE8"/>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0822"/>
    <w:rsid w:val="007D13B1"/>
    <w:rsid w:val="007D4351"/>
    <w:rsid w:val="007D7019"/>
    <w:rsid w:val="007E18DB"/>
    <w:rsid w:val="007E6F1C"/>
    <w:rsid w:val="007E743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4AEB"/>
    <w:rsid w:val="00875846"/>
    <w:rsid w:val="00884486"/>
    <w:rsid w:val="008871A9"/>
    <w:rsid w:val="008916BA"/>
    <w:rsid w:val="00892176"/>
    <w:rsid w:val="008A1DB7"/>
    <w:rsid w:val="008A403A"/>
    <w:rsid w:val="008A4C13"/>
    <w:rsid w:val="008B604D"/>
    <w:rsid w:val="008B740B"/>
    <w:rsid w:val="008C54A9"/>
    <w:rsid w:val="008E67C3"/>
    <w:rsid w:val="008F589F"/>
    <w:rsid w:val="008F76A9"/>
    <w:rsid w:val="008F7E67"/>
    <w:rsid w:val="00900DBF"/>
    <w:rsid w:val="009048B9"/>
    <w:rsid w:val="00904E91"/>
    <w:rsid w:val="00915886"/>
    <w:rsid w:val="00916FB4"/>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31AB"/>
    <w:rsid w:val="009A3D72"/>
    <w:rsid w:val="009A4608"/>
    <w:rsid w:val="009A6A57"/>
    <w:rsid w:val="009A70BF"/>
    <w:rsid w:val="009B1A15"/>
    <w:rsid w:val="009C0852"/>
    <w:rsid w:val="009C13CA"/>
    <w:rsid w:val="009C32C6"/>
    <w:rsid w:val="009C665F"/>
    <w:rsid w:val="009C7513"/>
    <w:rsid w:val="009D2E8B"/>
    <w:rsid w:val="009D3882"/>
    <w:rsid w:val="009D7E38"/>
    <w:rsid w:val="009E095B"/>
    <w:rsid w:val="009E1846"/>
    <w:rsid w:val="009E78FF"/>
    <w:rsid w:val="00A01494"/>
    <w:rsid w:val="00A05BB8"/>
    <w:rsid w:val="00A22FA9"/>
    <w:rsid w:val="00A25024"/>
    <w:rsid w:val="00A35F8F"/>
    <w:rsid w:val="00A41377"/>
    <w:rsid w:val="00A4263D"/>
    <w:rsid w:val="00A509B8"/>
    <w:rsid w:val="00A52AB9"/>
    <w:rsid w:val="00A6210B"/>
    <w:rsid w:val="00A64EBF"/>
    <w:rsid w:val="00A71200"/>
    <w:rsid w:val="00A7323A"/>
    <w:rsid w:val="00A77349"/>
    <w:rsid w:val="00A831B4"/>
    <w:rsid w:val="00A97798"/>
    <w:rsid w:val="00AA5213"/>
    <w:rsid w:val="00AA65A6"/>
    <w:rsid w:val="00AB5799"/>
    <w:rsid w:val="00AC1D8E"/>
    <w:rsid w:val="00AC48FA"/>
    <w:rsid w:val="00AD0240"/>
    <w:rsid w:val="00AD4137"/>
    <w:rsid w:val="00AF2D68"/>
    <w:rsid w:val="00B037BA"/>
    <w:rsid w:val="00B20139"/>
    <w:rsid w:val="00B20FCF"/>
    <w:rsid w:val="00B218DA"/>
    <w:rsid w:val="00B330AB"/>
    <w:rsid w:val="00B342FA"/>
    <w:rsid w:val="00B53E8B"/>
    <w:rsid w:val="00B6006E"/>
    <w:rsid w:val="00B774D2"/>
    <w:rsid w:val="00B8015A"/>
    <w:rsid w:val="00B81F4F"/>
    <w:rsid w:val="00B82A57"/>
    <w:rsid w:val="00BA053B"/>
    <w:rsid w:val="00BB35AE"/>
    <w:rsid w:val="00BC03A1"/>
    <w:rsid w:val="00BC0D25"/>
    <w:rsid w:val="00BD2505"/>
    <w:rsid w:val="00BE592D"/>
    <w:rsid w:val="00BF52B0"/>
    <w:rsid w:val="00BF5697"/>
    <w:rsid w:val="00C06F32"/>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964C6"/>
    <w:rsid w:val="00CA06D8"/>
    <w:rsid w:val="00CA345A"/>
    <w:rsid w:val="00CB49FF"/>
    <w:rsid w:val="00CC02CF"/>
    <w:rsid w:val="00CC086A"/>
    <w:rsid w:val="00CC3D84"/>
    <w:rsid w:val="00CD0E24"/>
    <w:rsid w:val="00CD0F66"/>
    <w:rsid w:val="00CD364B"/>
    <w:rsid w:val="00CE23B8"/>
    <w:rsid w:val="00CE284E"/>
    <w:rsid w:val="00CE4865"/>
    <w:rsid w:val="00CE50D7"/>
    <w:rsid w:val="00CF4CBE"/>
    <w:rsid w:val="00D00344"/>
    <w:rsid w:val="00D1754D"/>
    <w:rsid w:val="00D2223F"/>
    <w:rsid w:val="00D23075"/>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7149"/>
    <w:rsid w:val="00E0314C"/>
    <w:rsid w:val="00E12D91"/>
    <w:rsid w:val="00E1508F"/>
    <w:rsid w:val="00E261DF"/>
    <w:rsid w:val="00E27240"/>
    <w:rsid w:val="00E27EDD"/>
    <w:rsid w:val="00E30584"/>
    <w:rsid w:val="00E310B9"/>
    <w:rsid w:val="00E37E1B"/>
    <w:rsid w:val="00E43C1A"/>
    <w:rsid w:val="00E562C0"/>
    <w:rsid w:val="00E57FAF"/>
    <w:rsid w:val="00E672D6"/>
    <w:rsid w:val="00E76024"/>
    <w:rsid w:val="00E856A2"/>
    <w:rsid w:val="00E967AD"/>
    <w:rsid w:val="00E96884"/>
    <w:rsid w:val="00EA5435"/>
    <w:rsid w:val="00EA5F47"/>
    <w:rsid w:val="00EB455E"/>
    <w:rsid w:val="00EC79DE"/>
    <w:rsid w:val="00ED273A"/>
    <w:rsid w:val="00ED4ACE"/>
    <w:rsid w:val="00EE4D35"/>
    <w:rsid w:val="00EF2DA7"/>
    <w:rsid w:val="00F1412B"/>
    <w:rsid w:val="00F15BFA"/>
    <w:rsid w:val="00F34FAB"/>
    <w:rsid w:val="00F435AA"/>
    <w:rsid w:val="00F5738A"/>
    <w:rsid w:val="00F612D4"/>
    <w:rsid w:val="00F70881"/>
    <w:rsid w:val="00F7389E"/>
    <w:rsid w:val="00F77F1D"/>
    <w:rsid w:val="00F87CCB"/>
    <w:rsid w:val="00FA48C7"/>
    <w:rsid w:val="00FB11F6"/>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5A7533"/>
    <w:pPr>
      <w:autoSpaceDE w:val="0"/>
      <w:autoSpaceDN w:val="0"/>
      <w:adjustRightInd w:val="0"/>
      <w:spacing w:after="0" w:line="240" w:lineRule="auto"/>
    </w:pPr>
    <w:rPr>
      <w:rFonts w:ascii="Calibri" w:eastAsiaTheme="minorHAns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32987">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714111249">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and.org/pubs/technical_reports/TR65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2518F9D0DA2448ADB28406C01628FB5C"/>
        <w:category>
          <w:name w:val="General"/>
          <w:gallery w:val="placeholder"/>
        </w:category>
        <w:types>
          <w:type w:val="bbPlcHdr"/>
        </w:types>
        <w:behaviors>
          <w:behavior w:val="content"/>
        </w:behaviors>
        <w:guid w:val="{66B2A33F-F7D0-485B-AF8D-0C55D995EB7E}"/>
      </w:docPartPr>
      <w:docPartBody>
        <w:p w:rsidR="001146BD" w:rsidRDefault="00D41DA0" w:rsidP="00D41DA0">
          <w:pPr>
            <w:pStyle w:val="2518F9D0DA2448ADB28406C01628FB5C"/>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emilight">
    <w:altName w:val="Arial"/>
    <w:panose1 w:val="020B04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014BE"/>
    <w:rsid w:val="00021F89"/>
    <w:rsid w:val="001146BD"/>
    <w:rsid w:val="00127222"/>
    <w:rsid w:val="001736D7"/>
    <w:rsid w:val="00190AF4"/>
    <w:rsid w:val="001B2A2D"/>
    <w:rsid w:val="001B78CB"/>
    <w:rsid w:val="00223FA3"/>
    <w:rsid w:val="002A288F"/>
    <w:rsid w:val="002C65A7"/>
    <w:rsid w:val="002F052A"/>
    <w:rsid w:val="00350176"/>
    <w:rsid w:val="003840F0"/>
    <w:rsid w:val="003D04A0"/>
    <w:rsid w:val="00437537"/>
    <w:rsid w:val="004D6689"/>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55C45"/>
    <w:rsid w:val="009C542D"/>
    <w:rsid w:val="00A01A18"/>
    <w:rsid w:val="00A95183"/>
    <w:rsid w:val="00AB4AF7"/>
    <w:rsid w:val="00AB55BF"/>
    <w:rsid w:val="00AD7C4F"/>
    <w:rsid w:val="00B445F5"/>
    <w:rsid w:val="00BD40CB"/>
    <w:rsid w:val="00C362A2"/>
    <w:rsid w:val="00C90121"/>
    <w:rsid w:val="00C96E73"/>
    <w:rsid w:val="00CA1FE8"/>
    <w:rsid w:val="00CA344F"/>
    <w:rsid w:val="00CA660C"/>
    <w:rsid w:val="00D1676E"/>
    <w:rsid w:val="00D41DA0"/>
    <w:rsid w:val="00D5129E"/>
    <w:rsid w:val="00D7296F"/>
    <w:rsid w:val="00DC0246"/>
    <w:rsid w:val="00E6518A"/>
    <w:rsid w:val="00E85F9A"/>
    <w:rsid w:val="00F540AB"/>
    <w:rsid w:val="00F915BA"/>
    <w:rsid w:val="00FF1A58"/>
    <w:rsid w:val="00FF39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1DA0"/>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2518F9D0DA2448ADB28406C01628FB5C">
    <w:name w:val="2518F9D0DA2448ADB28406C01628FB5C"/>
    <w:rsid w:val="00D41DA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90C13F-CA40-48FF-B7EA-FBA7F1700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7098</Words>
  <Characters>40463</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Lynn Pezzullo</cp:lastModifiedBy>
  <cp:revision>4</cp:revision>
  <cp:lastPrinted>2018-03-10T18:38:00Z</cp:lastPrinted>
  <dcterms:created xsi:type="dcterms:W3CDTF">2018-03-29T18:48:00Z</dcterms:created>
  <dcterms:modified xsi:type="dcterms:W3CDTF">2018-03-30T12:09:00Z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