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D23AD7">
      <w:pPr>
        <w:spacing w:after="0" w:line="240" w:lineRule="auto"/>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D23AD7">
      <w:pPr>
        <w:spacing w:after="0" w:line="240" w:lineRule="auto"/>
        <w:contextualSpacing/>
        <w:rPr>
          <w:rFonts w:cstheme="minorHAnsi"/>
          <w:b/>
          <w:noProof/>
        </w:rPr>
      </w:pPr>
    </w:p>
    <w:p w14:paraId="0CABCF55" w14:textId="478F43DE" w:rsidR="00927027" w:rsidRDefault="00797624" w:rsidP="00D23AD7">
      <w:pPr>
        <w:spacing w:after="0" w:line="240" w:lineRule="auto"/>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sdt>
            <w:sdtPr>
              <w:rPr>
                <w:rStyle w:val="Style1"/>
                <w:rFonts w:cstheme="minorHAnsi"/>
                <w:b/>
                <w:noProof/>
                <w:color w:val="C00000"/>
              </w:rPr>
              <w:id w:val="1767273483"/>
              <w:placeholder>
                <w:docPart w:val="98D6063A900240D59D55465F93883A05"/>
              </w:placeholder>
            </w:sdtPr>
            <w:sdtEndPr>
              <w:rPr>
                <w:rStyle w:val="Style1"/>
              </w:rPr>
            </w:sdtEndPr>
            <w:sdtContent>
              <w:r w:rsidR="00147C6A">
                <w:rPr>
                  <w:rStyle w:val="Style1"/>
                  <w:color w:val="C00000"/>
                </w:rPr>
                <w:t>3489</w:t>
              </w:r>
            </w:sdtContent>
          </w:sdt>
        </w:sdtContent>
      </w:sdt>
    </w:p>
    <w:p w14:paraId="0CABCF56" w14:textId="594D04E6" w:rsidR="00105D8B" w:rsidRPr="00A25024" w:rsidRDefault="00105D8B" w:rsidP="00D23AD7">
      <w:pPr>
        <w:spacing w:after="0" w:line="240" w:lineRule="auto"/>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C00000"/>
          </w:rPr>
        </w:sdtEndPr>
        <w:sdtContent>
          <w:r w:rsidR="007C666D" w:rsidRPr="007C666D">
            <w:rPr>
              <w:rStyle w:val="Style1"/>
              <w:rFonts w:cstheme="minorHAnsi"/>
              <w:color w:val="C00000"/>
            </w:rPr>
            <w:t>Follow-Up After Emergency Department Visit for Mental Illness</w:t>
          </w:r>
        </w:sdtContent>
      </w:sdt>
    </w:p>
    <w:p w14:paraId="0CABCF57" w14:textId="12215ACE" w:rsidR="005C73CA" w:rsidRPr="00450C58" w:rsidRDefault="00105D8B" w:rsidP="00D23AD7">
      <w:pPr>
        <w:spacing w:after="0" w:line="240" w:lineRule="auto"/>
        <w:contextualSpacing/>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color w:val="C00000"/>
          </w:rPr>
          <w:id w:val="-1689821638"/>
          <w:placeholder>
            <w:docPart w:val="D0A5AE3409394D21BA5FA5F27780E302"/>
          </w:placeholder>
          <w:date w:fullDate="2019-04-02T00:00:00Z">
            <w:dateFormat w:val="M/d/yyyy"/>
            <w:lid w:val="en-US"/>
            <w:storeMappedDataAs w:val="dateTime"/>
            <w:calendar w:val="gregorian"/>
          </w:date>
        </w:sdtPr>
        <w:sdtEndPr>
          <w:rPr>
            <w:rStyle w:val="Style2"/>
          </w:rPr>
        </w:sdtEndPr>
        <w:sdtContent>
          <w:r w:rsidR="00147C6A">
            <w:rPr>
              <w:rStyle w:val="Style2"/>
              <w:color w:val="C00000"/>
            </w:rPr>
            <w:t>4/2/2019</w:t>
          </w:r>
        </w:sdtContent>
      </w:sdt>
    </w:p>
    <w:p w14:paraId="0CABCF58" w14:textId="77777777" w:rsidR="00CD364B" w:rsidRPr="00450C58" w:rsidRDefault="009E1846" w:rsidP="00D23AD7">
      <w:pPr>
        <w:spacing w:after="0" w:line="240" w:lineRule="auto"/>
        <w:contextualSpacing/>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0E54CE" w:rsidP="00D23AD7">
            <w:pPr>
              <w:autoSpaceDE w:val="0"/>
              <w:autoSpaceDN w:val="0"/>
              <w:adjustRightInd w:val="0"/>
              <w:contextualSpacing/>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0E54CE" w:rsidP="00D23AD7">
            <w:pPr>
              <w:autoSpaceDE w:val="0"/>
              <w:autoSpaceDN w:val="0"/>
              <w:adjustRightInd w:val="0"/>
              <w:contextualSpacing/>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0E54CE" w:rsidP="00D23AD7">
            <w:pPr>
              <w:autoSpaceDE w:val="0"/>
              <w:autoSpaceDN w:val="0"/>
              <w:adjustRightInd w:val="0"/>
              <w:contextualSpacing/>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0E54CE" w:rsidP="00D23AD7">
            <w:pPr>
              <w:autoSpaceDE w:val="0"/>
              <w:autoSpaceDN w:val="0"/>
              <w:adjustRightInd w:val="0"/>
              <w:contextualSpacing/>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1AD6BE6E" w:rsidR="000B7D57" w:rsidRPr="00C775CE" w:rsidRDefault="000E54CE" w:rsidP="00D23AD7">
            <w:pPr>
              <w:autoSpaceDE w:val="0"/>
              <w:autoSpaceDN w:val="0"/>
              <w:adjustRightInd w:val="0"/>
              <w:contextualSpacing/>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00711A">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0E54CE" w:rsidP="00D23AD7">
            <w:pPr>
              <w:autoSpaceDE w:val="0"/>
              <w:autoSpaceDN w:val="0"/>
              <w:adjustRightInd w:val="0"/>
              <w:contextualSpacing/>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0E54CE" w:rsidP="00D23AD7">
            <w:pPr>
              <w:autoSpaceDE w:val="0"/>
              <w:autoSpaceDN w:val="0"/>
              <w:adjustRightInd w:val="0"/>
              <w:contextualSpacing/>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D23AD7">
            <w:pPr>
              <w:autoSpaceDE w:val="0"/>
              <w:autoSpaceDN w:val="0"/>
              <w:adjustRightInd w:val="0"/>
              <w:contextualSpacing/>
              <w:rPr>
                <w:rFonts w:cstheme="minorHAnsi"/>
                <w:bCs/>
                <w:color w:val="0000FF"/>
              </w:rPr>
            </w:pPr>
          </w:p>
        </w:tc>
      </w:tr>
    </w:tbl>
    <w:p w14:paraId="0CABCF65" w14:textId="77777777" w:rsidR="00CD364B" w:rsidRDefault="00CD364B" w:rsidP="00D23AD7">
      <w:pPr>
        <w:spacing w:after="0" w:line="240" w:lineRule="auto"/>
        <w:contextualSpacing/>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D23AD7">
            <w:pPr>
              <w:contextualSpacing/>
              <w:rPr>
                <w:rFonts w:cstheme="minorHAnsi"/>
                <w:b/>
                <w:noProof/>
              </w:rPr>
            </w:pPr>
            <w:r w:rsidRPr="00B53E8B">
              <w:rPr>
                <w:rFonts w:cstheme="minorHAnsi"/>
                <w:b/>
                <w:noProof/>
              </w:rPr>
              <w:t>Instructions</w:t>
            </w:r>
          </w:p>
          <w:p w14:paraId="0CABCF67" w14:textId="77777777" w:rsidR="00C14CCC" w:rsidRPr="00C14CCC" w:rsidRDefault="00C14CCC" w:rsidP="00D23AD7">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D23AD7">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D23AD7">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D23AD7">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D23AD7">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D23AD7">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D23AD7">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D23AD7">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D23AD7">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D23AD7">
      <w:pPr>
        <w:spacing w:after="0" w:line="240" w:lineRule="auto"/>
        <w:contextualSpacing/>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D23AD7">
            <w:pPr>
              <w:contextualSpacing/>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D23AD7">
            <w:pPr>
              <w:contextualSpacing/>
              <w:rPr>
                <w:rFonts w:cstheme="minorHAnsi"/>
                <w:b/>
                <w:bCs/>
                <w:sz w:val="20"/>
                <w:szCs w:val="20"/>
              </w:rPr>
            </w:pPr>
          </w:p>
          <w:p w14:paraId="0CABCF74" w14:textId="7D41E4AD" w:rsidR="00BC0D25" w:rsidRPr="000F034A" w:rsidRDefault="00145149" w:rsidP="00D23AD7">
            <w:pPr>
              <w:contextualSpacing/>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D23AD7">
            <w:pPr>
              <w:autoSpaceDE w:val="0"/>
              <w:autoSpaceDN w:val="0"/>
              <w:adjustRightInd w:val="0"/>
              <w:contextualSpacing/>
              <w:rPr>
                <w:rFonts w:cstheme="minorHAnsi"/>
                <w:b/>
                <w:iCs/>
              </w:rPr>
            </w:pPr>
          </w:p>
          <w:p w14:paraId="0CABCF76" w14:textId="3BB3E55F" w:rsidR="00145149" w:rsidRPr="000F034A" w:rsidRDefault="00145149" w:rsidP="00D23AD7">
            <w:pPr>
              <w:autoSpaceDE w:val="0"/>
              <w:autoSpaceDN w:val="0"/>
              <w:adjustRightInd w:val="0"/>
              <w:contextualSpacing/>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D23AD7">
            <w:pPr>
              <w:contextualSpacing/>
              <w:rPr>
                <w:rFonts w:cstheme="minorHAnsi"/>
              </w:rPr>
            </w:pPr>
            <w:bookmarkStart w:id="1" w:name="_Toc256067249"/>
          </w:p>
          <w:p w14:paraId="0CABCF78" w14:textId="03461BC0" w:rsidR="00145149" w:rsidRPr="000F034A" w:rsidRDefault="00145149" w:rsidP="00D23AD7">
            <w:pPr>
              <w:contextualSpacing/>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D23AD7">
            <w:pPr>
              <w:contextualSpacing/>
              <w:rPr>
                <w:rFonts w:cstheme="minorHAnsi"/>
                <w:b/>
              </w:rPr>
            </w:pPr>
            <w:r w:rsidRPr="000F034A">
              <w:rPr>
                <w:rFonts w:cstheme="minorHAnsi"/>
                <w:b/>
              </w:rPr>
              <w:t xml:space="preserve">AND </w:t>
            </w:r>
          </w:p>
          <w:p w14:paraId="0CABCF7A" w14:textId="77777777" w:rsidR="00145149" w:rsidRPr="000F034A" w:rsidRDefault="00145149" w:rsidP="00D23AD7">
            <w:pPr>
              <w:contextualSpacing/>
              <w:rPr>
                <w:rFonts w:cstheme="minorHAnsi"/>
              </w:rPr>
            </w:pPr>
            <w:r w:rsidRPr="000F034A">
              <w:rPr>
                <w:rFonts w:cstheme="minorHAnsi"/>
              </w:rPr>
              <w:lastRenderedPageBreak/>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D23AD7">
            <w:pPr>
              <w:contextualSpacing/>
              <w:rPr>
                <w:rFonts w:cstheme="minorHAnsi"/>
                <w:b/>
                <w:bCs/>
              </w:rPr>
            </w:pPr>
          </w:p>
          <w:p w14:paraId="0CABCF7C" w14:textId="29DA93BC" w:rsidR="00145149" w:rsidRPr="000F034A" w:rsidRDefault="00145149" w:rsidP="00D23AD7">
            <w:pPr>
              <w:contextualSpacing/>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D23AD7">
            <w:pPr>
              <w:numPr>
                <w:ilvl w:val="0"/>
                <w:numId w:val="26"/>
              </w:numPr>
              <w:ind w:left="0" w:firstLine="0"/>
              <w:contextualSpacing/>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D23AD7">
            <w:pPr>
              <w:contextualSpacing/>
              <w:rPr>
                <w:rFonts w:cstheme="minorHAnsi"/>
                <w:b/>
              </w:rPr>
            </w:pPr>
            <w:r w:rsidRPr="000F034A">
              <w:rPr>
                <w:rFonts w:cstheme="minorHAnsi"/>
                <w:b/>
              </w:rPr>
              <w:t>OR</w:t>
            </w:r>
          </w:p>
          <w:p w14:paraId="0CABCF7F" w14:textId="77777777" w:rsidR="00145149" w:rsidRPr="000F034A" w:rsidRDefault="00145149" w:rsidP="00D23AD7">
            <w:pPr>
              <w:numPr>
                <w:ilvl w:val="0"/>
                <w:numId w:val="26"/>
              </w:numPr>
              <w:ind w:left="0" w:firstLine="0"/>
              <w:contextualSpacing/>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D23AD7">
            <w:pPr>
              <w:contextualSpacing/>
              <w:rPr>
                <w:rFonts w:cstheme="minorHAnsi"/>
                <w:b/>
                <w:bCs/>
              </w:rPr>
            </w:pPr>
          </w:p>
          <w:bookmarkEnd w:id="2"/>
          <w:p w14:paraId="0CABCF81" w14:textId="2585CCD3" w:rsidR="00145149" w:rsidRPr="000F034A" w:rsidRDefault="00145149" w:rsidP="00D23AD7">
            <w:pPr>
              <w:contextualSpacing/>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D23AD7">
            <w:pPr>
              <w:contextualSpacing/>
              <w:rPr>
                <w:rFonts w:cstheme="minorHAnsi"/>
              </w:rPr>
            </w:pPr>
            <w:r w:rsidRPr="000F034A">
              <w:rPr>
                <w:rFonts w:cstheme="minorHAnsi"/>
                <w:b/>
              </w:rPr>
              <w:t>OR</w:t>
            </w:r>
          </w:p>
          <w:p w14:paraId="0CABCF83" w14:textId="77777777" w:rsidR="00145149" w:rsidRPr="000F034A" w:rsidRDefault="00145149" w:rsidP="00D23AD7">
            <w:pPr>
              <w:contextualSpacing/>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D23AD7">
            <w:pPr>
              <w:contextualSpacing/>
              <w:rPr>
                <w:rFonts w:cstheme="minorHAnsi"/>
                <w:b/>
                <w:bCs/>
              </w:rPr>
            </w:pPr>
          </w:p>
          <w:p w14:paraId="0CABCF85" w14:textId="64041FFB" w:rsidR="00145149" w:rsidRPr="000F034A" w:rsidRDefault="00145149" w:rsidP="00D23AD7">
            <w:pPr>
              <w:contextualSpacing/>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D23AD7">
            <w:pPr>
              <w:contextualSpacing/>
              <w:rPr>
                <w:rFonts w:cstheme="minorHAnsi"/>
              </w:rPr>
            </w:pPr>
          </w:p>
          <w:p w14:paraId="0CABCF87" w14:textId="74D99AAC" w:rsidR="00E30584" w:rsidRPr="00A831B4" w:rsidRDefault="00651D44" w:rsidP="00D23AD7">
            <w:pPr>
              <w:contextualSpacing/>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1"/>
          <w:p w14:paraId="0CABCF88" w14:textId="77777777" w:rsidR="00145149" w:rsidRPr="00A831B4" w:rsidRDefault="00145149" w:rsidP="00D23AD7">
            <w:pPr>
              <w:contextualSpacing/>
              <w:rPr>
                <w:rFonts w:cstheme="minorHAnsi"/>
                <w:b/>
                <w:bCs/>
                <w:sz w:val="20"/>
                <w:szCs w:val="20"/>
              </w:rPr>
            </w:pPr>
          </w:p>
          <w:p w14:paraId="0CABCF89" w14:textId="77777777" w:rsidR="00145149" w:rsidRPr="00A831B4" w:rsidRDefault="00145149" w:rsidP="00D23AD7">
            <w:pPr>
              <w:autoSpaceDE w:val="0"/>
              <w:autoSpaceDN w:val="0"/>
              <w:adjustRightInd w:val="0"/>
              <w:contextualSpacing/>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D23AD7">
            <w:pPr>
              <w:autoSpaceDE w:val="0"/>
              <w:autoSpaceDN w:val="0"/>
              <w:adjustRightInd w:val="0"/>
              <w:contextualSpacing/>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w:t>
            </w:r>
            <w:proofErr w:type="gramStart"/>
            <w:r w:rsidRPr="00A831B4">
              <w:rPr>
                <w:rFonts w:cstheme="minorHAnsi"/>
                <w:sz w:val="20"/>
                <w:szCs w:val="20"/>
              </w:rPr>
              <w:t>include, but</w:t>
            </w:r>
            <w:proofErr w:type="gramEnd"/>
            <w:r w:rsidRPr="00A831B4">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D23AD7">
            <w:pPr>
              <w:contextualSpacing/>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D23AD7">
            <w:pPr>
              <w:pStyle w:val="FootnoteText"/>
              <w:contextualSpacing/>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D23AD7">
            <w:pPr>
              <w:autoSpaceDE w:val="0"/>
              <w:autoSpaceDN w:val="0"/>
              <w:adjustRightInd w:val="0"/>
              <w:contextualSpacing/>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D23AD7">
            <w:pPr>
              <w:pStyle w:val="FootnoteText"/>
              <w:contextualSpacing/>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rsidP="00D23AD7">
            <w:pPr>
              <w:contextualSpacing/>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proofErr w:type="gramStart"/>
            <w:r w:rsidR="00145149" w:rsidRPr="00A831B4">
              <w:rPr>
                <w:rFonts w:cstheme="minorHAnsi"/>
                <w:sz w:val="20"/>
                <w:szCs w:val="20"/>
              </w:rPr>
              <w:t>received  smoking</w:t>
            </w:r>
            <w:proofErr w:type="gramEnd"/>
            <w:r w:rsidR="00145149" w:rsidRPr="00A831B4">
              <w:rPr>
                <w:rFonts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D23AD7">
      <w:pPr>
        <w:spacing w:after="0" w:line="240" w:lineRule="auto"/>
        <w:contextualSpacing/>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D23AD7">
      <w:pPr>
        <w:spacing w:after="0" w:line="240" w:lineRule="auto"/>
        <w:contextualSpacing/>
        <w:rPr>
          <w:rFonts w:cstheme="minorHAnsi"/>
          <w:noProof/>
        </w:rPr>
      </w:pPr>
      <w:r w:rsidRPr="00A25024">
        <w:rPr>
          <w:rFonts w:cstheme="minorHAnsi"/>
          <w:i/>
          <w:noProof/>
        </w:rPr>
        <w:lastRenderedPageBreak/>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D23AD7">
      <w:pPr>
        <w:spacing w:after="0" w:line="240" w:lineRule="auto"/>
        <w:contextualSpacing/>
        <w:rPr>
          <w:rFonts w:cstheme="minorHAnsi"/>
          <w:noProof/>
        </w:rPr>
      </w:pPr>
    </w:p>
    <w:p w14:paraId="0CABCF96" w14:textId="77777777" w:rsidR="00A01494" w:rsidRDefault="002B5016" w:rsidP="00D23AD7">
      <w:pPr>
        <w:autoSpaceDE w:val="0"/>
        <w:autoSpaceDN w:val="0"/>
        <w:adjustRightInd w:val="0"/>
        <w:spacing w:after="0" w:line="240" w:lineRule="auto"/>
        <w:contextualSpacing/>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23AD7">
            <w:pPr>
              <w:autoSpaceDE w:val="0"/>
              <w:autoSpaceDN w:val="0"/>
              <w:adjustRightInd w:val="0"/>
              <w:contextualSpacing/>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23AD7">
            <w:pPr>
              <w:autoSpaceDE w:val="0"/>
              <w:autoSpaceDN w:val="0"/>
              <w:adjustRightInd w:val="0"/>
              <w:contextualSpacing/>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23AD7">
            <w:pPr>
              <w:autoSpaceDE w:val="0"/>
              <w:autoSpaceDN w:val="0"/>
              <w:adjustRightInd w:val="0"/>
              <w:contextualSpacing/>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0E54CE" w:rsidP="00D23AD7">
            <w:pPr>
              <w:autoSpaceDE w:val="0"/>
              <w:autoSpaceDN w:val="0"/>
              <w:adjustRightInd w:val="0"/>
              <w:contextualSpacing/>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0E54CE" w:rsidP="00D23AD7">
            <w:pPr>
              <w:autoSpaceDE w:val="0"/>
              <w:autoSpaceDN w:val="0"/>
              <w:adjustRightInd w:val="0"/>
              <w:contextualSpacing/>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68172F8A" w:rsidR="00A01494" w:rsidRPr="000F1B7A" w:rsidRDefault="000E54CE" w:rsidP="00D23AD7">
            <w:pPr>
              <w:autoSpaceDE w:val="0"/>
              <w:autoSpaceDN w:val="0"/>
              <w:adjustRightInd w:val="0"/>
              <w:contextualSpacing/>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7C666D">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ACC830E" w:rsidR="00A01494" w:rsidRPr="000F1B7A" w:rsidRDefault="000E54CE" w:rsidP="00D23AD7">
            <w:pPr>
              <w:autoSpaceDE w:val="0"/>
              <w:autoSpaceDN w:val="0"/>
              <w:adjustRightInd w:val="0"/>
              <w:contextualSpacing/>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7C666D">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0E54CE" w:rsidP="00D23AD7">
            <w:pPr>
              <w:autoSpaceDE w:val="0"/>
              <w:autoSpaceDN w:val="0"/>
              <w:adjustRightInd w:val="0"/>
              <w:contextualSpacing/>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0E54CE" w:rsidP="00D23AD7">
            <w:pPr>
              <w:autoSpaceDE w:val="0"/>
              <w:autoSpaceDN w:val="0"/>
              <w:adjustRightInd w:val="0"/>
              <w:contextualSpacing/>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0E54CE" w:rsidP="00D23AD7">
            <w:pPr>
              <w:autoSpaceDE w:val="0"/>
              <w:autoSpaceDN w:val="0"/>
              <w:adjustRightInd w:val="0"/>
              <w:contextualSpacing/>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0E54CE" w:rsidP="00D23AD7">
            <w:pPr>
              <w:autoSpaceDE w:val="0"/>
              <w:autoSpaceDN w:val="0"/>
              <w:adjustRightInd w:val="0"/>
              <w:contextualSpacing/>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0E54CE" w:rsidP="00D23AD7">
            <w:pPr>
              <w:autoSpaceDE w:val="0"/>
              <w:autoSpaceDN w:val="0"/>
              <w:adjustRightInd w:val="0"/>
              <w:contextualSpacing/>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0E54CE" w:rsidP="00D23AD7">
            <w:pPr>
              <w:autoSpaceDE w:val="0"/>
              <w:autoSpaceDN w:val="0"/>
              <w:adjustRightInd w:val="0"/>
              <w:contextualSpacing/>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0E54CE" w:rsidP="00D23AD7">
            <w:pPr>
              <w:autoSpaceDE w:val="0"/>
              <w:autoSpaceDN w:val="0"/>
              <w:adjustRightInd w:val="0"/>
              <w:contextualSpacing/>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0E54CE" w:rsidP="00D23AD7">
            <w:pPr>
              <w:autoSpaceDE w:val="0"/>
              <w:autoSpaceDN w:val="0"/>
              <w:adjustRightInd w:val="0"/>
              <w:contextualSpacing/>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23AD7">
      <w:pPr>
        <w:autoSpaceDE w:val="0"/>
        <w:autoSpaceDN w:val="0"/>
        <w:adjustRightInd w:val="0"/>
        <w:spacing w:after="0" w:line="240" w:lineRule="auto"/>
        <w:contextualSpacing/>
        <w:rPr>
          <w:rFonts w:cstheme="minorHAnsi"/>
          <w:b/>
          <w:bCs/>
        </w:rPr>
      </w:pPr>
      <w:r w:rsidRPr="00A25024">
        <w:rPr>
          <w:rFonts w:cstheme="minorHAnsi"/>
          <w:b/>
          <w:bCs/>
        </w:rPr>
        <w:t xml:space="preserve">     </w:t>
      </w:r>
    </w:p>
    <w:p w14:paraId="0CABCFAE" w14:textId="77777777" w:rsidR="00C355B9" w:rsidRDefault="002B5016" w:rsidP="00D23AD7">
      <w:pPr>
        <w:autoSpaceDE w:val="0"/>
        <w:autoSpaceDN w:val="0"/>
        <w:adjustRightInd w:val="0"/>
        <w:spacing w:after="0" w:line="240" w:lineRule="auto"/>
        <w:contextualSpacing/>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600AB36C" w14:textId="55AAD02F" w:rsidR="007C666D" w:rsidRDefault="007C666D" w:rsidP="00D23AD7">
      <w:pPr>
        <w:autoSpaceDE w:val="0"/>
        <w:autoSpaceDN w:val="0"/>
        <w:adjustRightInd w:val="0"/>
        <w:spacing w:after="0" w:line="240" w:lineRule="auto"/>
        <w:contextualSpacing/>
        <w:rPr>
          <w:rStyle w:val="Style1"/>
        </w:rPr>
      </w:pPr>
      <w:r>
        <w:rPr>
          <w:rStyle w:val="Style1"/>
          <w:b/>
          <w:bCs/>
          <w:color w:val="C00000"/>
          <w:u w:val="single"/>
        </w:rPr>
        <w:t>201</w:t>
      </w:r>
      <w:r w:rsidR="005B4052">
        <w:rPr>
          <w:rStyle w:val="Style1"/>
          <w:b/>
          <w:bCs/>
          <w:color w:val="C00000"/>
          <w:u w:val="single"/>
        </w:rPr>
        <w:t>9</w:t>
      </w:r>
      <w:r>
        <w:rPr>
          <w:rStyle w:val="Style1"/>
          <w:b/>
          <w:bCs/>
          <w:color w:val="C00000"/>
          <w:u w:val="single"/>
        </w:rPr>
        <w:t xml:space="preserve"> Submission</w:t>
      </w:r>
      <w:r>
        <w:rPr>
          <w:rStyle w:val="Style1"/>
        </w:rPr>
        <w:t xml:space="preserve"> </w:t>
      </w:r>
    </w:p>
    <w:p w14:paraId="0CABCFAF" w14:textId="38EC722B" w:rsidR="009E1846" w:rsidRPr="007C666D" w:rsidRDefault="007C666D" w:rsidP="00D23AD7">
      <w:pPr>
        <w:autoSpaceDE w:val="0"/>
        <w:autoSpaceDN w:val="0"/>
        <w:adjustRightInd w:val="0"/>
        <w:spacing w:after="0" w:line="240" w:lineRule="auto"/>
        <w:contextualSpacing/>
        <w:rPr>
          <w:rFonts w:cs="Calibri"/>
          <w:bCs/>
          <w:color w:val="C00000"/>
        </w:rPr>
      </w:pPr>
      <w:r>
        <w:rPr>
          <w:rFonts w:cs="Calibri"/>
          <w:bCs/>
          <w:color w:val="C00000"/>
        </w:rPr>
        <w:t>N/A</w:t>
      </w:r>
    </w:p>
    <w:p w14:paraId="307A253B" w14:textId="490B8EF3" w:rsidR="007C666D" w:rsidRDefault="007C666D" w:rsidP="00D23AD7">
      <w:pPr>
        <w:autoSpaceDE w:val="0"/>
        <w:autoSpaceDN w:val="0"/>
        <w:adjustRightInd w:val="0"/>
        <w:spacing w:after="0" w:line="240" w:lineRule="auto"/>
        <w:contextualSpacing/>
        <w:rPr>
          <w:rFonts w:cstheme="minorHAnsi"/>
          <w:b/>
        </w:rPr>
      </w:pPr>
    </w:p>
    <w:p w14:paraId="56C63EF2" w14:textId="77777777" w:rsidR="007C666D" w:rsidRDefault="007C666D" w:rsidP="00D23AD7">
      <w:pPr>
        <w:autoSpaceDE w:val="0"/>
        <w:autoSpaceDN w:val="0"/>
        <w:adjustRightInd w:val="0"/>
        <w:spacing w:after="0" w:line="240" w:lineRule="auto"/>
        <w:contextualSpacing/>
        <w:rPr>
          <w:color w:val="4F81BD" w:themeColor="accent1"/>
        </w:rPr>
      </w:pPr>
      <w:r>
        <w:rPr>
          <w:rStyle w:val="Style1"/>
          <w:b/>
          <w:bCs/>
          <w:color w:val="4F81BD" w:themeColor="accent1"/>
          <w:u w:val="single"/>
        </w:rPr>
        <w:t>2014 Submission</w:t>
      </w:r>
    </w:p>
    <w:p w14:paraId="5B77E4C1" w14:textId="7DFD1F58" w:rsidR="007C666D" w:rsidRPr="007C666D" w:rsidRDefault="007C666D" w:rsidP="00D23AD7">
      <w:pPr>
        <w:spacing w:after="0" w:line="240" w:lineRule="auto"/>
        <w:contextualSpacing/>
        <w:rPr>
          <w:color w:val="4F81BD" w:themeColor="accent1"/>
        </w:rPr>
      </w:pPr>
      <w:r>
        <w:rPr>
          <w:rStyle w:val="Style1"/>
          <w:color w:val="4F81BD" w:themeColor="accent1"/>
        </w:rPr>
        <w:t xml:space="preserve">Medicaid claims; Medicaid Analytic </w:t>
      </w:r>
      <w:proofErr w:type="spellStart"/>
      <w:r>
        <w:rPr>
          <w:rStyle w:val="Style1"/>
          <w:color w:val="4F81BD" w:themeColor="accent1"/>
        </w:rPr>
        <w:t>eXtract</w:t>
      </w:r>
      <w:proofErr w:type="spellEnd"/>
      <w:r>
        <w:rPr>
          <w:rStyle w:val="Style1"/>
          <w:color w:val="4F81BD" w:themeColor="accent1"/>
        </w:rPr>
        <w:t xml:space="preserve"> (MAX)</w:t>
      </w:r>
    </w:p>
    <w:p w14:paraId="0CABCFB0" w14:textId="1359F033" w:rsidR="0004593A" w:rsidRDefault="002B5016" w:rsidP="00D23AD7">
      <w:pPr>
        <w:autoSpaceDE w:val="0"/>
        <w:autoSpaceDN w:val="0"/>
        <w:adjustRightInd w:val="0"/>
        <w:spacing w:after="0" w:line="240" w:lineRule="auto"/>
        <w:contextualSpacing/>
        <w:rPr>
          <w:rStyle w:val="Style1"/>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p>
    <w:p w14:paraId="46925F2A" w14:textId="74CC5CB8" w:rsidR="007C666D" w:rsidRDefault="007C666D" w:rsidP="00D23AD7">
      <w:pPr>
        <w:autoSpaceDE w:val="0"/>
        <w:autoSpaceDN w:val="0"/>
        <w:adjustRightInd w:val="0"/>
        <w:spacing w:after="0" w:line="240" w:lineRule="auto"/>
        <w:contextualSpacing/>
        <w:rPr>
          <w:rFonts w:cstheme="minorHAnsi"/>
          <w:bCs/>
        </w:rPr>
      </w:pPr>
      <w:r>
        <w:rPr>
          <w:rStyle w:val="Style1"/>
          <w:b/>
          <w:color w:val="C00000"/>
          <w:u w:val="single"/>
        </w:rPr>
        <w:t>201</w:t>
      </w:r>
      <w:r w:rsidR="005B4052">
        <w:rPr>
          <w:rStyle w:val="Style1"/>
          <w:b/>
          <w:color w:val="C00000"/>
          <w:u w:val="single"/>
        </w:rPr>
        <w:t>9</w:t>
      </w:r>
      <w:r>
        <w:rPr>
          <w:rStyle w:val="Style1"/>
          <w:b/>
          <w:color w:val="C00000"/>
          <w:u w:val="single"/>
        </w:rPr>
        <w:t xml:space="preserve"> Submission</w:t>
      </w:r>
      <w:r>
        <w:rPr>
          <w:rFonts w:cstheme="minorHAnsi"/>
          <w:bCs/>
        </w:rPr>
        <w:t xml:space="preserve"> </w:t>
      </w:r>
    </w:p>
    <w:p w14:paraId="7859A399" w14:textId="77777777" w:rsidR="007C666D" w:rsidRDefault="007C666D" w:rsidP="00D23AD7">
      <w:pPr>
        <w:autoSpaceDE w:val="0"/>
        <w:autoSpaceDN w:val="0"/>
        <w:adjustRightInd w:val="0"/>
        <w:spacing w:after="0" w:line="240" w:lineRule="auto"/>
        <w:contextualSpacing/>
        <w:rPr>
          <w:rFonts w:cs="Calibri"/>
          <w:color w:val="C00000"/>
        </w:rPr>
      </w:pPr>
      <w:r>
        <w:rPr>
          <w:rFonts w:cs="Calibri"/>
          <w:color w:val="C00000"/>
        </w:rPr>
        <w:t xml:space="preserve">Testing of measure score reliability and validity was performed using data from 2017. </w:t>
      </w:r>
    </w:p>
    <w:p w14:paraId="21E62084" w14:textId="77777777" w:rsidR="007C666D" w:rsidRDefault="007C666D" w:rsidP="00D23AD7">
      <w:pPr>
        <w:autoSpaceDE w:val="0"/>
        <w:autoSpaceDN w:val="0"/>
        <w:adjustRightInd w:val="0"/>
        <w:spacing w:after="0" w:line="240" w:lineRule="auto"/>
        <w:contextualSpacing/>
        <w:rPr>
          <w:rFonts w:cstheme="minorHAnsi"/>
          <w:bCs/>
        </w:rPr>
      </w:pPr>
    </w:p>
    <w:p w14:paraId="147A2C37" w14:textId="77777777" w:rsidR="007C666D" w:rsidRDefault="007C666D" w:rsidP="00D23AD7">
      <w:pPr>
        <w:autoSpaceDE w:val="0"/>
        <w:autoSpaceDN w:val="0"/>
        <w:adjustRightInd w:val="0"/>
        <w:spacing w:after="0" w:line="240" w:lineRule="auto"/>
        <w:contextualSpacing/>
        <w:rPr>
          <w:rStyle w:val="Style1"/>
          <w:b/>
          <w:color w:val="4F81BD" w:themeColor="accent1"/>
          <w:u w:val="single"/>
        </w:rPr>
      </w:pPr>
      <w:r>
        <w:rPr>
          <w:rStyle w:val="Style1"/>
          <w:b/>
          <w:color w:val="4F81BD" w:themeColor="accent1"/>
          <w:u w:val="single"/>
        </w:rPr>
        <w:t>2014 Submission</w:t>
      </w:r>
    </w:p>
    <w:p w14:paraId="0CABCFB1" w14:textId="4E17D89D" w:rsidR="000574AB" w:rsidRPr="007C666D" w:rsidRDefault="007C666D" w:rsidP="00D23AD7">
      <w:pPr>
        <w:spacing w:after="0" w:line="240" w:lineRule="auto"/>
        <w:contextualSpacing/>
        <w:rPr>
          <w:color w:val="4F81BD" w:themeColor="accent1"/>
        </w:rPr>
      </w:pPr>
      <w:r>
        <w:rPr>
          <w:rStyle w:val="Style1"/>
          <w:color w:val="4F81BD" w:themeColor="accent1"/>
        </w:rPr>
        <w:t>Calendar year 2008</w:t>
      </w:r>
    </w:p>
    <w:p w14:paraId="0CABCFB2" w14:textId="77777777" w:rsidR="000414E8" w:rsidRDefault="002B5016" w:rsidP="00D23AD7">
      <w:pPr>
        <w:autoSpaceDE w:val="0"/>
        <w:autoSpaceDN w:val="0"/>
        <w:adjustRightInd w:val="0"/>
        <w:spacing w:after="0" w:line="240" w:lineRule="auto"/>
        <w:contextualSpacing/>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23AD7">
            <w:pPr>
              <w:autoSpaceDE w:val="0"/>
              <w:autoSpaceDN w:val="0"/>
              <w:adjustRightInd w:val="0"/>
              <w:contextualSpacing/>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D23AD7">
            <w:pPr>
              <w:autoSpaceDE w:val="0"/>
              <w:autoSpaceDN w:val="0"/>
              <w:adjustRightInd w:val="0"/>
              <w:contextualSpacing/>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23AD7">
            <w:pPr>
              <w:autoSpaceDE w:val="0"/>
              <w:autoSpaceDN w:val="0"/>
              <w:adjustRightInd w:val="0"/>
              <w:contextualSpacing/>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0E54CE" w:rsidP="00D23AD7">
            <w:pPr>
              <w:autoSpaceDE w:val="0"/>
              <w:autoSpaceDN w:val="0"/>
              <w:adjustRightInd w:val="0"/>
              <w:contextualSpacing/>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0E54CE" w:rsidP="00D23AD7">
            <w:pPr>
              <w:autoSpaceDE w:val="0"/>
              <w:autoSpaceDN w:val="0"/>
              <w:adjustRightInd w:val="0"/>
              <w:contextualSpacing/>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0E54CE" w:rsidP="00D23AD7">
            <w:pPr>
              <w:autoSpaceDE w:val="0"/>
              <w:autoSpaceDN w:val="0"/>
              <w:adjustRightInd w:val="0"/>
              <w:contextualSpacing/>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0E54CE" w:rsidP="00D23AD7">
            <w:pPr>
              <w:autoSpaceDE w:val="0"/>
              <w:autoSpaceDN w:val="0"/>
              <w:adjustRightInd w:val="0"/>
              <w:contextualSpacing/>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0E54CE" w:rsidP="00D23AD7">
            <w:pPr>
              <w:autoSpaceDE w:val="0"/>
              <w:autoSpaceDN w:val="0"/>
              <w:adjustRightInd w:val="0"/>
              <w:contextualSpacing/>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0E54CE" w:rsidP="00D23AD7">
            <w:pPr>
              <w:autoSpaceDE w:val="0"/>
              <w:autoSpaceDN w:val="0"/>
              <w:adjustRightInd w:val="0"/>
              <w:contextualSpacing/>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421AFEF5" w:rsidR="000414E8" w:rsidRPr="00A01494" w:rsidRDefault="000E54CE" w:rsidP="00D23AD7">
            <w:pPr>
              <w:autoSpaceDE w:val="0"/>
              <w:autoSpaceDN w:val="0"/>
              <w:adjustRightInd w:val="0"/>
              <w:contextualSpacing/>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7C666D">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2E34AEEB" w:rsidR="000414E8" w:rsidRPr="00A01494" w:rsidRDefault="000E54CE" w:rsidP="00D23AD7">
            <w:pPr>
              <w:autoSpaceDE w:val="0"/>
              <w:autoSpaceDN w:val="0"/>
              <w:adjustRightInd w:val="0"/>
              <w:contextualSpacing/>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7C666D">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0E54CE" w:rsidP="00D23AD7">
            <w:pPr>
              <w:autoSpaceDE w:val="0"/>
              <w:autoSpaceDN w:val="0"/>
              <w:adjustRightInd w:val="0"/>
              <w:contextualSpacing/>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0E54CE" w:rsidP="00D23AD7">
            <w:pPr>
              <w:autoSpaceDE w:val="0"/>
              <w:autoSpaceDN w:val="0"/>
              <w:adjustRightInd w:val="0"/>
              <w:contextualSpacing/>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23AD7">
      <w:pPr>
        <w:autoSpaceDE w:val="0"/>
        <w:autoSpaceDN w:val="0"/>
        <w:adjustRightInd w:val="0"/>
        <w:spacing w:after="0" w:line="240" w:lineRule="auto"/>
        <w:contextualSpacing/>
        <w:rPr>
          <w:rFonts w:cstheme="minorHAnsi"/>
          <w:bCs/>
        </w:rPr>
      </w:pPr>
    </w:p>
    <w:p w14:paraId="0CABCFC7" w14:textId="77777777" w:rsidR="002E78A0" w:rsidRDefault="002B5016" w:rsidP="00D23AD7">
      <w:pPr>
        <w:autoSpaceDE w:val="0"/>
        <w:autoSpaceDN w:val="0"/>
        <w:adjustRightInd w:val="0"/>
        <w:spacing w:after="0" w:line="240" w:lineRule="auto"/>
        <w:contextualSpacing/>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 xml:space="preserve">of measured entities </w:t>
      </w:r>
      <w:r w:rsidR="004348CC" w:rsidRPr="00A25024">
        <w:rPr>
          <w:rFonts w:cstheme="minorHAnsi"/>
          <w:bCs/>
          <w:i/>
        </w:rPr>
        <w:lastRenderedPageBreak/>
        <w:t>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499F6796" w14:textId="355D73EF" w:rsidR="007C666D" w:rsidRDefault="007C666D" w:rsidP="00D23AD7">
      <w:pPr>
        <w:autoSpaceDE w:val="0"/>
        <w:autoSpaceDN w:val="0"/>
        <w:adjustRightInd w:val="0"/>
        <w:spacing w:after="0" w:line="240" w:lineRule="auto"/>
        <w:contextualSpacing/>
        <w:rPr>
          <w:rStyle w:val="Style1"/>
        </w:rPr>
      </w:pPr>
      <w:r>
        <w:rPr>
          <w:rStyle w:val="Style1"/>
          <w:b/>
          <w:bCs/>
          <w:color w:val="C00000"/>
          <w:u w:val="single"/>
        </w:rPr>
        <w:t>201</w:t>
      </w:r>
      <w:r w:rsidR="005B4052">
        <w:rPr>
          <w:rStyle w:val="Style1"/>
          <w:b/>
          <w:bCs/>
          <w:color w:val="C00000"/>
          <w:u w:val="single"/>
        </w:rPr>
        <w:t>9</w:t>
      </w:r>
      <w:r>
        <w:rPr>
          <w:rStyle w:val="Style1"/>
          <w:b/>
          <w:bCs/>
          <w:color w:val="C00000"/>
          <w:u w:val="single"/>
        </w:rPr>
        <w:t xml:space="preserve"> Submission</w:t>
      </w:r>
      <w:r>
        <w:rPr>
          <w:rStyle w:val="Style1"/>
        </w:rPr>
        <w:t xml:space="preserve"> </w:t>
      </w:r>
    </w:p>
    <w:p w14:paraId="03BB0241" w14:textId="08FC8BEB" w:rsidR="00703429" w:rsidRDefault="00703429" w:rsidP="00D23AD7">
      <w:pPr>
        <w:autoSpaceDE w:val="0"/>
        <w:autoSpaceDN w:val="0"/>
        <w:adjustRightInd w:val="0"/>
        <w:spacing w:after="0" w:line="240" w:lineRule="auto"/>
        <w:contextualSpacing/>
        <w:rPr>
          <w:rStyle w:val="Style1"/>
          <w:color w:val="C00000"/>
        </w:rPr>
      </w:pPr>
      <w:r>
        <w:rPr>
          <w:rStyle w:val="Style1"/>
          <w:color w:val="C00000"/>
        </w:rPr>
        <w:t xml:space="preserve">This measure assesses whether patients age </w:t>
      </w:r>
      <w:r w:rsidR="006B1BDA">
        <w:rPr>
          <w:rStyle w:val="Style1"/>
          <w:color w:val="C00000"/>
        </w:rPr>
        <w:t>6</w:t>
      </w:r>
      <w:r>
        <w:rPr>
          <w:rStyle w:val="Style1"/>
          <w:color w:val="C00000"/>
        </w:rPr>
        <w:t xml:space="preserve"> and older with an emergency department (ED) visit and a principal diagnosis of </w:t>
      </w:r>
      <w:r w:rsidR="009E1666" w:rsidRPr="009E1666">
        <w:rPr>
          <w:rStyle w:val="Style1"/>
          <w:color w:val="C00000"/>
        </w:rPr>
        <w:t xml:space="preserve">mental illness or intentional self-harm </w:t>
      </w:r>
      <w:r>
        <w:rPr>
          <w:rStyle w:val="Style1"/>
          <w:color w:val="C00000"/>
        </w:rPr>
        <w:t xml:space="preserve">had a follow up visit </w:t>
      </w:r>
      <w:r w:rsidR="009E1666" w:rsidRPr="009E1666">
        <w:rPr>
          <w:rStyle w:val="Style1"/>
          <w:color w:val="C00000"/>
        </w:rPr>
        <w:t>for mental illness</w:t>
      </w:r>
      <w:r>
        <w:rPr>
          <w:rStyle w:val="Style1"/>
          <w:color w:val="C00000"/>
        </w:rPr>
        <w:t>. This measure includes patients who were enrolled in commercial, Medicaid and Medicare health plans. There is a rate for the proportion of ED visits for which the patient received follow-up within 30 days of the ED visit, and a rate for the proportion of ED visits for which the patient received follow-up within 7 days of the ED visit. The intended use of the measure is to assess the quality of care in health plans across the population. As required by the specified level of accountability, we conducted a field test with health plans to assess scientific acceptability, usability and feasibility</w:t>
      </w:r>
      <w:r w:rsidR="004910D9">
        <w:rPr>
          <w:rStyle w:val="Style1"/>
          <w:color w:val="C00000"/>
        </w:rPr>
        <w:t xml:space="preserve"> </w:t>
      </w:r>
      <w:bookmarkStart w:id="12" w:name="_Hlk534280695"/>
      <w:r w:rsidR="004910D9">
        <w:rPr>
          <w:rStyle w:val="Style1"/>
          <w:color w:val="C00000"/>
        </w:rPr>
        <w:t xml:space="preserve">and have subsequently gathered audited data from </w:t>
      </w:r>
      <w:proofErr w:type="gramStart"/>
      <w:r w:rsidR="004910D9">
        <w:rPr>
          <w:rStyle w:val="Style1"/>
          <w:color w:val="C00000"/>
        </w:rPr>
        <w:t>a large number of</w:t>
      </w:r>
      <w:proofErr w:type="gramEnd"/>
      <w:r w:rsidR="004910D9">
        <w:rPr>
          <w:rStyle w:val="Style1"/>
          <w:color w:val="C00000"/>
        </w:rPr>
        <w:t xml:space="preserve"> health plans</w:t>
      </w:r>
      <w:r w:rsidR="00CE6239">
        <w:rPr>
          <w:rStyle w:val="Style1"/>
          <w:color w:val="C00000"/>
        </w:rPr>
        <w:t>.</w:t>
      </w:r>
      <w:bookmarkEnd w:id="12"/>
    </w:p>
    <w:p w14:paraId="38523056" w14:textId="77777777" w:rsidR="00703429" w:rsidRDefault="00703429" w:rsidP="00D23AD7">
      <w:pPr>
        <w:autoSpaceDE w:val="0"/>
        <w:autoSpaceDN w:val="0"/>
        <w:adjustRightInd w:val="0"/>
        <w:spacing w:after="0" w:line="240" w:lineRule="auto"/>
        <w:contextualSpacing/>
        <w:rPr>
          <w:rStyle w:val="Style1"/>
          <w:color w:val="C00000"/>
        </w:rPr>
      </w:pPr>
    </w:p>
    <w:p w14:paraId="441519F9" w14:textId="4885FDF7" w:rsidR="00703429" w:rsidRDefault="00703429" w:rsidP="00D23AD7">
      <w:pPr>
        <w:autoSpaceDE w:val="0"/>
        <w:autoSpaceDN w:val="0"/>
        <w:adjustRightInd w:val="0"/>
        <w:spacing w:after="0" w:line="240" w:lineRule="auto"/>
        <w:contextualSpacing/>
        <w:rPr>
          <w:rStyle w:val="Style1"/>
          <w:color w:val="C00000"/>
        </w:rPr>
      </w:pPr>
      <w:r>
        <w:rPr>
          <w:rStyle w:val="Style1"/>
          <w:color w:val="C00000"/>
          <w:u w:val="single"/>
        </w:rPr>
        <w:t>Sample for measure score reliability testing</w:t>
      </w:r>
      <w:r w:rsidR="008969AD">
        <w:rPr>
          <w:rStyle w:val="Style1"/>
          <w:color w:val="C00000"/>
          <w:u w:val="single"/>
        </w:rPr>
        <w:t xml:space="preserve"> and construct validity testing</w:t>
      </w:r>
      <w:r>
        <w:rPr>
          <w:rStyle w:val="Style1"/>
          <w:color w:val="C00000"/>
          <w:u w:val="single"/>
        </w:rPr>
        <w:t>:</w:t>
      </w:r>
      <w:r>
        <w:rPr>
          <w:rStyle w:val="Style1"/>
          <w:color w:val="C00000"/>
        </w:rPr>
        <w:t xml:space="preserve"> The measure score reliability was calculated from HEDIS data that included 3</w:t>
      </w:r>
      <w:r w:rsidR="0096732D">
        <w:rPr>
          <w:rStyle w:val="Style1"/>
          <w:color w:val="C00000"/>
        </w:rPr>
        <w:t>19</w:t>
      </w:r>
      <w:r>
        <w:rPr>
          <w:rStyle w:val="Style1"/>
          <w:color w:val="C00000"/>
        </w:rPr>
        <w:t xml:space="preserve"> commercial health plans, </w:t>
      </w:r>
      <w:r w:rsidR="0096732D">
        <w:rPr>
          <w:rStyle w:val="Style1"/>
          <w:color w:val="C00000"/>
        </w:rPr>
        <w:t>166</w:t>
      </w:r>
      <w:r>
        <w:rPr>
          <w:rStyle w:val="Style1"/>
          <w:color w:val="C00000"/>
        </w:rPr>
        <w:t xml:space="preserve"> Medicaid health plans, and 2</w:t>
      </w:r>
      <w:r w:rsidR="0096732D">
        <w:rPr>
          <w:rStyle w:val="Style1"/>
          <w:color w:val="C00000"/>
        </w:rPr>
        <w:t>64</w:t>
      </w:r>
      <w:r>
        <w:rPr>
          <w:rStyle w:val="Style1"/>
          <w:color w:val="C00000"/>
        </w:rPr>
        <w:t xml:space="preserve"> Medicare health plans. The sample included all health plans submitting data to NCQA for HEDIS. The plans were geographically diverse and varied in size.</w:t>
      </w:r>
    </w:p>
    <w:p w14:paraId="0B9FB14C" w14:textId="7C7D45A9" w:rsidR="007C666D" w:rsidRDefault="007C666D" w:rsidP="00D23AD7">
      <w:pPr>
        <w:autoSpaceDE w:val="0"/>
        <w:autoSpaceDN w:val="0"/>
        <w:adjustRightInd w:val="0"/>
        <w:spacing w:after="0" w:line="240" w:lineRule="auto"/>
        <w:contextualSpacing/>
        <w:rPr>
          <w:rFonts w:cstheme="minorHAnsi"/>
          <w:bCs/>
        </w:rPr>
      </w:pPr>
    </w:p>
    <w:p w14:paraId="0747379F" w14:textId="77777777" w:rsidR="007C666D" w:rsidRDefault="007C666D" w:rsidP="00D23AD7">
      <w:pPr>
        <w:autoSpaceDE w:val="0"/>
        <w:autoSpaceDN w:val="0"/>
        <w:adjustRightInd w:val="0"/>
        <w:spacing w:after="0" w:line="240" w:lineRule="auto"/>
        <w:contextualSpacing/>
        <w:rPr>
          <w:color w:val="4F81BD" w:themeColor="accent1"/>
        </w:rPr>
      </w:pPr>
      <w:r>
        <w:rPr>
          <w:rStyle w:val="Style1"/>
          <w:b/>
          <w:bCs/>
          <w:color w:val="4F81BD" w:themeColor="accent1"/>
          <w:u w:val="single"/>
        </w:rPr>
        <w:t>2014 Submission</w:t>
      </w:r>
    </w:p>
    <w:p w14:paraId="522D7D4B" w14:textId="77777777" w:rsidR="007C666D" w:rsidRDefault="007C666D" w:rsidP="00D23AD7">
      <w:pPr>
        <w:spacing w:after="0" w:line="240" w:lineRule="auto"/>
        <w:contextualSpacing/>
        <w:rPr>
          <w:rStyle w:val="Style1"/>
          <w:color w:val="4F81BD" w:themeColor="accent1"/>
        </w:rPr>
      </w:pPr>
      <w:r>
        <w:rPr>
          <w:rStyle w:val="Style1"/>
          <w:color w:val="4F81BD" w:themeColor="accent1"/>
        </w:rPr>
        <w:t>RELIABILITY, VALIDITY AND MEANINGFUL DIFFERENCES</w:t>
      </w:r>
    </w:p>
    <w:p w14:paraId="63128AFC" w14:textId="7FA7496D" w:rsidR="007C666D" w:rsidRDefault="007C666D" w:rsidP="00D23AD7">
      <w:pPr>
        <w:spacing w:after="0" w:line="240" w:lineRule="auto"/>
        <w:contextualSpacing/>
        <w:rPr>
          <w:rStyle w:val="Style1"/>
          <w:color w:val="4F81BD" w:themeColor="accent1"/>
        </w:rPr>
      </w:pPr>
      <w:r>
        <w:rPr>
          <w:rStyle w:val="Style1"/>
          <w:color w:val="4F81BD" w:themeColor="accent1"/>
        </w:rPr>
        <w:t xml:space="preserve">We tested the reliability, validity, and variation in performance on this measure among 16 states for the rate of follow-up for mental health (MH) emergency </w:t>
      </w:r>
      <w:proofErr w:type="gramStart"/>
      <w:r>
        <w:rPr>
          <w:rStyle w:val="Style1"/>
          <w:color w:val="4F81BD" w:themeColor="accent1"/>
        </w:rPr>
        <w:t>department  visits</w:t>
      </w:r>
      <w:proofErr w:type="gramEnd"/>
      <w:r>
        <w:rPr>
          <w:rStyle w:val="Style1"/>
          <w:color w:val="4F81BD" w:themeColor="accent1"/>
        </w:rPr>
        <w:t xml:space="preserve"> and 15 states for the rate of follow-up for alcohol and other drug dependence (AOD) emergency department visits using fee-for-service (FFS) Medicaid claims derived from the MAX data. We used FFS claims because Medicaid managed care organizations do not submit encounters in many states or submit incomplete data that limits the ability to observe every medical or behavioral health encounter.  </w:t>
      </w:r>
    </w:p>
    <w:p w14:paraId="6F8AA724" w14:textId="17E8AA74" w:rsidR="007C666D" w:rsidRDefault="007C666D" w:rsidP="00D23AD7">
      <w:pPr>
        <w:spacing w:after="0" w:line="240" w:lineRule="auto"/>
        <w:contextualSpacing/>
        <w:rPr>
          <w:rStyle w:val="Style1"/>
          <w:color w:val="4F81BD" w:themeColor="accent1"/>
        </w:rPr>
      </w:pPr>
      <w:r>
        <w:rPr>
          <w:rStyle w:val="Style1"/>
          <w:color w:val="4F81BD" w:themeColor="accent1"/>
        </w:rPr>
        <w:t xml:space="preserve">We excluded states where FFS data were not expected to be representative (e.g. where only a small percentage of Medicaid adults were enrolled in FFS), where there was a problem with the Medicaid enrollment file or with FFS claims (e.g. inability to identify our population of interest, or missing claims), or where the denominator size of emergency department discharges was very small (less than 150). </w:t>
      </w:r>
    </w:p>
    <w:p w14:paraId="353B13A7" w14:textId="77777777" w:rsidR="007C666D" w:rsidRDefault="007C666D" w:rsidP="00D23AD7">
      <w:pPr>
        <w:spacing w:after="0" w:line="240" w:lineRule="auto"/>
        <w:contextualSpacing/>
        <w:rPr>
          <w:rStyle w:val="Style1"/>
          <w:color w:val="4F81BD" w:themeColor="accent1"/>
        </w:rPr>
      </w:pPr>
      <w:r>
        <w:rPr>
          <w:rStyle w:val="Style1"/>
          <w:color w:val="4F81BD" w:themeColor="accent1"/>
        </w:rPr>
        <w:t>Systematic Evaluation of Face Validity</w:t>
      </w:r>
    </w:p>
    <w:p w14:paraId="366DC602" w14:textId="77777777" w:rsidR="007C666D" w:rsidRDefault="007C666D" w:rsidP="00D23AD7">
      <w:pPr>
        <w:spacing w:after="0" w:line="240" w:lineRule="auto"/>
        <w:contextualSpacing/>
        <w:rPr>
          <w:rStyle w:val="Style1"/>
          <w:color w:val="4F81BD" w:themeColor="accent1"/>
        </w:rPr>
      </w:pPr>
      <w:r>
        <w:rPr>
          <w:rStyle w:val="Style1"/>
          <w:color w:val="4F81BD" w:themeColor="accent1"/>
        </w:rPr>
        <w:t>This measure was tested for validity with an expert panel (n=16), focus group (n=29), and public comment (n=20).</w:t>
      </w:r>
    </w:p>
    <w:p w14:paraId="19FC00AB" w14:textId="77777777" w:rsidR="007C666D" w:rsidRPr="00A25024" w:rsidRDefault="007C666D" w:rsidP="00D23AD7">
      <w:pPr>
        <w:autoSpaceDE w:val="0"/>
        <w:autoSpaceDN w:val="0"/>
        <w:adjustRightInd w:val="0"/>
        <w:spacing w:after="0" w:line="240" w:lineRule="auto"/>
        <w:contextualSpacing/>
        <w:rPr>
          <w:rFonts w:cstheme="minorHAnsi"/>
          <w:bCs/>
        </w:rPr>
      </w:pPr>
    </w:p>
    <w:p w14:paraId="7F9DD403" w14:textId="77777777" w:rsidR="007C666D" w:rsidRDefault="002B5016" w:rsidP="00D23AD7">
      <w:pPr>
        <w:autoSpaceDE w:val="0"/>
        <w:autoSpaceDN w:val="0"/>
        <w:adjustRightInd w:val="0"/>
        <w:spacing w:after="0" w:line="240" w:lineRule="auto"/>
        <w:contextualSpacing/>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3DB05E5" w14:textId="65EBFD36" w:rsidR="007C666D" w:rsidRDefault="007C666D" w:rsidP="00D23AD7">
      <w:pPr>
        <w:autoSpaceDE w:val="0"/>
        <w:autoSpaceDN w:val="0"/>
        <w:adjustRightInd w:val="0"/>
        <w:spacing w:after="0" w:line="240" w:lineRule="auto"/>
        <w:contextualSpacing/>
        <w:rPr>
          <w:rStyle w:val="Style1"/>
          <w:u w:val="single"/>
        </w:rPr>
      </w:pPr>
      <w:r>
        <w:rPr>
          <w:rStyle w:val="Style1"/>
          <w:b/>
          <w:bCs/>
          <w:color w:val="C00000"/>
          <w:u w:val="single"/>
        </w:rPr>
        <w:t>201</w:t>
      </w:r>
      <w:r w:rsidR="005B4052">
        <w:rPr>
          <w:rStyle w:val="Style1"/>
          <w:b/>
          <w:bCs/>
          <w:color w:val="C00000"/>
          <w:u w:val="single"/>
        </w:rPr>
        <w:t>9</w:t>
      </w:r>
      <w:r>
        <w:rPr>
          <w:rStyle w:val="Style1"/>
          <w:b/>
          <w:bCs/>
          <w:color w:val="C00000"/>
          <w:u w:val="single"/>
        </w:rPr>
        <w:t xml:space="preserve"> Submission</w:t>
      </w:r>
      <w:r>
        <w:rPr>
          <w:rStyle w:val="Style1"/>
          <w:u w:val="single"/>
        </w:rPr>
        <w:t xml:space="preserve"> </w:t>
      </w:r>
    </w:p>
    <w:p w14:paraId="747DE2DA" w14:textId="3F8CC461" w:rsidR="007C666D" w:rsidRDefault="007C666D" w:rsidP="00D23AD7">
      <w:pPr>
        <w:autoSpaceDE w:val="0"/>
        <w:autoSpaceDN w:val="0"/>
        <w:adjustRightInd w:val="0"/>
        <w:spacing w:after="0" w:line="240" w:lineRule="auto"/>
        <w:contextualSpacing/>
        <w:rPr>
          <w:rStyle w:val="Style1"/>
          <w:color w:val="C00000"/>
        </w:rPr>
      </w:pPr>
      <w:r>
        <w:rPr>
          <w:rStyle w:val="Style1"/>
          <w:color w:val="C00000"/>
          <w:u w:val="single"/>
        </w:rPr>
        <w:t>Patient sample for measure score reliability testing:</w:t>
      </w:r>
      <w:r>
        <w:rPr>
          <w:rStyle w:val="Style1"/>
          <w:color w:val="C00000"/>
        </w:rPr>
        <w:t xml:space="preserve"> Data are summarized at the health plan level and stratified by product line (i.e. commercial, Medicare, Medicaid). Below is a description of the sample. It includes number of health plans included</w:t>
      </w:r>
      <w:r w:rsidR="004064B4">
        <w:rPr>
          <w:rStyle w:val="Style1"/>
          <w:color w:val="C00000"/>
        </w:rPr>
        <w:t xml:space="preserve"> in</w:t>
      </w:r>
      <w:r>
        <w:rPr>
          <w:rStyle w:val="Style1"/>
          <w:color w:val="C00000"/>
        </w:rPr>
        <w:t xml:space="preserve"> HEDIS data collection and the median eligible population for the measure across health plans. </w:t>
      </w:r>
    </w:p>
    <w:p w14:paraId="1C74BC09" w14:textId="77777777" w:rsidR="007C666D" w:rsidRDefault="007C666D" w:rsidP="00D23AD7">
      <w:pPr>
        <w:autoSpaceDE w:val="0"/>
        <w:autoSpaceDN w:val="0"/>
        <w:adjustRightInd w:val="0"/>
        <w:spacing w:after="0" w:line="240" w:lineRule="auto"/>
        <w:contextualSpacing/>
        <w:rPr>
          <w:rStyle w:val="Style1"/>
          <w:color w:val="C00000"/>
        </w:rPr>
      </w:pPr>
    </w:p>
    <w:p w14:paraId="455E5C0B" w14:textId="697B46AC" w:rsidR="007C666D" w:rsidRDefault="007C666D" w:rsidP="00D23AD7">
      <w:pPr>
        <w:autoSpaceDE w:val="0"/>
        <w:autoSpaceDN w:val="0"/>
        <w:adjustRightInd w:val="0"/>
        <w:spacing w:after="0" w:line="240" w:lineRule="auto"/>
        <w:contextualSpacing/>
        <w:rPr>
          <w:rStyle w:val="Style1"/>
          <w:color w:val="C00000"/>
        </w:rPr>
      </w:pPr>
      <w:r>
        <w:rPr>
          <w:rStyle w:val="Style1"/>
          <w:color w:val="C00000"/>
        </w:rPr>
        <w:t xml:space="preserve">Table 1. Median </w:t>
      </w:r>
      <w:r w:rsidR="00DB5043">
        <w:rPr>
          <w:rStyle w:val="Style1"/>
          <w:color w:val="C00000"/>
        </w:rPr>
        <w:t>denominator size</w:t>
      </w:r>
      <w:r>
        <w:rPr>
          <w:rStyle w:val="Style1"/>
          <w:color w:val="C00000"/>
        </w:rPr>
        <w:t xml:space="preserve"> for the </w:t>
      </w:r>
      <w:r w:rsidR="00050880" w:rsidRPr="00050880">
        <w:rPr>
          <w:rStyle w:val="Style1"/>
          <w:i/>
          <w:color w:val="C00000"/>
        </w:rPr>
        <w:t>Follow-Up After Emergency Department Visit for Mental Illness</w:t>
      </w:r>
      <w:r>
        <w:rPr>
          <w:rStyle w:val="Style1"/>
          <w:color w:val="C00000"/>
        </w:rPr>
        <w:t xml:space="preserve"> measure by plan type, 2017</w:t>
      </w:r>
    </w:p>
    <w:tbl>
      <w:tblPr>
        <w:tblStyle w:val="TableGrid"/>
        <w:tblW w:w="0" w:type="auto"/>
        <w:tblLook w:val="04A0" w:firstRow="1" w:lastRow="0" w:firstColumn="1" w:lastColumn="0" w:noHBand="0" w:noVBand="1"/>
      </w:tblPr>
      <w:tblGrid>
        <w:gridCol w:w="3116"/>
        <w:gridCol w:w="1829"/>
        <w:gridCol w:w="4405"/>
      </w:tblGrid>
      <w:tr w:rsidR="007C666D" w14:paraId="3B149FDE" w14:textId="77777777" w:rsidTr="007C666D">
        <w:tc>
          <w:tcPr>
            <w:tcW w:w="3116" w:type="dxa"/>
            <w:tcBorders>
              <w:top w:val="single" w:sz="4" w:space="0" w:color="auto"/>
              <w:left w:val="single" w:sz="4" w:space="0" w:color="auto"/>
              <w:bottom w:val="single" w:sz="4" w:space="0" w:color="auto"/>
              <w:right w:val="single" w:sz="4" w:space="0" w:color="auto"/>
            </w:tcBorders>
            <w:hideMark/>
          </w:tcPr>
          <w:p w14:paraId="4FFDE35E" w14:textId="77777777" w:rsidR="007C666D" w:rsidRDefault="007C666D" w:rsidP="00D23AD7">
            <w:pPr>
              <w:autoSpaceDE w:val="0"/>
              <w:autoSpaceDN w:val="0"/>
              <w:adjustRightInd w:val="0"/>
              <w:contextualSpacing/>
              <w:rPr>
                <w:rStyle w:val="Style1"/>
                <w:color w:val="C00000"/>
              </w:rPr>
            </w:pPr>
            <w:r>
              <w:rPr>
                <w:rStyle w:val="Style1"/>
                <w:color w:val="C00000"/>
              </w:rPr>
              <w:t>Product Type</w:t>
            </w:r>
          </w:p>
        </w:tc>
        <w:tc>
          <w:tcPr>
            <w:tcW w:w="1829" w:type="dxa"/>
            <w:tcBorders>
              <w:top w:val="single" w:sz="4" w:space="0" w:color="auto"/>
              <w:left w:val="single" w:sz="4" w:space="0" w:color="auto"/>
              <w:bottom w:val="single" w:sz="4" w:space="0" w:color="auto"/>
              <w:right w:val="single" w:sz="4" w:space="0" w:color="auto"/>
            </w:tcBorders>
            <w:hideMark/>
          </w:tcPr>
          <w:p w14:paraId="5A087107" w14:textId="77777777" w:rsidR="007C666D" w:rsidRDefault="007C666D" w:rsidP="00D23AD7">
            <w:pPr>
              <w:autoSpaceDE w:val="0"/>
              <w:autoSpaceDN w:val="0"/>
              <w:adjustRightInd w:val="0"/>
              <w:contextualSpacing/>
              <w:rPr>
                <w:rStyle w:val="Style1"/>
                <w:color w:val="C00000"/>
              </w:rPr>
            </w:pPr>
            <w:r>
              <w:rPr>
                <w:rStyle w:val="Style1"/>
                <w:color w:val="C00000"/>
              </w:rPr>
              <w:t>Number of Plans</w:t>
            </w:r>
          </w:p>
        </w:tc>
        <w:tc>
          <w:tcPr>
            <w:tcW w:w="4405" w:type="dxa"/>
            <w:tcBorders>
              <w:top w:val="single" w:sz="4" w:space="0" w:color="auto"/>
              <w:left w:val="single" w:sz="4" w:space="0" w:color="auto"/>
              <w:bottom w:val="single" w:sz="4" w:space="0" w:color="auto"/>
              <w:right w:val="single" w:sz="4" w:space="0" w:color="auto"/>
            </w:tcBorders>
            <w:hideMark/>
          </w:tcPr>
          <w:p w14:paraId="10E4F841" w14:textId="4ABBA6C1" w:rsidR="007C666D" w:rsidRDefault="007C666D" w:rsidP="00D23AD7">
            <w:pPr>
              <w:autoSpaceDE w:val="0"/>
              <w:autoSpaceDN w:val="0"/>
              <w:adjustRightInd w:val="0"/>
              <w:contextualSpacing/>
              <w:rPr>
                <w:rStyle w:val="Style1"/>
                <w:color w:val="C00000"/>
              </w:rPr>
            </w:pPr>
            <w:r>
              <w:rPr>
                <w:rStyle w:val="Style1"/>
                <w:color w:val="C00000"/>
              </w:rPr>
              <w:t xml:space="preserve">Median number of </w:t>
            </w:r>
            <w:proofErr w:type="gramStart"/>
            <w:r w:rsidR="00DB5043">
              <w:rPr>
                <w:rStyle w:val="Style1"/>
                <w:color w:val="C00000"/>
              </w:rPr>
              <w:t xml:space="preserve">encounters </w:t>
            </w:r>
            <w:r>
              <w:rPr>
                <w:rStyle w:val="Style1"/>
                <w:color w:val="C00000"/>
              </w:rPr>
              <w:t xml:space="preserve"> per</w:t>
            </w:r>
            <w:proofErr w:type="gramEnd"/>
            <w:r>
              <w:rPr>
                <w:rStyle w:val="Style1"/>
                <w:color w:val="C00000"/>
              </w:rPr>
              <w:t xml:space="preserve"> plan</w:t>
            </w:r>
          </w:p>
        </w:tc>
      </w:tr>
      <w:tr w:rsidR="007C666D" w14:paraId="54A03BA6" w14:textId="77777777" w:rsidTr="004C4D25">
        <w:tc>
          <w:tcPr>
            <w:tcW w:w="3116" w:type="dxa"/>
            <w:tcBorders>
              <w:top w:val="single" w:sz="4" w:space="0" w:color="auto"/>
              <w:left w:val="single" w:sz="4" w:space="0" w:color="auto"/>
              <w:bottom w:val="single" w:sz="4" w:space="0" w:color="auto"/>
              <w:right w:val="single" w:sz="4" w:space="0" w:color="auto"/>
            </w:tcBorders>
            <w:hideMark/>
          </w:tcPr>
          <w:p w14:paraId="2145E1B7" w14:textId="77777777" w:rsidR="007C666D" w:rsidRDefault="007C666D" w:rsidP="00D23AD7">
            <w:pPr>
              <w:autoSpaceDE w:val="0"/>
              <w:autoSpaceDN w:val="0"/>
              <w:adjustRightInd w:val="0"/>
              <w:contextualSpacing/>
              <w:rPr>
                <w:rStyle w:val="Style1"/>
                <w:color w:val="C00000"/>
              </w:rPr>
            </w:pPr>
            <w:r>
              <w:rPr>
                <w:rStyle w:val="Style1"/>
                <w:color w:val="C00000"/>
              </w:rPr>
              <w:t>Commercial</w:t>
            </w:r>
          </w:p>
        </w:tc>
        <w:tc>
          <w:tcPr>
            <w:tcW w:w="1829" w:type="dxa"/>
            <w:tcBorders>
              <w:top w:val="single" w:sz="4" w:space="0" w:color="auto"/>
              <w:left w:val="single" w:sz="4" w:space="0" w:color="auto"/>
              <w:bottom w:val="single" w:sz="4" w:space="0" w:color="auto"/>
              <w:right w:val="single" w:sz="4" w:space="0" w:color="auto"/>
            </w:tcBorders>
            <w:vAlign w:val="center"/>
          </w:tcPr>
          <w:p w14:paraId="10F0E9B2" w14:textId="3E00148F" w:rsidR="007C666D" w:rsidRDefault="004C4D25" w:rsidP="004C4D25">
            <w:pPr>
              <w:autoSpaceDE w:val="0"/>
              <w:autoSpaceDN w:val="0"/>
              <w:adjustRightInd w:val="0"/>
              <w:contextualSpacing/>
              <w:jc w:val="center"/>
              <w:rPr>
                <w:rStyle w:val="Style1"/>
                <w:color w:val="C00000"/>
              </w:rPr>
            </w:pPr>
            <w:r>
              <w:rPr>
                <w:rStyle w:val="Style1"/>
                <w:color w:val="C00000"/>
              </w:rPr>
              <w:t>319</w:t>
            </w:r>
          </w:p>
        </w:tc>
        <w:tc>
          <w:tcPr>
            <w:tcW w:w="4405" w:type="dxa"/>
            <w:tcBorders>
              <w:top w:val="single" w:sz="4" w:space="0" w:color="auto"/>
              <w:left w:val="single" w:sz="4" w:space="0" w:color="auto"/>
              <w:bottom w:val="single" w:sz="4" w:space="0" w:color="auto"/>
              <w:right w:val="single" w:sz="4" w:space="0" w:color="auto"/>
            </w:tcBorders>
            <w:vAlign w:val="center"/>
          </w:tcPr>
          <w:p w14:paraId="05421EB2" w14:textId="36348D95" w:rsidR="007C666D" w:rsidRDefault="004C4D25" w:rsidP="004C4D25">
            <w:pPr>
              <w:autoSpaceDE w:val="0"/>
              <w:autoSpaceDN w:val="0"/>
              <w:adjustRightInd w:val="0"/>
              <w:contextualSpacing/>
              <w:jc w:val="center"/>
              <w:rPr>
                <w:rStyle w:val="Style1"/>
                <w:color w:val="C00000"/>
              </w:rPr>
            </w:pPr>
            <w:r>
              <w:rPr>
                <w:rStyle w:val="Style1"/>
                <w:color w:val="C00000"/>
              </w:rPr>
              <w:t>194</w:t>
            </w:r>
          </w:p>
        </w:tc>
      </w:tr>
      <w:tr w:rsidR="007C666D" w14:paraId="49F0466E" w14:textId="77777777" w:rsidTr="004C4D25">
        <w:tc>
          <w:tcPr>
            <w:tcW w:w="3116" w:type="dxa"/>
            <w:tcBorders>
              <w:top w:val="single" w:sz="4" w:space="0" w:color="auto"/>
              <w:left w:val="single" w:sz="4" w:space="0" w:color="auto"/>
              <w:bottom w:val="single" w:sz="4" w:space="0" w:color="auto"/>
              <w:right w:val="single" w:sz="4" w:space="0" w:color="auto"/>
            </w:tcBorders>
            <w:hideMark/>
          </w:tcPr>
          <w:p w14:paraId="221D36DC" w14:textId="77777777" w:rsidR="007C666D" w:rsidRDefault="007C666D" w:rsidP="00D23AD7">
            <w:pPr>
              <w:autoSpaceDE w:val="0"/>
              <w:autoSpaceDN w:val="0"/>
              <w:adjustRightInd w:val="0"/>
              <w:contextualSpacing/>
              <w:rPr>
                <w:rStyle w:val="Style1"/>
                <w:color w:val="C00000"/>
              </w:rPr>
            </w:pPr>
            <w:r>
              <w:rPr>
                <w:rStyle w:val="Style1"/>
                <w:color w:val="C00000"/>
              </w:rPr>
              <w:lastRenderedPageBreak/>
              <w:t>Medicaid</w:t>
            </w:r>
          </w:p>
        </w:tc>
        <w:tc>
          <w:tcPr>
            <w:tcW w:w="1829" w:type="dxa"/>
            <w:tcBorders>
              <w:top w:val="single" w:sz="4" w:space="0" w:color="auto"/>
              <w:left w:val="single" w:sz="4" w:space="0" w:color="auto"/>
              <w:bottom w:val="single" w:sz="4" w:space="0" w:color="auto"/>
              <w:right w:val="single" w:sz="4" w:space="0" w:color="auto"/>
            </w:tcBorders>
            <w:vAlign w:val="center"/>
          </w:tcPr>
          <w:p w14:paraId="55CE4A72" w14:textId="5E67BA18" w:rsidR="007C666D" w:rsidRDefault="004C4D25" w:rsidP="004C4D25">
            <w:pPr>
              <w:autoSpaceDE w:val="0"/>
              <w:autoSpaceDN w:val="0"/>
              <w:adjustRightInd w:val="0"/>
              <w:contextualSpacing/>
              <w:jc w:val="center"/>
              <w:rPr>
                <w:rStyle w:val="Style1"/>
                <w:color w:val="C00000"/>
              </w:rPr>
            </w:pPr>
            <w:r>
              <w:rPr>
                <w:rStyle w:val="Style1"/>
                <w:color w:val="C00000"/>
              </w:rPr>
              <w:t>166</w:t>
            </w:r>
          </w:p>
        </w:tc>
        <w:tc>
          <w:tcPr>
            <w:tcW w:w="4405" w:type="dxa"/>
            <w:tcBorders>
              <w:top w:val="single" w:sz="4" w:space="0" w:color="auto"/>
              <w:left w:val="single" w:sz="4" w:space="0" w:color="auto"/>
              <w:bottom w:val="single" w:sz="4" w:space="0" w:color="auto"/>
              <w:right w:val="single" w:sz="4" w:space="0" w:color="auto"/>
            </w:tcBorders>
            <w:vAlign w:val="center"/>
          </w:tcPr>
          <w:p w14:paraId="660ADDEA" w14:textId="54B9C59B" w:rsidR="007C666D" w:rsidRDefault="004C4D25" w:rsidP="004C4D25">
            <w:pPr>
              <w:autoSpaceDE w:val="0"/>
              <w:autoSpaceDN w:val="0"/>
              <w:adjustRightInd w:val="0"/>
              <w:contextualSpacing/>
              <w:jc w:val="center"/>
              <w:rPr>
                <w:rStyle w:val="Style1"/>
                <w:color w:val="C00000"/>
              </w:rPr>
            </w:pPr>
            <w:r>
              <w:rPr>
                <w:rStyle w:val="Style1"/>
                <w:color w:val="C00000"/>
              </w:rPr>
              <w:t>698</w:t>
            </w:r>
          </w:p>
        </w:tc>
      </w:tr>
      <w:tr w:rsidR="007C666D" w14:paraId="4DBB955E" w14:textId="77777777" w:rsidTr="004C4D25">
        <w:tc>
          <w:tcPr>
            <w:tcW w:w="3116" w:type="dxa"/>
            <w:tcBorders>
              <w:top w:val="single" w:sz="4" w:space="0" w:color="auto"/>
              <w:left w:val="single" w:sz="4" w:space="0" w:color="auto"/>
              <w:bottom w:val="single" w:sz="4" w:space="0" w:color="auto"/>
              <w:right w:val="single" w:sz="4" w:space="0" w:color="auto"/>
            </w:tcBorders>
            <w:hideMark/>
          </w:tcPr>
          <w:p w14:paraId="21CABD6F" w14:textId="77777777" w:rsidR="007C666D" w:rsidRDefault="007C666D" w:rsidP="00D23AD7">
            <w:pPr>
              <w:autoSpaceDE w:val="0"/>
              <w:autoSpaceDN w:val="0"/>
              <w:adjustRightInd w:val="0"/>
              <w:contextualSpacing/>
              <w:rPr>
                <w:rStyle w:val="Style1"/>
                <w:color w:val="C00000"/>
              </w:rPr>
            </w:pPr>
            <w:r>
              <w:rPr>
                <w:rStyle w:val="Style1"/>
                <w:color w:val="C00000"/>
              </w:rPr>
              <w:t>Medicare</w:t>
            </w:r>
          </w:p>
        </w:tc>
        <w:tc>
          <w:tcPr>
            <w:tcW w:w="1829" w:type="dxa"/>
            <w:tcBorders>
              <w:top w:val="single" w:sz="4" w:space="0" w:color="auto"/>
              <w:left w:val="single" w:sz="4" w:space="0" w:color="auto"/>
              <w:bottom w:val="single" w:sz="4" w:space="0" w:color="auto"/>
              <w:right w:val="single" w:sz="4" w:space="0" w:color="auto"/>
            </w:tcBorders>
            <w:vAlign w:val="center"/>
          </w:tcPr>
          <w:p w14:paraId="79D20C22" w14:textId="37297FED" w:rsidR="007C666D" w:rsidRDefault="004C4D25" w:rsidP="004C4D25">
            <w:pPr>
              <w:autoSpaceDE w:val="0"/>
              <w:autoSpaceDN w:val="0"/>
              <w:adjustRightInd w:val="0"/>
              <w:contextualSpacing/>
              <w:jc w:val="center"/>
              <w:rPr>
                <w:rStyle w:val="Style1"/>
                <w:color w:val="C00000"/>
              </w:rPr>
            </w:pPr>
            <w:r>
              <w:rPr>
                <w:rStyle w:val="Style1"/>
                <w:color w:val="C00000"/>
              </w:rPr>
              <w:t>264</w:t>
            </w:r>
          </w:p>
        </w:tc>
        <w:tc>
          <w:tcPr>
            <w:tcW w:w="4405" w:type="dxa"/>
            <w:tcBorders>
              <w:top w:val="single" w:sz="4" w:space="0" w:color="auto"/>
              <w:left w:val="single" w:sz="4" w:space="0" w:color="auto"/>
              <w:bottom w:val="single" w:sz="4" w:space="0" w:color="auto"/>
              <w:right w:val="single" w:sz="4" w:space="0" w:color="auto"/>
            </w:tcBorders>
            <w:vAlign w:val="center"/>
          </w:tcPr>
          <w:p w14:paraId="0A287921" w14:textId="59A0EE9F" w:rsidR="007C666D" w:rsidRDefault="004C4D25" w:rsidP="004C4D25">
            <w:pPr>
              <w:autoSpaceDE w:val="0"/>
              <w:autoSpaceDN w:val="0"/>
              <w:adjustRightInd w:val="0"/>
              <w:contextualSpacing/>
              <w:jc w:val="center"/>
              <w:rPr>
                <w:rStyle w:val="Style1"/>
                <w:color w:val="C00000"/>
              </w:rPr>
            </w:pPr>
            <w:r>
              <w:rPr>
                <w:rStyle w:val="Style1"/>
                <w:color w:val="C00000"/>
              </w:rPr>
              <w:t>94</w:t>
            </w:r>
          </w:p>
        </w:tc>
      </w:tr>
    </w:tbl>
    <w:p w14:paraId="305E21B3" w14:textId="77777777" w:rsidR="007C666D" w:rsidRDefault="007C666D" w:rsidP="00D23AD7">
      <w:pPr>
        <w:autoSpaceDE w:val="0"/>
        <w:autoSpaceDN w:val="0"/>
        <w:adjustRightInd w:val="0"/>
        <w:spacing w:after="0" w:line="240" w:lineRule="auto"/>
        <w:contextualSpacing/>
        <w:rPr>
          <w:rFonts w:cstheme="minorHAnsi"/>
          <w:bCs/>
        </w:rPr>
      </w:pPr>
    </w:p>
    <w:p w14:paraId="263F8EBF" w14:textId="77777777" w:rsidR="007C666D" w:rsidRDefault="007C666D" w:rsidP="00D23AD7">
      <w:pPr>
        <w:autoSpaceDE w:val="0"/>
        <w:autoSpaceDN w:val="0"/>
        <w:adjustRightInd w:val="0"/>
        <w:spacing w:after="0" w:line="240" w:lineRule="auto"/>
        <w:contextualSpacing/>
        <w:rPr>
          <w:color w:val="4F81BD" w:themeColor="accent1"/>
        </w:rPr>
      </w:pPr>
      <w:r>
        <w:rPr>
          <w:rStyle w:val="Style1"/>
          <w:b/>
          <w:bCs/>
          <w:color w:val="4F81BD" w:themeColor="accent1"/>
          <w:u w:val="single"/>
        </w:rPr>
        <w:t>2014 Submission</w:t>
      </w:r>
    </w:p>
    <w:p w14:paraId="6F53EA22"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Our analysis includes all Medicaid enrollees ages 18 and over. We excluded enrollees for whom Medicaid data would not be expected to include all instances of care provision including individuals who were (1) dually eligible for Medicare, (2) did not have full Medicaid benefits, (3) had private insurance, or (4) were enrolled in Medicaid for less than one calendar year. </w:t>
      </w:r>
    </w:p>
    <w:p w14:paraId="014A15C3"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The measure is calculated for two populations: (1) patients with a mental health emergency department visit and (2) patients with an alcohol or other drug dependence emergency department visit. For each population, there are two rates – follow-up within 7 days of emergency department discharge and follow up within 30 days of emergency department discharge. Table 1 summarizes the number and characteristics of individuals used to calculate the rates. </w:t>
      </w:r>
    </w:p>
    <w:p w14:paraId="1231939D"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Table 1. Characteristics of patients in each denominator across all states included in analysis: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1198"/>
        <w:gridCol w:w="1542"/>
        <w:gridCol w:w="952"/>
        <w:gridCol w:w="1226"/>
      </w:tblGrid>
      <w:tr w:rsidR="007C666D" w14:paraId="21436E01" w14:textId="77777777" w:rsidTr="007C666D">
        <w:trPr>
          <w:trHeight w:val="315"/>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2F8A33D" w14:textId="77777777" w:rsidR="007C666D" w:rsidRDefault="007C666D" w:rsidP="00D23AD7">
            <w:pPr>
              <w:spacing w:after="0" w:line="240" w:lineRule="auto"/>
              <w:contextualSpacing/>
              <w:rPr>
                <w:rStyle w:val="Style1"/>
                <w:color w:val="4F81BD" w:themeColor="accent1"/>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14:paraId="679B18C9" w14:textId="77777777" w:rsidR="007C666D" w:rsidRDefault="007C666D" w:rsidP="00D23AD7">
            <w:pPr>
              <w:spacing w:after="0" w:line="240" w:lineRule="auto"/>
              <w:contextualSpacing/>
              <w:rPr>
                <w:rStyle w:val="Style1"/>
                <w:color w:val="4F81BD" w:themeColor="accent1"/>
              </w:rPr>
            </w:pPr>
            <w:r>
              <w:rPr>
                <w:rStyle w:val="Style1"/>
                <w:color w:val="4F81BD" w:themeColor="accent1"/>
              </w:rPr>
              <w:t>Mental Health Denominator</w:t>
            </w:r>
          </w:p>
        </w:tc>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4412D35D" w14:textId="77777777" w:rsidR="007C666D" w:rsidRDefault="007C666D" w:rsidP="00D23AD7">
            <w:pPr>
              <w:spacing w:after="0" w:line="240" w:lineRule="auto"/>
              <w:contextualSpacing/>
              <w:rPr>
                <w:rStyle w:val="Style1"/>
                <w:color w:val="4F81BD" w:themeColor="accent1"/>
              </w:rPr>
            </w:pPr>
            <w:r>
              <w:rPr>
                <w:rStyle w:val="Style1"/>
                <w:color w:val="4F81BD" w:themeColor="accent1"/>
              </w:rPr>
              <w:t>AOD Denominator</w:t>
            </w:r>
          </w:p>
        </w:tc>
      </w:tr>
      <w:tr w:rsidR="007C666D" w14:paraId="66B62F68" w14:textId="77777777" w:rsidTr="007C666D">
        <w:trPr>
          <w:trHeight w:val="315"/>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2DFE053" w14:textId="77777777" w:rsidR="007C666D" w:rsidRDefault="007C666D" w:rsidP="00D23AD7">
            <w:pPr>
              <w:spacing w:after="0" w:line="240" w:lineRule="auto"/>
              <w:contextualSpacing/>
              <w:rPr>
                <w:rStyle w:val="Style1"/>
                <w:color w:val="4F81BD" w:themeColor="accent1"/>
              </w:rPr>
            </w:pPr>
            <w:r>
              <w:rPr>
                <w:rStyle w:val="Style1"/>
                <w:color w:val="4F81BD" w:themeColor="accent1"/>
              </w:rPr>
              <w:t>Number of states</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14:paraId="51ADA053" w14:textId="77777777" w:rsidR="007C666D" w:rsidRDefault="007C666D" w:rsidP="00D23AD7">
            <w:pPr>
              <w:spacing w:after="0" w:line="240" w:lineRule="auto"/>
              <w:contextualSpacing/>
              <w:rPr>
                <w:rStyle w:val="Style1"/>
                <w:color w:val="4F81BD" w:themeColor="accent1"/>
              </w:rPr>
            </w:pPr>
            <w:r>
              <w:rPr>
                <w:rStyle w:val="Style1"/>
                <w:color w:val="4F81BD" w:themeColor="accent1"/>
              </w:rPr>
              <w:t>N = 16</w:t>
            </w:r>
          </w:p>
        </w:tc>
        <w:tc>
          <w:tcPr>
            <w:tcW w:w="0" w:type="auto"/>
            <w:gridSpan w:val="2"/>
            <w:tcBorders>
              <w:top w:val="single" w:sz="4" w:space="0" w:color="auto"/>
              <w:left w:val="single" w:sz="4" w:space="0" w:color="auto"/>
              <w:bottom w:val="single" w:sz="4" w:space="0" w:color="auto"/>
              <w:right w:val="single" w:sz="4" w:space="0" w:color="auto"/>
            </w:tcBorders>
            <w:noWrap/>
            <w:vAlign w:val="bottom"/>
            <w:hideMark/>
          </w:tcPr>
          <w:p w14:paraId="0CEC77A2" w14:textId="77777777" w:rsidR="007C666D" w:rsidRDefault="007C666D" w:rsidP="00D23AD7">
            <w:pPr>
              <w:spacing w:after="0" w:line="240" w:lineRule="auto"/>
              <w:contextualSpacing/>
              <w:rPr>
                <w:rStyle w:val="Style1"/>
                <w:color w:val="4F81BD" w:themeColor="accent1"/>
              </w:rPr>
            </w:pPr>
            <w:r>
              <w:rPr>
                <w:rStyle w:val="Style1"/>
                <w:color w:val="4F81BD" w:themeColor="accent1"/>
              </w:rPr>
              <w:t>N = 15</w:t>
            </w:r>
          </w:p>
        </w:tc>
      </w:tr>
      <w:tr w:rsidR="007C666D" w14:paraId="6EC7D1B9" w14:textId="77777777" w:rsidTr="007C666D">
        <w:trPr>
          <w:trHeight w:val="315"/>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6459367" w14:textId="77777777" w:rsidR="007C666D" w:rsidRDefault="007C666D" w:rsidP="00D23AD7">
            <w:pPr>
              <w:spacing w:after="0" w:line="240" w:lineRule="auto"/>
              <w:contextualSpacing/>
              <w:rPr>
                <w:rStyle w:val="Style1"/>
                <w:color w:val="4F81BD" w:themeColor="accent1"/>
              </w:rPr>
            </w:pPr>
            <w:r>
              <w:rPr>
                <w:rStyle w:val="Style1"/>
                <w:color w:val="4F81BD" w:themeColor="accent1"/>
              </w:rPr>
              <w:t>Characteristic</w:t>
            </w:r>
          </w:p>
        </w:tc>
        <w:tc>
          <w:tcPr>
            <w:tcW w:w="0" w:type="auto"/>
            <w:tcBorders>
              <w:top w:val="single" w:sz="4" w:space="0" w:color="auto"/>
              <w:left w:val="single" w:sz="4" w:space="0" w:color="auto"/>
              <w:bottom w:val="single" w:sz="4" w:space="0" w:color="auto"/>
              <w:right w:val="single" w:sz="4" w:space="0" w:color="auto"/>
            </w:tcBorders>
            <w:vAlign w:val="bottom"/>
            <w:hideMark/>
          </w:tcPr>
          <w:p w14:paraId="6634C276" w14:textId="77777777" w:rsidR="007C666D" w:rsidRDefault="007C666D" w:rsidP="00D23AD7">
            <w:pPr>
              <w:spacing w:after="0" w:line="240" w:lineRule="auto"/>
              <w:contextualSpacing/>
              <w:rPr>
                <w:rStyle w:val="Style1"/>
                <w:color w:val="4F81BD" w:themeColor="accent1"/>
              </w:rPr>
            </w:pPr>
            <w:r>
              <w:rPr>
                <w:rStyle w:val="Style1"/>
                <w:color w:val="4F81BD" w:themeColor="accent1"/>
              </w:rPr>
              <w:t>Number</w:t>
            </w:r>
          </w:p>
        </w:tc>
        <w:tc>
          <w:tcPr>
            <w:tcW w:w="0" w:type="auto"/>
            <w:tcBorders>
              <w:top w:val="single" w:sz="4" w:space="0" w:color="auto"/>
              <w:left w:val="single" w:sz="4" w:space="0" w:color="auto"/>
              <w:bottom w:val="single" w:sz="4" w:space="0" w:color="auto"/>
              <w:right w:val="single" w:sz="4" w:space="0" w:color="auto"/>
            </w:tcBorders>
            <w:vAlign w:val="bottom"/>
            <w:hideMark/>
          </w:tcPr>
          <w:p w14:paraId="11152660" w14:textId="77777777" w:rsidR="007C666D" w:rsidRDefault="007C666D" w:rsidP="00D23AD7">
            <w:pPr>
              <w:spacing w:after="0" w:line="240" w:lineRule="auto"/>
              <w:contextualSpacing/>
              <w:rPr>
                <w:rStyle w:val="Style1"/>
                <w:color w:val="4F81BD" w:themeColor="accent1"/>
              </w:rPr>
            </w:pPr>
            <w:r>
              <w:rPr>
                <w:rStyle w:val="Style1"/>
                <w:color w:val="4F81BD" w:themeColor="accent1"/>
              </w:rPr>
              <w:t>Percentage</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36DEDDD" w14:textId="77777777" w:rsidR="007C666D" w:rsidRDefault="007C666D" w:rsidP="00D23AD7">
            <w:pPr>
              <w:spacing w:after="0" w:line="240" w:lineRule="auto"/>
              <w:contextualSpacing/>
              <w:rPr>
                <w:rStyle w:val="Style1"/>
                <w:color w:val="4F81BD" w:themeColor="accent1"/>
              </w:rPr>
            </w:pPr>
            <w:r>
              <w:rPr>
                <w:rStyle w:val="Style1"/>
                <w:color w:val="4F81BD" w:themeColor="accent1"/>
              </w:rPr>
              <w:t>Number</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B4B31F1" w14:textId="77777777" w:rsidR="007C666D" w:rsidRDefault="007C666D" w:rsidP="00D23AD7">
            <w:pPr>
              <w:spacing w:after="0" w:line="240" w:lineRule="auto"/>
              <w:contextualSpacing/>
              <w:rPr>
                <w:rStyle w:val="Style1"/>
                <w:color w:val="4F81BD" w:themeColor="accent1"/>
              </w:rPr>
            </w:pPr>
            <w:r>
              <w:rPr>
                <w:rStyle w:val="Style1"/>
                <w:color w:val="4F81BD" w:themeColor="accent1"/>
              </w:rPr>
              <w:t>Percentage</w:t>
            </w:r>
          </w:p>
        </w:tc>
      </w:tr>
      <w:tr w:rsidR="007C666D" w14:paraId="460257B3"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2C5AAFC" w14:textId="77777777" w:rsidR="007C666D" w:rsidRDefault="007C666D" w:rsidP="00D23AD7">
            <w:pPr>
              <w:spacing w:after="0" w:line="240" w:lineRule="auto"/>
              <w:contextualSpacing/>
              <w:rPr>
                <w:rStyle w:val="Style1"/>
                <w:color w:val="4F81BD" w:themeColor="accent1"/>
              </w:rPr>
            </w:pPr>
            <w:r>
              <w:rPr>
                <w:rStyle w:val="Style1"/>
                <w:color w:val="4F81BD" w:themeColor="accent1"/>
              </w:rPr>
              <w:t>Total Individuals</w:t>
            </w:r>
          </w:p>
        </w:tc>
        <w:tc>
          <w:tcPr>
            <w:tcW w:w="0" w:type="auto"/>
            <w:tcBorders>
              <w:top w:val="single" w:sz="4" w:space="0" w:color="auto"/>
              <w:left w:val="single" w:sz="4" w:space="0" w:color="auto"/>
              <w:bottom w:val="single" w:sz="4" w:space="0" w:color="auto"/>
              <w:right w:val="single" w:sz="4" w:space="0" w:color="auto"/>
            </w:tcBorders>
            <w:vAlign w:val="bottom"/>
            <w:hideMark/>
          </w:tcPr>
          <w:p w14:paraId="743D33ED" w14:textId="77777777" w:rsidR="007C666D" w:rsidRDefault="007C666D" w:rsidP="00D23AD7">
            <w:pPr>
              <w:spacing w:after="0" w:line="240" w:lineRule="auto"/>
              <w:contextualSpacing/>
              <w:rPr>
                <w:rStyle w:val="Style1"/>
                <w:color w:val="4F81BD" w:themeColor="accent1"/>
              </w:rPr>
            </w:pPr>
            <w:r>
              <w:rPr>
                <w:rStyle w:val="Style1"/>
                <w:color w:val="4F81BD" w:themeColor="accent1"/>
              </w:rPr>
              <w:t>26,982</w:t>
            </w:r>
          </w:p>
        </w:tc>
        <w:tc>
          <w:tcPr>
            <w:tcW w:w="0" w:type="auto"/>
            <w:tcBorders>
              <w:top w:val="single" w:sz="4" w:space="0" w:color="auto"/>
              <w:left w:val="single" w:sz="4" w:space="0" w:color="auto"/>
              <w:bottom w:val="single" w:sz="4" w:space="0" w:color="auto"/>
              <w:right w:val="single" w:sz="4" w:space="0" w:color="auto"/>
            </w:tcBorders>
            <w:vAlign w:val="bottom"/>
            <w:hideMark/>
          </w:tcPr>
          <w:p w14:paraId="6AFDF5A5" w14:textId="77777777" w:rsidR="007C666D" w:rsidRDefault="007C666D" w:rsidP="00D23AD7">
            <w:pPr>
              <w:spacing w:after="0" w:line="240" w:lineRule="auto"/>
              <w:contextualSpacing/>
              <w:rPr>
                <w:rStyle w:val="Style1"/>
                <w:color w:val="4F81BD" w:themeColor="accent1"/>
              </w:rPr>
            </w:pPr>
            <w:r>
              <w:rPr>
                <w:rStyle w:val="Style1"/>
                <w:color w:val="4F81BD" w:themeColor="accent1"/>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BC5B719" w14:textId="77777777" w:rsidR="007C666D" w:rsidRDefault="007C666D" w:rsidP="00D23AD7">
            <w:pPr>
              <w:spacing w:after="0" w:line="240" w:lineRule="auto"/>
              <w:contextualSpacing/>
              <w:rPr>
                <w:rStyle w:val="Style1"/>
                <w:color w:val="4F81BD" w:themeColor="accent1"/>
              </w:rPr>
            </w:pPr>
            <w:r>
              <w:rPr>
                <w:rStyle w:val="Style1"/>
                <w:color w:val="4F81BD" w:themeColor="accent1"/>
              </w:rPr>
              <w:t>11,743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B0E132C" w14:textId="77777777" w:rsidR="007C666D" w:rsidRDefault="007C666D" w:rsidP="00D23AD7">
            <w:pPr>
              <w:spacing w:after="0" w:line="240" w:lineRule="auto"/>
              <w:contextualSpacing/>
              <w:rPr>
                <w:rStyle w:val="Style1"/>
                <w:color w:val="4F81BD" w:themeColor="accent1"/>
              </w:rPr>
            </w:pPr>
            <w:r>
              <w:rPr>
                <w:rStyle w:val="Style1"/>
                <w:color w:val="4F81BD" w:themeColor="accent1"/>
              </w:rPr>
              <w:t>100</w:t>
            </w:r>
          </w:p>
        </w:tc>
      </w:tr>
      <w:tr w:rsidR="007C666D" w14:paraId="6BEA2C4B"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2EB4A43" w14:textId="77777777" w:rsidR="007C666D" w:rsidRDefault="007C666D" w:rsidP="00D23AD7">
            <w:pPr>
              <w:spacing w:after="0" w:line="240" w:lineRule="auto"/>
              <w:contextualSpacing/>
              <w:rPr>
                <w:rStyle w:val="Style1"/>
                <w:color w:val="4F81BD" w:themeColor="accent1"/>
              </w:rPr>
            </w:pPr>
            <w:r>
              <w:rPr>
                <w:rStyle w:val="Style1"/>
                <w:color w:val="4F81BD" w:themeColor="accent1"/>
              </w:rPr>
              <w:t>Gender</w:t>
            </w:r>
          </w:p>
        </w:tc>
        <w:tc>
          <w:tcPr>
            <w:tcW w:w="0" w:type="auto"/>
            <w:tcBorders>
              <w:top w:val="single" w:sz="4" w:space="0" w:color="auto"/>
              <w:left w:val="single" w:sz="4" w:space="0" w:color="auto"/>
              <w:bottom w:val="single" w:sz="4" w:space="0" w:color="auto"/>
              <w:right w:val="single" w:sz="4" w:space="0" w:color="auto"/>
            </w:tcBorders>
            <w:vAlign w:val="bottom"/>
            <w:hideMark/>
          </w:tcPr>
          <w:p w14:paraId="778CDD2E"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14:paraId="720E1CAD"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26F1980"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B3218B2"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r>
      <w:tr w:rsidR="007C666D" w14:paraId="5BFC3876"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1B22BF7" w14:textId="77777777" w:rsidR="007C666D" w:rsidRDefault="007C666D" w:rsidP="00D23AD7">
            <w:pPr>
              <w:spacing w:after="0" w:line="240" w:lineRule="auto"/>
              <w:contextualSpacing/>
              <w:rPr>
                <w:rStyle w:val="Style1"/>
                <w:color w:val="4F81BD" w:themeColor="accent1"/>
              </w:rPr>
            </w:pPr>
            <w:r>
              <w:rPr>
                <w:rStyle w:val="Style1"/>
                <w:color w:val="4F81BD" w:themeColor="accent1"/>
              </w:rPr>
              <w:t>Male</w:t>
            </w:r>
          </w:p>
        </w:tc>
        <w:tc>
          <w:tcPr>
            <w:tcW w:w="0" w:type="auto"/>
            <w:tcBorders>
              <w:top w:val="single" w:sz="4" w:space="0" w:color="auto"/>
              <w:left w:val="single" w:sz="4" w:space="0" w:color="auto"/>
              <w:bottom w:val="single" w:sz="4" w:space="0" w:color="auto"/>
              <w:right w:val="single" w:sz="4" w:space="0" w:color="auto"/>
            </w:tcBorders>
            <w:vAlign w:val="bottom"/>
            <w:hideMark/>
          </w:tcPr>
          <w:p w14:paraId="7B4D59CD" w14:textId="77777777" w:rsidR="007C666D" w:rsidRDefault="007C666D" w:rsidP="00D23AD7">
            <w:pPr>
              <w:spacing w:after="0" w:line="240" w:lineRule="auto"/>
              <w:contextualSpacing/>
              <w:rPr>
                <w:rStyle w:val="Style1"/>
                <w:color w:val="4F81BD" w:themeColor="accent1"/>
              </w:rPr>
            </w:pPr>
            <w:r>
              <w:rPr>
                <w:rStyle w:val="Style1"/>
                <w:color w:val="4F81BD" w:themeColor="accent1"/>
              </w:rPr>
              <w:t>10,744</w:t>
            </w:r>
          </w:p>
        </w:tc>
        <w:tc>
          <w:tcPr>
            <w:tcW w:w="0" w:type="auto"/>
            <w:tcBorders>
              <w:top w:val="single" w:sz="4" w:space="0" w:color="auto"/>
              <w:left w:val="single" w:sz="4" w:space="0" w:color="auto"/>
              <w:bottom w:val="single" w:sz="4" w:space="0" w:color="auto"/>
              <w:right w:val="single" w:sz="4" w:space="0" w:color="auto"/>
            </w:tcBorders>
            <w:vAlign w:val="bottom"/>
            <w:hideMark/>
          </w:tcPr>
          <w:p w14:paraId="617AFAB7" w14:textId="77777777" w:rsidR="007C666D" w:rsidRDefault="007C666D" w:rsidP="00D23AD7">
            <w:pPr>
              <w:spacing w:after="0" w:line="240" w:lineRule="auto"/>
              <w:contextualSpacing/>
              <w:rPr>
                <w:rStyle w:val="Style1"/>
                <w:color w:val="4F81BD" w:themeColor="accent1"/>
              </w:rPr>
            </w:pPr>
            <w:r>
              <w:rPr>
                <w:rStyle w:val="Style1"/>
                <w:color w:val="4F81BD" w:themeColor="accent1"/>
              </w:rPr>
              <w:t>39.8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5F13864" w14:textId="77777777" w:rsidR="007C666D" w:rsidRDefault="007C666D" w:rsidP="00D23AD7">
            <w:pPr>
              <w:spacing w:after="0" w:line="240" w:lineRule="auto"/>
              <w:contextualSpacing/>
              <w:rPr>
                <w:rStyle w:val="Style1"/>
                <w:color w:val="4F81BD" w:themeColor="accent1"/>
              </w:rPr>
            </w:pPr>
            <w:r>
              <w:rPr>
                <w:rStyle w:val="Style1"/>
                <w:color w:val="4F81BD" w:themeColor="accent1"/>
              </w:rPr>
              <w:t>6,068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20D1C1C" w14:textId="77777777" w:rsidR="007C666D" w:rsidRDefault="007C666D" w:rsidP="00D23AD7">
            <w:pPr>
              <w:spacing w:after="0" w:line="240" w:lineRule="auto"/>
              <w:contextualSpacing/>
              <w:rPr>
                <w:rStyle w:val="Style1"/>
                <w:color w:val="4F81BD" w:themeColor="accent1"/>
              </w:rPr>
            </w:pPr>
            <w:r>
              <w:rPr>
                <w:rStyle w:val="Style1"/>
                <w:color w:val="4F81BD" w:themeColor="accent1"/>
              </w:rPr>
              <w:t>51.7</w:t>
            </w:r>
          </w:p>
        </w:tc>
      </w:tr>
      <w:tr w:rsidR="007C666D" w14:paraId="784EC1AA"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60EDBFC" w14:textId="77777777" w:rsidR="007C666D" w:rsidRDefault="007C666D" w:rsidP="00D23AD7">
            <w:pPr>
              <w:spacing w:after="0" w:line="240" w:lineRule="auto"/>
              <w:contextualSpacing/>
              <w:rPr>
                <w:rStyle w:val="Style1"/>
                <w:color w:val="4F81BD" w:themeColor="accent1"/>
              </w:rPr>
            </w:pPr>
            <w:r>
              <w:rPr>
                <w:rStyle w:val="Style1"/>
                <w:color w:val="4F81BD" w:themeColor="accent1"/>
              </w:rPr>
              <w:t>Female</w:t>
            </w:r>
          </w:p>
        </w:tc>
        <w:tc>
          <w:tcPr>
            <w:tcW w:w="0" w:type="auto"/>
            <w:tcBorders>
              <w:top w:val="single" w:sz="4" w:space="0" w:color="auto"/>
              <w:left w:val="single" w:sz="4" w:space="0" w:color="auto"/>
              <w:bottom w:val="single" w:sz="4" w:space="0" w:color="auto"/>
              <w:right w:val="single" w:sz="4" w:space="0" w:color="auto"/>
            </w:tcBorders>
            <w:vAlign w:val="bottom"/>
            <w:hideMark/>
          </w:tcPr>
          <w:p w14:paraId="331A3993" w14:textId="77777777" w:rsidR="007C666D" w:rsidRDefault="007C666D" w:rsidP="00D23AD7">
            <w:pPr>
              <w:spacing w:after="0" w:line="240" w:lineRule="auto"/>
              <w:contextualSpacing/>
              <w:rPr>
                <w:rStyle w:val="Style1"/>
                <w:color w:val="4F81BD" w:themeColor="accent1"/>
              </w:rPr>
            </w:pPr>
            <w:r>
              <w:rPr>
                <w:rStyle w:val="Style1"/>
                <w:color w:val="4F81BD" w:themeColor="accent1"/>
              </w:rPr>
              <w:t>16,238</w:t>
            </w:r>
          </w:p>
        </w:tc>
        <w:tc>
          <w:tcPr>
            <w:tcW w:w="0" w:type="auto"/>
            <w:tcBorders>
              <w:top w:val="single" w:sz="4" w:space="0" w:color="auto"/>
              <w:left w:val="single" w:sz="4" w:space="0" w:color="auto"/>
              <w:bottom w:val="single" w:sz="4" w:space="0" w:color="auto"/>
              <w:right w:val="single" w:sz="4" w:space="0" w:color="auto"/>
            </w:tcBorders>
            <w:vAlign w:val="bottom"/>
            <w:hideMark/>
          </w:tcPr>
          <w:p w14:paraId="101F8CF4" w14:textId="77777777" w:rsidR="007C666D" w:rsidRDefault="007C666D" w:rsidP="00D23AD7">
            <w:pPr>
              <w:spacing w:after="0" w:line="240" w:lineRule="auto"/>
              <w:contextualSpacing/>
              <w:rPr>
                <w:rStyle w:val="Style1"/>
                <w:color w:val="4F81BD" w:themeColor="accent1"/>
              </w:rPr>
            </w:pPr>
            <w:r>
              <w:rPr>
                <w:rStyle w:val="Style1"/>
                <w:color w:val="4F81BD" w:themeColor="accent1"/>
              </w:rPr>
              <w:t>60.2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56F2A3C" w14:textId="77777777" w:rsidR="007C666D" w:rsidRDefault="007C666D" w:rsidP="00D23AD7">
            <w:pPr>
              <w:spacing w:after="0" w:line="240" w:lineRule="auto"/>
              <w:contextualSpacing/>
              <w:rPr>
                <w:rStyle w:val="Style1"/>
                <w:color w:val="4F81BD" w:themeColor="accent1"/>
              </w:rPr>
            </w:pPr>
            <w:r>
              <w:rPr>
                <w:rStyle w:val="Style1"/>
                <w:color w:val="4F81BD" w:themeColor="accent1"/>
              </w:rPr>
              <w:t>5,675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4B3FF1D" w14:textId="77777777" w:rsidR="007C666D" w:rsidRDefault="007C666D" w:rsidP="00D23AD7">
            <w:pPr>
              <w:spacing w:after="0" w:line="240" w:lineRule="auto"/>
              <w:contextualSpacing/>
              <w:rPr>
                <w:rStyle w:val="Style1"/>
                <w:color w:val="4F81BD" w:themeColor="accent1"/>
              </w:rPr>
            </w:pPr>
            <w:r>
              <w:rPr>
                <w:rStyle w:val="Style1"/>
                <w:color w:val="4F81BD" w:themeColor="accent1"/>
              </w:rPr>
              <w:t>48.3</w:t>
            </w:r>
          </w:p>
        </w:tc>
      </w:tr>
      <w:tr w:rsidR="007C666D" w14:paraId="1CE2B861"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0689790" w14:textId="77777777" w:rsidR="007C666D" w:rsidRDefault="007C666D" w:rsidP="00D23AD7">
            <w:pPr>
              <w:spacing w:after="0" w:line="240" w:lineRule="auto"/>
              <w:contextualSpacing/>
              <w:rPr>
                <w:rStyle w:val="Style1"/>
                <w:color w:val="4F81BD" w:themeColor="accent1"/>
              </w:rPr>
            </w:pPr>
            <w:r>
              <w:rPr>
                <w:rStyle w:val="Style1"/>
                <w:color w:val="4F81BD" w:themeColor="accent1"/>
              </w:rPr>
              <w:t>Unknown</w:t>
            </w:r>
          </w:p>
        </w:tc>
        <w:tc>
          <w:tcPr>
            <w:tcW w:w="0" w:type="auto"/>
            <w:tcBorders>
              <w:top w:val="single" w:sz="4" w:space="0" w:color="auto"/>
              <w:left w:val="single" w:sz="4" w:space="0" w:color="auto"/>
              <w:bottom w:val="single" w:sz="4" w:space="0" w:color="auto"/>
              <w:right w:val="single" w:sz="4" w:space="0" w:color="auto"/>
            </w:tcBorders>
            <w:vAlign w:val="bottom"/>
            <w:hideMark/>
          </w:tcPr>
          <w:p w14:paraId="478B2C14" w14:textId="77777777" w:rsidR="007C666D" w:rsidRDefault="007C666D" w:rsidP="00D23AD7">
            <w:pPr>
              <w:spacing w:after="0" w:line="240" w:lineRule="auto"/>
              <w:contextualSpacing/>
              <w:rPr>
                <w:rStyle w:val="Style1"/>
                <w:color w:val="4F81BD" w:themeColor="accent1"/>
              </w:rPr>
            </w:pPr>
            <w:r>
              <w:rPr>
                <w:rStyle w:val="Style1"/>
                <w:color w:val="4F81BD" w:themeColor="accent1"/>
              </w:rPr>
              <w:t>0</w:t>
            </w:r>
          </w:p>
        </w:tc>
        <w:tc>
          <w:tcPr>
            <w:tcW w:w="0" w:type="auto"/>
            <w:tcBorders>
              <w:top w:val="single" w:sz="4" w:space="0" w:color="auto"/>
              <w:left w:val="single" w:sz="4" w:space="0" w:color="auto"/>
              <w:bottom w:val="single" w:sz="4" w:space="0" w:color="auto"/>
              <w:right w:val="single" w:sz="4" w:space="0" w:color="auto"/>
            </w:tcBorders>
            <w:vAlign w:val="bottom"/>
            <w:hideMark/>
          </w:tcPr>
          <w:p w14:paraId="4126E105" w14:textId="77777777" w:rsidR="007C666D" w:rsidRDefault="007C666D" w:rsidP="00D23AD7">
            <w:pPr>
              <w:spacing w:after="0" w:line="240" w:lineRule="auto"/>
              <w:contextualSpacing/>
              <w:rPr>
                <w:rStyle w:val="Style1"/>
                <w:color w:val="4F81BD" w:themeColor="accent1"/>
              </w:rPr>
            </w:pPr>
            <w:r>
              <w:rPr>
                <w:rStyle w:val="Style1"/>
                <w:color w:val="4F81BD" w:themeColor="accent1"/>
              </w:rPr>
              <w:t>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B93584F" w14:textId="77777777" w:rsidR="007C666D" w:rsidRDefault="007C666D" w:rsidP="00D23AD7">
            <w:pPr>
              <w:spacing w:after="0" w:line="240" w:lineRule="auto"/>
              <w:contextualSpacing/>
              <w:rPr>
                <w:rStyle w:val="Style1"/>
                <w:color w:val="4F81BD" w:themeColor="accent1"/>
              </w:rPr>
            </w:pPr>
            <w:r>
              <w:rPr>
                <w:rStyle w:val="Style1"/>
                <w:color w:val="4F81BD" w:themeColor="accent1"/>
              </w:rPr>
              <w:t>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EAF79DC" w14:textId="77777777" w:rsidR="007C666D" w:rsidRDefault="007C666D" w:rsidP="00D23AD7">
            <w:pPr>
              <w:spacing w:after="0" w:line="240" w:lineRule="auto"/>
              <w:contextualSpacing/>
              <w:rPr>
                <w:rStyle w:val="Style1"/>
                <w:color w:val="4F81BD" w:themeColor="accent1"/>
              </w:rPr>
            </w:pPr>
            <w:r>
              <w:rPr>
                <w:rStyle w:val="Style1"/>
                <w:color w:val="4F81BD" w:themeColor="accent1"/>
              </w:rPr>
              <w:t>0.0</w:t>
            </w:r>
          </w:p>
        </w:tc>
      </w:tr>
      <w:tr w:rsidR="007C666D" w14:paraId="1735C3C9"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0C81158" w14:textId="77777777" w:rsidR="007C666D" w:rsidRDefault="007C666D" w:rsidP="00D23AD7">
            <w:pPr>
              <w:spacing w:after="0" w:line="240" w:lineRule="auto"/>
              <w:contextualSpacing/>
              <w:rPr>
                <w:rStyle w:val="Style1"/>
                <w:color w:val="4F81BD" w:themeColor="accent1"/>
              </w:rPr>
            </w:pPr>
            <w:r>
              <w:rPr>
                <w:rStyle w:val="Style1"/>
                <w:color w:val="4F81BD" w:themeColor="accent1"/>
              </w:rPr>
              <w:t>Age</w:t>
            </w:r>
          </w:p>
        </w:tc>
        <w:tc>
          <w:tcPr>
            <w:tcW w:w="0" w:type="auto"/>
            <w:tcBorders>
              <w:top w:val="single" w:sz="4" w:space="0" w:color="auto"/>
              <w:left w:val="single" w:sz="4" w:space="0" w:color="auto"/>
              <w:bottom w:val="single" w:sz="4" w:space="0" w:color="auto"/>
              <w:right w:val="single" w:sz="4" w:space="0" w:color="auto"/>
            </w:tcBorders>
            <w:vAlign w:val="bottom"/>
            <w:hideMark/>
          </w:tcPr>
          <w:p w14:paraId="564E27F9"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14:paraId="0F604E7B"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CAF820C"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41CFD7E"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r>
      <w:tr w:rsidR="007C666D" w14:paraId="717F2EBC"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4A4B6FC" w14:textId="77777777" w:rsidR="007C666D" w:rsidRDefault="007C666D" w:rsidP="00D23AD7">
            <w:pPr>
              <w:spacing w:after="0" w:line="240" w:lineRule="auto"/>
              <w:contextualSpacing/>
              <w:rPr>
                <w:rStyle w:val="Style1"/>
                <w:color w:val="4F81BD" w:themeColor="accent1"/>
              </w:rPr>
            </w:pPr>
            <w:r>
              <w:rPr>
                <w:rStyle w:val="Style1"/>
                <w:color w:val="4F81BD" w:themeColor="accent1"/>
              </w:rPr>
              <w:t>15 to 20</w:t>
            </w:r>
          </w:p>
        </w:tc>
        <w:tc>
          <w:tcPr>
            <w:tcW w:w="0" w:type="auto"/>
            <w:tcBorders>
              <w:top w:val="single" w:sz="4" w:space="0" w:color="auto"/>
              <w:left w:val="single" w:sz="4" w:space="0" w:color="auto"/>
              <w:bottom w:val="single" w:sz="4" w:space="0" w:color="auto"/>
              <w:right w:val="single" w:sz="4" w:space="0" w:color="auto"/>
            </w:tcBorders>
            <w:vAlign w:val="bottom"/>
            <w:hideMark/>
          </w:tcPr>
          <w:p w14:paraId="3E0CA788" w14:textId="77777777" w:rsidR="007C666D" w:rsidRDefault="007C666D" w:rsidP="00D23AD7">
            <w:pPr>
              <w:spacing w:after="0" w:line="240" w:lineRule="auto"/>
              <w:contextualSpacing/>
              <w:rPr>
                <w:rStyle w:val="Style1"/>
                <w:color w:val="4F81BD" w:themeColor="accent1"/>
              </w:rPr>
            </w:pPr>
            <w:r>
              <w:rPr>
                <w:rStyle w:val="Style1"/>
                <w:color w:val="4F81BD" w:themeColor="accent1"/>
              </w:rPr>
              <w:t>2,015</w:t>
            </w:r>
          </w:p>
        </w:tc>
        <w:tc>
          <w:tcPr>
            <w:tcW w:w="0" w:type="auto"/>
            <w:tcBorders>
              <w:top w:val="single" w:sz="4" w:space="0" w:color="auto"/>
              <w:left w:val="single" w:sz="4" w:space="0" w:color="auto"/>
              <w:bottom w:val="single" w:sz="4" w:space="0" w:color="auto"/>
              <w:right w:val="single" w:sz="4" w:space="0" w:color="auto"/>
            </w:tcBorders>
            <w:vAlign w:val="bottom"/>
            <w:hideMark/>
          </w:tcPr>
          <w:p w14:paraId="0683D8E9" w14:textId="77777777" w:rsidR="007C666D" w:rsidRDefault="007C666D" w:rsidP="00D23AD7">
            <w:pPr>
              <w:spacing w:after="0" w:line="240" w:lineRule="auto"/>
              <w:contextualSpacing/>
              <w:rPr>
                <w:rStyle w:val="Style1"/>
                <w:color w:val="4F81BD" w:themeColor="accent1"/>
              </w:rPr>
            </w:pPr>
            <w:r>
              <w:rPr>
                <w:rStyle w:val="Style1"/>
                <w:color w:val="4F81BD" w:themeColor="accent1"/>
              </w:rPr>
              <w:t>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B252795" w14:textId="77777777" w:rsidR="007C666D" w:rsidRDefault="007C666D" w:rsidP="00D23AD7">
            <w:pPr>
              <w:spacing w:after="0" w:line="240" w:lineRule="auto"/>
              <w:contextualSpacing/>
              <w:rPr>
                <w:rStyle w:val="Style1"/>
                <w:color w:val="4F81BD" w:themeColor="accent1"/>
              </w:rPr>
            </w:pPr>
            <w:r>
              <w:rPr>
                <w:rStyle w:val="Style1"/>
                <w:color w:val="4F81BD" w:themeColor="accent1"/>
              </w:rPr>
              <w:t>550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B6C36CD" w14:textId="77777777" w:rsidR="007C666D" w:rsidRDefault="007C666D" w:rsidP="00D23AD7">
            <w:pPr>
              <w:spacing w:after="0" w:line="240" w:lineRule="auto"/>
              <w:contextualSpacing/>
              <w:rPr>
                <w:rStyle w:val="Style1"/>
                <w:color w:val="4F81BD" w:themeColor="accent1"/>
              </w:rPr>
            </w:pPr>
            <w:r>
              <w:rPr>
                <w:rStyle w:val="Style1"/>
                <w:color w:val="4F81BD" w:themeColor="accent1"/>
              </w:rPr>
              <w:t>4.7</w:t>
            </w:r>
          </w:p>
        </w:tc>
      </w:tr>
      <w:tr w:rsidR="007C666D" w14:paraId="5FFCD42F"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730E173" w14:textId="77777777" w:rsidR="007C666D" w:rsidRDefault="007C666D" w:rsidP="00D23AD7">
            <w:pPr>
              <w:spacing w:after="0" w:line="240" w:lineRule="auto"/>
              <w:contextualSpacing/>
              <w:rPr>
                <w:rStyle w:val="Style1"/>
                <w:color w:val="4F81BD" w:themeColor="accent1"/>
              </w:rPr>
            </w:pPr>
            <w:r>
              <w:rPr>
                <w:rStyle w:val="Style1"/>
                <w:color w:val="4F81BD" w:themeColor="accent1"/>
              </w:rPr>
              <w:t>21 to 44</w:t>
            </w:r>
          </w:p>
        </w:tc>
        <w:tc>
          <w:tcPr>
            <w:tcW w:w="0" w:type="auto"/>
            <w:tcBorders>
              <w:top w:val="single" w:sz="4" w:space="0" w:color="auto"/>
              <w:left w:val="single" w:sz="4" w:space="0" w:color="auto"/>
              <w:bottom w:val="single" w:sz="4" w:space="0" w:color="auto"/>
              <w:right w:val="single" w:sz="4" w:space="0" w:color="auto"/>
            </w:tcBorders>
            <w:vAlign w:val="bottom"/>
            <w:hideMark/>
          </w:tcPr>
          <w:p w14:paraId="6945DC0E" w14:textId="77777777" w:rsidR="007C666D" w:rsidRDefault="007C666D" w:rsidP="00D23AD7">
            <w:pPr>
              <w:spacing w:after="0" w:line="240" w:lineRule="auto"/>
              <w:contextualSpacing/>
              <w:rPr>
                <w:rStyle w:val="Style1"/>
                <w:color w:val="4F81BD" w:themeColor="accent1"/>
              </w:rPr>
            </w:pPr>
            <w:r>
              <w:rPr>
                <w:rStyle w:val="Style1"/>
                <w:color w:val="4F81BD" w:themeColor="accent1"/>
              </w:rPr>
              <w:t>15,602</w:t>
            </w:r>
          </w:p>
        </w:tc>
        <w:tc>
          <w:tcPr>
            <w:tcW w:w="0" w:type="auto"/>
            <w:tcBorders>
              <w:top w:val="single" w:sz="4" w:space="0" w:color="auto"/>
              <w:left w:val="single" w:sz="4" w:space="0" w:color="auto"/>
              <w:bottom w:val="single" w:sz="4" w:space="0" w:color="auto"/>
              <w:right w:val="single" w:sz="4" w:space="0" w:color="auto"/>
            </w:tcBorders>
            <w:vAlign w:val="bottom"/>
            <w:hideMark/>
          </w:tcPr>
          <w:p w14:paraId="3817F8C7" w14:textId="77777777" w:rsidR="007C666D" w:rsidRDefault="007C666D" w:rsidP="00D23AD7">
            <w:pPr>
              <w:spacing w:after="0" w:line="240" w:lineRule="auto"/>
              <w:contextualSpacing/>
              <w:rPr>
                <w:rStyle w:val="Style1"/>
                <w:color w:val="4F81BD" w:themeColor="accent1"/>
              </w:rPr>
            </w:pPr>
            <w:r>
              <w:rPr>
                <w:rStyle w:val="Style1"/>
                <w:color w:val="4F81BD" w:themeColor="accent1"/>
              </w:rPr>
              <w:t>57.8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AAFAF28" w14:textId="77777777" w:rsidR="007C666D" w:rsidRDefault="007C666D" w:rsidP="00D23AD7">
            <w:pPr>
              <w:spacing w:after="0" w:line="240" w:lineRule="auto"/>
              <w:contextualSpacing/>
              <w:rPr>
                <w:rStyle w:val="Style1"/>
                <w:color w:val="4F81BD" w:themeColor="accent1"/>
              </w:rPr>
            </w:pPr>
            <w:r>
              <w:rPr>
                <w:rStyle w:val="Style1"/>
                <w:color w:val="4F81BD" w:themeColor="accent1"/>
              </w:rPr>
              <w:t>5,447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DF423D" w14:textId="77777777" w:rsidR="007C666D" w:rsidRDefault="007C666D" w:rsidP="00D23AD7">
            <w:pPr>
              <w:spacing w:after="0" w:line="240" w:lineRule="auto"/>
              <w:contextualSpacing/>
              <w:rPr>
                <w:rStyle w:val="Style1"/>
                <w:color w:val="4F81BD" w:themeColor="accent1"/>
              </w:rPr>
            </w:pPr>
            <w:r>
              <w:rPr>
                <w:rStyle w:val="Style1"/>
                <w:color w:val="4F81BD" w:themeColor="accent1"/>
              </w:rPr>
              <w:t>46.4</w:t>
            </w:r>
          </w:p>
        </w:tc>
      </w:tr>
      <w:tr w:rsidR="007C666D" w14:paraId="3B80F498"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164E77E" w14:textId="77777777" w:rsidR="007C666D" w:rsidRDefault="007C666D" w:rsidP="00D23AD7">
            <w:pPr>
              <w:spacing w:after="0" w:line="240" w:lineRule="auto"/>
              <w:contextualSpacing/>
              <w:rPr>
                <w:rStyle w:val="Style1"/>
                <w:color w:val="4F81BD" w:themeColor="accent1"/>
              </w:rPr>
            </w:pPr>
            <w:r>
              <w:rPr>
                <w:rStyle w:val="Style1"/>
                <w:color w:val="4F81BD" w:themeColor="accent1"/>
              </w:rPr>
              <w:t>45 to 64</w:t>
            </w:r>
          </w:p>
        </w:tc>
        <w:tc>
          <w:tcPr>
            <w:tcW w:w="0" w:type="auto"/>
            <w:tcBorders>
              <w:top w:val="single" w:sz="4" w:space="0" w:color="auto"/>
              <w:left w:val="single" w:sz="4" w:space="0" w:color="auto"/>
              <w:bottom w:val="single" w:sz="4" w:space="0" w:color="auto"/>
              <w:right w:val="single" w:sz="4" w:space="0" w:color="auto"/>
            </w:tcBorders>
            <w:vAlign w:val="bottom"/>
            <w:hideMark/>
          </w:tcPr>
          <w:p w14:paraId="17118D24" w14:textId="77777777" w:rsidR="007C666D" w:rsidRDefault="007C666D" w:rsidP="00D23AD7">
            <w:pPr>
              <w:spacing w:after="0" w:line="240" w:lineRule="auto"/>
              <w:contextualSpacing/>
              <w:rPr>
                <w:rStyle w:val="Style1"/>
                <w:color w:val="4F81BD" w:themeColor="accent1"/>
              </w:rPr>
            </w:pPr>
            <w:r>
              <w:rPr>
                <w:rStyle w:val="Style1"/>
                <w:color w:val="4F81BD" w:themeColor="accent1"/>
              </w:rPr>
              <w:t>9,214</w:t>
            </w:r>
          </w:p>
        </w:tc>
        <w:tc>
          <w:tcPr>
            <w:tcW w:w="0" w:type="auto"/>
            <w:tcBorders>
              <w:top w:val="single" w:sz="4" w:space="0" w:color="auto"/>
              <w:left w:val="single" w:sz="4" w:space="0" w:color="auto"/>
              <w:bottom w:val="single" w:sz="4" w:space="0" w:color="auto"/>
              <w:right w:val="single" w:sz="4" w:space="0" w:color="auto"/>
            </w:tcBorders>
            <w:vAlign w:val="bottom"/>
            <w:hideMark/>
          </w:tcPr>
          <w:p w14:paraId="176052AF" w14:textId="77777777" w:rsidR="007C666D" w:rsidRDefault="007C666D" w:rsidP="00D23AD7">
            <w:pPr>
              <w:spacing w:after="0" w:line="240" w:lineRule="auto"/>
              <w:contextualSpacing/>
              <w:rPr>
                <w:rStyle w:val="Style1"/>
                <w:color w:val="4F81BD" w:themeColor="accent1"/>
              </w:rPr>
            </w:pPr>
            <w:r>
              <w:rPr>
                <w:rStyle w:val="Style1"/>
                <w:color w:val="4F81BD" w:themeColor="accent1"/>
              </w:rPr>
              <w:t>34.1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550AFD1" w14:textId="77777777" w:rsidR="007C666D" w:rsidRDefault="007C666D" w:rsidP="00D23AD7">
            <w:pPr>
              <w:spacing w:after="0" w:line="240" w:lineRule="auto"/>
              <w:contextualSpacing/>
              <w:rPr>
                <w:rStyle w:val="Style1"/>
                <w:color w:val="4F81BD" w:themeColor="accent1"/>
              </w:rPr>
            </w:pPr>
            <w:r>
              <w:rPr>
                <w:rStyle w:val="Style1"/>
                <w:color w:val="4F81BD" w:themeColor="accent1"/>
              </w:rPr>
              <w:t>5,656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375DBDF" w14:textId="77777777" w:rsidR="007C666D" w:rsidRDefault="007C666D" w:rsidP="00D23AD7">
            <w:pPr>
              <w:spacing w:after="0" w:line="240" w:lineRule="auto"/>
              <w:contextualSpacing/>
              <w:rPr>
                <w:rStyle w:val="Style1"/>
                <w:color w:val="4F81BD" w:themeColor="accent1"/>
              </w:rPr>
            </w:pPr>
            <w:r>
              <w:rPr>
                <w:rStyle w:val="Style1"/>
                <w:color w:val="4F81BD" w:themeColor="accent1"/>
              </w:rPr>
              <w:t>48.2</w:t>
            </w:r>
          </w:p>
        </w:tc>
      </w:tr>
      <w:tr w:rsidR="007C666D" w14:paraId="0A36DC09"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D344B5A" w14:textId="77777777" w:rsidR="007C666D" w:rsidRDefault="007C666D" w:rsidP="00D23AD7">
            <w:pPr>
              <w:spacing w:after="0" w:line="240" w:lineRule="auto"/>
              <w:contextualSpacing/>
              <w:rPr>
                <w:rStyle w:val="Style1"/>
                <w:color w:val="4F81BD" w:themeColor="accent1"/>
              </w:rPr>
            </w:pPr>
            <w:r>
              <w:rPr>
                <w:rStyle w:val="Style1"/>
                <w:color w:val="4F81BD" w:themeColor="accent1"/>
              </w:rPr>
              <w:t>65 to 74</w:t>
            </w:r>
          </w:p>
        </w:tc>
        <w:tc>
          <w:tcPr>
            <w:tcW w:w="0" w:type="auto"/>
            <w:tcBorders>
              <w:top w:val="single" w:sz="4" w:space="0" w:color="auto"/>
              <w:left w:val="single" w:sz="4" w:space="0" w:color="auto"/>
              <w:bottom w:val="single" w:sz="4" w:space="0" w:color="auto"/>
              <w:right w:val="single" w:sz="4" w:space="0" w:color="auto"/>
            </w:tcBorders>
            <w:vAlign w:val="bottom"/>
            <w:hideMark/>
          </w:tcPr>
          <w:p w14:paraId="3A3B9742" w14:textId="77777777" w:rsidR="007C666D" w:rsidRDefault="007C666D" w:rsidP="00D23AD7">
            <w:pPr>
              <w:spacing w:after="0" w:line="240" w:lineRule="auto"/>
              <w:contextualSpacing/>
              <w:rPr>
                <w:rStyle w:val="Style1"/>
                <w:color w:val="4F81BD" w:themeColor="accent1"/>
              </w:rPr>
            </w:pPr>
            <w:r>
              <w:rPr>
                <w:rStyle w:val="Style1"/>
                <w:color w:val="4F81BD" w:themeColor="accent1"/>
              </w:rPr>
              <w:t>132</w:t>
            </w:r>
          </w:p>
        </w:tc>
        <w:tc>
          <w:tcPr>
            <w:tcW w:w="0" w:type="auto"/>
            <w:tcBorders>
              <w:top w:val="single" w:sz="4" w:space="0" w:color="auto"/>
              <w:left w:val="single" w:sz="4" w:space="0" w:color="auto"/>
              <w:bottom w:val="single" w:sz="4" w:space="0" w:color="auto"/>
              <w:right w:val="single" w:sz="4" w:space="0" w:color="auto"/>
            </w:tcBorders>
            <w:vAlign w:val="bottom"/>
            <w:hideMark/>
          </w:tcPr>
          <w:p w14:paraId="1B269778" w14:textId="77777777" w:rsidR="007C666D" w:rsidRDefault="007C666D" w:rsidP="00D23AD7">
            <w:pPr>
              <w:spacing w:after="0" w:line="240" w:lineRule="auto"/>
              <w:contextualSpacing/>
              <w:rPr>
                <w:rStyle w:val="Style1"/>
                <w:color w:val="4F81BD" w:themeColor="accent1"/>
              </w:rPr>
            </w:pPr>
            <w:r>
              <w:rPr>
                <w:rStyle w:val="Style1"/>
                <w:color w:val="4F81BD" w:themeColor="accent1"/>
              </w:rPr>
              <w:t>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28D9DED" w14:textId="77777777" w:rsidR="007C666D" w:rsidRDefault="007C666D" w:rsidP="00D23AD7">
            <w:pPr>
              <w:spacing w:after="0" w:line="240" w:lineRule="auto"/>
              <w:contextualSpacing/>
              <w:rPr>
                <w:rStyle w:val="Style1"/>
                <w:color w:val="4F81BD" w:themeColor="accent1"/>
              </w:rPr>
            </w:pPr>
            <w:r>
              <w:rPr>
                <w:rStyle w:val="Style1"/>
                <w:color w:val="4F81BD" w:themeColor="accent1"/>
              </w:rPr>
              <w:t>84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DF063F0" w14:textId="77777777" w:rsidR="007C666D" w:rsidRDefault="007C666D" w:rsidP="00D23AD7">
            <w:pPr>
              <w:spacing w:after="0" w:line="240" w:lineRule="auto"/>
              <w:contextualSpacing/>
              <w:rPr>
                <w:rStyle w:val="Style1"/>
                <w:color w:val="4F81BD" w:themeColor="accent1"/>
              </w:rPr>
            </w:pPr>
            <w:r>
              <w:rPr>
                <w:rStyle w:val="Style1"/>
                <w:color w:val="4F81BD" w:themeColor="accent1"/>
              </w:rPr>
              <w:t>0.7</w:t>
            </w:r>
          </w:p>
        </w:tc>
      </w:tr>
      <w:tr w:rsidR="007C666D" w14:paraId="235ED064"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5A403D5" w14:textId="77777777" w:rsidR="007C666D" w:rsidRDefault="007C666D" w:rsidP="00D23AD7">
            <w:pPr>
              <w:spacing w:after="0" w:line="240" w:lineRule="auto"/>
              <w:contextualSpacing/>
              <w:rPr>
                <w:rStyle w:val="Style1"/>
                <w:color w:val="4F81BD" w:themeColor="accent1"/>
              </w:rPr>
            </w:pPr>
            <w:r>
              <w:rPr>
                <w:rStyle w:val="Style1"/>
                <w:color w:val="4F81BD" w:themeColor="accent1"/>
              </w:rPr>
              <w:t>75 to 84</w:t>
            </w:r>
          </w:p>
        </w:tc>
        <w:tc>
          <w:tcPr>
            <w:tcW w:w="0" w:type="auto"/>
            <w:tcBorders>
              <w:top w:val="single" w:sz="4" w:space="0" w:color="auto"/>
              <w:left w:val="single" w:sz="4" w:space="0" w:color="auto"/>
              <w:bottom w:val="single" w:sz="4" w:space="0" w:color="auto"/>
              <w:right w:val="single" w:sz="4" w:space="0" w:color="auto"/>
            </w:tcBorders>
            <w:vAlign w:val="bottom"/>
            <w:hideMark/>
          </w:tcPr>
          <w:p w14:paraId="3033F5EB" w14:textId="77777777" w:rsidR="007C666D" w:rsidRDefault="007C666D" w:rsidP="00D23AD7">
            <w:pPr>
              <w:spacing w:after="0" w:line="240" w:lineRule="auto"/>
              <w:contextualSpacing/>
              <w:rPr>
                <w:rStyle w:val="Style1"/>
                <w:color w:val="4F81BD" w:themeColor="accent1"/>
              </w:rPr>
            </w:pPr>
            <w:r>
              <w:rPr>
                <w:rStyle w:val="Style1"/>
                <w:color w:val="4F81BD" w:themeColor="accent1"/>
              </w:rPr>
              <w:t>17</w:t>
            </w:r>
          </w:p>
        </w:tc>
        <w:tc>
          <w:tcPr>
            <w:tcW w:w="0" w:type="auto"/>
            <w:tcBorders>
              <w:top w:val="single" w:sz="4" w:space="0" w:color="auto"/>
              <w:left w:val="single" w:sz="4" w:space="0" w:color="auto"/>
              <w:bottom w:val="single" w:sz="4" w:space="0" w:color="auto"/>
              <w:right w:val="single" w:sz="4" w:space="0" w:color="auto"/>
            </w:tcBorders>
            <w:vAlign w:val="bottom"/>
            <w:hideMark/>
          </w:tcPr>
          <w:p w14:paraId="546E15CE" w14:textId="77777777" w:rsidR="007C666D" w:rsidRDefault="007C666D" w:rsidP="00D23AD7">
            <w:pPr>
              <w:spacing w:after="0" w:line="240" w:lineRule="auto"/>
              <w:contextualSpacing/>
              <w:rPr>
                <w:rStyle w:val="Style1"/>
                <w:color w:val="4F81BD" w:themeColor="accent1"/>
              </w:rPr>
            </w:pPr>
            <w:r>
              <w:rPr>
                <w:rStyle w:val="Style1"/>
                <w:color w:val="4F81BD" w:themeColor="accent1"/>
              </w:rPr>
              <w:t>0.1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E476D15" w14:textId="77777777" w:rsidR="007C666D" w:rsidRDefault="007C666D" w:rsidP="00D23AD7">
            <w:pPr>
              <w:spacing w:after="0" w:line="240" w:lineRule="auto"/>
              <w:contextualSpacing/>
              <w:rPr>
                <w:rStyle w:val="Style1"/>
                <w:color w:val="4F81BD" w:themeColor="accent1"/>
              </w:rPr>
            </w:pPr>
            <w:r>
              <w:rPr>
                <w:rStyle w:val="Style1"/>
                <w:color w:val="4F81BD" w:themeColor="accent1"/>
              </w:rPr>
              <w:t>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5309206" w14:textId="77777777" w:rsidR="007C666D" w:rsidRDefault="007C666D" w:rsidP="00D23AD7">
            <w:pPr>
              <w:spacing w:after="0" w:line="240" w:lineRule="auto"/>
              <w:contextualSpacing/>
              <w:rPr>
                <w:rStyle w:val="Style1"/>
                <w:color w:val="4F81BD" w:themeColor="accent1"/>
              </w:rPr>
            </w:pPr>
            <w:r>
              <w:rPr>
                <w:rStyle w:val="Style1"/>
                <w:color w:val="4F81BD" w:themeColor="accent1"/>
              </w:rPr>
              <w:t>0.1</w:t>
            </w:r>
          </w:p>
        </w:tc>
      </w:tr>
      <w:tr w:rsidR="007C666D" w14:paraId="72B59FDC"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76D4880" w14:textId="77777777" w:rsidR="007C666D" w:rsidRDefault="007C666D" w:rsidP="00D23AD7">
            <w:pPr>
              <w:spacing w:after="0" w:line="240" w:lineRule="auto"/>
              <w:contextualSpacing/>
              <w:rPr>
                <w:rStyle w:val="Style1"/>
                <w:color w:val="4F81BD" w:themeColor="accent1"/>
              </w:rPr>
            </w:pPr>
            <w:r>
              <w:rPr>
                <w:rStyle w:val="Style1"/>
                <w:color w:val="4F81BD" w:themeColor="accent1"/>
              </w:rPr>
              <w:t>85+</w:t>
            </w:r>
          </w:p>
        </w:tc>
        <w:tc>
          <w:tcPr>
            <w:tcW w:w="0" w:type="auto"/>
            <w:tcBorders>
              <w:top w:val="single" w:sz="4" w:space="0" w:color="auto"/>
              <w:left w:val="single" w:sz="4" w:space="0" w:color="auto"/>
              <w:bottom w:val="single" w:sz="4" w:space="0" w:color="auto"/>
              <w:right w:val="single" w:sz="4" w:space="0" w:color="auto"/>
            </w:tcBorders>
            <w:vAlign w:val="bottom"/>
            <w:hideMark/>
          </w:tcPr>
          <w:p w14:paraId="06830483" w14:textId="77777777" w:rsidR="007C666D" w:rsidRDefault="007C666D" w:rsidP="00D23AD7">
            <w:pPr>
              <w:spacing w:after="0" w:line="240" w:lineRule="auto"/>
              <w:contextualSpacing/>
              <w:rPr>
                <w:rStyle w:val="Style1"/>
                <w:color w:val="4F81BD" w:themeColor="accent1"/>
              </w:rPr>
            </w:pPr>
            <w:r>
              <w:rPr>
                <w:rStyle w:val="Style1"/>
                <w:color w:val="4F81BD" w:themeColor="accent1"/>
              </w:rPr>
              <w:t>2</w:t>
            </w:r>
          </w:p>
        </w:tc>
        <w:tc>
          <w:tcPr>
            <w:tcW w:w="0" w:type="auto"/>
            <w:tcBorders>
              <w:top w:val="single" w:sz="4" w:space="0" w:color="auto"/>
              <w:left w:val="single" w:sz="4" w:space="0" w:color="auto"/>
              <w:bottom w:val="single" w:sz="4" w:space="0" w:color="auto"/>
              <w:right w:val="single" w:sz="4" w:space="0" w:color="auto"/>
            </w:tcBorders>
            <w:vAlign w:val="bottom"/>
            <w:hideMark/>
          </w:tcPr>
          <w:p w14:paraId="6B50B6EE" w14:textId="77777777" w:rsidR="007C666D" w:rsidRDefault="007C666D" w:rsidP="00D23AD7">
            <w:pPr>
              <w:spacing w:after="0" w:line="240" w:lineRule="auto"/>
              <w:contextualSpacing/>
              <w:rPr>
                <w:rStyle w:val="Style1"/>
                <w:color w:val="4F81BD" w:themeColor="accent1"/>
              </w:rPr>
            </w:pPr>
            <w:r>
              <w:rPr>
                <w:rStyle w:val="Style1"/>
                <w:color w:val="4F81BD" w:themeColor="accent1"/>
              </w:rPr>
              <w:t>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286C226" w14:textId="77777777" w:rsidR="007C666D" w:rsidRDefault="007C666D" w:rsidP="00D23AD7">
            <w:pPr>
              <w:spacing w:after="0" w:line="240" w:lineRule="auto"/>
              <w:contextualSpacing/>
              <w:rPr>
                <w:rStyle w:val="Style1"/>
                <w:color w:val="4F81BD" w:themeColor="accent1"/>
              </w:rPr>
            </w:pPr>
            <w:r>
              <w:rPr>
                <w:rStyle w:val="Style1"/>
                <w:color w:val="4F81BD" w:themeColor="accent1"/>
              </w:rPr>
              <w:t>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6D2DEAE" w14:textId="77777777" w:rsidR="007C666D" w:rsidRDefault="007C666D" w:rsidP="00D23AD7">
            <w:pPr>
              <w:spacing w:after="0" w:line="240" w:lineRule="auto"/>
              <w:contextualSpacing/>
              <w:rPr>
                <w:rStyle w:val="Style1"/>
                <w:color w:val="4F81BD" w:themeColor="accent1"/>
              </w:rPr>
            </w:pPr>
            <w:r>
              <w:rPr>
                <w:rStyle w:val="Style1"/>
                <w:color w:val="4F81BD" w:themeColor="accent1"/>
              </w:rPr>
              <w:t>0.0</w:t>
            </w:r>
          </w:p>
        </w:tc>
      </w:tr>
      <w:tr w:rsidR="007C666D" w14:paraId="664A062A"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CC2B548" w14:textId="77777777" w:rsidR="007C666D" w:rsidRDefault="007C666D" w:rsidP="00D23AD7">
            <w:pPr>
              <w:spacing w:after="0" w:line="240" w:lineRule="auto"/>
              <w:contextualSpacing/>
              <w:rPr>
                <w:rStyle w:val="Style1"/>
                <w:color w:val="4F81BD" w:themeColor="accent1"/>
              </w:rPr>
            </w:pPr>
            <w:r>
              <w:rPr>
                <w:rStyle w:val="Style1"/>
                <w:color w:val="4F81BD" w:themeColor="accent1"/>
              </w:rPr>
              <w:t>Race/Ethnicity</w:t>
            </w:r>
          </w:p>
        </w:tc>
        <w:tc>
          <w:tcPr>
            <w:tcW w:w="0" w:type="auto"/>
            <w:tcBorders>
              <w:top w:val="single" w:sz="4" w:space="0" w:color="auto"/>
              <w:left w:val="single" w:sz="4" w:space="0" w:color="auto"/>
              <w:bottom w:val="single" w:sz="4" w:space="0" w:color="auto"/>
              <w:right w:val="single" w:sz="4" w:space="0" w:color="auto"/>
            </w:tcBorders>
            <w:vAlign w:val="bottom"/>
            <w:hideMark/>
          </w:tcPr>
          <w:p w14:paraId="14B15676"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14:paraId="724EB565"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091DD4D"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6E3A553"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r>
      <w:tr w:rsidR="007C666D" w14:paraId="12D1FE3C"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40DB6F1F" w14:textId="77777777" w:rsidR="007C666D" w:rsidRDefault="007C666D" w:rsidP="00D23AD7">
            <w:pPr>
              <w:spacing w:after="0" w:line="240" w:lineRule="auto"/>
              <w:contextualSpacing/>
              <w:rPr>
                <w:rStyle w:val="Style1"/>
                <w:color w:val="4F81BD" w:themeColor="accent1"/>
              </w:rPr>
            </w:pPr>
            <w:r>
              <w:rPr>
                <w:rStyle w:val="Style1"/>
                <w:color w:val="4F81BD" w:themeColor="accent1"/>
              </w:rPr>
              <w:t>African American</w:t>
            </w:r>
          </w:p>
        </w:tc>
        <w:tc>
          <w:tcPr>
            <w:tcW w:w="0" w:type="auto"/>
            <w:tcBorders>
              <w:top w:val="single" w:sz="4" w:space="0" w:color="auto"/>
              <w:left w:val="single" w:sz="4" w:space="0" w:color="auto"/>
              <w:bottom w:val="single" w:sz="4" w:space="0" w:color="auto"/>
              <w:right w:val="single" w:sz="4" w:space="0" w:color="auto"/>
            </w:tcBorders>
            <w:vAlign w:val="bottom"/>
            <w:hideMark/>
          </w:tcPr>
          <w:p w14:paraId="3D42C763" w14:textId="77777777" w:rsidR="007C666D" w:rsidRDefault="007C666D" w:rsidP="00D23AD7">
            <w:pPr>
              <w:spacing w:after="0" w:line="240" w:lineRule="auto"/>
              <w:contextualSpacing/>
              <w:rPr>
                <w:rStyle w:val="Style1"/>
                <w:color w:val="4F81BD" w:themeColor="accent1"/>
              </w:rPr>
            </w:pPr>
            <w:r>
              <w:rPr>
                <w:rStyle w:val="Style1"/>
                <w:color w:val="4F81BD" w:themeColor="accent1"/>
              </w:rPr>
              <w:t>8,920</w:t>
            </w:r>
          </w:p>
        </w:tc>
        <w:tc>
          <w:tcPr>
            <w:tcW w:w="0" w:type="auto"/>
            <w:tcBorders>
              <w:top w:val="single" w:sz="4" w:space="0" w:color="auto"/>
              <w:left w:val="single" w:sz="4" w:space="0" w:color="auto"/>
              <w:bottom w:val="single" w:sz="4" w:space="0" w:color="auto"/>
              <w:right w:val="single" w:sz="4" w:space="0" w:color="auto"/>
            </w:tcBorders>
            <w:vAlign w:val="bottom"/>
            <w:hideMark/>
          </w:tcPr>
          <w:p w14:paraId="45E7F39C" w14:textId="77777777" w:rsidR="007C666D" w:rsidRDefault="007C666D" w:rsidP="00D23AD7">
            <w:pPr>
              <w:spacing w:after="0" w:line="240" w:lineRule="auto"/>
              <w:contextualSpacing/>
              <w:rPr>
                <w:rStyle w:val="Style1"/>
                <w:color w:val="4F81BD" w:themeColor="accent1"/>
              </w:rPr>
            </w:pPr>
            <w:r>
              <w:rPr>
                <w:rStyle w:val="Style1"/>
                <w:color w:val="4F81BD" w:themeColor="accent1"/>
              </w:rPr>
              <w:t>33.1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E798EEC" w14:textId="77777777" w:rsidR="007C666D" w:rsidRDefault="007C666D" w:rsidP="00D23AD7">
            <w:pPr>
              <w:spacing w:after="0" w:line="240" w:lineRule="auto"/>
              <w:contextualSpacing/>
              <w:rPr>
                <w:rStyle w:val="Style1"/>
                <w:color w:val="4F81BD" w:themeColor="accent1"/>
              </w:rPr>
            </w:pPr>
            <w:r>
              <w:rPr>
                <w:rStyle w:val="Style1"/>
                <w:color w:val="4F81BD" w:themeColor="accent1"/>
              </w:rPr>
              <w:t>3,324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86CD91D" w14:textId="77777777" w:rsidR="007C666D" w:rsidRDefault="007C666D" w:rsidP="00D23AD7">
            <w:pPr>
              <w:spacing w:after="0" w:line="240" w:lineRule="auto"/>
              <w:contextualSpacing/>
              <w:rPr>
                <w:rStyle w:val="Style1"/>
                <w:color w:val="4F81BD" w:themeColor="accent1"/>
              </w:rPr>
            </w:pPr>
            <w:r>
              <w:rPr>
                <w:rStyle w:val="Style1"/>
                <w:color w:val="4F81BD" w:themeColor="accent1"/>
              </w:rPr>
              <w:t>28.3</w:t>
            </w:r>
          </w:p>
        </w:tc>
      </w:tr>
      <w:tr w:rsidR="007C666D" w14:paraId="31DD01B6"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D130F54" w14:textId="77777777" w:rsidR="007C666D" w:rsidRDefault="007C666D" w:rsidP="00D23AD7">
            <w:pPr>
              <w:spacing w:after="0" w:line="240" w:lineRule="auto"/>
              <w:contextualSpacing/>
              <w:rPr>
                <w:rStyle w:val="Style1"/>
                <w:color w:val="4F81BD" w:themeColor="accent1"/>
              </w:rPr>
            </w:pPr>
            <w:r>
              <w:rPr>
                <w:rStyle w:val="Style1"/>
                <w:color w:val="4F81BD" w:themeColor="accent1"/>
              </w:rPr>
              <w:t>Caucasian</w:t>
            </w:r>
          </w:p>
        </w:tc>
        <w:tc>
          <w:tcPr>
            <w:tcW w:w="0" w:type="auto"/>
            <w:tcBorders>
              <w:top w:val="single" w:sz="4" w:space="0" w:color="auto"/>
              <w:left w:val="single" w:sz="4" w:space="0" w:color="auto"/>
              <w:bottom w:val="single" w:sz="4" w:space="0" w:color="auto"/>
              <w:right w:val="single" w:sz="4" w:space="0" w:color="auto"/>
            </w:tcBorders>
            <w:vAlign w:val="bottom"/>
            <w:hideMark/>
          </w:tcPr>
          <w:p w14:paraId="7F3FC096" w14:textId="77777777" w:rsidR="007C666D" w:rsidRDefault="007C666D" w:rsidP="00D23AD7">
            <w:pPr>
              <w:spacing w:after="0" w:line="240" w:lineRule="auto"/>
              <w:contextualSpacing/>
              <w:rPr>
                <w:rStyle w:val="Style1"/>
                <w:color w:val="4F81BD" w:themeColor="accent1"/>
              </w:rPr>
            </w:pPr>
            <w:r>
              <w:rPr>
                <w:rStyle w:val="Style1"/>
                <w:color w:val="4F81BD" w:themeColor="accent1"/>
              </w:rPr>
              <w:t>15,144</w:t>
            </w:r>
          </w:p>
        </w:tc>
        <w:tc>
          <w:tcPr>
            <w:tcW w:w="0" w:type="auto"/>
            <w:tcBorders>
              <w:top w:val="single" w:sz="4" w:space="0" w:color="auto"/>
              <w:left w:val="single" w:sz="4" w:space="0" w:color="auto"/>
              <w:bottom w:val="single" w:sz="4" w:space="0" w:color="auto"/>
              <w:right w:val="single" w:sz="4" w:space="0" w:color="auto"/>
            </w:tcBorders>
            <w:vAlign w:val="bottom"/>
            <w:hideMark/>
          </w:tcPr>
          <w:p w14:paraId="4BCC27BD" w14:textId="77777777" w:rsidR="007C666D" w:rsidRDefault="007C666D" w:rsidP="00D23AD7">
            <w:pPr>
              <w:spacing w:after="0" w:line="240" w:lineRule="auto"/>
              <w:contextualSpacing/>
              <w:rPr>
                <w:rStyle w:val="Style1"/>
                <w:color w:val="4F81BD" w:themeColor="accent1"/>
              </w:rPr>
            </w:pPr>
            <w:r>
              <w:rPr>
                <w:rStyle w:val="Style1"/>
                <w:color w:val="4F81BD" w:themeColor="accent1"/>
              </w:rPr>
              <w:t>56.1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21D5134" w14:textId="77777777" w:rsidR="007C666D" w:rsidRDefault="007C666D" w:rsidP="00D23AD7">
            <w:pPr>
              <w:spacing w:after="0" w:line="240" w:lineRule="auto"/>
              <w:contextualSpacing/>
              <w:rPr>
                <w:rStyle w:val="Style1"/>
                <w:color w:val="4F81BD" w:themeColor="accent1"/>
              </w:rPr>
            </w:pPr>
            <w:r>
              <w:rPr>
                <w:rStyle w:val="Style1"/>
                <w:color w:val="4F81BD" w:themeColor="accent1"/>
              </w:rPr>
              <w:t>6,934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9C12608" w14:textId="77777777" w:rsidR="007C666D" w:rsidRDefault="007C666D" w:rsidP="00D23AD7">
            <w:pPr>
              <w:spacing w:after="0" w:line="240" w:lineRule="auto"/>
              <w:contextualSpacing/>
              <w:rPr>
                <w:rStyle w:val="Style1"/>
                <w:color w:val="4F81BD" w:themeColor="accent1"/>
              </w:rPr>
            </w:pPr>
            <w:r>
              <w:rPr>
                <w:rStyle w:val="Style1"/>
                <w:color w:val="4F81BD" w:themeColor="accent1"/>
              </w:rPr>
              <w:t>59.0</w:t>
            </w:r>
          </w:p>
        </w:tc>
      </w:tr>
      <w:tr w:rsidR="007C666D" w14:paraId="5780E537"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6975FD0" w14:textId="77777777" w:rsidR="007C666D" w:rsidRDefault="007C666D" w:rsidP="00D23AD7">
            <w:pPr>
              <w:spacing w:after="0" w:line="240" w:lineRule="auto"/>
              <w:contextualSpacing/>
              <w:rPr>
                <w:rStyle w:val="Style1"/>
                <w:color w:val="4F81BD" w:themeColor="accent1"/>
              </w:rPr>
            </w:pPr>
            <w:r>
              <w:rPr>
                <w:rStyle w:val="Style1"/>
                <w:color w:val="4F81BD" w:themeColor="accent1"/>
              </w:rPr>
              <w:t>Hispanic</w:t>
            </w:r>
          </w:p>
        </w:tc>
        <w:tc>
          <w:tcPr>
            <w:tcW w:w="0" w:type="auto"/>
            <w:tcBorders>
              <w:top w:val="single" w:sz="4" w:space="0" w:color="auto"/>
              <w:left w:val="single" w:sz="4" w:space="0" w:color="auto"/>
              <w:bottom w:val="single" w:sz="4" w:space="0" w:color="auto"/>
              <w:right w:val="single" w:sz="4" w:space="0" w:color="auto"/>
            </w:tcBorders>
            <w:vAlign w:val="bottom"/>
            <w:hideMark/>
          </w:tcPr>
          <w:p w14:paraId="784366FB" w14:textId="77777777" w:rsidR="007C666D" w:rsidRDefault="007C666D" w:rsidP="00D23AD7">
            <w:pPr>
              <w:spacing w:after="0" w:line="240" w:lineRule="auto"/>
              <w:contextualSpacing/>
              <w:rPr>
                <w:rStyle w:val="Style1"/>
                <w:color w:val="4F81BD" w:themeColor="accent1"/>
              </w:rPr>
            </w:pPr>
            <w:r>
              <w:rPr>
                <w:rStyle w:val="Style1"/>
                <w:color w:val="4F81BD" w:themeColor="accent1"/>
              </w:rPr>
              <w:t>883</w:t>
            </w:r>
          </w:p>
        </w:tc>
        <w:tc>
          <w:tcPr>
            <w:tcW w:w="0" w:type="auto"/>
            <w:tcBorders>
              <w:top w:val="single" w:sz="4" w:space="0" w:color="auto"/>
              <w:left w:val="single" w:sz="4" w:space="0" w:color="auto"/>
              <w:bottom w:val="single" w:sz="4" w:space="0" w:color="auto"/>
              <w:right w:val="single" w:sz="4" w:space="0" w:color="auto"/>
            </w:tcBorders>
            <w:vAlign w:val="bottom"/>
            <w:hideMark/>
          </w:tcPr>
          <w:p w14:paraId="4CD2A2C5" w14:textId="77777777" w:rsidR="007C666D" w:rsidRDefault="007C666D" w:rsidP="00D23AD7">
            <w:pPr>
              <w:spacing w:after="0" w:line="240" w:lineRule="auto"/>
              <w:contextualSpacing/>
              <w:rPr>
                <w:rStyle w:val="Style1"/>
                <w:color w:val="4F81BD" w:themeColor="accent1"/>
              </w:rPr>
            </w:pPr>
            <w:r>
              <w:rPr>
                <w:rStyle w:val="Style1"/>
                <w:color w:val="4F81BD" w:themeColor="accent1"/>
              </w:rPr>
              <w:t>3.3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7BB3582" w14:textId="77777777" w:rsidR="007C666D" w:rsidRDefault="007C666D" w:rsidP="00D23AD7">
            <w:pPr>
              <w:spacing w:after="0" w:line="240" w:lineRule="auto"/>
              <w:contextualSpacing/>
              <w:rPr>
                <w:rStyle w:val="Style1"/>
                <w:color w:val="4F81BD" w:themeColor="accent1"/>
              </w:rPr>
            </w:pPr>
            <w:r>
              <w:rPr>
                <w:rStyle w:val="Style1"/>
                <w:color w:val="4F81BD" w:themeColor="accent1"/>
              </w:rPr>
              <w:t>326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400A32D" w14:textId="77777777" w:rsidR="007C666D" w:rsidRDefault="007C666D" w:rsidP="00D23AD7">
            <w:pPr>
              <w:spacing w:after="0" w:line="240" w:lineRule="auto"/>
              <w:contextualSpacing/>
              <w:rPr>
                <w:rStyle w:val="Style1"/>
                <w:color w:val="4F81BD" w:themeColor="accent1"/>
              </w:rPr>
            </w:pPr>
            <w:r>
              <w:rPr>
                <w:rStyle w:val="Style1"/>
                <w:color w:val="4F81BD" w:themeColor="accent1"/>
              </w:rPr>
              <w:t>2.8</w:t>
            </w:r>
          </w:p>
        </w:tc>
      </w:tr>
      <w:tr w:rsidR="007C666D" w14:paraId="65E93440"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06E6502B" w14:textId="77777777" w:rsidR="007C666D" w:rsidRDefault="007C666D" w:rsidP="00D23AD7">
            <w:pPr>
              <w:spacing w:after="0" w:line="240" w:lineRule="auto"/>
              <w:contextualSpacing/>
              <w:rPr>
                <w:rStyle w:val="Style1"/>
                <w:color w:val="4F81BD" w:themeColor="accent1"/>
              </w:rPr>
            </w:pPr>
            <w:r>
              <w:rPr>
                <w:rStyle w:val="Style1"/>
                <w:color w:val="4F81BD" w:themeColor="accent1"/>
              </w:rPr>
              <w:t>Other</w:t>
            </w:r>
          </w:p>
        </w:tc>
        <w:tc>
          <w:tcPr>
            <w:tcW w:w="0" w:type="auto"/>
            <w:tcBorders>
              <w:top w:val="single" w:sz="4" w:space="0" w:color="auto"/>
              <w:left w:val="single" w:sz="4" w:space="0" w:color="auto"/>
              <w:bottom w:val="single" w:sz="4" w:space="0" w:color="auto"/>
              <w:right w:val="single" w:sz="4" w:space="0" w:color="auto"/>
            </w:tcBorders>
            <w:vAlign w:val="bottom"/>
            <w:hideMark/>
          </w:tcPr>
          <w:p w14:paraId="4C9E2549" w14:textId="77777777" w:rsidR="007C666D" w:rsidRDefault="007C666D" w:rsidP="00D23AD7">
            <w:pPr>
              <w:spacing w:after="0" w:line="240" w:lineRule="auto"/>
              <w:contextualSpacing/>
              <w:rPr>
                <w:rStyle w:val="Style1"/>
                <w:color w:val="4F81BD" w:themeColor="accent1"/>
              </w:rPr>
            </w:pPr>
            <w:r>
              <w:rPr>
                <w:rStyle w:val="Style1"/>
                <w:color w:val="4F81BD" w:themeColor="accent1"/>
              </w:rPr>
              <w:t>485</w:t>
            </w:r>
          </w:p>
        </w:tc>
        <w:tc>
          <w:tcPr>
            <w:tcW w:w="0" w:type="auto"/>
            <w:tcBorders>
              <w:top w:val="single" w:sz="4" w:space="0" w:color="auto"/>
              <w:left w:val="single" w:sz="4" w:space="0" w:color="auto"/>
              <w:bottom w:val="single" w:sz="4" w:space="0" w:color="auto"/>
              <w:right w:val="single" w:sz="4" w:space="0" w:color="auto"/>
            </w:tcBorders>
            <w:vAlign w:val="bottom"/>
            <w:hideMark/>
          </w:tcPr>
          <w:p w14:paraId="6A094D0A" w14:textId="77777777" w:rsidR="007C666D" w:rsidRDefault="007C666D" w:rsidP="00D23AD7">
            <w:pPr>
              <w:spacing w:after="0" w:line="240" w:lineRule="auto"/>
              <w:contextualSpacing/>
              <w:rPr>
                <w:rStyle w:val="Style1"/>
                <w:color w:val="4F81BD" w:themeColor="accent1"/>
              </w:rPr>
            </w:pPr>
            <w:r>
              <w:rPr>
                <w:rStyle w:val="Style1"/>
                <w:color w:val="4F81BD" w:themeColor="accent1"/>
              </w:rPr>
              <w:t>1.8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1DD6B94" w14:textId="77777777" w:rsidR="007C666D" w:rsidRDefault="007C666D" w:rsidP="00D23AD7">
            <w:pPr>
              <w:spacing w:after="0" w:line="240" w:lineRule="auto"/>
              <w:contextualSpacing/>
              <w:rPr>
                <w:rStyle w:val="Style1"/>
                <w:color w:val="4F81BD" w:themeColor="accent1"/>
              </w:rPr>
            </w:pPr>
            <w:r>
              <w:rPr>
                <w:rStyle w:val="Style1"/>
                <w:color w:val="4F81BD" w:themeColor="accent1"/>
              </w:rPr>
              <w:t>377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674B24E" w14:textId="77777777" w:rsidR="007C666D" w:rsidRDefault="007C666D" w:rsidP="00D23AD7">
            <w:pPr>
              <w:spacing w:after="0" w:line="240" w:lineRule="auto"/>
              <w:contextualSpacing/>
              <w:rPr>
                <w:rStyle w:val="Style1"/>
                <w:color w:val="4F81BD" w:themeColor="accent1"/>
              </w:rPr>
            </w:pPr>
            <w:r>
              <w:rPr>
                <w:rStyle w:val="Style1"/>
                <w:color w:val="4F81BD" w:themeColor="accent1"/>
              </w:rPr>
              <w:t>3.2</w:t>
            </w:r>
          </w:p>
        </w:tc>
      </w:tr>
      <w:tr w:rsidR="007C666D" w14:paraId="5F15AD38"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3E866AE5" w14:textId="77777777" w:rsidR="007C666D" w:rsidRDefault="007C666D" w:rsidP="00D23AD7">
            <w:pPr>
              <w:spacing w:after="0" w:line="240" w:lineRule="auto"/>
              <w:contextualSpacing/>
              <w:rPr>
                <w:rStyle w:val="Style1"/>
                <w:color w:val="4F81BD" w:themeColor="accent1"/>
              </w:rPr>
            </w:pPr>
            <w:r>
              <w:rPr>
                <w:rStyle w:val="Style1"/>
                <w:color w:val="4F81BD" w:themeColor="accent1"/>
              </w:rPr>
              <w:t>Unknown</w:t>
            </w:r>
          </w:p>
        </w:tc>
        <w:tc>
          <w:tcPr>
            <w:tcW w:w="0" w:type="auto"/>
            <w:tcBorders>
              <w:top w:val="single" w:sz="4" w:space="0" w:color="auto"/>
              <w:left w:val="single" w:sz="4" w:space="0" w:color="auto"/>
              <w:bottom w:val="single" w:sz="4" w:space="0" w:color="auto"/>
              <w:right w:val="single" w:sz="4" w:space="0" w:color="auto"/>
            </w:tcBorders>
            <w:vAlign w:val="bottom"/>
            <w:hideMark/>
          </w:tcPr>
          <w:p w14:paraId="45BF9F65" w14:textId="77777777" w:rsidR="007C666D" w:rsidRDefault="007C666D" w:rsidP="00D23AD7">
            <w:pPr>
              <w:spacing w:after="0" w:line="240" w:lineRule="auto"/>
              <w:contextualSpacing/>
              <w:rPr>
                <w:rStyle w:val="Style1"/>
                <w:color w:val="4F81BD" w:themeColor="accent1"/>
              </w:rPr>
            </w:pPr>
            <w:r>
              <w:rPr>
                <w:rStyle w:val="Style1"/>
                <w:color w:val="4F81BD" w:themeColor="accent1"/>
              </w:rPr>
              <w:t>1,550</w:t>
            </w:r>
          </w:p>
        </w:tc>
        <w:tc>
          <w:tcPr>
            <w:tcW w:w="0" w:type="auto"/>
            <w:tcBorders>
              <w:top w:val="single" w:sz="4" w:space="0" w:color="auto"/>
              <w:left w:val="single" w:sz="4" w:space="0" w:color="auto"/>
              <w:bottom w:val="single" w:sz="4" w:space="0" w:color="auto"/>
              <w:right w:val="single" w:sz="4" w:space="0" w:color="auto"/>
            </w:tcBorders>
            <w:vAlign w:val="bottom"/>
            <w:hideMark/>
          </w:tcPr>
          <w:p w14:paraId="6352B51D" w14:textId="77777777" w:rsidR="007C666D" w:rsidRDefault="007C666D" w:rsidP="00D23AD7">
            <w:pPr>
              <w:spacing w:after="0" w:line="240" w:lineRule="auto"/>
              <w:contextualSpacing/>
              <w:rPr>
                <w:rStyle w:val="Style1"/>
                <w:color w:val="4F81BD" w:themeColor="accent1"/>
              </w:rPr>
            </w:pPr>
            <w:r>
              <w:rPr>
                <w:rStyle w:val="Style1"/>
                <w:color w:val="4F81BD" w:themeColor="accent1"/>
              </w:rPr>
              <w:t>5.7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6FB080D" w14:textId="77777777" w:rsidR="007C666D" w:rsidRDefault="007C666D" w:rsidP="00D23AD7">
            <w:pPr>
              <w:spacing w:after="0" w:line="240" w:lineRule="auto"/>
              <w:contextualSpacing/>
              <w:rPr>
                <w:rStyle w:val="Style1"/>
                <w:color w:val="4F81BD" w:themeColor="accent1"/>
              </w:rPr>
            </w:pPr>
            <w:r>
              <w:rPr>
                <w:rStyle w:val="Style1"/>
                <w:color w:val="4F81BD" w:themeColor="accent1"/>
              </w:rPr>
              <w:t>782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70D7DB" w14:textId="77777777" w:rsidR="007C666D" w:rsidRDefault="007C666D" w:rsidP="00D23AD7">
            <w:pPr>
              <w:spacing w:after="0" w:line="240" w:lineRule="auto"/>
              <w:contextualSpacing/>
              <w:rPr>
                <w:rStyle w:val="Style1"/>
                <w:color w:val="4F81BD" w:themeColor="accent1"/>
              </w:rPr>
            </w:pPr>
            <w:r>
              <w:rPr>
                <w:rStyle w:val="Style1"/>
                <w:color w:val="4F81BD" w:themeColor="accent1"/>
              </w:rPr>
              <w:t>6.7</w:t>
            </w:r>
          </w:p>
        </w:tc>
      </w:tr>
      <w:tr w:rsidR="007C666D" w14:paraId="75E8144E"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DA3342E" w14:textId="77777777" w:rsidR="007C666D" w:rsidRDefault="007C666D" w:rsidP="00D23AD7">
            <w:pPr>
              <w:spacing w:after="0" w:line="240" w:lineRule="auto"/>
              <w:contextualSpacing/>
              <w:rPr>
                <w:rStyle w:val="Style1"/>
                <w:color w:val="4F81BD" w:themeColor="accent1"/>
              </w:rPr>
            </w:pPr>
            <w:r>
              <w:rPr>
                <w:rStyle w:val="Style1"/>
                <w:color w:val="4F81BD" w:themeColor="accent1"/>
              </w:rPr>
              <w:t>Medicaid Eligibility category</w:t>
            </w:r>
          </w:p>
        </w:tc>
        <w:tc>
          <w:tcPr>
            <w:tcW w:w="0" w:type="auto"/>
            <w:tcBorders>
              <w:top w:val="single" w:sz="4" w:space="0" w:color="auto"/>
              <w:left w:val="single" w:sz="4" w:space="0" w:color="auto"/>
              <w:bottom w:val="single" w:sz="4" w:space="0" w:color="auto"/>
              <w:right w:val="single" w:sz="4" w:space="0" w:color="auto"/>
            </w:tcBorders>
            <w:vAlign w:val="bottom"/>
            <w:hideMark/>
          </w:tcPr>
          <w:p w14:paraId="5915A5B2"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14:paraId="2E828777"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093A5FD"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B53B8DF"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r>
      <w:tr w:rsidR="007C666D" w14:paraId="098052B7"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35FF79C" w14:textId="77777777" w:rsidR="007C666D" w:rsidRDefault="007C666D" w:rsidP="00D23AD7">
            <w:pPr>
              <w:spacing w:after="0" w:line="240" w:lineRule="auto"/>
              <w:contextualSpacing/>
              <w:rPr>
                <w:rStyle w:val="Style1"/>
                <w:color w:val="4F81BD" w:themeColor="accent1"/>
              </w:rPr>
            </w:pPr>
            <w:r>
              <w:rPr>
                <w:rStyle w:val="Style1"/>
                <w:color w:val="4F81BD" w:themeColor="accent1"/>
              </w:rPr>
              <w:t>Adult</w:t>
            </w:r>
          </w:p>
        </w:tc>
        <w:tc>
          <w:tcPr>
            <w:tcW w:w="0" w:type="auto"/>
            <w:tcBorders>
              <w:top w:val="single" w:sz="4" w:space="0" w:color="auto"/>
              <w:left w:val="single" w:sz="4" w:space="0" w:color="auto"/>
              <w:bottom w:val="single" w:sz="4" w:space="0" w:color="auto"/>
              <w:right w:val="single" w:sz="4" w:space="0" w:color="auto"/>
            </w:tcBorders>
            <w:vAlign w:val="bottom"/>
            <w:hideMark/>
          </w:tcPr>
          <w:p w14:paraId="73AAFE80" w14:textId="77777777" w:rsidR="007C666D" w:rsidRDefault="007C666D" w:rsidP="00D23AD7">
            <w:pPr>
              <w:spacing w:after="0" w:line="240" w:lineRule="auto"/>
              <w:contextualSpacing/>
              <w:rPr>
                <w:rStyle w:val="Style1"/>
                <w:color w:val="4F81BD" w:themeColor="accent1"/>
              </w:rPr>
            </w:pPr>
            <w:r>
              <w:rPr>
                <w:rStyle w:val="Style1"/>
                <w:color w:val="4F81BD" w:themeColor="accent1"/>
              </w:rPr>
              <w:t>3,877</w:t>
            </w:r>
          </w:p>
        </w:tc>
        <w:tc>
          <w:tcPr>
            <w:tcW w:w="0" w:type="auto"/>
            <w:tcBorders>
              <w:top w:val="single" w:sz="4" w:space="0" w:color="auto"/>
              <w:left w:val="single" w:sz="4" w:space="0" w:color="auto"/>
              <w:bottom w:val="single" w:sz="4" w:space="0" w:color="auto"/>
              <w:right w:val="single" w:sz="4" w:space="0" w:color="auto"/>
            </w:tcBorders>
            <w:vAlign w:val="bottom"/>
            <w:hideMark/>
          </w:tcPr>
          <w:p w14:paraId="01F264BF" w14:textId="77777777" w:rsidR="007C666D" w:rsidRDefault="007C666D" w:rsidP="00D23AD7">
            <w:pPr>
              <w:spacing w:after="0" w:line="240" w:lineRule="auto"/>
              <w:contextualSpacing/>
              <w:rPr>
                <w:rStyle w:val="Style1"/>
                <w:color w:val="4F81BD" w:themeColor="accent1"/>
              </w:rPr>
            </w:pPr>
            <w:r>
              <w:rPr>
                <w:rStyle w:val="Style1"/>
                <w:color w:val="4F81BD" w:themeColor="accent1"/>
              </w:rPr>
              <w:t>14.4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B0FAAC2" w14:textId="77777777" w:rsidR="007C666D" w:rsidRDefault="007C666D" w:rsidP="00D23AD7">
            <w:pPr>
              <w:spacing w:after="0" w:line="240" w:lineRule="auto"/>
              <w:contextualSpacing/>
              <w:rPr>
                <w:rStyle w:val="Style1"/>
                <w:color w:val="4F81BD" w:themeColor="accent1"/>
              </w:rPr>
            </w:pPr>
            <w:r>
              <w:rPr>
                <w:rStyle w:val="Style1"/>
                <w:color w:val="4F81BD" w:themeColor="accent1"/>
              </w:rPr>
              <w:t>1,876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316B73C" w14:textId="77777777" w:rsidR="007C666D" w:rsidRDefault="007C666D" w:rsidP="00D23AD7">
            <w:pPr>
              <w:spacing w:after="0" w:line="240" w:lineRule="auto"/>
              <w:contextualSpacing/>
              <w:rPr>
                <w:rStyle w:val="Style1"/>
                <w:color w:val="4F81BD" w:themeColor="accent1"/>
              </w:rPr>
            </w:pPr>
            <w:r>
              <w:rPr>
                <w:rStyle w:val="Style1"/>
                <w:color w:val="4F81BD" w:themeColor="accent1"/>
              </w:rPr>
              <w:t>16.0</w:t>
            </w:r>
          </w:p>
        </w:tc>
      </w:tr>
      <w:tr w:rsidR="007C666D" w14:paraId="2A434A65"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AF1E8C3" w14:textId="77777777" w:rsidR="007C666D" w:rsidRDefault="007C666D" w:rsidP="00D23AD7">
            <w:pPr>
              <w:spacing w:after="0" w:line="240" w:lineRule="auto"/>
              <w:contextualSpacing/>
              <w:rPr>
                <w:rStyle w:val="Style1"/>
                <w:color w:val="4F81BD" w:themeColor="accent1"/>
              </w:rPr>
            </w:pPr>
            <w:r>
              <w:rPr>
                <w:rStyle w:val="Style1"/>
                <w:color w:val="4F81BD" w:themeColor="accent1"/>
              </w:rPr>
              <w:t>Disabled</w:t>
            </w:r>
          </w:p>
        </w:tc>
        <w:tc>
          <w:tcPr>
            <w:tcW w:w="0" w:type="auto"/>
            <w:tcBorders>
              <w:top w:val="single" w:sz="4" w:space="0" w:color="auto"/>
              <w:left w:val="single" w:sz="4" w:space="0" w:color="auto"/>
              <w:bottom w:val="single" w:sz="4" w:space="0" w:color="auto"/>
              <w:right w:val="single" w:sz="4" w:space="0" w:color="auto"/>
            </w:tcBorders>
            <w:vAlign w:val="bottom"/>
            <w:hideMark/>
          </w:tcPr>
          <w:p w14:paraId="4D7B2FBF" w14:textId="77777777" w:rsidR="007C666D" w:rsidRDefault="007C666D" w:rsidP="00D23AD7">
            <w:pPr>
              <w:spacing w:after="0" w:line="240" w:lineRule="auto"/>
              <w:contextualSpacing/>
              <w:rPr>
                <w:rStyle w:val="Style1"/>
                <w:color w:val="4F81BD" w:themeColor="accent1"/>
              </w:rPr>
            </w:pPr>
            <w:r>
              <w:rPr>
                <w:rStyle w:val="Style1"/>
                <w:color w:val="4F81BD" w:themeColor="accent1"/>
              </w:rPr>
              <w:t>22,439</w:t>
            </w:r>
          </w:p>
        </w:tc>
        <w:tc>
          <w:tcPr>
            <w:tcW w:w="0" w:type="auto"/>
            <w:tcBorders>
              <w:top w:val="single" w:sz="4" w:space="0" w:color="auto"/>
              <w:left w:val="single" w:sz="4" w:space="0" w:color="auto"/>
              <w:bottom w:val="single" w:sz="4" w:space="0" w:color="auto"/>
              <w:right w:val="single" w:sz="4" w:space="0" w:color="auto"/>
            </w:tcBorders>
            <w:vAlign w:val="bottom"/>
            <w:hideMark/>
          </w:tcPr>
          <w:p w14:paraId="09E380FD" w14:textId="77777777" w:rsidR="007C666D" w:rsidRDefault="007C666D" w:rsidP="00D23AD7">
            <w:pPr>
              <w:spacing w:after="0" w:line="240" w:lineRule="auto"/>
              <w:contextualSpacing/>
              <w:rPr>
                <w:rStyle w:val="Style1"/>
                <w:color w:val="4F81BD" w:themeColor="accent1"/>
              </w:rPr>
            </w:pPr>
            <w:r>
              <w:rPr>
                <w:rStyle w:val="Style1"/>
                <w:color w:val="4F81BD" w:themeColor="accent1"/>
              </w:rPr>
              <w:t>83.2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7D83223" w14:textId="77777777" w:rsidR="007C666D" w:rsidRDefault="007C666D" w:rsidP="00D23AD7">
            <w:pPr>
              <w:spacing w:after="0" w:line="240" w:lineRule="auto"/>
              <w:contextualSpacing/>
              <w:rPr>
                <w:rStyle w:val="Style1"/>
                <w:color w:val="4F81BD" w:themeColor="accent1"/>
              </w:rPr>
            </w:pPr>
            <w:r>
              <w:rPr>
                <w:rStyle w:val="Style1"/>
                <w:color w:val="4F81BD" w:themeColor="accent1"/>
              </w:rPr>
              <w:t>9,575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C086CD0" w14:textId="77777777" w:rsidR="007C666D" w:rsidRDefault="007C666D" w:rsidP="00D23AD7">
            <w:pPr>
              <w:spacing w:after="0" w:line="240" w:lineRule="auto"/>
              <w:contextualSpacing/>
              <w:rPr>
                <w:rStyle w:val="Style1"/>
                <w:color w:val="4F81BD" w:themeColor="accent1"/>
              </w:rPr>
            </w:pPr>
            <w:r>
              <w:rPr>
                <w:rStyle w:val="Style1"/>
                <w:color w:val="4F81BD" w:themeColor="accent1"/>
              </w:rPr>
              <w:t>81.5</w:t>
            </w:r>
          </w:p>
        </w:tc>
      </w:tr>
      <w:tr w:rsidR="007C666D" w14:paraId="35117E0B"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289CE91" w14:textId="77777777" w:rsidR="007C666D" w:rsidRDefault="007C666D" w:rsidP="00D23AD7">
            <w:pPr>
              <w:spacing w:after="0" w:line="240" w:lineRule="auto"/>
              <w:contextualSpacing/>
              <w:rPr>
                <w:rStyle w:val="Style1"/>
                <w:color w:val="4F81BD" w:themeColor="accent1"/>
              </w:rPr>
            </w:pPr>
            <w:r>
              <w:rPr>
                <w:rStyle w:val="Style1"/>
                <w:color w:val="4F81BD" w:themeColor="accent1"/>
              </w:rPr>
              <w:t>Children</w:t>
            </w:r>
          </w:p>
        </w:tc>
        <w:tc>
          <w:tcPr>
            <w:tcW w:w="0" w:type="auto"/>
            <w:tcBorders>
              <w:top w:val="single" w:sz="4" w:space="0" w:color="auto"/>
              <w:left w:val="single" w:sz="4" w:space="0" w:color="auto"/>
              <w:bottom w:val="single" w:sz="4" w:space="0" w:color="auto"/>
              <w:right w:val="single" w:sz="4" w:space="0" w:color="auto"/>
            </w:tcBorders>
            <w:vAlign w:val="bottom"/>
            <w:hideMark/>
          </w:tcPr>
          <w:p w14:paraId="2BC694A0" w14:textId="77777777" w:rsidR="007C666D" w:rsidRDefault="007C666D" w:rsidP="00D23AD7">
            <w:pPr>
              <w:spacing w:after="0" w:line="240" w:lineRule="auto"/>
              <w:contextualSpacing/>
              <w:rPr>
                <w:rStyle w:val="Style1"/>
                <w:color w:val="4F81BD" w:themeColor="accent1"/>
              </w:rPr>
            </w:pPr>
            <w:r>
              <w:rPr>
                <w:rStyle w:val="Style1"/>
                <w:color w:val="4F81BD" w:themeColor="accent1"/>
              </w:rPr>
              <w:t>666</w:t>
            </w:r>
          </w:p>
        </w:tc>
        <w:tc>
          <w:tcPr>
            <w:tcW w:w="0" w:type="auto"/>
            <w:tcBorders>
              <w:top w:val="single" w:sz="4" w:space="0" w:color="auto"/>
              <w:left w:val="single" w:sz="4" w:space="0" w:color="auto"/>
              <w:bottom w:val="single" w:sz="4" w:space="0" w:color="auto"/>
              <w:right w:val="single" w:sz="4" w:space="0" w:color="auto"/>
            </w:tcBorders>
            <w:vAlign w:val="bottom"/>
            <w:hideMark/>
          </w:tcPr>
          <w:p w14:paraId="7C409304" w14:textId="77777777" w:rsidR="007C666D" w:rsidRDefault="007C666D" w:rsidP="00D23AD7">
            <w:pPr>
              <w:spacing w:after="0" w:line="240" w:lineRule="auto"/>
              <w:contextualSpacing/>
              <w:rPr>
                <w:rStyle w:val="Style1"/>
                <w:color w:val="4F81BD" w:themeColor="accent1"/>
              </w:rPr>
            </w:pPr>
            <w:r>
              <w:rPr>
                <w:rStyle w:val="Style1"/>
                <w:color w:val="4F81BD" w:themeColor="accent1"/>
              </w:rPr>
              <w:t>2.5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454F8F0" w14:textId="77777777" w:rsidR="007C666D" w:rsidRDefault="007C666D" w:rsidP="00D23AD7">
            <w:pPr>
              <w:spacing w:after="0" w:line="240" w:lineRule="auto"/>
              <w:contextualSpacing/>
              <w:rPr>
                <w:rStyle w:val="Style1"/>
                <w:color w:val="4F81BD" w:themeColor="accent1"/>
              </w:rPr>
            </w:pPr>
            <w:r>
              <w:rPr>
                <w:rStyle w:val="Style1"/>
                <w:color w:val="4F81BD" w:themeColor="accent1"/>
              </w:rPr>
              <w:t>292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ADEEC06" w14:textId="77777777" w:rsidR="007C666D" w:rsidRDefault="007C666D" w:rsidP="00D23AD7">
            <w:pPr>
              <w:spacing w:after="0" w:line="240" w:lineRule="auto"/>
              <w:contextualSpacing/>
              <w:rPr>
                <w:rStyle w:val="Style1"/>
                <w:color w:val="4F81BD" w:themeColor="accent1"/>
              </w:rPr>
            </w:pPr>
            <w:r>
              <w:rPr>
                <w:rStyle w:val="Style1"/>
                <w:color w:val="4F81BD" w:themeColor="accent1"/>
              </w:rPr>
              <w:t>2.5</w:t>
            </w:r>
          </w:p>
        </w:tc>
      </w:tr>
      <w:tr w:rsidR="007C666D" w14:paraId="751578E7"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7B1D39FE" w14:textId="77777777" w:rsidR="007C666D" w:rsidRDefault="007C666D" w:rsidP="00D23AD7">
            <w:pPr>
              <w:spacing w:after="0" w:line="240" w:lineRule="auto"/>
              <w:contextualSpacing/>
              <w:rPr>
                <w:rStyle w:val="Style1"/>
                <w:color w:val="4F81BD" w:themeColor="accent1"/>
              </w:rPr>
            </w:pPr>
            <w:r>
              <w:rPr>
                <w:rStyle w:val="Style1"/>
                <w:color w:val="4F81BD" w:themeColor="accent1"/>
              </w:rPr>
              <w:t>Geography</w:t>
            </w:r>
          </w:p>
        </w:tc>
        <w:tc>
          <w:tcPr>
            <w:tcW w:w="0" w:type="auto"/>
            <w:tcBorders>
              <w:top w:val="single" w:sz="4" w:space="0" w:color="auto"/>
              <w:left w:val="single" w:sz="4" w:space="0" w:color="auto"/>
              <w:bottom w:val="single" w:sz="4" w:space="0" w:color="auto"/>
              <w:right w:val="single" w:sz="4" w:space="0" w:color="auto"/>
            </w:tcBorders>
            <w:vAlign w:val="bottom"/>
            <w:hideMark/>
          </w:tcPr>
          <w:p w14:paraId="2B46C8D9"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vAlign w:val="bottom"/>
            <w:hideMark/>
          </w:tcPr>
          <w:p w14:paraId="5594052C"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A9748BF"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8CE801C"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  </w:t>
            </w:r>
          </w:p>
        </w:tc>
      </w:tr>
      <w:tr w:rsidR="007C666D" w14:paraId="2B349486"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3CC21BD"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Metropolitan </w:t>
            </w:r>
          </w:p>
        </w:tc>
        <w:tc>
          <w:tcPr>
            <w:tcW w:w="0" w:type="auto"/>
            <w:tcBorders>
              <w:top w:val="single" w:sz="4" w:space="0" w:color="auto"/>
              <w:left w:val="single" w:sz="4" w:space="0" w:color="auto"/>
              <w:bottom w:val="single" w:sz="4" w:space="0" w:color="auto"/>
              <w:right w:val="single" w:sz="4" w:space="0" w:color="auto"/>
            </w:tcBorders>
            <w:vAlign w:val="bottom"/>
            <w:hideMark/>
          </w:tcPr>
          <w:p w14:paraId="5937382F" w14:textId="77777777" w:rsidR="007C666D" w:rsidRDefault="007C666D" w:rsidP="00D23AD7">
            <w:pPr>
              <w:spacing w:after="0" w:line="240" w:lineRule="auto"/>
              <w:contextualSpacing/>
              <w:rPr>
                <w:rStyle w:val="Style1"/>
                <w:color w:val="4F81BD" w:themeColor="accent1"/>
              </w:rPr>
            </w:pPr>
            <w:r>
              <w:rPr>
                <w:rStyle w:val="Style1"/>
                <w:color w:val="4F81BD" w:themeColor="accent1"/>
              </w:rPr>
              <w:t>11,146</w:t>
            </w:r>
          </w:p>
        </w:tc>
        <w:tc>
          <w:tcPr>
            <w:tcW w:w="0" w:type="auto"/>
            <w:tcBorders>
              <w:top w:val="single" w:sz="4" w:space="0" w:color="auto"/>
              <w:left w:val="single" w:sz="4" w:space="0" w:color="auto"/>
              <w:bottom w:val="single" w:sz="4" w:space="0" w:color="auto"/>
              <w:right w:val="single" w:sz="4" w:space="0" w:color="auto"/>
            </w:tcBorders>
            <w:vAlign w:val="bottom"/>
            <w:hideMark/>
          </w:tcPr>
          <w:p w14:paraId="36734BD3" w14:textId="77777777" w:rsidR="007C666D" w:rsidRDefault="007C666D" w:rsidP="00D23AD7">
            <w:pPr>
              <w:spacing w:after="0" w:line="240" w:lineRule="auto"/>
              <w:contextualSpacing/>
              <w:rPr>
                <w:rStyle w:val="Style1"/>
                <w:color w:val="4F81BD" w:themeColor="accent1"/>
              </w:rPr>
            </w:pPr>
            <w:r>
              <w:rPr>
                <w:rStyle w:val="Style1"/>
                <w:color w:val="4F81BD" w:themeColor="accent1"/>
              </w:rPr>
              <w:t>41.3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030B4F3" w14:textId="77777777" w:rsidR="007C666D" w:rsidRDefault="007C666D" w:rsidP="00D23AD7">
            <w:pPr>
              <w:spacing w:after="0" w:line="240" w:lineRule="auto"/>
              <w:contextualSpacing/>
              <w:rPr>
                <w:rStyle w:val="Style1"/>
                <w:color w:val="4F81BD" w:themeColor="accent1"/>
              </w:rPr>
            </w:pPr>
            <w:r>
              <w:rPr>
                <w:rStyle w:val="Style1"/>
                <w:color w:val="4F81BD" w:themeColor="accent1"/>
              </w:rPr>
              <w:t>5,021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79A72D7" w14:textId="77777777" w:rsidR="007C666D" w:rsidRDefault="007C666D" w:rsidP="00D23AD7">
            <w:pPr>
              <w:spacing w:after="0" w:line="240" w:lineRule="auto"/>
              <w:contextualSpacing/>
              <w:rPr>
                <w:rStyle w:val="Style1"/>
                <w:color w:val="4F81BD" w:themeColor="accent1"/>
              </w:rPr>
            </w:pPr>
            <w:r>
              <w:rPr>
                <w:rStyle w:val="Style1"/>
                <w:color w:val="4F81BD" w:themeColor="accent1"/>
              </w:rPr>
              <w:t>42.8</w:t>
            </w:r>
          </w:p>
        </w:tc>
      </w:tr>
      <w:tr w:rsidR="007C666D" w14:paraId="46635FBA"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1B32A88E" w14:textId="77777777" w:rsidR="007C666D" w:rsidRDefault="007C666D" w:rsidP="00D23AD7">
            <w:pPr>
              <w:spacing w:after="0" w:line="240" w:lineRule="auto"/>
              <w:contextualSpacing/>
              <w:rPr>
                <w:rStyle w:val="Style1"/>
                <w:color w:val="4F81BD" w:themeColor="accent1"/>
              </w:rPr>
            </w:pPr>
            <w:r>
              <w:rPr>
                <w:rStyle w:val="Style1"/>
                <w:color w:val="4F81BD" w:themeColor="accent1"/>
              </w:rPr>
              <w:t>Micropolitan</w:t>
            </w:r>
          </w:p>
        </w:tc>
        <w:tc>
          <w:tcPr>
            <w:tcW w:w="0" w:type="auto"/>
            <w:tcBorders>
              <w:top w:val="single" w:sz="4" w:space="0" w:color="auto"/>
              <w:left w:val="single" w:sz="4" w:space="0" w:color="auto"/>
              <w:bottom w:val="single" w:sz="4" w:space="0" w:color="auto"/>
              <w:right w:val="single" w:sz="4" w:space="0" w:color="auto"/>
            </w:tcBorders>
            <w:vAlign w:val="bottom"/>
            <w:hideMark/>
          </w:tcPr>
          <w:p w14:paraId="01791B31" w14:textId="77777777" w:rsidR="007C666D" w:rsidRDefault="007C666D" w:rsidP="00D23AD7">
            <w:pPr>
              <w:spacing w:after="0" w:line="240" w:lineRule="auto"/>
              <w:contextualSpacing/>
              <w:rPr>
                <w:rStyle w:val="Style1"/>
                <w:color w:val="4F81BD" w:themeColor="accent1"/>
              </w:rPr>
            </w:pPr>
            <w:r>
              <w:rPr>
                <w:rStyle w:val="Style1"/>
                <w:color w:val="4F81BD" w:themeColor="accent1"/>
              </w:rPr>
              <w:t>7,887</w:t>
            </w:r>
          </w:p>
        </w:tc>
        <w:tc>
          <w:tcPr>
            <w:tcW w:w="0" w:type="auto"/>
            <w:tcBorders>
              <w:top w:val="single" w:sz="4" w:space="0" w:color="auto"/>
              <w:left w:val="single" w:sz="4" w:space="0" w:color="auto"/>
              <w:bottom w:val="single" w:sz="4" w:space="0" w:color="auto"/>
              <w:right w:val="single" w:sz="4" w:space="0" w:color="auto"/>
            </w:tcBorders>
            <w:vAlign w:val="bottom"/>
            <w:hideMark/>
          </w:tcPr>
          <w:p w14:paraId="1E14E4D8" w14:textId="77777777" w:rsidR="007C666D" w:rsidRDefault="007C666D" w:rsidP="00D23AD7">
            <w:pPr>
              <w:spacing w:after="0" w:line="240" w:lineRule="auto"/>
              <w:contextualSpacing/>
              <w:rPr>
                <w:rStyle w:val="Style1"/>
                <w:color w:val="4F81BD" w:themeColor="accent1"/>
              </w:rPr>
            </w:pPr>
            <w:r>
              <w:rPr>
                <w:rStyle w:val="Style1"/>
                <w:color w:val="4F81BD" w:themeColor="accent1"/>
              </w:rPr>
              <w:t>29.2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29BF53C" w14:textId="77777777" w:rsidR="007C666D" w:rsidRDefault="007C666D" w:rsidP="00D23AD7">
            <w:pPr>
              <w:spacing w:after="0" w:line="240" w:lineRule="auto"/>
              <w:contextualSpacing/>
              <w:rPr>
                <w:rStyle w:val="Style1"/>
                <w:color w:val="4F81BD" w:themeColor="accent1"/>
              </w:rPr>
            </w:pPr>
            <w:r>
              <w:rPr>
                <w:rStyle w:val="Style1"/>
                <w:color w:val="4F81BD" w:themeColor="accent1"/>
              </w:rPr>
              <w:t>3,315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41BB7B4" w14:textId="77777777" w:rsidR="007C666D" w:rsidRDefault="007C666D" w:rsidP="00D23AD7">
            <w:pPr>
              <w:spacing w:after="0" w:line="240" w:lineRule="auto"/>
              <w:contextualSpacing/>
              <w:rPr>
                <w:rStyle w:val="Style1"/>
                <w:color w:val="4F81BD" w:themeColor="accent1"/>
              </w:rPr>
            </w:pPr>
            <w:r>
              <w:rPr>
                <w:rStyle w:val="Style1"/>
                <w:color w:val="4F81BD" w:themeColor="accent1"/>
              </w:rPr>
              <w:t>28.2</w:t>
            </w:r>
          </w:p>
        </w:tc>
      </w:tr>
      <w:tr w:rsidR="007C666D" w14:paraId="4EA968BB"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6D5C30F1" w14:textId="77777777" w:rsidR="007C666D" w:rsidRDefault="007C666D" w:rsidP="00D23AD7">
            <w:pPr>
              <w:spacing w:after="0" w:line="240" w:lineRule="auto"/>
              <w:contextualSpacing/>
              <w:rPr>
                <w:rStyle w:val="Style1"/>
                <w:color w:val="4F81BD" w:themeColor="accent1"/>
              </w:rPr>
            </w:pPr>
            <w:r>
              <w:rPr>
                <w:rStyle w:val="Style1"/>
                <w:color w:val="4F81BD" w:themeColor="accent1"/>
              </w:rPr>
              <w:t>Neither</w:t>
            </w:r>
          </w:p>
        </w:tc>
        <w:tc>
          <w:tcPr>
            <w:tcW w:w="0" w:type="auto"/>
            <w:tcBorders>
              <w:top w:val="single" w:sz="4" w:space="0" w:color="auto"/>
              <w:left w:val="single" w:sz="4" w:space="0" w:color="auto"/>
              <w:bottom w:val="single" w:sz="4" w:space="0" w:color="auto"/>
              <w:right w:val="single" w:sz="4" w:space="0" w:color="auto"/>
            </w:tcBorders>
            <w:vAlign w:val="bottom"/>
            <w:hideMark/>
          </w:tcPr>
          <w:p w14:paraId="04CE8D9B" w14:textId="77777777" w:rsidR="007C666D" w:rsidRDefault="007C666D" w:rsidP="00D23AD7">
            <w:pPr>
              <w:spacing w:after="0" w:line="240" w:lineRule="auto"/>
              <w:contextualSpacing/>
              <w:rPr>
                <w:rStyle w:val="Style1"/>
                <w:color w:val="4F81BD" w:themeColor="accent1"/>
              </w:rPr>
            </w:pPr>
            <w:r>
              <w:rPr>
                <w:rStyle w:val="Style1"/>
                <w:color w:val="4F81BD" w:themeColor="accent1"/>
              </w:rPr>
              <w:t>7,845</w:t>
            </w:r>
          </w:p>
        </w:tc>
        <w:tc>
          <w:tcPr>
            <w:tcW w:w="0" w:type="auto"/>
            <w:tcBorders>
              <w:top w:val="single" w:sz="4" w:space="0" w:color="auto"/>
              <w:left w:val="single" w:sz="4" w:space="0" w:color="auto"/>
              <w:bottom w:val="single" w:sz="4" w:space="0" w:color="auto"/>
              <w:right w:val="single" w:sz="4" w:space="0" w:color="auto"/>
            </w:tcBorders>
            <w:vAlign w:val="bottom"/>
            <w:hideMark/>
          </w:tcPr>
          <w:p w14:paraId="031B371F" w14:textId="77777777" w:rsidR="007C666D" w:rsidRDefault="007C666D" w:rsidP="00D23AD7">
            <w:pPr>
              <w:spacing w:after="0" w:line="240" w:lineRule="auto"/>
              <w:contextualSpacing/>
              <w:rPr>
                <w:rStyle w:val="Style1"/>
                <w:color w:val="4F81BD" w:themeColor="accent1"/>
              </w:rPr>
            </w:pPr>
            <w:r>
              <w:rPr>
                <w:rStyle w:val="Style1"/>
                <w:color w:val="4F81BD" w:themeColor="accent1"/>
              </w:rPr>
              <w:t>29.1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61E6280" w14:textId="77777777" w:rsidR="007C666D" w:rsidRDefault="007C666D" w:rsidP="00D23AD7">
            <w:pPr>
              <w:spacing w:after="0" w:line="240" w:lineRule="auto"/>
              <w:contextualSpacing/>
              <w:rPr>
                <w:rStyle w:val="Style1"/>
                <w:color w:val="4F81BD" w:themeColor="accent1"/>
              </w:rPr>
            </w:pPr>
            <w:r>
              <w:rPr>
                <w:rStyle w:val="Style1"/>
                <w:color w:val="4F81BD" w:themeColor="accent1"/>
              </w:rPr>
              <w:t>3,383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6B591DC" w14:textId="77777777" w:rsidR="007C666D" w:rsidRDefault="007C666D" w:rsidP="00D23AD7">
            <w:pPr>
              <w:spacing w:after="0" w:line="240" w:lineRule="auto"/>
              <w:contextualSpacing/>
              <w:rPr>
                <w:rStyle w:val="Style1"/>
                <w:color w:val="4F81BD" w:themeColor="accent1"/>
              </w:rPr>
            </w:pPr>
            <w:r>
              <w:rPr>
                <w:rStyle w:val="Style1"/>
                <w:color w:val="4F81BD" w:themeColor="accent1"/>
              </w:rPr>
              <w:t>28.8</w:t>
            </w:r>
          </w:p>
        </w:tc>
      </w:tr>
      <w:tr w:rsidR="007C666D" w14:paraId="5365FFCF" w14:textId="77777777" w:rsidTr="007C666D">
        <w:trPr>
          <w:trHeight w:val="300"/>
        </w:trPr>
        <w:tc>
          <w:tcPr>
            <w:tcW w:w="0" w:type="auto"/>
            <w:tcBorders>
              <w:top w:val="single" w:sz="4" w:space="0" w:color="auto"/>
              <w:left w:val="single" w:sz="4" w:space="0" w:color="auto"/>
              <w:bottom w:val="single" w:sz="4" w:space="0" w:color="auto"/>
              <w:right w:val="single" w:sz="4" w:space="0" w:color="auto"/>
            </w:tcBorders>
            <w:noWrap/>
            <w:vAlign w:val="bottom"/>
            <w:hideMark/>
          </w:tcPr>
          <w:p w14:paraId="5423B688" w14:textId="77777777" w:rsidR="007C666D" w:rsidRDefault="007C666D" w:rsidP="00D23AD7">
            <w:pPr>
              <w:spacing w:after="0" w:line="240" w:lineRule="auto"/>
              <w:contextualSpacing/>
              <w:rPr>
                <w:rStyle w:val="Style1"/>
                <w:color w:val="4F81BD" w:themeColor="accent1"/>
              </w:rPr>
            </w:pPr>
            <w:r>
              <w:rPr>
                <w:rStyle w:val="Style1"/>
                <w:color w:val="4F81BD" w:themeColor="accent1"/>
              </w:rPr>
              <w:lastRenderedPageBreak/>
              <w:t>Unknown</w:t>
            </w:r>
          </w:p>
        </w:tc>
        <w:tc>
          <w:tcPr>
            <w:tcW w:w="0" w:type="auto"/>
            <w:tcBorders>
              <w:top w:val="single" w:sz="4" w:space="0" w:color="auto"/>
              <w:left w:val="single" w:sz="4" w:space="0" w:color="auto"/>
              <w:bottom w:val="single" w:sz="4" w:space="0" w:color="auto"/>
              <w:right w:val="single" w:sz="4" w:space="0" w:color="auto"/>
            </w:tcBorders>
            <w:vAlign w:val="bottom"/>
            <w:hideMark/>
          </w:tcPr>
          <w:p w14:paraId="791E6F1F" w14:textId="77777777" w:rsidR="007C666D" w:rsidRDefault="007C666D" w:rsidP="00D23AD7">
            <w:pPr>
              <w:spacing w:after="0" w:line="240" w:lineRule="auto"/>
              <w:contextualSpacing/>
              <w:rPr>
                <w:rStyle w:val="Style1"/>
                <w:color w:val="4F81BD" w:themeColor="accent1"/>
              </w:rPr>
            </w:pPr>
            <w:r>
              <w:rPr>
                <w:rStyle w:val="Style1"/>
                <w:color w:val="4F81BD" w:themeColor="accent1"/>
              </w:rPr>
              <w:t>104</w:t>
            </w:r>
          </w:p>
        </w:tc>
        <w:tc>
          <w:tcPr>
            <w:tcW w:w="0" w:type="auto"/>
            <w:tcBorders>
              <w:top w:val="single" w:sz="4" w:space="0" w:color="auto"/>
              <w:left w:val="single" w:sz="4" w:space="0" w:color="auto"/>
              <w:bottom w:val="single" w:sz="4" w:space="0" w:color="auto"/>
              <w:right w:val="single" w:sz="4" w:space="0" w:color="auto"/>
            </w:tcBorders>
            <w:vAlign w:val="bottom"/>
            <w:hideMark/>
          </w:tcPr>
          <w:p w14:paraId="1F99F1CC" w14:textId="77777777" w:rsidR="007C666D" w:rsidRDefault="007C666D" w:rsidP="00D23AD7">
            <w:pPr>
              <w:spacing w:after="0" w:line="240" w:lineRule="auto"/>
              <w:contextualSpacing/>
              <w:rPr>
                <w:rStyle w:val="Style1"/>
                <w:color w:val="4F81BD" w:themeColor="accent1"/>
              </w:rPr>
            </w:pPr>
            <w:r>
              <w:rPr>
                <w:rStyle w:val="Style1"/>
                <w:color w:val="4F81BD" w:themeColor="accent1"/>
              </w:rPr>
              <w:t>0.4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FDDEA8F" w14:textId="77777777" w:rsidR="007C666D" w:rsidRDefault="007C666D" w:rsidP="00D23AD7">
            <w:pPr>
              <w:spacing w:after="0" w:line="240" w:lineRule="auto"/>
              <w:contextualSpacing/>
              <w:rPr>
                <w:rStyle w:val="Style1"/>
                <w:color w:val="4F81BD" w:themeColor="accent1"/>
              </w:rPr>
            </w:pPr>
            <w:r>
              <w:rPr>
                <w:rStyle w:val="Style1"/>
                <w:color w:val="4F81BD" w:themeColor="accent1"/>
              </w:rPr>
              <w:t>24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F7C6CC8" w14:textId="77777777" w:rsidR="007C666D" w:rsidRDefault="007C666D" w:rsidP="00D23AD7">
            <w:pPr>
              <w:spacing w:after="0" w:line="240" w:lineRule="auto"/>
              <w:contextualSpacing/>
              <w:rPr>
                <w:rStyle w:val="Style1"/>
                <w:color w:val="4F81BD" w:themeColor="accent1"/>
              </w:rPr>
            </w:pPr>
            <w:r>
              <w:rPr>
                <w:rStyle w:val="Style1"/>
                <w:color w:val="4F81BD" w:themeColor="accent1"/>
              </w:rPr>
              <w:t>0.2</w:t>
            </w:r>
          </w:p>
        </w:tc>
      </w:tr>
    </w:tbl>
    <w:p w14:paraId="0CABCFC9" w14:textId="30FFA9F0" w:rsidR="007422FD" w:rsidRPr="007C666D" w:rsidRDefault="007C666D" w:rsidP="00D23AD7">
      <w:pPr>
        <w:spacing w:after="0" w:line="240" w:lineRule="auto"/>
        <w:contextualSpacing/>
        <w:rPr>
          <w:color w:val="4F81BD" w:themeColor="accent1"/>
        </w:rPr>
      </w:pPr>
      <w:r>
        <w:rPr>
          <w:rStyle w:val="Style1"/>
          <w:color w:val="4F81BD" w:themeColor="accent1"/>
        </w:rPr>
        <w:t>Source: MAX data from calendar year 2008</w:t>
      </w:r>
    </w:p>
    <w:p w14:paraId="0CABCFCA" w14:textId="77777777" w:rsidR="0021054A" w:rsidRDefault="002B5016" w:rsidP="00D23AD7">
      <w:pPr>
        <w:autoSpaceDE w:val="0"/>
        <w:autoSpaceDN w:val="0"/>
        <w:adjustRightInd w:val="0"/>
        <w:spacing w:after="0" w:line="240" w:lineRule="auto"/>
        <w:contextualSpacing/>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A938303" w14:textId="161BAC6C" w:rsidR="007C666D" w:rsidRDefault="007C666D" w:rsidP="00D23AD7">
      <w:pPr>
        <w:autoSpaceDE w:val="0"/>
        <w:autoSpaceDN w:val="0"/>
        <w:adjustRightInd w:val="0"/>
        <w:spacing w:after="0" w:line="240" w:lineRule="auto"/>
        <w:contextualSpacing/>
        <w:rPr>
          <w:rStyle w:val="Style1"/>
          <w:color w:val="C00000"/>
        </w:rPr>
      </w:pPr>
      <w:r>
        <w:rPr>
          <w:rStyle w:val="Style1"/>
          <w:b/>
          <w:bCs/>
          <w:color w:val="C00000"/>
          <w:u w:val="single"/>
        </w:rPr>
        <w:t>201</w:t>
      </w:r>
      <w:r w:rsidR="005B4052">
        <w:rPr>
          <w:rStyle w:val="Style1"/>
          <w:b/>
          <w:bCs/>
          <w:color w:val="C00000"/>
          <w:u w:val="single"/>
        </w:rPr>
        <w:t>9</w:t>
      </w:r>
      <w:r>
        <w:rPr>
          <w:rStyle w:val="Style1"/>
          <w:b/>
          <w:bCs/>
          <w:color w:val="C00000"/>
          <w:u w:val="single"/>
        </w:rPr>
        <w:t xml:space="preserve"> Submission</w:t>
      </w:r>
      <w:r>
        <w:rPr>
          <w:rStyle w:val="Style1"/>
          <w:color w:val="C00000"/>
        </w:rPr>
        <w:t xml:space="preserve"> </w:t>
      </w:r>
    </w:p>
    <w:p w14:paraId="3815F65D" w14:textId="77777777" w:rsidR="007C666D" w:rsidRDefault="007C666D" w:rsidP="00D23AD7">
      <w:pPr>
        <w:autoSpaceDE w:val="0"/>
        <w:autoSpaceDN w:val="0"/>
        <w:adjustRightInd w:val="0"/>
        <w:spacing w:after="0" w:line="240" w:lineRule="auto"/>
        <w:contextualSpacing/>
        <w:rPr>
          <w:rStyle w:val="Style1"/>
          <w:color w:val="C00000"/>
        </w:rPr>
      </w:pPr>
      <w:r>
        <w:rPr>
          <w:rStyle w:val="Style1"/>
          <w:color w:val="C00000"/>
        </w:rPr>
        <w:t xml:space="preserve">No differences in the data used for reliability and construct validity testing. </w:t>
      </w:r>
    </w:p>
    <w:p w14:paraId="3D991352" w14:textId="77777777" w:rsidR="007C666D" w:rsidRDefault="007C666D" w:rsidP="00D23AD7">
      <w:pPr>
        <w:autoSpaceDE w:val="0"/>
        <w:autoSpaceDN w:val="0"/>
        <w:adjustRightInd w:val="0"/>
        <w:spacing w:after="0" w:line="240" w:lineRule="auto"/>
        <w:contextualSpacing/>
        <w:rPr>
          <w:rStyle w:val="Style1"/>
          <w:color w:val="C00000"/>
        </w:rPr>
      </w:pPr>
    </w:p>
    <w:p w14:paraId="3486F9D8" w14:textId="77777777" w:rsidR="007C666D" w:rsidRDefault="007C666D" w:rsidP="00D23AD7">
      <w:pPr>
        <w:autoSpaceDE w:val="0"/>
        <w:autoSpaceDN w:val="0"/>
        <w:adjustRightInd w:val="0"/>
        <w:spacing w:after="0" w:line="240" w:lineRule="auto"/>
        <w:contextualSpacing/>
        <w:rPr>
          <w:color w:val="4F81BD" w:themeColor="accent1"/>
        </w:rPr>
      </w:pPr>
      <w:r>
        <w:rPr>
          <w:rStyle w:val="Style1"/>
          <w:b/>
          <w:bCs/>
          <w:color w:val="4F81BD" w:themeColor="accent1"/>
          <w:u w:val="single"/>
        </w:rPr>
        <w:t>2014 Submission</w:t>
      </w:r>
    </w:p>
    <w:p w14:paraId="392BB121"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The number of states used for each denominator is different; 16 states were included in our analysis of the follow-up rate for emergency department visits for mental health diagnoses whereas 15 states were included in our analysis of the follow-up rate for emergency department visits for AOD diagnoses. As seen in Table 2, The District of Columbia was not included in the AOD analysis due to a small sample size. There were no other differences in the data used for each aspect of testing.  </w:t>
      </w:r>
    </w:p>
    <w:p w14:paraId="5C371AC6" w14:textId="77777777" w:rsidR="007C666D" w:rsidRDefault="007C666D" w:rsidP="00D23AD7">
      <w:pPr>
        <w:spacing w:after="0" w:line="240" w:lineRule="auto"/>
        <w:contextualSpacing/>
        <w:rPr>
          <w:rStyle w:val="Style1"/>
          <w:color w:val="4F81BD" w:themeColor="accent1"/>
        </w:rPr>
      </w:pPr>
    </w:p>
    <w:p w14:paraId="490B0B53" w14:textId="77777777" w:rsidR="007C666D" w:rsidRDefault="007C666D" w:rsidP="00D23AD7">
      <w:pPr>
        <w:spacing w:after="0" w:line="240" w:lineRule="auto"/>
        <w:contextualSpacing/>
        <w:rPr>
          <w:rStyle w:val="Style1"/>
          <w:color w:val="4F81BD" w:themeColor="accent1"/>
        </w:rPr>
      </w:pPr>
      <w:r>
        <w:rPr>
          <w:rStyle w:val="Style1"/>
          <w:color w:val="4F81BD" w:themeColor="accent1"/>
        </w:rPr>
        <w:t xml:space="preserve">Table 2: Number of emergency department discharges included in each denominator, by state: </w:t>
      </w:r>
    </w:p>
    <w:tbl>
      <w:tblPr>
        <w:tblW w:w="7628" w:type="dxa"/>
        <w:tblInd w:w="93" w:type="dxa"/>
        <w:tblLook w:val="04A0" w:firstRow="1" w:lastRow="0" w:firstColumn="1" w:lastColumn="0" w:noHBand="0" w:noVBand="1"/>
      </w:tblPr>
      <w:tblGrid>
        <w:gridCol w:w="1482"/>
        <w:gridCol w:w="3073"/>
        <w:gridCol w:w="3073"/>
      </w:tblGrid>
      <w:tr w:rsidR="007C666D" w14:paraId="41146CEA" w14:textId="77777777" w:rsidTr="007C666D">
        <w:trPr>
          <w:trHeight w:val="483"/>
        </w:trPr>
        <w:tc>
          <w:tcPr>
            <w:tcW w:w="1482" w:type="dxa"/>
            <w:tcBorders>
              <w:top w:val="single" w:sz="8" w:space="0" w:color="000000"/>
              <w:left w:val="single" w:sz="8" w:space="0" w:color="000000"/>
              <w:bottom w:val="single" w:sz="4" w:space="0" w:color="000000"/>
              <w:right w:val="single" w:sz="4" w:space="0" w:color="000000"/>
            </w:tcBorders>
            <w:hideMark/>
          </w:tcPr>
          <w:p w14:paraId="47BE507C" w14:textId="77777777" w:rsidR="007C666D" w:rsidRDefault="007C666D" w:rsidP="00D23AD7">
            <w:pPr>
              <w:spacing w:after="0" w:line="240" w:lineRule="auto"/>
              <w:contextualSpacing/>
              <w:rPr>
                <w:rStyle w:val="Style1"/>
                <w:color w:val="4F81BD" w:themeColor="accent1"/>
              </w:rPr>
            </w:pPr>
            <w:r>
              <w:rPr>
                <w:rStyle w:val="Style1"/>
                <w:color w:val="4F81BD" w:themeColor="accent1"/>
              </w:rPr>
              <w:t>State</w:t>
            </w:r>
          </w:p>
        </w:tc>
        <w:tc>
          <w:tcPr>
            <w:tcW w:w="3073" w:type="dxa"/>
            <w:tcBorders>
              <w:top w:val="single" w:sz="8" w:space="0" w:color="000000"/>
              <w:left w:val="nil"/>
              <w:bottom w:val="single" w:sz="4" w:space="0" w:color="000000"/>
              <w:right w:val="single" w:sz="4" w:space="0" w:color="000000"/>
            </w:tcBorders>
            <w:hideMark/>
          </w:tcPr>
          <w:p w14:paraId="6B227D03" w14:textId="77777777" w:rsidR="007C666D" w:rsidRDefault="007C666D" w:rsidP="00D23AD7">
            <w:pPr>
              <w:spacing w:after="0" w:line="240" w:lineRule="auto"/>
              <w:contextualSpacing/>
              <w:rPr>
                <w:rStyle w:val="Style1"/>
                <w:color w:val="4F81BD" w:themeColor="accent1"/>
              </w:rPr>
            </w:pPr>
            <w:r>
              <w:rPr>
                <w:rStyle w:val="Style1"/>
                <w:color w:val="4F81BD" w:themeColor="accent1"/>
              </w:rPr>
              <w:t>Number of ED discharges in Mental Health Denominator</w:t>
            </w:r>
          </w:p>
        </w:tc>
        <w:tc>
          <w:tcPr>
            <w:tcW w:w="3073" w:type="dxa"/>
            <w:tcBorders>
              <w:top w:val="single" w:sz="8" w:space="0" w:color="000000"/>
              <w:left w:val="nil"/>
              <w:bottom w:val="single" w:sz="4" w:space="0" w:color="000000"/>
              <w:right w:val="single" w:sz="4" w:space="0" w:color="000000"/>
            </w:tcBorders>
            <w:hideMark/>
          </w:tcPr>
          <w:p w14:paraId="2522BF5F" w14:textId="77777777" w:rsidR="007C666D" w:rsidRDefault="007C666D" w:rsidP="00D23AD7">
            <w:pPr>
              <w:spacing w:after="0" w:line="240" w:lineRule="auto"/>
              <w:contextualSpacing/>
              <w:rPr>
                <w:rStyle w:val="Style1"/>
                <w:color w:val="4F81BD" w:themeColor="accent1"/>
              </w:rPr>
            </w:pPr>
            <w:r>
              <w:rPr>
                <w:rStyle w:val="Style1"/>
                <w:color w:val="4F81BD" w:themeColor="accent1"/>
              </w:rPr>
              <w:t>Number of ED discharges in AOD Denominator</w:t>
            </w:r>
          </w:p>
        </w:tc>
      </w:tr>
      <w:tr w:rsidR="007C666D" w14:paraId="7AD2EFEB"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47A318D6" w14:textId="77777777" w:rsidR="007C666D" w:rsidRDefault="007C666D" w:rsidP="00D23AD7">
            <w:pPr>
              <w:spacing w:after="0" w:line="240" w:lineRule="auto"/>
              <w:contextualSpacing/>
              <w:rPr>
                <w:rStyle w:val="Style1"/>
                <w:color w:val="4F81BD" w:themeColor="accent1"/>
              </w:rPr>
            </w:pPr>
            <w:r>
              <w:rPr>
                <w:rStyle w:val="Style1"/>
                <w:color w:val="4F81BD" w:themeColor="accent1"/>
              </w:rPr>
              <w:t>AK</w:t>
            </w:r>
          </w:p>
        </w:tc>
        <w:tc>
          <w:tcPr>
            <w:tcW w:w="3073" w:type="dxa"/>
            <w:tcBorders>
              <w:top w:val="nil"/>
              <w:left w:val="nil"/>
              <w:bottom w:val="single" w:sz="4" w:space="0" w:color="000000"/>
              <w:right w:val="single" w:sz="4" w:space="0" w:color="000000"/>
            </w:tcBorders>
            <w:hideMark/>
          </w:tcPr>
          <w:p w14:paraId="56FC9CB0" w14:textId="77777777" w:rsidR="007C666D" w:rsidRDefault="007C666D" w:rsidP="00D23AD7">
            <w:pPr>
              <w:spacing w:after="0" w:line="240" w:lineRule="auto"/>
              <w:contextualSpacing/>
              <w:rPr>
                <w:rStyle w:val="Style1"/>
                <w:color w:val="4F81BD" w:themeColor="accent1"/>
              </w:rPr>
            </w:pPr>
            <w:r>
              <w:rPr>
                <w:rStyle w:val="Style1"/>
                <w:color w:val="4F81BD" w:themeColor="accent1"/>
              </w:rPr>
              <w:t>221</w:t>
            </w:r>
          </w:p>
        </w:tc>
        <w:tc>
          <w:tcPr>
            <w:tcW w:w="3073" w:type="dxa"/>
            <w:tcBorders>
              <w:top w:val="nil"/>
              <w:left w:val="nil"/>
              <w:bottom w:val="single" w:sz="4" w:space="0" w:color="000000"/>
              <w:right w:val="single" w:sz="4" w:space="0" w:color="000000"/>
            </w:tcBorders>
            <w:hideMark/>
          </w:tcPr>
          <w:p w14:paraId="3413E8B3" w14:textId="77777777" w:rsidR="007C666D" w:rsidRDefault="007C666D" w:rsidP="00D23AD7">
            <w:pPr>
              <w:spacing w:after="0" w:line="240" w:lineRule="auto"/>
              <w:contextualSpacing/>
              <w:rPr>
                <w:rStyle w:val="Style1"/>
                <w:color w:val="4F81BD" w:themeColor="accent1"/>
              </w:rPr>
            </w:pPr>
            <w:r>
              <w:rPr>
                <w:rStyle w:val="Style1"/>
                <w:color w:val="4F81BD" w:themeColor="accent1"/>
              </w:rPr>
              <w:t>212</w:t>
            </w:r>
          </w:p>
        </w:tc>
      </w:tr>
      <w:tr w:rsidR="007C666D" w14:paraId="6C5C0395"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094B02DC" w14:textId="77777777" w:rsidR="007C666D" w:rsidRDefault="007C666D" w:rsidP="00D23AD7">
            <w:pPr>
              <w:spacing w:after="0" w:line="240" w:lineRule="auto"/>
              <w:contextualSpacing/>
              <w:rPr>
                <w:rStyle w:val="Style1"/>
                <w:color w:val="4F81BD" w:themeColor="accent1"/>
              </w:rPr>
            </w:pPr>
            <w:r>
              <w:rPr>
                <w:rStyle w:val="Style1"/>
                <w:color w:val="4F81BD" w:themeColor="accent1"/>
              </w:rPr>
              <w:t>AL</w:t>
            </w:r>
          </w:p>
        </w:tc>
        <w:tc>
          <w:tcPr>
            <w:tcW w:w="3073" w:type="dxa"/>
            <w:tcBorders>
              <w:top w:val="nil"/>
              <w:left w:val="nil"/>
              <w:bottom w:val="single" w:sz="4" w:space="0" w:color="000000"/>
              <w:right w:val="single" w:sz="4" w:space="0" w:color="000000"/>
            </w:tcBorders>
            <w:hideMark/>
          </w:tcPr>
          <w:p w14:paraId="1DB96866" w14:textId="77777777" w:rsidR="007C666D" w:rsidRDefault="007C666D" w:rsidP="00D23AD7">
            <w:pPr>
              <w:spacing w:after="0" w:line="240" w:lineRule="auto"/>
              <w:contextualSpacing/>
              <w:rPr>
                <w:rStyle w:val="Style1"/>
                <w:color w:val="4F81BD" w:themeColor="accent1"/>
              </w:rPr>
            </w:pPr>
            <w:r>
              <w:rPr>
                <w:rStyle w:val="Style1"/>
                <w:color w:val="4F81BD" w:themeColor="accent1"/>
              </w:rPr>
              <w:t>2,294</w:t>
            </w:r>
          </w:p>
        </w:tc>
        <w:tc>
          <w:tcPr>
            <w:tcW w:w="3073" w:type="dxa"/>
            <w:tcBorders>
              <w:top w:val="nil"/>
              <w:left w:val="nil"/>
              <w:bottom w:val="single" w:sz="4" w:space="0" w:color="000000"/>
              <w:right w:val="single" w:sz="4" w:space="0" w:color="000000"/>
            </w:tcBorders>
            <w:hideMark/>
          </w:tcPr>
          <w:p w14:paraId="6CE6C68D" w14:textId="77777777" w:rsidR="007C666D" w:rsidRDefault="007C666D" w:rsidP="00D23AD7">
            <w:pPr>
              <w:spacing w:after="0" w:line="240" w:lineRule="auto"/>
              <w:contextualSpacing/>
              <w:rPr>
                <w:rStyle w:val="Style1"/>
                <w:color w:val="4F81BD" w:themeColor="accent1"/>
              </w:rPr>
            </w:pPr>
            <w:r>
              <w:rPr>
                <w:rStyle w:val="Style1"/>
                <w:color w:val="4F81BD" w:themeColor="accent1"/>
              </w:rPr>
              <w:t>873</w:t>
            </w:r>
          </w:p>
        </w:tc>
      </w:tr>
      <w:tr w:rsidR="007C666D" w14:paraId="581F8F7A"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21026EC8" w14:textId="77777777" w:rsidR="007C666D" w:rsidRDefault="007C666D" w:rsidP="00D23AD7">
            <w:pPr>
              <w:spacing w:after="0" w:line="240" w:lineRule="auto"/>
              <w:contextualSpacing/>
              <w:rPr>
                <w:rStyle w:val="Style1"/>
                <w:color w:val="4F81BD" w:themeColor="accent1"/>
              </w:rPr>
            </w:pPr>
            <w:r>
              <w:rPr>
                <w:rStyle w:val="Style1"/>
                <w:color w:val="4F81BD" w:themeColor="accent1"/>
              </w:rPr>
              <w:t>CT</w:t>
            </w:r>
          </w:p>
        </w:tc>
        <w:tc>
          <w:tcPr>
            <w:tcW w:w="3073" w:type="dxa"/>
            <w:tcBorders>
              <w:top w:val="nil"/>
              <w:left w:val="nil"/>
              <w:bottom w:val="single" w:sz="4" w:space="0" w:color="000000"/>
              <w:right w:val="single" w:sz="4" w:space="0" w:color="000000"/>
            </w:tcBorders>
            <w:hideMark/>
          </w:tcPr>
          <w:p w14:paraId="7560A7AC" w14:textId="77777777" w:rsidR="007C666D" w:rsidRDefault="007C666D" w:rsidP="00D23AD7">
            <w:pPr>
              <w:spacing w:after="0" w:line="240" w:lineRule="auto"/>
              <w:contextualSpacing/>
              <w:rPr>
                <w:rStyle w:val="Style1"/>
                <w:color w:val="4F81BD" w:themeColor="accent1"/>
              </w:rPr>
            </w:pPr>
            <w:r>
              <w:rPr>
                <w:rStyle w:val="Style1"/>
                <w:color w:val="4F81BD" w:themeColor="accent1"/>
              </w:rPr>
              <w:t>1,608</w:t>
            </w:r>
          </w:p>
        </w:tc>
        <w:tc>
          <w:tcPr>
            <w:tcW w:w="3073" w:type="dxa"/>
            <w:tcBorders>
              <w:top w:val="nil"/>
              <w:left w:val="nil"/>
              <w:bottom w:val="single" w:sz="4" w:space="0" w:color="000000"/>
              <w:right w:val="single" w:sz="4" w:space="0" w:color="000000"/>
            </w:tcBorders>
            <w:hideMark/>
          </w:tcPr>
          <w:p w14:paraId="180D7A75" w14:textId="77777777" w:rsidR="007C666D" w:rsidRDefault="007C666D" w:rsidP="00D23AD7">
            <w:pPr>
              <w:spacing w:after="0" w:line="240" w:lineRule="auto"/>
              <w:contextualSpacing/>
              <w:rPr>
                <w:rStyle w:val="Style1"/>
                <w:color w:val="4F81BD" w:themeColor="accent1"/>
              </w:rPr>
            </w:pPr>
            <w:r>
              <w:rPr>
                <w:rStyle w:val="Style1"/>
                <w:color w:val="4F81BD" w:themeColor="accent1"/>
              </w:rPr>
              <w:t>1,135</w:t>
            </w:r>
          </w:p>
        </w:tc>
      </w:tr>
      <w:tr w:rsidR="007C666D" w14:paraId="0DA80900"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4DD02545" w14:textId="77777777" w:rsidR="007C666D" w:rsidRDefault="007C666D" w:rsidP="00D23AD7">
            <w:pPr>
              <w:spacing w:after="0" w:line="240" w:lineRule="auto"/>
              <w:contextualSpacing/>
              <w:rPr>
                <w:rStyle w:val="Style1"/>
                <w:color w:val="4F81BD" w:themeColor="accent1"/>
              </w:rPr>
            </w:pPr>
            <w:r>
              <w:rPr>
                <w:rStyle w:val="Style1"/>
                <w:color w:val="4F81BD" w:themeColor="accent1"/>
              </w:rPr>
              <w:t>DC*</w:t>
            </w:r>
          </w:p>
        </w:tc>
        <w:tc>
          <w:tcPr>
            <w:tcW w:w="3073" w:type="dxa"/>
            <w:tcBorders>
              <w:top w:val="nil"/>
              <w:left w:val="nil"/>
              <w:bottom w:val="single" w:sz="4" w:space="0" w:color="000000"/>
              <w:right w:val="single" w:sz="4" w:space="0" w:color="000000"/>
            </w:tcBorders>
            <w:hideMark/>
          </w:tcPr>
          <w:p w14:paraId="45329BC3" w14:textId="77777777" w:rsidR="007C666D" w:rsidRDefault="007C666D" w:rsidP="00D23AD7">
            <w:pPr>
              <w:spacing w:after="0" w:line="240" w:lineRule="auto"/>
              <w:contextualSpacing/>
              <w:rPr>
                <w:rStyle w:val="Style1"/>
                <w:color w:val="4F81BD" w:themeColor="accent1"/>
              </w:rPr>
            </w:pPr>
            <w:r>
              <w:rPr>
                <w:rStyle w:val="Style1"/>
                <w:color w:val="4F81BD" w:themeColor="accent1"/>
              </w:rPr>
              <w:t>181</w:t>
            </w:r>
          </w:p>
        </w:tc>
        <w:tc>
          <w:tcPr>
            <w:tcW w:w="3073" w:type="dxa"/>
            <w:tcBorders>
              <w:top w:val="nil"/>
              <w:left w:val="nil"/>
              <w:bottom w:val="single" w:sz="4" w:space="0" w:color="000000"/>
              <w:right w:val="single" w:sz="4" w:space="0" w:color="000000"/>
            </w:tcBorders>
            <w:hideMark/>
          </w:tcPr>
          <w:p w14:paraId="418E5D8F" w14:textId="77777777" w:rsidR="007C666D" w:rsidRDefault="007C666D" w:rsidP="00D23AD7">
            <w:pPr>
              <w:spacing w:after="0" w:line="240" w:lineRule="auto"/>
              <w:contextualSpacing/>
              <w:rPr>
                <w:rStyle w:val="Style1"/>
                <w:color w:val="4F81BD" w:themeColor="accent1"/>
              </w:rPr>
            </w:pPr>
            <w:r>
              <w:rPr>
                <w:rStyle w:val="Style1"/>
                <w:color w:val="4F81BD" w:themeColor="accent1"/>
              </w:rPr>
              <w:t>N/A</w:t>
            </w:r>
          </w:p>
        </w:tc>
      </w:tr>
      <w:tr w:rsidR="007C666D" w14:paraId="2233E23E"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026DF482" w14:textId="77777777" w:rsidR="007C666D" w:rsidRDefault="007C666D" w:rsidP="00D23AD7">
            <w:pPr>
              <w:spacing w:after="0" w:line="240" w:lineRule="auto"/>
              <w:contextualSpacing/>
              <w:rPr>
                <w:rStyle w:val="Style1"/>
                <w:color w:val="4F81BD" w:themeColor="accent1"/>
              </w:rPr>
            </w:pPr>
            <w:r>
              <w:rPr>
                <w:rStyle w:val="Style1"/>
                <w:color w:val="4F81BD" w:themeColor="accent1"/>
              </w:rPr>
              <w:t>GA</w:t>
            </w:r>
          </w:p>
        </w:tc>
        <w:tc>
          <w:tcPr>
            <w:tcW w:w="3073" w:type="dxa"/>
            <w:tcBorders>
              <w:top w:val="nil"/>
              <w:left w:val="nil"/>
              <w:bottom w:val="single" w:sz="4" w:space="0" w:color="000000"/>
              <w:right w:val="single" w:sz="4" w:space="0" w:color="000000"/>
            </w:tcBorders>
            <w:hideMark/>
          </w:tcPr>
          <w:p w14:paraId="4F49D8D9" w14:textId="77777777" w:rsidR="007C666D" w:rsidRDefault="007C666D" w:rsidP="00D23AD7">
            <w:pPr>
              <w:spacing w:after="0" w:line="240" w:lineRule="auto"/>
              <w:contextualSpacing/>
              <w:rPr>
                <w:rStyle w:val="Style1"/>
                <w:color w:val="4F81BD" w:themeColor="accent1"/>
              </w:rPr>
            </w:pPr>
            <w:r>
              <w:rPr>
                <w:rStyle w:val="Style1"/>
                <w:color w:val="4F81BD" w:themeColor="accent1"/>
              </w:rPr>
              <w:t>3,506</w:t>
            </w:r>
          </w:p>
        </w:tc>
        <w:tc>
          <w:tcPr>
            <w:tcW w:w="3073" w:type="dxa"/>
            <w:tcBorders>
              <w:top w:val="nil"/>
              <w:left w:val="nil"/>
              <w:bottom w:val="single" w:sz="4" w:space="0" w:color="000000"/>
              <w:right w:val="single" w:sz="4" w:space="0" w:color="000000"/>
            </w:tcBorders>
            <w:hideMark/>
          </w:tcPr>
          <w:p w14:paraId="5F10CA75" w14:textId="77777777" w:rsidR="007C666D" w:rsidRDefault="007C666D" w:rsidP="00D23AD7">
            <w:pPr>
              <w:spacing w:after="0" w:line="240" w:lineRule="auto"/>
              <w:contextualSpacing/>
              <w:rPr>
                <w:rStyle w:val="Style1"/>
                <w:color w:val="4F81BD" w:themeColor="accent1"/>
              </w:rPr>
            </w:pPr>
            <w:r>
              <w:rPr>
                <w:rStyle w:val="Style1"/>
                <w:color w:val="4F81BD" w:themeColor="accent1"/>
              </w:rPr>
              <w:t>1,273</w:t>
            </w:r>
          </w:p>
        </w:tc>
      </w:tr>
      <w:tr w:rsidR="007C666D" w14:paraId="2C46AED9"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3B7B220A" w14:textId="77777777" w:rsidR="007C666D" w:rsidRDefault="007C666D" w:rsidP="00D23AD7">
            <w:pPr>
              <w:spacing w:after="0" w:line="240" w:lineRule="auto"/>
              <w:contextualSpacing/>
              <w:rPr>
                <w:rStyle w:val="Style1"/>
                <w:color w:val="4F81BD" w:themeColor="accent1"/>
              </w:rPr>
            </w:pPr>
            <w:r>
              <w:rPr>
                <w:rStyle w:val="Style1"/>
                <w:color w:val="4F81BD" w:themeColor="accent1"/>
              </w:rPr>
              <w:t>IL</w:t>
            </w:r>
          </w:p>
        </w:tc>
        <w:tc>
          <w:tcPr>
            <w:tcW w:w="3073" w:type="dxa"/>
            <w:tcBorders>
              <w:top w:val="nil"/>
              <w:left w:val="nil"/>
              <w:bottom w:val="single" w:sz="4" w:space="0" w:color="000000"/>
              <w:right w:val="single" w:sz="4" w:space="0" w:color="000000"/>
            </w:tcBorders>
            <w:hideMark/>
          </w:tcPr>
          <w:p w14:paraId="7DD5B857" w14:textId="77777777" w:rsidR="007C666D" w:rsidRDefault="007C666D" w:rsidP="00D23AD7">
            <w:pPr>
              <w:spacing w:after="0" w:line="240" w:lineRule="auto"/>
              <w:contextualSpacing/>
              <w:rPr>
                <w:rStyle w:val="Style1"/>
                <w:color w:val="4F81BD" w:themeColor="accent1"/>
              </w:rPr>
            </w:pPr>
            <w:r>
              <w:rPr>
                <w:rStyle w:val="Style1"/>
                <w:color w:val="4F81BD" w:themeColor="accent1"/>
              </w:rPr>
              <w:t>5,681</w:t>
            </w:r>
          </w:p>
        </w:tc>
        <w:tc>
          <w:tcPr>
            <w:tcW w:w="3073" w:type="dxa"/>
            <w:tcBorders>
              <w:top w:val="nil"/>
              <w:left w:val="nil"/>
              <w:bottom w:val="single" w:sz="4" w:space="0" w:color="000000"/>
              <w:right w:val="single" w:sz="4" w:space="0" w:color="000000"/>
            </w:tcBorders>
            <w:hideMark/>
          </w:tcPr>
          <w:p w14:paraId="0B0DD23A" w14:textId="77777777" w:rsidR="007C666D" w:rsidRDefault="007C666D" w:rsidP="00D23AD7">
            <w:pPr>
              <w:spacing w:after="0" w:line="240" w:lineRule="auto"/>
              <w:contextualSpacing/>
              <w:rPr>
                <w:rStyle w:val="Style1"/>
                <w:color w:val="4F81BD" w:themeColor="accent1"/>
              </w:rPr>
            </w:pPr>
            <w:r>
              <w:rPr>
                <w:rStyle w:val="Style1"/>
                <w:color w:val="4F81BD" w:themeColor="accent1"/>
              </w:rPr>
              <w:t>1,248</w:t>
            </w:r>
          </w:p>
        </w:tc>
      </w:tr>
      <w:tr w:rsidR="007C666D" w14:paraId="08468079"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2EAE8204" w14:textId="77777777" w:rsidR="007C666D" w:rsidRDefault="007C666D" w:rsidP="00D23AD7">
            <w:pPr>
              <w:spacing w:after="0" w:line="240" w:lineRule="auto"/>
              <w:contextualSpacing/>
              <w:rPr>
                <w:rStyle w:val="Style1"/>
                <w:color w:val="4F81BD" w:themeColor="accent1"/>
              </w:rPr>
            </w:pPr>
            <w:r>
              <w:rPr>
                <w:rStyle w:val="Style1"/>
                <w:color w:val="4F81BD" w:themeColor="accent1"/>
              </w:rPr>
              <w:t>IN</w:t>
            </w:r>
          </w:p>
        </w:tc>
        <w:tc>
          <w:tcPr>
            <w:tcW w:w="3073" w:type="dxa"/>
            <w:tcBorders>
              <w:top w:val="nil"/>
              <w:left w:val="nil"/>
              <w:bottom w:val="single" w:sz="4" w:space="0" w:color="000000"/>
              <w:right w:val="single" w:sz="4" w:space="0" w:color="000000"/>
            </w:tcBorders>
            <w:hideMark/>
          </w:tcPr>
          <w:p w14:paraId="77BE9C5B" w14:textId="77777777" w:rsidR="007C666D" w:rsidRDefault="007C666D" w:rsidP="00D23AD7">
            <w:pPr>
              <w:spacing w:after="0" w:line="240" w:lineRule="auto"/>
              <w:contextualSpacing/>
              <w:rPr>
                <w:rStyle w:val="Style1"/>
                <w:color w:val="4F81BD" w:themeColor="accent1"/>
              </w:rPr>
            </w:pPr>
            <w:r>
              <w:rPr>
                <w:rStyle w:val="Style1"/>
                <w:color w:val="4F81BD" w:themeColor="accent1"/>
              </w:rPr>
              <w:t>990</w:t>
            </w:r>
          </w:p>
        </w:tc>
        <w:tc>
          <w:tcPr>
            <w:tcW w:w="3073" w:type="dxa"/>
            <w:tcBorders>
              <w:top w:val="nil"/>
              <w:left w:val="nil"/>
              <w:bottom w:val="single" w:sz="4" w:space="0" w:color="000000"/>
              <w:right w:val="single" w:sz="4" w:space="0" w:color="000000"/>
            </w:tcBorders>
            <w:hideMark/>
          </w:tcPr>
          <w:p w14:paraId="66814525" w14:textId="77777777" w:rsidR="007C666D" w:rsidRDefault="007C666D" w:rsidP="00D23AD7">
            <w:pPr>
              <w:spacing w:after="0" w:line="240" w:lineRule="auto"/>
              <w:contextualSpacing/>
              <w:rPr>
                <w:rStyle w:val="Style1"/>
                <w:color w:val="4F81BD" w:themeColor="accent1"/>
              </w:rPr>
            </w:pPr>
            <w:r>
              <w:rPr>
                <w:rStyle w:val="Style1"/>
                <w:color w:val="4F81BD" w:themeColor="accent1"/>
              </w:rPr>
              <w:t>563</w:t>
            </w:r>
          </w:p>
        </w:tc>
      </w:tr>
      <w:tr w:rsidR="007C666D" w14:paraId="6DE441A9"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13BB683E" w14:textId="77777777" w:rsidR="007C666D" w:rsidRDefault="007C666D" w:rsidP="00D23AD7">
            <w:pPr>
              <w:spacing w:after="0" w:line="240" w:lineRule="auto"/>
              <w:contextualSpacing/>
              <w:rPr>
                <w:rStyle w:val="Style1"/>
                <w:color w:val="4F81BD" w:themeColor="accent1"/>
              </w:rPr>
            </w:pPr>
            <w:r>
              <w:rPr>
                <w:rStyle w:val="Style1"/>
                <w:color w:val="4F81BD" w:themeColor="accent1"/>
              </w:rPr>
              <w:t>KY</w:t>
            </w:r>
          </w:p>
        </w:tc>
        <w:tc>
          <w:tcPr>
            <w:tcW w:w="3073" w:type="dxa"/>
            <w:tcBorders>
              <w:top w:val="nil"/>
              <w:left w:val="nil"/>
              <w:bottom w:val="single" w:sz="4" w:space="0" w:color="000000"/>
              <w:right w:val="single" w:sz="4" w:space="0" w:color="000000"/>
            </w:tcBorders>
            <w:hideMark/>
          </w:tcPr>
          <w:p w14:paraId="179AD48A" w14:textId="77777777" w:rsidR="007C666D" w:rsidRDefault="007C666D" w:rsidP="00D23AD7">
            <w:pPr>
              <w:spacing w:after="0" w:line="240" w:lineRule="auto"/>
              <w:contextualSpacing/>
              <w:rPr>
                <w:rStyle w:val="Style1"/>
                <w:color w:val="4F81BD" w:themeColor="accent1"/>
              </w:rPr>
            </w:pPr>
            <w:r>
              <w:rPr>
                <w:rStyle w:val="Style1"/>
                <w:color w:val="4F81BD" w:themeColor="accent1"/>
              </w:rPr>
              <w:t>3,520</w:t>
            </w:r>
          </w:p>
        </w:tc>
        <w:tc>
          <w:tcPr>
            <w:tcW w:w="3073" w:type="dxa"/>
            <w:tcBorders>
              <w:top w:val="nil"/>
              <w:left w:val="nil"/>
              <w:bottom w:val="single" w:sz="4" w:space="0" w:color="000000"/>
              <w:right w:val="single" w:sz="4" w:space="0" w:color="000000"/>
            </w:tcBorders>
            <w:hideMark/>
          </w:tcPr>
          <w:p w14:paraId="29D86696" w14:textId="77777777" w:rsidR="007C666D" w:rsidRDefault="007C666D" w:rsidP="00D23AD7">
            <w:pPr>
              <w:spacing w:after="0" w:line="240" w:lineRule="auto"/>
              <w:contextualSpacing/>
              <w:rPr>
                <w:rStyle w:val="Style1"/>
                <w:color w:val="4F81BD" w:themeColor="accent1"/>
              </w:rPr>
            </w:pPr>
            <w:r>
              <w:rPr>
                <w:rStyle w:val="Style1"/>
                <w:color w:val="4F81BD" w:themeColor="accent1"/>
              </w:rPr>
              <w:t>1,403</w:t>
            </w:r>
          </w:p>
        </w:tc>
      </w:tr>
      <w:tr w:rsidR="007C666D" w14:paraId="3B16D024"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68B7E0EF" w14:textId="77777777" w:rsidR="007C666D" w:rsidRDefault="007C666D" w:rsidP="00D23AD7">
            <w:pPr>
              <w:spacing w:after="0" w:line="240" w:lineRule="auto"/>
              <w:contextualSpacing/>
              <w:rPr>
                <w:rStyle w:val="Style1"/>
                <w:color w:val="4F81BD" w:themeColor="accent1"/>
              </w:rPr>
            </w:pPr>
            <w:r>
              <w:rPr>
                <w:rStyle w:val="Style1"/>
                <w:color w:val="4F81BD" w:themeColor="accent1"/>
              </w:rPr>
              <w:t>LA</w:t>
            </w:r>
          </w:p>
        </w:tc>
        <w:tc>
          <w:tcPr>
            <w:tcW w:w="3073" w:type="dxa"/>
            <w:tcBorders>
              <w:top w:val="nil"/>
              <w:left w:val="nil"/>
              <w:bottom w:val="single" w:sz="4" w:space="0" w:color="000000"/>
              <w:right w:val="single" w:sz="4" w:space="0" w:color="000000"/>
            </w:tcBorders>
            <w:hideMark/>
          </w:tcPr>
          <w:p w14:paraId="713D2A6E" w14:textId="77777777" w:rsidR="007C666D" w:rsidRDefault="007C666D" w:rsidP="00D23AD7">
            <w:pPr>
              <w:spacing w:after="0" w:line="240" w:lineRule="auto"/>
              <w:contextualSpacing/>
              <w:rPr>
                <w:rStyle w:val="Style1"/>
                <w:color w:val="4F81BD" w:themeColor="accent1"/>
              </w:rPr>
            </w:pPr>
            <w:r>
              <w:rPr>
                <w:rStyle w:val="Style1"/>
                <w:color w:val="4F81BD" w:themeColor="accent1"/>
              </w:rPr>
              <w:t>2,447</w:t>
            </w:r>
          </w:p>
        </w:tc>
        <w:tc>
          <w:tcPr>
            <w:tcW w:w="3073" w:type="dxa"/>
            <w:tcBorders>
              <w:top w:val="nil"/>
              <w:left w:val="nil"/>
              <w:bottom w:val="single" w:sz="4" w:space="0" w:color="000000"/>
              <w:right w:val="single" w:sz="4" w:space="0" w:color="000000"/>
            </w:tcBorders>
            <w:hideMark/>
          </w:tcPr>
          <w:p w14:paraId="5291B698" w14:textId="77777777" w:rsidR="007C666D" w:rsidRDefault="007C666D" w:rsidP="00D23AD7">
            <w:pPr>
              <w:spacing w:after="0" w:line="240" w:lineRule="auto"/>
              <w:contextualSpacing/>
              <w:rPr>
                <w:rStyle w:val="Style1"/>
                <w:color w:val="4F81BD" w:themeColor="accent1"/>
              </w:rPr>
            </w:pPr>
            <w:r>
              <w:rPr>
                <w:rStyle w:val="Style1"/>
                <w:color w:val="4F81BD" w:themeColor="accent1"/>
              </w:rPr>
              <w:t>1,081</w:t>
            </w:r>
          </w:p>
        </w:tc>
      </w:tr>
      <w:tr w:rsidR="007C666D" w14:paraId="3D6802F2"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753BD6A2" w14:textId="77777777" w:rsidR="007C666D" w:rsidRDefault="007C666D" w:rsidP="00D23AD7">
            <w:pPr>
              <w:spacing w:after="0" w:line="240" w:lineRule="auto"/>
              <w:contextualSpacing/>
              <w:rPr>
                <w:rStyle w:val="Style1"/>
                <w:color w:val="4F81BD" w:themeColor="accent1"/>
              </w:rPr>
            </w:pPr>
            <w:r>
              <w:rPr>
                <w:rStyle w:val="Style1"/>
                <w:color w:val="4F81BD" w:themeColor="accent1"/>
              </w:rPr>
              <w:t>MN</w:t>
            </w:r>
          </w:p>
        </w:tc>
        <w:tc>
          <w:tcPr>
            <w:tcW w:w="3073" w:type="dxa"/>
            <w:tcBorders>
              <w:top w:val="nil"/>
              <w:left w:val="nil"/>
              <w:bottom w:val="single" w:sz="4" w:space="0" w:color="000000"/>
              <w:right w:val="single" w:sz="4" w:space="0" w:color="000000"/>
            </w:tcBorders>
            <w:hideMark/>
          </w:tcPr>
          <w:p w14:paraId="13A5F1BA" w14:textId="77777777" w:rsidR="007C666D" w:rsidRDefault="007C666D" w:rsidP="00D23AD7">
            <w:pPr>
              <w:spacing w:after="0" w:line="240" w:lineRule="auto"/>
              <w:contextualSpacing/>
              <w:rPr>
                <w:rStyle w:val="Style1"/>
                <w:color w:val="4F81BD" w:themeColor="accent1"/>
              </w:rPr>
            </w:pPr>
            <w:r>
              <w:rPr>
                <w:rStyle w:val="Style1"/>
                <w:color w:val="4F81BD" w:themeColor="accent1"/>
              </w:rPr>
              <w:t>2,149</w:t>
            </w:r>
          </w:p>
        </w:tc>
        <w:tc>
          <w:tcPr>
            <w:tcW w:w="3073" w:type="dxa"/>
            <w:tcBorders>
              <w:top w:val="nil"/>
              <w:left w:val="nil"/>
              <w:bottom w:val="single" w:sz="4" w:space="0" w:color="000000"/>
              <w:right w:val="single" w:sz="4" w:space="0" w:color="000000"/>
            </w:tcBorders>
            <w:hideMark/>
          </w:tcPr>
          <w:p w14:paraId="60371D32" w14:textId="77777777" w:rsidR="007C666D" w:rsidRDefault="007C666D" w:rsidP="00D23AD7">
            <w:pPr>
              <w:spacing w:after="0" w:line="240" w:lineRule="auto"/>
              <w:contextualSpacing/>
              <w:rPr>
                <w:rStyle w:val="Style1"/>
                <w:color w:val="4F81BD" w:themeColor="accent1"/>
              </w:rPr>
            </w:pPr>
            <w:r>
              <w:rPr>
                <w:rStyle w:val="Style1"/>
                <w:color w:val="4F81BD" w:themeColor="accent1"/>
              </w:rPr>
              <w:t>747</w:t>
            </w:r>
          </w:p>
        </w:tc>
      </w:tr>
      <w:tr w:rsidR="007C666D" w14:paraId="00E781AC"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5A45DA73" w14:textId="77777777" w:rsidR="007C666D" w:rsidRDefault="007C666D" w:rsidP="00D23AD7">
            <w:pPr>
              <w:spacing w:after="0" w:line="240" w:lineRule="auto"/>
              <w:contextualSpacing/>
              <w:rPr>
                <w:rStyle w:val="Style1"/>
                <w:color w:val="4F81BD" w:themeColor="accent1"/>
              </w:rPr>
            </w:pPr>
            <w:r>
              <w:rPr>
                <w:rStyle w:val="Style1"/>
                <w:color w:val="4F81BD" w:themeColor="accent1"/>
              </w:rPr>
              <w:t>MS</w:t>
            </w:r>
          </w:p>
        </w:tc>
        <w:tc>
          <w:tcPr>
            <w:tcW w:w="3073" w:type="dxa"/>
            <w:tcBorders>
              <w:top w:val="nil"/>
              <w:left w:val="nil"/>
              <w:bottom w:val="single" w:sz="4" w:space="0" w:color="000000"/>
              <w:right w:val="single" w:sz="4" w:space="0" w:color="000000"/>
            </w:tcBorders>
            <w:hideMark/>
          </w:tcPr>
          <w:p w14:paraId="44DA5421" w14:textId="77777777" w:rsidR="007C666D" w:rsidRDefault="007C666D" w:rsidP="00D23AD7">
            <w:pPr>
              <w:spacing w:after="0" w:line="240" w:lineRule="auto"/>
              <w:contextualSpacing/>
              <w:rPr>
                <w:rStyle w:val="Style1"/>
                <w:color w:val="4F81BD" w:themeColor="accent1"/>
              </w:rPr>
            </w:pPr>
            <w:r>
              <w:rPr>
                <w:rStyle w:val="Style1"/>
                <w:color w:val="4F81BD" w:themeColor="accent1"/>
              </w:rPr>
              <w:t>842</w:t>
            </w:r>
          </w:p>
        </w:tc>
        <w:tc>
          <w:tcPr>
            <w:tcW w:w="3073" w:type="dxa"/>
            <w:tcBorders>
              <w:top w:val="nil"/>
              <w:left w:val="nil"/>
              <w:bottom w:val="single" w:sz="4" w:space="0" w:color="000000"/>
              <w:right w:val="single" w:sz="4" w:space="0" w:color="000000"/>
            </w:tcBorders>
            <w:hideMark/>
          </w:tcPr>
          <w:p w14:paraId="06DA547A" w14:textId="77777777" w:rsidR="007C666D" w:rsidRDefault="007C666D" w:rsidP="00D23AD7">
            <w:pPr>
              <w:spacing w:after="0" w:line="240" w:lineRule="auto"/>
              <w:contextualSpacing/>
              <w:rPr>
                <w:rStyle w:val="Style1"/>
                <w:color w:val="4F81BD" w:themeColor="accent1"/>
              </w:rPr>
            </w:pPr>
            <w:r>
              <w:rPr>
                <w:rStyle w:val="Style1"/>
                <w:color w:val="4F81BD" w:themeColor="accent1"/>
              </w:rPr>
              <w:t>392</w:t>
            </w:r>
          </w:p>
        </w:tc>
      </w:tr>
      <w:tr w:rsidR="007C666D" w14:paraId="28AB8CAF"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4C66638C" w14:textId="77777777" w:rsidR="007C666D" w:rsidRDefault="007C666D" w:rsidP="00D23AD7">
            <w:pPr>
              <w:spacing w:after="0" w:line="240" w:lineRule="auto"/>
              <w:contextualSpacing/>
              <w:rPr>
                <w:rStyle w:val="Style1"/>
                <w:color w:val="4F81BD" w:themeColor="accent1"/>
              </w:rPr>
            </w:pPr>
            <w:r>
              <w:rPr>
                <w:rStyle w:val="Style1"/>
                <w:color w:val="4F81BD" w:themeColor="accent1"/>
              </w:rPr>
              <w:t>NC</w:t>
            </w:r>
          </w:p>
        </w:tc>
        <w:tc>
          <w:tcPr>
            <w:tcW w:w="3073" w:type="dxa"/>
            <w:tcBorders>
              <w:top w:val="nil"/>
              <w:left w:val="nil"/>
              <w:bottom w:val="single" w:sz="4" w:space="0" w:color="000000"/>
              <w:right w:val="single" w:sz="4" w:space="0" w:color="000000"/>
            </w:tcBorders>
            <w:hideMark/>
          </w:tcPr>
          <w:p w14:paraId="0F05D751" w14:textId="77777777" w:rsidR="007C666D" w:rsidRDefault="007C666D" w:rsidP="00D23AD7">
            <w:pPr>
              <w:spacing w:after="0" w:line="240" w:lineRule="auto"/>
              <w:contextualSpacing/>
              <w:rPr>
                <w:rStyle w:val="Style1"/>
                <w:color w:val="4F81BD" w:themeColor="accent1"/>
              </w:rPr>
            </w:pPr>
            <w:r>
              <w:rPr>
                <w:rStyle w:val="Style1"/>
                <w:color w:val="4F81BD" w:themeColor="accent1"/>
              </w:rPr>
              <w:t>4,907</w:t>
            </w:r>
          </w:p>
        </w:tc>
        <w:tc>
          <w:tcPr>
            <w:tcW w:w="3073" w:type="dxa"/>
            <w:tcBorders>
              <w:top w:val="nil"/>
              <w:left w:val="nil"/>
              <w:bottom w:val="single" w:sz="4" w:space="0" w:color="000000"/>
              <w:right w:val="single" w:sz="4" w:space="0" w:color="000000"/>
            </w:tcBorders>
            <w:hideMark/>
          </w:tcPr>
          <w:p w14:paraId="6E21FB1D" w14:textId="77777777" w:rsidR="007C666D" w:rsidRDefault="007C666D" w:rsidP="00D23AD7">
            <w:pPr>
              <w:spacing w:after="0" w:line="240" w:lineRule="auto"/>
              <w:contextualSpacing/>
              <w:rPr>
                <w:rStyle w:val="Style1"/>
                <w:color w:val="4F81BD" w:themeColor="accent1"/>
              </w:rPr>
            </w:pPr>
            <w:r>
              <w:rPr>
                <w:rStyle w:val="Style1"/>
                <w:color w:val="4F81BD" w:themeColor="accent1"/>
              </w:rPr>
              <w:t>2,416</w:t>
            </w:r>
          </w:p>
        </w:tc>
      </w:tr>
      <w:tr w:rsidR="007C666D" w14:paraId="1EDF018F"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5840E6DF" w14:textId="77777777" w:rsidR="007C666D" w:rsidRDefault="007C666D" w:rsidP="00D23AD7">
            <w:pPr>
              <w:spacing w:after="0" w:line="240" w:lineRule="auto"/>
              <w:contextualSpacing/>
              <w:rPr>
                <w:rStyle w:val="Style1"/>
                <w:color w:val="4F81BD" w:themeColor="accent1"/>
              </w:rPr>
            </w:pPr>
            <w:r>
              <w:rPr>
                <w:rStyle w:val="Style1"/>
                <w:color w:val="4F81BD" w:themeColor="accent1"/>
              </w:rPr>
              <w:t>NH</w:t>
            </w:r>
          </w:p>
        </w:tc>
        <w:tc>
          <w:tcPr>
            <w:tcW w:w="3073" w:type="dxa"/>
            <w:tcBorders>
              <w:top w:val="nil"/>
              <w:left w:val="nil"/>
              <w:bottom w:val="single" w:sz="4" w:space="0" w:color="000000"/>
              <w:right w:val="single" w:sz="4" w:space="0" w:color="000000"/>
            </w:tcBorders>
            <w:hideMark/>
          </w:tcPr>
          <w:p w14:paraId="4CE5D5EC" w14:textId="77777777" w:rsidR="007C666D" w:rsidRDefault="007C666D" w:rsidP="00D23AD7">
            <w:pPr>
              <w:spacing w:after="0" w:line="240" w:lineRule="auto"/>
              <w:contextualSpacing/>
              <w:rPr>
                <w:rStyle w:val="Style1"/>
                <w:color w:val="4F81BD" w:themeColor="accent1"/>
              </w:rPr>
            </w:pPr>
            <w:r>
              <w:rPr>
                <w:rStyle w:val="Style1"/>
                <w:color w:val="4F81BD" w:themeColor="accent1"/>
              </w:rPr>
              <w:t>574</w:t>
            </w:r>
          </w:p>
        </w:tc>
        <w:tc>
          <w:tcPr>
            <w:tcW w:w="3073" w:type="dxa"/>
            <w:tcBorders>
              <w:top w:val="nil"/>
              <w:left w:val="nil"/>
              <w:bottom w:val="single" w:sz="4" w:space="0" w:color="000000"/>
              <w:right w:val="single" w:sz="4" w:space="0" w:color="000000"/>
            </w:tcBorders>
            <w:hideMark/>
          </w:tcPr>
          <w:p w14:paraId="284CA191" w14:textId="77777777" w:rsidR="007C666D" w:rsidRDefault="007C666D" w:rsidP="00D23AD7">
            <w:pPr>
              <w:spacing w:after="0" w:line="240" w:lineRule="auto"/>
              <w:contextualSpacing/>
              <w:rPr>
                <w:rStyle w:val="Style1"/>
                <w:color w:val="4F81BD" w:themeColor="accent1"/>
              </w:rPr>
            </w:pPr>
            <w:r>
              <w:rPr>
                <w:rStyle w:val="Style1"/>
                <w:color w:val="4F81BD" w:themeColor="accent1"/>
              </w:rPr>
              <w:t>188</w:t>
            </w:r>
          </w:p>
        </w:tc>
      </w:tr>
      <w:tr w:rsidR="007C666D" w14:paraId="632A85DE"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6C4B822B" w14:textId="77777777" w:rsidR="007C666D" w:rsidRDefault="007C666D" w:rsidP="00D23AD7">
            <w:pPr>
              <w:spacing w:after="0" w:line="240" w:lineRule="auto"/>
              <w:contextualSpacing/>
              <w:rPr>
                <w:rStyle w:val="Style1"/>
                <w:color w:val="4F81BD" w:themeColor="accent1"/>
              </w:rPr>
            </w:pPr>
            <w:r>
              <w:rPr>
                <w:rStyle w:val="Style1"/>
                <w:color w:val="4F81BD" w:themeColor="accent1"/>
              </w:rPr>
              <w:t>OK</w:t>
            </w:r>
          </w:p>
        </w:tc>
        <w:tc>
          <w:tcPr>
            <w:tcW w:w="3073" w:type="dxa"/>
            <w:tcBorders>
              <w:top w:val="nil"/>
              <w:left w:val="nil"/>
              <w:bottom w:val="single" w:sz="4" w:space="0" w:color="000000"/>
              <w:right w:val="single" w:sz="4" w:space="0" w:color="000000"/>
            </w:tcBorders>
            <w:hideMark/>
          </w:tcPr>
          <w:p w14:paraId="27CDA6CE" w14:textId="77777777" w:rsidR="007C666D" w:rsidRDefault="007C666D" w:rsidP="00D23AD7">
            <w:pPr>
              <w:spacing w:after="0" w:line="240" w:lineRule="auto"/>
              <w:contextualSpacing/>
              <w:rPr>
                <w:rStyle w:val="Style1"/>
                <w:color w:val="4F81BD" w:themeColor="accent1"/>
              </w:rPr>
            </w:pPr>
            <w:r>
              <w:rPr>
                <w:rStyle w:val="Style1"/>
                <w:color w:val="4F81BD" w:themeColor="accent1"/>
              </w:rPr>
              <w:t>813</w:t>
            </w:r>
          </w:p>
        </w:tc>
        <w:tc>
          <w:tcPr>
            <w:tcW w:w="3073" w:type="dxa"/>
            <w:tcBorders>
              <w:top w:val="nil"/>
              <w:left w:val="nil"/>
              <w:bottom w:val="single" w:sz="4" w:space="0" w:color="000000"/>
              <w:right w:val="single" w:sz="4" w:space="0" w:color="000000"/>
            </w:tcBorders>
            <w:hideMark/>
          </w:tcPr>
          <w:p w14:paraId="1784F7FE" w14:textId="77777777" w:rsidR="007C666D" w:rsidRDefault="007C666D" w:rsidP="00D23AD7">
            <w:pPr>
              <w:spacing w:after="0" w:line="240" w:lineRule="auto"/>
              <w:contextualSpacing/>
              <w:rPr>
                <w:rStyle w:val="Style1"/>
                <w:color w:val="4F81BD" w:themeColor="accent1"/>
              </w:rPr>
            </w:pPr>
            <w:r>
              <w:rPr>
                <w:rStyle w:val="Style1"/>
                <w:color w:val="4F81BD" w:themeColor="accent1"/>
              </w:rPr>
              <w:t>514</w:t>
            </w:r>
          </w:p>
        </w:tc>
      </w:tr>
      <w:tr w:rsidR="007C666D" w14:paraId="5CB4F580"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715E7122" w14:textId="77777777" w:rsidR="007C666D" w:rsidRDefault="007C666D" w:rsidP="00D23AD7">
            <w:pPr>
              <w:spacing w:after="0" w:line="240" w:lineRule="auto"/>
              <w:contextualSpacing/>
              <w:rPr>
                <w:rStyle w:val="Style1"/>
                <w:color w:val="4F81BD" w:themeColor="accent1"/>
              </w:rPr>
            </w:pPr>
            <w:r>
              <w:rPr>
                <w:rStyle w:val="Style1"/>
                <w:color w:val="4F81BD" w:themeColor="accent1"/>
              </w:rPr>
              <w:t>WI</w:t>
            </w:r>
          </w:p>
        </w:tc>
        <w:tc>
          <w:tcPr>
            <w:tcW w:w="3073" w:type="dxa"/>
            <w:tcBorders>
              <w:top w:val="nil"/>
              <w:left w:val="nil"/>
              <w:bottom w:val="single" w:sz="4" w:space="0" w:color="000000"/>
              <w:right w:val="single" w:sz="4" w:space="0" w:color="000000"/>
            </w:tcBorders>
            <w:hideMark/>
          </w:tcPr>
          <w:p w14:paraId="4F271D3C" w14:textId="77777777" w:rsidR="007C666D" w:rsidRDefault="007C666D" w:rsidP="00D23AD7">
            <w:pPr>
              <w:spacing w:after="0" w:line="240" w:lineRule="auto"/>
              <w:contextualSpacing/>
              <w:rPr>
                <w:rStyle w:val="Style1"/>
                <w:color w:val="4F81BD" w:themeColor="accent1"/>
              </w:rPr>
            </w:pPr>
            <w:r>
              <w:rPr>
                <w:rStyle w:val="Style1"/>
                <w:color w:val="4F81BD" w:themeColor="accent1"/>
              </w:rPr>
              <w:t>1,041</w:t>
            </w:r>
          </w:p>
        </w:tc>
        <w:tc>
          <w:tcPr>
            <w:tcW w:w="3073" w:type="dxa"/>
            <w:tcBorders>
              <w:top w:val="nil"/>
              <w:left w:val="nil"/>
              <w:bottom w:val="single" w:sz="4" w:space="0" w:color="000000"/>
              <w:right w:val="single" w:sz="4" w:space="0" w:color="000000"/>
            </w:tcBorders>
            <w:hideMark/>
          </w:tcPr>
          <w:p w14:paraId="2A99789D" w14:textId="77777777" w:rsidR="007C666D" w:rsidRDefault="007C666D" w:rsidP="00D23AD7">
            <w:pPr>
              <w:spacing w:after="0" w:line="240" w:lineRule="auto"/>
              <w:contextualSpacing/>
              <w:rPr>
                <w:rStyle w:val="Style1"/>
                <w:color w:val="4F81BD" w:themeColor="accent1"/>
              </w:rPr>
            </w:pPr>
            <w:r>
              <w:rPr>
                <w:rStyle w:val="Style1"/>
                <w:color w:val="4F81BD" w:themeColor="accent1"/>
              </w:rPr>
              <w:t>588</w:t>
            </w:r>
          </w:p>
        </w:tc>
      </w:tr>
      <w:tr w:rsidR="007C666D" w14:paraId="01EFC1F9" w14:textId="77777777" w:rsidTr="007C666D">
        <w:trPr>
          <w:trHeight w:val="241"/>
        </w:trPr>
        <w:tc>
          <w:tcPr>
            <w:tcW w:w="1482" w:type="dxa"/>
            <w:tcBorders>
              <w:top w:val="nil"/>
              <w:left w:val="single" w:sz="8" w:space="0" w:color="000000"/>
              <w:bottom w:val="single" w:sz="4" w:space="0" w:color="000000"/>
              <w:right w:val="single" w:sz="4" w:space="0" w:color="000000"/>
            </w:tcBorders>
            <w:hideMark/>
          </w:tcPr>
          <w:p w14:paraId="253B20DE" w14:textId="77777777" w:rsidR="007C666D" w:rsidRDefault="007C666D" w:rsidP="00D23AD7">
            <w:pPr>
              <w:spacing w:after="0" w:line="240" w:lineRule="auto"/>
              <w:contextualSpacing/>
              <w:rPr>
                <w:rStyle w:val="Style1"/>
                <w:color w:val="4F81BD" w:themeColor="accent1"/>
              </w:rPr>
            </w:pPr>
            <w:r>
              <w:rPr>
                <w:rStyle w:val="Style1"/>
                <w:color w:val="4F81BD" w:themeColor="accent1"/>
              </w:rPr>
              <w:t>WV</w:t>
            </w:r>
          </w:p>
        </w:tc>
        <w:tc>
          <w:tcPr>
            <w:tcW w:w="3073" w:type="dxa"/>
            <w:tcBorders>
              <w:top w:val="nil"/>
              <w:left w:val="nil"/>
              <w:bottom w:val="single" w:sz="4" w:space="0" w:color="000000"/>
              <w:right w:val="single" w:sz="4" w:space="0" w:color="000000"/>
            </w:tcBorders>
            <w:hideMark/>
          </w:tcPr>
          <w:p w14:paraId="6868B7AB" w14:textId="77777777" w:rsidR="007C666D" w:rsidRDefault="007C666D" w:rsidP="00D23AD7">
            <w:pPr>
              <w:spacing w:after="0" w:line="240" w:lineRule="auto"/>
              <w:contextualSpacing/>
              <w:rPr>
                <w:rStyle w:val="Style1"/>
                <w:color w:val="4F81BD" w:themeColor="accent1"/>
              </w:rPr>
            </w:pPr>
            <w:r>
              <w:rPr>
                <w:rStyle w:val="Style1"/>
                <w:color w:val="4F81BD" w:themeColor="accent1"/>
              </w:rPr>
              <w:t>1,178</w:t>
            </w:r>
          </w:p>
        </w:tc>
        <w:tc>
          <w:tcPr>
            <w:tcW w:w="3073" w:type="dxa"/>
            <w:tcBorders>
              <w:top w:val="nil"/>
              <w:left w:val="nil"/>
              <w:bottom w:val="single" w:sz="4" w:space="0" w:color="000000"/>
              <w:right w:val="single" w:sz="4" w:space="0" w:color="000000"/>
            </w:tcBorders>
            <w:hideMark/>
          </w:tcPr>
          <w:p w14:paraId="145AFEDB" w14:textId="77777777" w:rsidR="007C666D" w:rsidRDefault="007C666D" w:rsidP="00D23AD7">
            <w:pPr>
              <w:spacing w:after="0" w:line="240" w:lineRule="auto"/>
              <w:contextualSpacing/>
              <w:rPr>
                <w:rStyle w:val="Style1"/>
                <w:color w:val="4F81BD" w:themeColor="accent1"/>
              </w:rPr>
            </w:pPr>
            <w:r>
              <w:rPr>
                <w:rStyle w:val="Style1"/>
                <w:color w:val="4F81BD" w:themeColor="accent1"/>
              </w:rPr>
              <w:t>704</w:t>
            </w:r>
          </w:p>
        </w:tc>
      </w:tr>
      <w:tr w:rsidR="007C666D" w14:paraId="4ED65CD8" w14:textId="77777777" w:rsidTr="007C666D">
        <w:trPr>
          <w:trHeight w:val="253"/>
        </w:trPr>
        <w:tc>
          <w:tcPr>
            <w:tcW w:w="1482" w:type="dxa"/>
            <w:tcBorders>
              <w:top w:val="nil"/>
              <w:left w:val="single" w:sz="8" w:space="0" w:color="000000"/>
              <w:bottom w:val="single" w:sz="8" w:space="0" w:color="000000"/>
              <w:right w:val="single" w:sz="4" w:space="0" w:color="000000"/>
            </w:tcBorders>
            <w:hideMark/>
          </w:tcPr>
          <w:p w14:paraId="65F11996" w14:textId="77777777" w:rsidR="007C666D" w:rsidRDefault="007C666D" w:rsidP="00D23AD7">
            <w:pPr>
              <w:spacing w:after="0" w:line="240" w:lineRule="auto"/>
              <w:contextualSpacing/>
              <w:rPr>
                <w:rStyle w:val="Style1"/>
                <w:color w:val="4F81BD" w:themeColor="accent1"/>
              </w:rPr>
            </w:pPr>
            <w:r>
              <w:rPr>
                <w:rStyle w:val="Style1"/>
                <w:color w:val="4F81BD" w:themeColor="accent1"/>
              </w:rPr>
              <w:t>Total</w:t>
            </w:r>
          </w:p>
        </w:tc>
        <w:tc>
          <w:tcPr>
            <w:tcW w:w="3073" w:type="dxa"/>
            <w:tcBorders>
              <w:top w:val="nil"/>
              <w:left w:val="nil"/>
              <w:bottom w:val="single" w:sz="8" w:space="0" w:color="000000"/>
              <w:right w:val="single" w:sz="4" w:space="0" w:color="000000"/>
            </w:tcBorders>
            <w:hideMark/>
          </w:tcPr>
          <w:p w14:paraId="6D6F8F2B" w14:textId="77777777" w:rsidR="007C666D" w:rsidRDefault="007C666D" w:rsidP="00D23AD7">
            <w:pPr>
              <w:spacing w:after="0" w:line="240" w:lineRule="auto"/>
              <w:contextualSpacing/>
              <w:rPr>
                <w:rStyle w:val="Style1"/>
                <w:color w:val="4F81BD" w:themeColor="accent1"/>
              </w:rPr>
            </w:pPr>
            <w:r>
              <w:rPr>
                <w:rStyle w:val="Style1"/>
                <w:color w:val="4F81BD" w:themeColor="accent1"/>
              </w:rPr>
              <w:t>31,952</w:t>
            </w:r>
          </w:p>
        </w:tc>
        <w:tc>
          <w:tcPr>
            <w:tcW w:w="3073" w:type="dxa"/>
            <w:tcBorders>
              <w:top w:val="nil"/>
              <w:left w:val="nil"/>
              <w:bottom w:val="single" w:sz="8" w:space="0" w:color="000000"/>
              <w:right w:val="single" w:sz="4" w:space="0" w:color="000000"/>
            </w:tcBorders>
            <w:hideMark/>
          </w:tcPr>
          <w:p w14:paraId="6BD4693E" w14:textId="77777777" w:rsidR="007C666D" w:rsidRDefault="007C666D" w:rsidP="00D23AD7">
            <w:pPr>
              <w:spacing w:after="0" w:line="240" w:lineRule="auto"/>
              <w:contextualSpacing/>
              <w:rPr>
                <w:rStyle w:val="Style1"/>
                <w:color w:val="4F81BD" w:themeColor="accent1"/>
              </w:rPr>
            </w:pPr>
            <w:r>
              <w:rPr>
                <w:rStyle w:val="Style1"/>
                <w:color w:val="4F81BD" w:themeColor="accent1"/>
              </w:rPr>
              <w:t>13,337</w:t>
            </w:r>
          </w:p>
        </w:tc>
      </w:tr>
    </w:tbl>
    <w:p w14:paraId="10B4A4E9" w14:textId="77777777" w:rsidR="007C666D" w:rsidRDefault="007C666D" w:rsidP="00D23AD7">
      <w:pPr>
        <w:spacing w:after="0" w:line="240" w:lineRule="auto"/>
        <w:contextualSpacing/>
        <w:rPr>
          <w:rStyle w:val="Style1"/>
          <w:color w:val="4F81BD" w:themeColor="accent1"/>
        </w:rPr>
      </w:pPr>
      <w:r>
        <w:rPr>
          <w:rStyle w:val="Style1"/>
          <w:color w:val="4F81BD" w:themeColor="accent1"/>
        </w:rPr>
        <w:t>*DC was dropped from AOD denominator due to small sample size.</w:t>
      </w:r>
    </w:p>
    <w:p w14:paraId="7D273B55" w14:textId="77777777" w:rsidR="007C666D" w:rsidRDefault="007C666D" w:rsidP="00D23AD7">
      <w:pPr>
        <w:spacing w:after="0" w:line="240" w:lineRule="auto"/>
        <w:contextualSpacing/>
        <w:rPr>
          <w:rStyle w:val="Style1"/>
          <w:color w:val="4F81BD" w:themeColor="accent1"/>
        </w:rPr>
      </w:pPr>
      <w:r>
        <w:rPr>
          <w:rStyle w:val="Style1"/>
          <w:color w:val="4F81BD" w:themeColor="accent1"/>
        </w:rPr>
        <w:t>Source: MAX calendar year 2008</w:t>
      </w:r>
    </w:p>
    <w:p w14:paraId="0CABCFCB" w14:textId="77777777" w:rsidR="00E37E1B" w:rsidRDefault="00E37E1B" w:rsidP="00D23AD7">
      <w:pPr>
        <w:autoSpaceDE w:val="0"/>
        <w:autoSpaceDN w:val="0"/>
        <w:adjustRightInd w:val="0"/>
        <w:spacing w:after="0" w:line="240" w:lineRule="auto"/>
        <w:contextualSpacing/>
        <w:rPr>
          <w:rFonts w:cstheme="minorHAnsi"/>
          <w:bCs/>
        </w:rPr>
      </w:pPr>
    </w:p>
    <w:p w14:paraId="0CABCFCC" w14:textId="651C3106" w:rsidR="0021054A" w:rsidRDefault="0021054A" w:rsidP="00D23AD7">
      <w:pPr>
        <w:autoSpaceDE w:val="0"/>
        <w:autoSpaceDN w:val="0"/>
        <w:adjustRightInd w:val="0"/>
        <w:spacing w:after="0" w:line="240" w:lineRule="auto"/>
        <w:contextualSpacing/>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41DCC19E" w14:textId="5C135BD9" w:rsidR="007C666D" w:rsidRDefault="007C666D" w:rsidP="00D23AD7">
      <w:pPr>
        <w:autoSpaceDE w:val="0"/>
        <w:autoSpaceDN w:val="0"/>
        <w:adjustRightInd w:val="0"/>
        <w:spacing w:after="0" w:line="240" w:lineRule="auto"/>
        <w:contextualSpacing/>
        <w:rPr>
          <w:rStyle w:val="Style1"/>
        </w:rPr>
      </w:pPr>
      <w:r>
        <w:rPr>
          <w:rStyle w:val="Style1"/>
          <w:b/>
          <w:bCs/>
          <w:color w:val="C00000"/>
          <w:u w:val="single"/>
        </w:rPr>
        <w:t>201</w:t>
      </w:r>
      <w:r w:rsidR="005B4052">
        <w:rPr>
          <w:rStyle w:val="Style1"/>
          <w:b/>
          <w:bCs/>
          <w:color w:val="C00000"/>
          <w:u w:val="single"/>
        </w:rPr>
        <w:t>9</w:t>
      </w:r>
      <w:r>
        <w:rPr>
          <w:rStyle w:val="Style1"/>
          <w:b/>
          <w:bCs/>
          <w:color w:val="C00000"/>
          <w:u w:val="single"/>
        </w:rPr>
        <w:t xml:space="preserve"> Submission</w:t>
      </w:r>
      <w:r>
        <w:rPr>
          <w:rStyle w:val="Style1"/>
        </w:rPr>
        <w:t xml:space="preserve"> </w:t>
      </w:r>
    </w:p>
    <w:p w14:paraId="4CFC9ED8" w14:textId="1BF92364" w:rsidR="007C666D" w:rsidRDefault="00AA4179" w:rsidP="00D23AD7">
      <w:pPr>
        <w:autoSpaceDE w:val="0"/>
        <w:autoSpaceDN w:val="0"/>
        <w:adjustRightInd w:val="0"/>
        <w:spacing w:after="0" w:line="240" w:lineRule="auto"/>
        <w:contextualSpacing/>
        <w:rPr>
          <w:rStyle w:val="Style1"/>
          <w:color w:val="C00000"/>
        </w:rPr>
      </w:pPr>
      <w:r>
        <w:rPr>
          <w:rStyle w:val="Style1"/>
          <w:color w:val="C00000"/>
        </w:rPr>
        <w:t xml:space="preserve">Social risk factor data were not available in reported results. </w:t>
      </w:r>
      <w:r w:rsidR="007C666D">
        <w:rPr>
          <w:rStyle w:val="Style1"/>
          <w:color w:val="C00000"/>
        </w:rPr>
        <w:t xml:space="preserve">This measure is specified to be reported separately by Medicare, Medicaid and commercial plan types, which serves as a proxy for income and other socioeconomic factors.  </w:t>
      </w:r>
    </w:p>
    <w:p w14:paraId="0CABCFCD" w14:textId="20E1AC81" w:rsidR="004348CC" w:rsidRPr="00E37E1B" w:rsidRDefault="00483E94" w:rsidP="00D23AD7">
      <w:pPr>
        <w:autoSpaceDE w:val="0"/>
        <w:autoSpaceDN w:val="0"/>
        <w:adjustRightInd w:val="0"/>
        <w:spacing w:after="0" w:line="240" w:lineRule="auto"/>
        <w:contextualSpacing/>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23AD7">
      <w:pPr>
        <w:autoSpaceDE w:val="0"/>
        <w:autoSpaceDN w:val="0"/>
        <w:adjustRightInd w:val="0"/>
        <w:spacing w:after="0" w:line="240" w:lineRule="auto"/>
        <w:contextualSpacing/>
        <w:rPr>
          <w:rFonts w:cstheme="minorHAnsi"/>
          <w:b/>
          <w:bCs/>
        </w:rPr>
      </w:pPr>
      <w:r w:rsidRPr="00A25024">
        <w:rPr>
          <w:rFonts w:cstheme="minorHAnsi"/>
          <w:b/>
          <w:noProof/>
        </w:rPr>
        <w:lastRenderedPageBreak/>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23AD7">
      <w:pPr>
        <w:autoSpaceDE w:val="0"/>
        <w:autoSpaceDN w:val="0"/>
        <w:adjustRightInd w:val="0"/>
        <w:spacing w:after="0" w:line="240" w:lineRule="auto"/>
        <w:contextualSpacing/>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23AD7">
      <w:pPr>
        <w:autoSpaceDE w:val="0"/>
        <w:autoSpaceDN w:val="0"/>
        <w:adjustRightInd w:val="0"/>
        <w:spacing w:after="0" w:line="240" w:lineRule="auto"/>
        <w:contextualSpacing/>
        <w:rPr>
          <w:rFonts w:cstheme="minorHAnsi"/>
          <w:b/>
          <w:bCs/>
        </w:rPr>
      </w:pPr>
    </w:p>
    <w:p w14:paraId="0CABCFD1" w14:textId="0427C1A5" w:rsidR="001969C5" w:rsidRPr="00A25024" w:rsidRDefault="00092566" w:rsidP="00D23AD7">
      <w:pPr>
        <w:autoSpaceDE w:val="0"/>
        <w:autoSpaceDN w:val="0"/>
        <w:adjustRightInd w:val="0"/>
        <w:spacing w:after="0" w:line="240" w:lineRule="auto"/>
        <w:contextualSpacing/>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7C666D">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248F1025" w14:textId="3321F833" w:rsidR="007C666D" w:rsidRDefault="007C666D" w:rsidP="00D23AD7">
      <w:pPr>
        <w:autoSpaceDE w:val="0"/>
        <w:autoSpaceDN w:val="0"/>
        <w:adjustRightInd w:val="0"/>
        <w:spacing w:after="0" w:line="240" w:lineRule="auto"/>
        <w:contextualSpacing/>
        <w:rPr>
          <w:rStyle w:val="Style1"/>
          <w:u w:val="single"/>
        </w:rPr>
      </w:pPr>
      <w:r>
        <w:rPr>
          <w:rStyle w:val="Style1"/>
          <w:b/>
          <w:bCs/>
          <w:color w:val="C00000"/>
          <w:u w:val="single"/>
        </w:rPr>
        <w:t>201</w:t>
      </w:r>
      <w:r w:rsidR="005B4052">
        <w:rPr>
          <w:rStyle w:val="Style1"/>
          <w:b/>
          <w:bCs/>
          <w:color w:val="C00000"/>
          <w:u w:val="single"/>
        </w:rPr>
        <w:t>9</w:t>
      </w:r>
      <w:r>
        <w:rPr>
          <w:rStyle w:val="Style1"/>
          <w:b/>
          <w:bCs/>
          <w:color w:val="C00000"/>
          <w:u w:val="single"/>
        </w:rPr>
        <w:t xml:space="preserve"> Submission</w:t>
      </w:r>
      <w:r>
        <w:rPr>
          <w:rStyle w:val="Style1"/>
          <w:u w:val="single"/>
        </w:rPr>
        <w:t xml:space="preserve"> </w:t>
      </w:r>
    </w:p>
    <w:p w14:paraId="1F6B2ACB" w14:textId="77777777" w:rsidR="007C666D" w:rsidRDefault="007C666D" w:rsidP="00D23AD7">
      <w:pPr>
        <w:autoSpaceDE w:val="0"/>
        <w:autoSpaceDN w:val="0"/>
        <w:adjustRightInd w:val="0"/>
        <w:spacing w:after="0" w:line="240" w:lineRule="auto"/>
        <w:contextualSpacing/>
        <w:rPr>
          <w:rStyle w:val="Style1"/>
          <w:color w:val="C00000"/>
          <w:u w:val="single"/>
        </w:rPr>
      </w:pPr>
      <w:r>
        <w:rPr>
          <w:rStyle w:val="Style1"/>
          <w:color w:val="C00000"/>
          <w:u w:val="single"/>
        </w:rPr>
        <w:t xml:space="preserve">Reliability testing of performance measure score </w:t>
      </w:r>
    </w:p>
    <w:p w14:paraId="6D556EEE" w14:textId="77777777" w:rsidR="007C666D" w:rsidRDefault="007C666D" w:rsidP="00D23AD7">
      <w:pPr>
        <w:autoSpaceDE w:val="0"/>
        <w:autoSpaceDN w:val="0"/>
        <w:adjustRightInd w:val="0"/>
        <w:spacing w:after="0" w:line="240" w:lineRule="auto"/>
        <w:contextualSpacing/>
        <w:rPr>
          <w:rStyle w:val="Style1"/>
          <w:color w:val="C00000"/>
        </w:rPr>
      </w:pPr>
      <w:r>
        <w:rPr>
          <w:rStyle w:val="Style1"/>
          <w:color w:val="C00000"/>
        </w:rPr>
        <w:t xml:space="preserve">We utilized the Beta-binomial model (Adams 2009) to assess how well one can confidently distinguish the performance of one accountable entity from another. Conceptually, the Beta-binomial model is the ratio of signal to noise. The signal is the proportion of the variability in measured performance that can be explained by real differences in performance. The Beta-binomial model is an appropriate model when estimating the reliability of simple pass/fail rate measures as is the case with most HEDIS measures. Reliability scores range from 0.0 to 1.0. A score of zero implies that all variation is attributed to measurement error (i.e., noise), whereas a reliability of 1.0 implies that all variation is caused by a real difference in performance (across accountable entities).  </w:t>
      </w:r>
    </w:p>
    <w:p w14:paraId="018DA1B7" w14:textId="77777777" w:rsidR="007C666D" w:rsidRDefault="007C666D" w:rsidP="00D23AD7">
      <w:pPr>
        <w:autoSpaceDE w:val="0"/>
        <w:autoSpaceDN w:val="0"/>
        <w:adjustRightInd w:val="0"/>
        <w:spacing w:after="0" w:line="240" w:lineRule="auto"/>
        <w:contextualSpacing/>
        <w:rPr>
          <w:rStyle w:val="Style1"/>
          <w:color w:val="C00000"/>
        </w:rPr>
      </w:pPr>
    </w:p>
    <w:p w14:paraId="3181A9B2" w14:textId="31F00C0F" w:rsidR="007C666D" w:rsidRDefault="007C666D" w:rsidP="00D23AD7">
      <w:pPr>
        <w:autoSpaceDE w:val="0"/>
        <w:autoSpaceDN w:val="0"/>
        <w:adjustRightInd w:val="0"/>
        <w:spacing w:after="0" w:line="240" w:lineRule="auto"/>
        <w:contextualSpacing/>
        <w:rPr>
          <w:rStyle w:val="Style1"/>
          <w:color w:val="C00000"/>
        </w:rPr>
      </w:pPr>
      <w:r>
        <w:rPr>
          <w:rStyle w:val="Style1"/>
          <w:color w:val="C00000"/>
        </w:rPr>
        <w:t>Adams, J.L. The Reliability of Provider Profiling: A Tutorial. Santa Monica, California: RAND Corporation. TR-653-NCQA, 2009 </w:t>
      </w:r>
    </w:p>
    <w:p w14:paraId="610B5930" w14:textId="77777777" w:rsidR="007C666D" w:rsidRDefault="007C666D" w:rsidP="00D23AD7">
      <w:pPr>
        <w:autoSpaceDE w:val="0"/>
        <w:autoSpaceDN w:val="0"/>
        <w:adjustRightInd w:val="0"/>
        <w:spacing w:after="0" w:line="240" w:lineRule="auto"/>
        <w:contextualSpacing/>
        <w:rPr>
          <w:rStyle w:val="Style1"/>
          <w:color w:val="C00000"/>
        </w:rPr>
      </w:pPr>
    </w:p>
    <w:p w14:paraId="6FD37812" w14:textId="77777777" w:rsidR="007C666D" w:rsidRDefault="007C666D" w:rsidP="00D23AD7">
      <w:pPr>
        <w:autoSpaceDE w:val="0"/>
        <w:autoSpaceDN w:val="0"/>
        <w:adjustRightInd w:val="0"/>
        <w:spacing w:after="0" w:line="240" w:lineRule="auto"/>
        <w:contextualSpacing/>
        <w:rPr>
          <w:color w:val="4F81BD" w:themeColor="accent1"/>
        </w:rPr>
      </w:pPr>
      <w:r>
        <w:rPr>
          <w:rStyle w:val="Style1"/>
          <w:b/>
          <w:bCs/>
          <w:color w:val="4F81BD" w:themeColor="accent1"/>
          <w:u w:val="single"/>
        </w:rPr>
        <w:t>2014 Submission</w:t>
      </w:r>
    </w:p>
    <w:p w14:paraId="1EB24B91"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u w:val="single"/>
        </w:rPr>
        <w:t>Reliability Testing of Performance Measure Score:</w:t>
      </w:r>
      <w:r>
        <w:rPr>
          <w:rFonts w:cstheme="minorHAnsi"/>
          <w:bCs/>
          <w:color w:val="4F81BD" w:themeColor="accent1"/>
        </w:rPr>
        <w:t xml:space="preserve"> In order to assess measure precision in the context of the observed variability across accountable entities, we used the beta-binomial method and resulting estimate described by Adams (2009). The following is quoted from the tutorial: “Reliability describes how well one can confidently distinguish the performance of one physician [or accountable entity] from another. Conceptually, it is the ratio of signal to noise. The signal in this case is the proportion of the variability in measured performance that can be explained by real differences in performance.”  This approach is also relevant to health plans, states, and other accountable entities.  </w:t>
      </w:r>
    </w:p>
    <w:p w14:paraId="3909CB6C"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p>
    <w:p w14:paraId="47CDCE98"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Adams’ approach uses a beta-binomial model to estimate reliability; this model is suited for estimating the reliability of simple pass/fail rate measures as is the case with most HEDIS® measures. The beta-binomial approach assumes that the performance measure score (pass/fail rate) across accountable entities has a flexible beta distribution, characterized by a signal variance. Given its performance measure score, the observed data (number of passes/failures) for an accountable entity has a binomial distribution, which provides the noise (measurement error) variance. From the beta-binomial model, the signal and noise variances are used to calculate reliability as:</w:t>
      </w:r>
    </w:p>
    <w:p w14:paraId="3D7B6753"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p>
    <w:p w14:paraId="4237A748"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Signal variance / (signal + noise variance)</w:t>
      </w:r>
    </w:p>
    <w:p w14:paraId="6C193D9C"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p>
    <w:p w14:paraId="1F5D7C51"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lastRenderedPageBreak/>
        <w:t xml:space="preserve">Reliability scores vary from 0.0 to 1.0. A score of zero indicates that all variation is attributed to measurement error (noise or the individual accountable entity variance) whereas a reliability of 1.0 indicates that all variation is attributable to real differences in performance across accountable entities. </w:t>
      </w:r>
    </w:p>
    <w:p w14:paraId="6076DF9A"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p>
    <w:p w14:paraId="4B6D0F48"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Adams, J. L. The Reliability of Provider Profiling: A Tutorial. Santa Monica, California: RAND Corporation. TR-653-NCQA, 2009</w:t>
      </w:r>
    </w:p>
    <w:p w14:paraId="0CABCFD2" w14:textId="77777777" w:rsidR="008C54A9" w:rsidRPr="00A25024" w:rsidRDefault="008C54A9" w:rsidP="00D23AD7">
      <w:pPr>
        <w:autoSpaceDE w:val="0"/>
        <w:autoSpaceDN w:val="0"/>
        <w:adjustRightInd w:val="0"/>
        <w:spacing w:after="0" w:line="240" w:lineRule="auto"/>
        <w:contextualSpacing/>
        <w:rPr>
          <w:rFonts w:cstheme="minorHAnsi"/>
          <w:bCs/>
        </w:rPr>
      </w:pPr>
    </w:p>
    <w:p w14:paraId="2FDE2CB3" w14:textId="39C016F7" w:rsidR="007C666D" w:rsidRDefault="00092566" w:rsidP="00D23AD7">
      <w:pPr>
        <w:autoSpaceDE w:val="0"/>
        <w:autoSpaceDN w:val="0"/>
        <w:adjustRightInd w:val="0"/>
        <w:spacing w:after="0" w:line="240" w:lineRule="auto"/>
        <w:contextualSpacing/>
        <w:rPr>
          <w:rStyle w:val="Style1"/>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7C666D">
        <w:rPr>
          <w:rStyle w:val="Style1"/>
          <w:b/>
          <w:bCs/>
          <w:color w:val="C00000"/>
          <w:u w:val="single"/>
        </w:rPr>
        <w:t>201</w:t>
      </w:r>
      <w:r w:rsidR="005B4052">
        <w:rPr>
          <w:rStyle w:val="Style1"/>
          <w:b/>
          <w:bCs/>
          <w:color w:val="C00000"/>
          <w:u w:val="single"/>
        </w:rPr>
        <w:t>9</w:t>
      </w:r>
      <w:r w:rsidR="007C666D">
        <w:rPr>
          <w:rStyle w:val="Style1"/>
          <w:b/>
          <w:bCs/>
          <w:color w:val="C00000"/>
          <w:u w:val="single"/>
        </w:rPr>
        <w:t xml:space="preserve"> Submission</w:t>
      </w:r>
      <w:r w:rsidR="007C666D">
        <w:rPr>
          <w:rStyle w:val="Style1"/>
        </w:rPr>
        <w:t xml:space="preserve"> </w:t>
      </w:r>
    </w:p>
    <w:p w14:paraId="796593CF" w14:textId="4B5168D9" w:rsidR="007C666D" w:rsidRDefault="007C666D" w:rsidP="00D23AD7">
      <w:pPr>
        <w:autoSpaceDE w:val="0"/>
        <w:autoSpaceDN w:val="0"/>
        <w:adjustRightInd w:val="0"/>
        <w:spacing w:after="0" w:line="240" w:lineRule="auto"/>
        <w:contextualSpacing/>
        <w:rPr>
          <w:rStyle w:val="Style1"/>
          <w:color w:val="C00000"/>
        </w:rPr>
      </w:pPr>
      <w:r>
        <w:rPr>
          <w:rStyle w:val="Style1"/>
          <w:color w:val="C00000"/>
        </w:rPr>
        <w:t xml:space="preserve">Table 2 shows the reliability for </w:t>
      </w:r>
      <w:r w:rsidR="0023366C">
        <w:rPr>
          <w:rStyle w:val="Style1"/>
          <w:color w:val="C00000"/>
        </w:rPr>
        <w:t>each indicator of</w:t>
      </w:r>
      <w:r>
        <w:rPr>
          <w:rStyle w:val="Style1"/>
          <w:color w:val="C00000"/>
        </w:rPr>
        <w:t xml:space="preserve"> measure as shown by the beta-binomial model.</w:t>
      </w:r>
    </w:p>
    <w:p w14:paraId="48E462A9" w14:textId="77777777" w:rsidR="007C666D" w:rsidRDefault="007C666D" w:rsidP="00D23AD7">
      <w:pPr>
        <w:autoSpaceDE w:val="0"/>
        <w:autoSpaceDN w:val="0"/>
        <w:adjustRightInd w:val="0"/>
        <w:spacing w:after="0" w:line="240" w:lineRule="auto"/>
        <w:contextualSpacing/>
        <w:rPr>
          <w:rStyle w:val="Style1"/>
          <w:color w:val="C00000"/>
        </w:rPr>
      </w:pPr>
    </w:p>
    <w:p w14:paraId="7CA9CDF9" w14:textId="30DFA9AF" w:rsidR="007C666D" w:rsidRDefault="007C666D" w:rsidP="00D23AD7">
      <w:pPr>
        <w:autoSpaceDE w:val="0"/>
        <w:autoSpaceDN w:val="0"/>
        <w:adjustRightInd w:val="0"/>
        <w:spacing w:after="0" w:line="240" w:lineRule="auto"/>
        <w:contextualSpacing/>
        <w:rPr>
          <w:rStyle w:val="Style1"/>
          <w:color w:val="C00000"/>
        </w:rPr>
      </w:pPr>
      <w:r>
        <w:rPr>
          <w:rStyle w:val="Style1"/>
          <w:color w:val="C00000"/>
        </w:rPr>
        <w:t xml:space="preserve">Table 2. </w:t>
      </w:r>
      <w:r w:rsidR="00050880" w:rsidRPr="00050880">
        <w:rPr>
          <w:rStyle w:val="Style1"/>
          <w:i/>
          <w:color w:val="C00000"/>
        </w:rPr>
        <w:t xml:space="preserve">Follow-Up After Emergency Department Visit for Mental Illness </w:t>
      </w:r>
      <w:r>
        <w:rPr>
          <w:rStyle w:val="Style1"/>
          <w:color w:val="C00000"/>
        </w:rPr>
        <w:t>Beta-Binomial Statistic, 2017 </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85"/>
        <w:gridCol w:w="2426"/>
        <w:gridCol w:w="2355"/>
        <w:gridCol w:w="2078"/>
      </w:tblGrid>
      <w:tr w:rsidR="007C666D" w14:paraId="186D3206" w14:textId="77777777" w:rsidTr="007C666D">
        <w:trPr>
          <w:trHeight w:val="255"/>
        </w:trPr>
        <w:tc>
          <w:tcPr>
            <w:tcW w:w="2485" w:type="dxa"/>
            <w:tcBorders>
              <w:top w:val="single" w:sz="6" w:space="0" w:color="auto"/>
              <w:left w:val="single" w:sz="6" w:space="0" w:color="auto"/>
              <w:bottom w:val="single" w:sz="6" w:space="0" w:color="auto"/>
              <w:right w:val="single" w:sz="6" w:space="0" w:color="auto"/>
            </w:tcBorders>
            <w:hideMark/>
          </w:tcPr>
          <w:p w14:paraId="194FCED5" w14:textId="77777777" w:rsidR="007C666D" w:rsidRDefault="007C666D" w:rsidP="00D23AD7">
            <w:pPr>
              <w:autoSpaceDE w:val="0"/>
              <w:autoSpaceDN w:val="0"/>
              <w:adjustRightInd w:val="0"/>
              <w:spacing w:after="0" w:line="240" w:lineRule="auto"/>
              <w:contextualSpacing/>
              <w:rPr>
                <w:rStyle w:val="Style1"/>
                <w:color w:val="C00000"/>
              </w:rPr>
            </w:pPr>
            <w:r>
              <w:rPr>
                <w:rStyle w:val="Style1"/>
                <w:color w:val="C00000"/>
              </w:rPr>
              <w:t> </w:t>
            </w:r>
          </w:p>
        </w:tc>
        <w:tc>
          <w:tcPr>
            <w:tcW w:w="6859" w:type="dxa"/>
            <w:gridSpan w:val="3"/>
            <w:tcBorders>
              <w:top w:val="single" w:sz="6" w:space="0" w:color="auto"/>
              <w:left w:val="nil"/>
              <w:bottom w:val="single" w:sz="6" w:space="0" w:color="auto"/>
              <w:right w:val="single" w:sz="6" w:space="0" w:color="auto"/>
            </w:tcBorders>
            <w:vAlign w:val="bottom"/>
            <w:hideMark/>
          </w:tcPr>
          <w:p w14:paraId="25BE8125" w14:textId="77777777" w:rsidR="007C666D" w:rsidRDefault="007C666D" w:rsidP="00D23AD7">
            <w:pPr>
              <w:autoSpaceDE w:val="0"/>
              <w:autoSpaceDN w:val="0"/>
              <w:adjustRightInd w:val="0"/>
              <w:spacing w:after="0" w:line="240" w:lineRule="auto"/>
              <w:contextualSpacing/>
              <w:jc w:val="center"/>
              <w:rPr>
                <w:rStyle w:val="Style1"/>
                <w:color w:val="C00000"/>
              </w:rPr>
            </w:pPr>
            <w:r>
              <w:rPr>
                <w:rStyle w:val="Style1"/>
                <w:color w:val="C00000"/>
              </w:rPr>
              <w:t>Overall Reliability</w:t>
            </w:r>
          </w:p>
        </w:tc>
      </w:tr>
      <w:tr w:rsidR="007C666D" w14:paraId="2D707AF7" w14:textId="77777777" w:rsidTr="007C666D">
        <w:trPr>
          <w:trHeight w:val="255"/>
        </w:trPr>
        <w:tc>
          <w:tcPr>
            <w:tcW w:w="2485" w:type="dxa"/>
            <w:tcBorders>
              <w:top w:val="nil"/>
              <w:left w:val="single" w:sz="6" w:space="0" w:color="auto"/>
              <w:bottom w:val="single" w:sz="6" w:space="0" w:color="auto"/>
              <w:right w:val="single" w:sz="6" w:space="0" w:color="auto"/>
            </w:tcBorders>
            <w:hideMark/>
          </w:tcPr>
          <w:p w14:paraId="3024D1E5" w14:textId="77777777" w:rsidR="007C666D" w:rsidRDefault="007C666D" w:rsidP="00D23AD7">
            <w:pPr>
              <w:autoSpaceDE w:val="0"/>
              <w:autoSpaceDN w:val="0"/>
              <w:adjustRightInd w:val="0"/>
              <w:spacing w:after="0" w:line="240" w:lineRule="auto"/>
              <w:contextualSpacing/>
              <w:jc w:val="center"/>
              <w:rPr>
                <w:rStyle w:val="Style1"/>
                <w:color w:val="C00000"/>
              </w:rPr>
            </w:pPr>
            <w:r>
              <w:rPr>
                <w:rStyle w:val="Style1"/>
                <w:color w:val="C00000"/>
              </w:rPr>
              <w:t>Measure Rate</w:t>
            </w:r>
          </w:p>
        </w:tc>
        <w:tc>
          <w:tcPr>
            <w:tcW w:w="2426" w:type="dxa"/>
            <w:tcBorders>
              <w:top w:val="nil"/>
              <w:left w:val="nil"/>
              <w:bottom w:val="single" w:sz="6" w:space="0" w:color="auto"/>
              <w:right w:val="single" w:sz="6" w:space="0" w:color="auto"/>
            </w:tcBorders>
            <w:vAlign w:val="bottom"/>
            <w:hideMark/>
          </w:tcPr>
          <w:p w14:paraId="0F94FD22" w14:textId="77777777" w:rsidR="007C666D" w:rsidRDefault="007C666D" w:rsidP="00D23AD7">
            <w:pPr>
              <w:autoSpaceDE w:val="0"/>
              <w:autoSpaceDN w:val="0"/>
              <w:adjustRightInd w:val="0"/>
              <w:spacing w:after="0" w:line="240" w:lineRule="auto"/>
              <w:contextualSpacing/>
              <w:jc w:val="center"/>
              <w:rPr>
                <w:rStyle w:val="Style1"/>
                <w:color w:val="C00000"/>
              </w:rPr>
            </w:pPr>
            <w:r>
              <w:rPr>
                <w:rStyle w:val="Style1"/>
                <w:color w:val="C00000"/>
              </w:rPr>
              <w:t>Commercial</w:t>
            </w:r>
          </w:p>
        </w:tc>
        <w:tc>
          <w:tcPr>
            <w:tcW w:w="2355" w:type="dxa"/>
            <w:tcBorders>
              <w:top w:val="nil"/>
              <w:left w:val="nil"/>
              <w:bottom w:val="single" w:sz="6" w:space="0" w:color="auto"/>
              <w:right w:val="single" w:sz="6" w:space="0" w:color="auto"/>
            </w:tcBorders>
            <w:hideMark/>
          </w:tcPr>
          <w:p w14:paraId="61BFCB01" w14:textId="77777777" w:rsidR="007C666D" w:rsidRDefault="007C666D" w:rsidP="00D23AD7">
            <w:pPr>
              <w:autoSpaceDE w:val="0"/>
              <w:autoSpaceDN w:val="0"/>
              <w:adjustRightInd w:val="0"/>
              <w:spacing w:after="0" w:line="240" w:lineRule="auto"/>
              <w:contextualSpacing/>
              <w:jc w:val="center"/>
              <w:rPr>
                <w:rStyle w:val="Style1"/>
                <w:color w:val="C00000"/>
              </w:rPr>
            </w:pPr>
            <w:r>
              <w:rPr>
                <w:rStyle w:val="Style1"/>
                <w:color w:val="C00000"/>
              </w:rPr>
              <w:t>Medicaid</w:t>
            </w:r>
          </w:p>
        </w:tc>
        <w:tc>
          <w:tcPr>
            <w:tcW w:w="2078" w:type="dxa"/>
            <w:tcBorders>
              <w:top w:val="nil"/>
              <w:left w:val="nil"/>
              <w:bottom w:val="single" w:sz="6" w:space="0" w:color="auto"/>
              <w:right w:val="single" w:sz="6" w:space="0" w:color="auto"/>
            </w:tcBorders>
            <w:hideMark/>
          </w:tcPr>
          <w:p w14:paraId="15DBD469" w14:textId="77777777" w:rsidR="007C666D" w:rsidRDefault="007C666D" w:rsidP="00D23AD7">
            <w:pPr>
              <w:autoSpaceDE w:val="0"/>
              <w:autoSpaceDN w:val="0"/>
              <w:adjustRightInd w:val="0"/>
              <w:spacing w:after="0" w:line="240" w:lineRule="auto"/>
              <w:contextualSpacing/>
              <w:jc w:val="center"/>
              <w:rPr>
                <w:rStyle w:val="Style1"/>
                <w:color w:val="C00000"/>
              </w:rPr>
            </w:pPr>
            <w:r>
              <w:rPr>
                <w:rStyle w:val="Style1"/>
                <w:color w:val="C00000"/>
              </w:rPr>
              <w:t>Medicare</w:t>
            </w:r>
          </w:p>
        </w:tc>
      </w:tr>
      <w:tr w:rsidR="007C666D" w14:paraId="2F976009" w14:textId="77777777" w:rsidTr="00985881">
        <w:trPr>
          <w:trHeight w:val="75"/>
        </w:trPr>
        <w:tc>
          <w:tcPr>
            <w:tcW w:w="2485" w:type="dxa"/>
            <w:tcBorders>
              <w:top w:val="nil"/>
              <w:left w:val="single" w:sz="6" w:space="0" w:color="auto"/>
              <w:bottom w:val="single" w:sz="6" w:space="0" w:color="auto"/>
              <w:right w:val="single" w:sz="6" w:space="0" w:color="auto"/>
            </w:tcBorders>
          </w:tcPr>
          <w:p w14:paraId="4F2A1FC2" w14:textId="092A6145" w:rsidR="007C666D" w:rsidRDefault="007F3CA0" w:rsidP="00D23AD7">
            <w:pPr>
              <w:autoSpaceDE w:val="0"/>
              <w:autoSpaceDN w:val="0"/>
              <w:adjustRightInd w:val="0"/>
              <w:spacing w:after="0" w:line="240" w:lineRule="auto"/>
              <w:ind w:left="75"/>
              <w:contextualSpacing/>
              <w:jc w:val="center"/>
              <w:rPr>
                <w:rStyle w:val="Style1"/>
                <w:color w:val="C00000"/>
              </w:rPr>
            </w:pPr>
            <w:r>
              <w:rPr>
                <w:rStyle w:val="Style1"/>
                <w:color w:val="C00000"/>
              </w:rPr>
              <w:t>30-</w:t>
            </w:r>
            <w:r w:rsidR="0096732D" w:rsidRPr="0096732D">
              <w:rPr>
                <w:rStyle w:val="Style1"/>
                <w:color w:val="C00000"/>
              </w:rPr>
              <w:t>day follow-up</w:t>
            </w:r>
          </w:p>
        </w:tc>
        <w:tc>
          <w:tcPr>
            <w:tcW w:w="2426" w:type="dxa"/>
            <w:tcBorders>
              <w:top w:val="nil"/>
              <w:left w:val="nil"/>
              <w:bottom w:val="single" w:sz="6" w:space="0" w:color="auto"/>
              <w:right w:val="single" w:sz="6" w:space="0" w:color="auto"/>
            </w:tcBorders>
          </w:tcPr>
          <w:p w14:paraId="1E114100" w14:textId="657FAC10" w:rsidR="007C666D" w:rsidRDefault="00354F4E" w:rsidP="00D23AD7">
            <w:pPr>
              <w:autoSpaceDE w:val="0"/>
              <w:autoSpaceDN w:val="0"/>
              <w:adjustRightInd w:val="0"/>
              <w:spacing w:after="0" w:line="240" w:lineRule="auto"/>
              <w:contextualSpacing/>
              <w:jc w:val="center"/>
              <w:rPr>
                <w:rStyle w:val="Style1"/>
                <w:color w:val="C00000"/>
              </w:rPr>
            </w:pPr>
            <w:r>
              <w:rPr>
                <w:rStyle w:val="Style1"/>
                <w:color w:val="C00000"/>
              </w:rPr>
              <w:t>0.95</w:t>
            </w:r>
          </w:p>
        </w:tc>
        <w:tc>
          <w:tcPr>
            <w:tcW w:w="2355" w:type="dxa"/>
            <w:tcBorders>
              <w:top w:val="nil"/>
              <w:left w:val="nil"/>
              <w:bottom w:val="single" w:sz="6" w:space="0" w:color="auto"/>
              <w:right w:val="single" w:sz="6" w:space="0" w:color="auto"/>
            </w:tcBorders>
          </w:tcPr>
          <w:p w14:paraId="16F76994" w14:textId="1CE7C1EC" w:rsidR="007C666D" w:rsidRDefault="00354F4E" w:rsidP="00D23AD7">
            <w:pPr>
              <w:autoSpaceDE w:val="0"/>
              <w:autoSpaceDN w:val="0"/>
              <w:adjustRightInd w:val="0"/>
              <w:spacing w:after="0" w:line="240" w:lineRule="auto"/>
              <w:contextualSpacing/>
              <w:jc w:val="center"/>
              <w:rPr>
                <w:rStyle w:val="Style1"/>
                <w:color w:val="C00000"/>
              </w:rPr>
            </w:pPr>
            <w:r>
              <w:rPr>
                <w:rStyle w:val="Style1"/>
                <w:color w:val="C00000"/>
              </w:rPr>
              <w:t>0.99</w:t>
            </w:r>
          </w:p>
        </w:tc>
        <w:tc>
          <w:tcPr>
            <w:tcW w:w="2078" w:type="dxa"/>
            <w:tcBorders>
              <w:top w:val="nil"/>
              <w:left w:val="nil"/>
              <w:bottom w:val="single" w:sz="6" w:space="0" w:color="auto"/>
              <w:right w:val="single" w:sz="6" w:space="0" w:color="auto"/>
            </w:tcBorders>
          </w:tcPr>
          <w:p w14:paraId="2C9A1EAB" w14:textId="3C48C295" w:rsidR="007C666D" w:rsidRDefault="00354F4E" w:rsidP="00D23AD7">
            <w:pPr>
              <w:autoSpaceDE w:val="0"/>
              <w:autoSpaceDN w:val="0"/>
              <w:adjustRightInd w:val="0"/>
              <w:spacing w:after="0" w:line="240" w:lineRule="auto"/>
              <w:contextualSpacing/>
              <w:jc w:val="center"/>
              <w:rPr>
                <w:rStyle w:val="Style1"/>
                <w:color w:val="C00000"/>
              </w:rPr>
            </w:pPr>
            <w:r>
              <w:rPr>
                <w:rStyle w:val="Style1"/>
                <w:color w:val="C00000"/>
              </w:rPr>
              <w:t>0.91</w:t>
            </w:r>
          </w:p>
        </w:tc>
      </w:tr>
      <w:tr w:rsidR="007C666D" w14:paraId="0E92B6A8" w14:textId="77777777" w:rsidTr="004C3EEC">
        <w:trPr>
          <w:trHeight w:val="75"/>
        </w:trPr>
        <w:tc>
          <w:tcPr>
            <w:tcW w:w="2485" w:type="dxa"/>
            <w:tcBorders>
              <w:top w:val="single" w:sz="6" w:space="0" w:color="auto"/>
              <w:left w:val="single" w:sz="6" w:space="0" w:color="auto"/>
              <w:bottom w:val="single" w:sz="4" w:space="0" w:color="auto"/>
              <w:right w:val="single" w:sz="6" w:space="0" w:color="auto"/>
            </w:tcBorders>
          </w:tcPr>
          <w:p w14:paraId="5D4C11E9" w14:textId="16A3A3AE" w:rsidR="007C666D" w:rsidRDefault="007F3CA0" w:rsidP="00D23AD7">
            <w:pPr>
              <w:autoSpaceDE w:val="0"/>
              <w:autoSpaceDN w:val="0"/>
              <w:adjustRightInd w:val="0"/>
              <w:spacing w:after="0" w:line="240" w:lineRule="auto"/>
              <w:ind w:left="75"/>
              <w:contextualSpacing/>
              <w:jc w:val="center"/>
              <w:rPr>
                <w:rStyle w:val="Style1"/>
                <w:color w:val="C00000"/>
              </w:rPr>
            </w:pPr>
            <w:r>
              <w:rPr>
                <w:rStyle w:val="Style1"/>
                <w:color w:val="C00000"/>
              </w:rPr>
              <w:t>7-</w:t>
            </w:r>
            <w:r w:rsidR="0096732D" w:rsidRPr="0096732D">
              <w:rPr>
                <w:rStyle w:val="Style1"/>
                <w:color w:val="C00000"/>
              </w:rPr>
              <w:t>day follow-up</w:t>
            </w:r>
          </w:p>
        </w:tc>
        <w:tc>
          <w:tcPr>
            <w:tcW w:w="2426" w:type="dxa"/>
            <w:tcBorders>
              <w:top w:val="single" w:sz="6" w:space="0" w:color="auto"/>
              <w:left w:val="nil"/>
              <w:bottom w:val="single" w:sz="4" w:space="0" w:color="auto"/>
              <w:right w:val="single" w:sz="6" w:space="0" w:color="auto"/>
            </w:tcBorders>
          </w:tcPr>
          <w:p w14:paraId="4A57ECEA" w14:textId="7A7A4705" w:rsidR="007C666D" w:rsidRDefault="00354F4E" w:rsidP="00D23AD7">
            <w:pPr>
              <w:autoSpaceDE w:val="0"/>
              <w:autoSpaceDN w:val="0"/>
              <w:adjustRightInd w:val="0"/>
              <w:spacing w:after="0" w:line="240" w:lineRule="auto"/>
              <w:contextualSpacing/>
              <w:jc w:val="center"/>
              <w:rPr>
                <w:rStyle w:val="Style1"/>
                <w:color w:val="C00000"/>
              </w:rPr>
            </w:pPr>
            <w:r>
              <w:rPr>
                <w:rStyle w:val="Style1"/>
                <w:color w:val="C00000"/>
              </w:rPr>
              <w:t>0.96</w:t>
            </w:r>
          </w:p>
        </w:tc>
        <w:tc>
          <w:tcPr>
            <w:tcW w:w="2355" w:type="dxa"/>
            <w:tcBorders>
              <w:top w:val="single" w:sz="6" w:space="0" w:color="auto"/>
              <w:left w:val="nil"/>
              <w:bottom w:val="single" w:sz="4" w:space="0" w:color="auto"/>
              <w:right w:val="single" w:sz="6" w:space="0" w:color="auto"/>
            </w:tcBorders>
          </w:tcPr>
          <w:p w14:paraId="2A289B9C" w14:textId="5D83E59F" w:rsidR="007C666D" w:rsidRDefault="00354F4E" w:rsidP="00D23AD7">
            <w:pPr>
              <w:autoSpaceDE w:val="0"/>
              <w:autoSpaceDN w:val="0"/>
              <w:adjustRightInd w:val="0"/>
              <w:spacing w:after="0" w:line="240" w:lineRule="auto"/>
              <w:contextualSpacing/>
              <w:jc w:val="center"/>
              <w:rPr>
                <w:rStyle w:val="Style1"/>
                <w:color w:val="C00000"/>
              </w:rPr>
            </w:pPr>
            <w:r>
              <w:rPr>
                <w:rStyle w:val="Style1"/>
                <w:color w:val="C00000"/>
              </w:rPr>
              <w:t>0.99</w:t>
            </w:r>
          </w:p>
        </w:tc>
        <w:tc>
          <w:tcPr>
            <w:tcW w:w="2078" w:type="dxa"/>
            <w:tcBorders>
              <w:top w:val="single" w:sz="6" w:space="0" w:color="auto"/>
              <w:left w:val="nil"/>
              <w:bottom w:val="single" w:sz="4" w:space="0" w:color="auto"/>
              <w:right w:val="single" w:sz="6" w:space="0" w:color="auto"/>
            </w:tcBorders>
          </w:tcPr>
          <w:p w14:paraId="72E677E6" w14:textId="241334E2" w:rsidR="007C666D" w:rsidRDefault="00354F4E" w:rsidP="00D23AD7">
            <w:pPr>
              <w:autoSpaceDE w:val="0"/>
              <w:autoSpaceDN w:val="0"/>
              <w:adjustRightInd w:val="0"/>
              <w:spacing w:after="0" w:line="240" w:lineRule="auto"/>
              <w:contextualSpacing/>
              <w:jc w:val="center"/>
              <w:rPr>
                <w:rStyle w:val="Style1"/>
                <w:color w:val="C00000"/>
              </w:rPr>
            </w:pPr>
            <w:r>
              <w:rPr>
                <w:rStyle w:val="Style1"/>
                <w:color w:val="C00000"/>
              </w:rPr>
              <w:t>0.92</w:t>
            </w:r>
          </w:p>
        </w:tc>
      </w:tr>
    </w:tbl>
    <w:p w14:paraId="0D1C8E0E" w14:textId="77777777" w:rsidR="007C666D" w:rsidRDefault="007C666D" w:rsidP="00D23AD7">
      <w:pPr>
        <w:autoSpaceDE w:val="0"/>
        <w:autoSpaceDN w:val="0"/>
        <w:adjustRightInd w:val="0"/>
        <w:spacing w:after="0" w:line="240" w:lineRule="auto"/>
        <w:contextualSpacing/>
        <w:rPr>
          <w:rStyle w:val="Style1"/>
        </w:rPr>
      </w:pPr>
    </w:p>
    <w:p w14:paraId="1B8263FD" w14:textId="77777777" w:rsidR="007C666D" w:rsidRDefault="007C666D" w:rsidP="00D23AD7">
      <w:pPr>
        <w:autoSpaceDE w:val="0"/>
        <w:autoSpaceDN w:val="0"/>
        <w:adjustRightInd w:val="0"/>
        <w:spacing w:after="0" w:line="240" w:lineRule="auto"/>
        <w:contextualSpacing/>
        <w:rPr>
          <w:color w:val="4F81BD" w:themeColor="accent1"/>
        </w:rPr>
      </w:pPr>
      <w:r>
        <w:rPr>
          <w:rStyle w:val="Style1"/>
          <w:b/>
          <w:bCs/>
          <w:color w:val="4F81BD" w:themeColor="accent1"/>
          <w:u w:val="single"/>
        </w:rPr>
        <w:t>2014 Submission</w:t>
      </w:r>
    </w:p>
    <w:p w14:paraId="74429D86"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Reliability statistic for follow-up for MH </w:t>
      </w:r>
      <w:r>
        <w:rPr>
          <w:color w:val="4F81BD" w:themeColor="accent1"/>
        </w:rPr>
        <w:t>emergency department</w:t>
      </w:r>
      <w:r>
        <w:rPr>
          <w:rFonts w:cstheme="minorHAnsi"/>
          <w:bCs/>
          <w:color w:val="4F81BD" w:themeColor="accent1"/>
        </w:rPr>
        <w:t xml:space="preserve"> visits:</w:t>
      </w:r>
    </w:p>
    <w:p w14:paraId="3AA21BDC"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Average, 7-day follow-up: .99</w:t>
      </w:r>
    </w:p>
    <w:p w14:paraId="78139C43"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10</w:t>
      </w:r>
      <w:r>
        <w:rPr>
          <w:rFonts w:cstheme="minorHAnsi"/>
          <w:bCs/>
          <w:color w:val="4F81BD" w:themeColor="accent1"/>
          <w:vertAlign w:val="superscript"/>
        </w:rPr>
        <w:t>th</w:t>
      </w:r>
      <w:r>
        <w:rPr>
          <w:rFonts w:cstheme="minorHAnsi"/>
          <w:bCs/>
          <w:color w:val="4F81BD" w:themeColor="accent1"/>
        </w:rPr>
        <w:t>-90</w:t>
      </w:r>
      <w:r>
        <w:rPr>
          <w:rFonts w:cstheme="minorHAnsi"/>
          <w:bCs/>
          <w:color w:val="4F81BD" w:themeColor="accent1"/>
          <w:vertAlign w:val="superscript"/>
        </w:rPr>
        <w:t>th</w:t>
      </w:r>
      <w:r>
        <w:rPr>
          <w:rFonts w:cstheme="minorHAnsi"/>
          <w:bCs/>
          <w:color w:val="4F81BD" w:themeColor="accent1"/>
        </w:rPr>
        <w:t xml:space="preserve"> percentile across states: .98 – 1.0</w:t>
      </w:r>
    </w:p>
    <w:p w14:paraId="235EB246"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p>
    <w:p w14:paraId="02E9EBB2"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Average, 30-day follow-up: .98</w:t>
      </w:r>
    </w:p>
    <w:p w14:paraId="6303AAFB"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10</w:t>
      </w:r>
      <w:r>
        <w:rPr>
          <w:rFonts w:cstheme="minorHAnsi"/>
          <w:bCs/>
          <w:color w:val="4F81BD" w:themeColor="accent1"/>
          <w:vertAlign w:val="superscript"/>
        </w:rPr>
        <w:t>th</w:t>
      </w:r>
      <w:r>
        <w:rPr>
          <w:rFonts w:cstheme="minorHAnsi"/>
          <w:bCs/>
          <w:color w:val="4F81BD" w:themeColor="accent1"/>
        </w:rPr>
        <w:t>-90</w:t>
      </w:r>
      <w:r>
        <w:rPr>
          <w:rFonts w:cstheme="minorHAnsi"/>
          <w:bCs/>
          <w:color w:val="4F81BD" w:themeColor="accent1"/>
          <w:vertAlign w:val="superscript"/>
        </w:rPr>
        <w:t>th</w:t>
      </w:r>
      <w:r>
        <w:rPr>
          <w:rFonts w:cstheme="minorHAnsi"/>
          <w:bCs/>
          <w:color w:val="4F81BD" w:themeColor="accent1"/>
        </w:rPr>
        <w:t xml:space="preserve"> percentile across states: .97 – 1.0</w:t>
      </w:r>
    </w:p>
    <w:p w14:paraId="1EC35C8B"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p>
    <w:p w14:paraId="47C2068E"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Reliability statistic for follow-up for AOD </w:t>
      </w:r>
      <w:r>
        <w:rPr>
          <w:color w:val="4F81BD" w:themeColor="accent1"/>
        </w:rPr>
        <w:t>emergency department</w:t>
      </w:r>
      <w:r>
        <w:rPr>
          <w:rFonts w:cstheme="minorHAnsi"/>
          <w:bCs/>
          <w:color w:val="4F81BD" w:themeColor="accent1"/>
        </w:rPr>
        <w:t xml:space="preserve"> visits: </w:t>
      </w:r>
    </w:p>
    <w:p w14:paraId="7982490E"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Average, 7-day follow-up: .99</w:t>
      </w:r>
    </w:p>
    <w:p w14:paraId="16398544"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10</w:t>
      </w:r>
      <w:r>
        <w:rPr>
          <w:rFonts w:cstheme="minorHAnsi"/>
          <w:bCs/>
          <w:color w:val="4F81BD" w:themeColor="accent1"/>
          <w:vertAlign w:val="superscript"/>
        </w:rPr>
        <w:t>th</w:t>
      </w:r>
      <w:r>
        <w:rPr>
          <w:rFonts w:cstheme="minorHAnsi"/>
          <w:bCs/>
          <w:color w:val="4F81BD" w:themeColor="accent1"/>
        </w:rPr>
        <w:t>-90</w:t>
      </w:r>
      <w:r>
        <w:rPr>
          <w:rFonts w:cstheme="minorHAnsi"/>
          <w:bCs/>
          <w:color w:val="4F81BD" w:themeColor="accent1"/>
          <w:vertAlign w:val="superscript"/>
        </w:rPr>
        <w:t>th</w:t>
      </w:r>
      <w:r>
        <w:rPr>
          <w:rFonts w:cstheme="minorHAnsi"/>
          <w:bCs/>
          <w:color w:val="4F81BD" w:themeColor="accent1"/>
        </w:rPr>
        <w:t xml:space="preserve"> percentile across states: .99 – 1.0</w:t>
      </w:r>
    </w:p>
    <w:p w14:paraId="37BA39D3"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p>
    <w:p w14:paraId="7E492F5C"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Average, 30-day follow-u: .99</w:t>
      </w:r>
    </w:p>
    <w:p w14:paraId="58AAE936" w14:textId="77777777" w:rsidR="007C666D" w:rsidRDefault="007C666D"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10</w:t>
      </w:r>
      <w:r>
        <w:rPr>
          <w:rFonts w:cstheme="minorHAnsi"/>
          <w:bCs/>
          <w:color w:val="4F81BD" w:themeColor="accent1"/>
          <w:vertAlign w:val="superscript"/>
        </w:rPr>
        <w:t>th</w:t>
      </w:r>
      <w:r>
        <w:rPr>
          <w:rFonts w:cstheme="minorHAnsi"/>
          <w:bCs/>
          <w:color w:val="4F81BD" w:themeColor="accent1"/>
        </w:rPr>
        <w:t>-90</w:t>
      </w:r>
      <w:r>
        <w:rPr>
          <w:rFonts w:cstheme="minorHAnsi"/>
          <w:bCs/>
          <w:color w:val="4F81BD" w:themeColor="accent1"/>
          <w:vertAlign w:val="superscript"/>
        </w:rPr>
        <w:t>th</w:t>
      </w:r>
      <w:r>
        <w:rPr>
          <w:rFonts w:cstheme="minorHAnsi"/>
          <w:bCs/>
          <w:color w:val="4F81BD" w:themeColor="accent1"/>
        </w:rPr>
        <w:t xml:space="preserve"> percentile across states: .98 – 1.0</w:t>
      </w:r>
    </w:p>
    <w:p w14:paraId="0CABCFD3" w14:textId="77777777" w:rsidR="007422FD" w:rsidRPr="00A25024" w:rsidRDefault="007422FD" w:rsidP="00D23AD7">
      <w:pPr>
        <w:autoSpaceDE w:val="0"/>
        <w:autoSpaceDN w:val="0"/>
        <w:adjustRightInd w:val="0"/>
        <w:spacing w:after="0" w:line="240" w:lineRule="auto"/>
        <w:contextualSpacing/>
        <w:rPr>
          <w:rFonts w:cstheme="minorHAnsi"/>
          <w:bCs/>
        </w:rPr>
      </w:pPr>
    </w:p>
    <w:p w14:paraId="0CF9D5C8" w14:textId="74038E62" w:rsidR="00050880" w:rsidRDefault="00092566" w:rsidP="00D23AD7">
      <w:pPr>
        <w:autoSpaceDE w:val="0"/>
        <w:autoSpaceDN w:val="0"/>
        <w:adjustRightInd w:val="0"/>
        <w:spacing w:after="0" w:line="240" w:lineRule="auto"/>
        <w:contextualSpacing/>
        <w:rPr>
          <w:rStyle w:val="Style1"/>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050880">
        <w:rPr>
          <w:rStyle w:val="Style1"/>
          <w:b/>
          <w:bCs/>
          <w:color w:val="C00000"/>
          <w:u w:val="single"/>
        </w:rPr>
        <w:t>201</w:t>
      </w:r>
      <w:r w:rsidR="005B4052">
        <w:rPr>
          <w:rStyle w:val="Style1"/>
          <w:b/>
          <w:bCs/>
          <w:color w:val="C00000"/>
          <w:u w:val="single"/>
        </w:rPr>
        <w:t>9</w:t>
      </w:r>
      <w:r w:rsidR="00050880">
        <w:rPr>
          <w:rStyle w:val="Style1"/>
          <w:b/>
          <w:bCs/>
          <w:color w:val="C00000"/>
          <w:u w:val="single"/>
        </w:rPr>
        <w:t xml:space="preserve"> Submission</w:t>
      </w:r>
      <w:r w:rsidR="00050880">
        <w:rPr>
          <w:rStyle w:val="Style1"/>
        </w:rPr>
        <w:t xml:space="preserve"> </w:t>
      </w:r>
    </w:p>
    <w:p w14:paraId="5E948B3A" w14:textId="1C873D1E" w:rsidR="00050880" w:rsidRDefault="00050880" w:rsidP="00D23AD7">
      <w:pPr>
        <w:autoSpaceDE w:val="0"/>
        <w:autoSpaceDN w:val="0"/>
        <w:adjustRightInd w:val="0"/>
        <w:spacing w:after="0" w:line="240" w:lineRule="auto"/>
        <w:contextualSpacing/>
        <w:rPr>
          <w:rStyle w:val="normaltextrun"/>
          <w:color w:val="C00000"/>
          <w:shd w:val="clear" w:color="auto" w:fill="FFFFFF"/>
          <w:lang w:val="en"/>
        </w:rPr>
      </w:pPr>
      <w:r>
        <w:rPr>
          <w:rStyle w:val="Style1"/>
          <w:color w:val="C00000"/>
        </w:rPr>
        <w:t>In general, a score of 0.7 or higher suggests the measure has adequate reliability. The results suggest the measure has high reliability.</w:t>
      </w:r>
      <w:r>
        <w:rPr>
          <w:rStyle w:val="normaltextrun"/>
          <w:rFonts w:ascii="Calibri" w:hAnsi="Calibri" w:cs="Calibri"/>
          <w:color w:val="C00000"/>
          <w:shd w:val="clear" w:color="auto" w:fill="FFFFFF"/>
        </w:rPr>
        <w:t> </w:t>
      </w:r>
      <w:r>
        <w:rPr>
          <w:rStyle w:val="normaltextrun"/>
          <w:color w:val="C00000"/>
          <w:shd w:val="clear" w:color="auto" w:fill="FFFFFF"/>
          <w:lang w:val="en"/>
        </w:rPr>
        <w:t> </w:t>
      </w:r>
    </w:p>
    <w:p w14:paraId="0B40692A" w14:textId="77777777" w:rsidR="00050880" w:rsidRDefault="00050880" w:rsidP="00D23AD7">
      <w:pPr>
        <w:autoSpaceDE w:val="0"/>
        <w:autoSpaceDN w:val="0"/>
        <w:adjustRightInd w:val="0"/>
        <w:spacing w:after="0" w:line="240" w:lineRule="auto"/>
        <w:contextualSpacing/>
        <w:rPr>
          <w:rStyle w:val="normaltextrun"/>
          <w:color w:val="C00000"/>
          <w:shd w:val="clear" w:color="auto" w:fill="FFFFFF"/>
          <w:lang w:val="en"/>
        </w:rPr>
      </w:pPr>
    </w:p>
    <w:p w14:paraId="03AE1275" w14:textId="77777777" w:rsidR="00050880" w:rsidRDefault="00050880" w:rsidP="00D23AD7">
      <w:pPr>
        <w:autoSpaceDE w:val="0"/>
        <w:autoSpaceDN w:val="0"/>
        <w:adjustRightInd w:val="0"/>
        <w:spacing w:after="0" w:line="240" w:lineRule="auto"/>
        <w:contextualSpacing/>
        <w:rPr>
          <w:color w:val="4F81BD" w:themeColor="accent1"/>
        </w:rPr>
      </w:pPr>
      <w:r>
        <w:rPr>
          <w:rStyle w:val="Style1"/>
          <w:b/>
          <w:bCs/>
          <w:color w:val="4F81BD" w:themeColor="accent1"/>
          <w:u w:val="single"/>
        </w:rPr>
        <w:t>2014 Submission</w:t>
      </w:r>
    </w:p>
    <w:p w14:paraId="4806B293"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u w:val="single"/>
        </w:rPr>
        <w:t>Reliability Testing of Performance Measure Score:</w:t>
      </w:r>
      <w:r>
        <w:rPr>
          <w:rFonts w:cstheme="minorHAnsi"/>
          <w:bCs/>
          <w:color w:val="4F81BD" w:themeColor="accent1"/>
        </w:rPr>
        <w:t xml:space="preserve"> Reliability scores can vary from 0.0 to 1.0.  Generally, a minimum reliability score of 0.7 is used to indicate sufficient signal strength to discriminate performance between accountable entities. The testing suggests the all four follow-up rates reported as part of this measure have strong reliability between .98 and .99.  </w:t>
      </w:r>
    </w:p>
    <w:p w14:paraId="43FD815A"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p>
    <w:p w14:paraId="6F582C44"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lastRenderedPageBreak/>
        <w:t>The minimum state-level reliability scores for this measure all exceed the minimally accepted threshold of 0.7.</w:t>
      </w:r>
    </w:p>
    <w:p w14:paraId="0CABCFD5" w14:textId="77777777" w:rsidR="00021170" w:rsidRPr="00A25024" w:rsidRDefault="00483E94" w:rsidP="00D23AD7">
      <w:pPr>
        <w:autoSpaceDE w:val="0"/>
        <w:autoSpaceDN w:val="0"/>
        <w:adjustRightInd w:val="0"/>
        <w:spacing w:after="0" w:line="240" w:lineRule="auto"/>
        <w:contextualSpacing/>
        <w:rPr>
          <w:rFonts w:cstheme="minorHAnsi"/>
          <w:noProof/>
        </w:rPr>
      </w:pPr>
      <w:r>
        <w:rPr>
          <w:rFonts w:cstheme="minorHAnsi"/>
          <w:noProof/>
        </w:rPr>
        <w:t>_________________________________</w:t>
      </w:r>
    </w:p>
    <w:p w14:paraId="0CABCFD6" w14:textId="215848AB" w:rsidR="00B037BA" w:rsidRPr="00A25024" w:rsidRDefault="00021170" w:rsidP="00D23AD7">
      <w:pPr>
        <w:autoSpaceDE w:val="0"/>
        <w:autoSpaceDN w:val="0"/>
        <w:adjustRightInd w:val="0"/>
        <w:spacing w:after="0" w:line="240" w:lineRule="auto"/>
        <w:contextualSpacing/>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23AD7">
      <w:pPr>
        <w:autoSpaceDE w:val="0"/>
        <w:autoSpaceDN w:val="0"/>
        <w:adjustRightInd w:val="0"/>
        <w:spacing w:after="0" w:line="240" w:lineRule="auto"/>
        <w:contextualSpacing/>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25AE9622" w:rsidR="00696262" w:rsidRPr="00A25024" w:rsidRDefault="000E54CE" w:rsidP="00D23AD7">
      <w:pPr>
        <w:autoSpaceDE w:val="0"/>
        <w:autoSpaceDN w:val="0"/>
        <w:adjustRightInd w:val="0"/>
        <w:spacing w:after="0" w:line="240" w:lineRule="auto"/>
        <w:contextualSpacing/>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05088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05B76319" w:rsidR="000574AB" w:rsidRPr="00A25024" w:rsidRDefault="000E54CE" w:rsidP="00D23AD7">
      <w:pPr>
        <w:autoSpaceDE w:val="0"/>
        <w:autoSpaceDN w:val="0"/>
        <w:adjustRightInd w:val="0"/>
        <w:spacing w:after="0" w:line="240" w:lineRule="auto"/>
        <w:ind w:left="255"/>
        <w:contextualSpacing/>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05088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05088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 xml:space="preserve">good from poor </w:t>
      </w:r>
      <w:proofErr w:type="gramStart"/>
      <w:r w:rsidR="000414E8">
        <w:rPr>
          <w:rFonts w:eastAsia="MS Gothic" w:cstheme="minorHAnsi"/>
          <w:bCs/>
          <w:i/>
        </w:rPr>
        <w:t>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proofErr w:type="gramEnd"/>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23AD7">
      <w:pPr>
        <w:autoSpaceDE w:val="0"/>
        <w:autoSpaceDN w:val="0"/>
        <w:adjustRightInd w:val="0"/>
        <w:spacing w:after="0" w:line="240" w:lineRule="auto"/>
        <w:contextualSpacing/>
        <w:rPr>
          <w:rFonts w:cstheme="minorHAnsi"/>
        </w:rPr>
      </w:pPr>
    </w:p>
    <w:p w14:paraId="5BECD4E9" w14:textId="360BE1A8" w:rsidR="00050880" w:rsidRDefault="009C7513" w:rsidP="00D23AD7">
      <w:pPr>
        <w:autoSpaceDE w:val="0"/>
        <w:autoSpaceDN w:val="0"/>
        <w:adjustRightInd w:val="0"/>
        <w:spacing w:after="0" w:line="240" w:lineRule="auto"/>
        <w:contextualSpacing/>
        <w:rPr>
          <w:rStyle w:val="Style1"/>
          <w:color w:val="C00000"/>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050880">
        <w:rPr>
          <w:rStyle w:val="Style1"/>
          <w:b/>
          <w:bCs/>
          <w:color w:val="C00000"/>
          <w:u w:val="single"/>
        </w:rPr>
        <w:t>201</w:t>
      </w:r>
      <w:r w:rsidR="005B4052">
        <w:rPr>
          <w:rStyle w:val="Style1"/>
          <w:b/>
          <w:bCs/>
          <w:color w:val="C00000"/>
          <w:u w:val="single"/>
        </w:rPr>
        <w:t>9</w:t>
      </w:r>
      <w:r w:rsidR="00050880">
        <w:rPr>
          <w:rStyle w:val="Style1"/>
          <w:b/>
          <w:bCs/>
          <w:color w:val="C00000"/>
          <w:u w:val="single"/>
        </w:rPr>
        <w:t xml:space="preserve"> Submission</w:t>
      </w:r>
      <w:r w:rsidR="00050880">
        <w:rPr>
          <w:rStyle w:val="Style1"/>
          <w:color w:val="C00000"/>
        </w:rPr>
        <w:t xml:space="preserve"> </w:t>
      </w:r>
    </w:p>
    <w:p w14:paraId="27B0CA79" w14:textId="77777777" w:rsidR="00050880" w:rsidRDefault="00050880" w:rsidP="00D23AD7">
      <w:pPr>
        <w:autoSpaceDE w:val="0"/>
        <w:autoSpaceDN w:val="0"/>
        <w:adjustRightInd w:val="0"/>
        <w:spacing w:after="0" w:line="240" w:lineRule="auto"/>
        <w:contextualSpacing/>
        <w:rPr>
          <w:rStyle w:val="Style1"/>
          <w:color w:val="C00000"/>
        </w:rPr>
      </w:pPr>
      <w:r>
        <w:rPr>
          <w:rStyle w:val="Style1"/>
          <w:color w:val="C00000"/>
        </w:rPr>
        <w:t xml:space="preserve">We assessed face validity and construct validity for this measure. </w:t>
      </w:r>
    </w:p>
    <w:p w14:paraId="44543B41" w14:textId="77777777" w:rsidR="00050880" w:rsidRDefault="00050880" w:rsidP="00D23AD7">
      <w:pPr>
        <w:autoSpaceDE w:val="0"/>
        <w:autoSpaceDN w:val="0"/>
        <w:adjustRightInd w:val="0"/>
        <w:spacing w:after="0" w:line="240" w:lineRule="auto"/>
        <w:contextualSpacing/>
        <w:rPr>
          <w:rStyle w:val="Style1"/>
          <w:color w:val="C00000"/>
        </w:rPr>
      </w:pPr>
    </w:p>
    <w:p w14:paraId="6E720866" w14:textId="77777777" w:rsidR="00050880" w:rsidRDefault="00050880" w:rsidP="00D23AD7">
      <w:pPr>
        <w:autoSpaceDE w:val="0"/>
        <w:autoSpaceDN w:val="0"/>
        <w:adjustRightInd w:val="0"/>
        <w:spacing w:after="0" w:line="240" w:lineRule="auto"/>
        <w:contextualSpacing/>
        <w:rPr>
          <w:rStyle w:val="Style1"/>
          <w:color w:val="C00000"/>
          <w:u w:val="single"/>
        </w:rPr>
      </w:pPr>
      <w:r>
        <w:rPr>
          <w:rStyle w:val="Style1"/>
          <w:color w:val="C00000"/>
          <w:u w:val="single"/>
        </w:rPr>
        <w:t xml:space="preserve">Method of testing construct validity  </w:t>
      </w:r>
    </w:p>
    <w:p w14:paraId="27B91E74" w14:textId="77777777" w:rsidR="00050880" w:rsidRDefault="00050880" w:rsidP="00D23AD7">
      <w:pPr>
        <w:autoSpaceDE w:val="0"/>
        <w:autoSpaceDN w:val="0"/>
        <w:adjustRightInd w:val="0"/>
        <w:spacing w:after="0" w:line="240" w:lineRule="auto"/>
        <w:contextualSpacing/>
        <w:rPr>
          <w:rStyle w:val="Style1"/>
          <w:color w:val="C00000"/>
        </w:rPr>
      </w:pPr>
      <w:r>
        <w:rPr>
          <w:rStyle w:val="Style1"/>
          <w:color w:val="C00000"/>
        </w:rPr>
        <w:t xml:space="preserve">We tested for construct validity by exploring the following: </w:t>
      </w:r>
    </w:p>
    <w:p w14:paraId="03D2031D" w14:textId="408F9424" w:rsidR="00050880" w:rsidRDefault="00050880" w:rsidP="00A76EB2">
      <w:pPr>
        <w:pStyle w:val="ListParagraph"/>
        <w:numPr>
          <w:ilvl w:val="0"/>
          <w:numId w:val="30"/>
        </w:numPr>
        <w:autoSpaceDE w:val="0"/>
        <w:autoSpaceDN w:val="0"/>
        <w:adjustRightInd w:val="0"/>
        <w:spacing w:after="0" w:line="240" w:lineRule="auto"/>
        <w:rPr>
          <w:rStyle w:val="Style1"/>
          <w:color w:val="C00000"/>
        </w:rPr>
      </w:pPr>
      <w:r>
        <w:rPr>
          <w:rStyle w:val="Style1"/>
          <w:color w:val="C00000"/>
        </w:rPr>
        <w:t>Are the</w:t>
      </w:r>
      <w:r w:rsidR="007F3CA0">
        <w:rPr>
          <w:rStyle w:val="Style1"/>
          <w:color w:val="C00000"/>
        </w:rPr>
        <w:t xml:space="preserve"> individual</w:t>
      </w:r>
      <w:r>
        <w:rPr>
          <w:rStyle w:val="Style1"/>
          <w:color w:val="C00000"/>
        </w:rPr>
        <w:t xml:space="preserve"> rates within the </w:t>
      </w:r>
      <w:r w:rsidR="00A76EB2" w:rsidRPr="00A76EB2">
        <w:rPr>
          <w:rStyle w:val="Style1"/>
          <w:i/>
          <w:color w:val="C00000"/>
        </w:rPr>
        <w:t>Follow-Up After Emergency Department Visit for Mental Illness</w:t>
      </w:r>
      <w:r>
        <w:rPr>
          <w:rStyle w:val="Style1"/>
          <w:color w:val="C00000"/>
        </w:rPr>
        <w:t xml:space="preserve"> measu</w:t>
      </w:r>
      <w:r w:rsidR="00944184">
        <w:rPr>
          <w:rStyle w:val="Style1"/>
          <w:color w:val="C00000"/>
        </w:rPr>
        <w:t xml:space="preserve">re correlated with </w:t>
      </w:r>
      <w:proofErr w:type="gramStart"/>
      <w:r w:rsidR="00944184">
        <w:rPr>
          <w:rStyle w:val="Style1"/>
          <w:color w:val="C00000"/>
        </w:rPr>
        <w:t>one another</w:t>
      </w:r>
      <w:proofErr w:type="gramEnd"/>
    </w:p>
    <w:p w14:paraId="40DA1EFF" w14:textId="259C8B8F" w:rsidR="00050880" w:rsidRPr="00706923" w:rsidRDefault="00050880" w:rsidP="00706923">
      <w:pPr>
        <w:pStyle w:val="ListParagraph"/>
        <w:numPr>
          <w:ilvl w:val="0"/>
          <w:numId w:val="30"/>
        </w:numPr>
        <w:autoSpaceDE w:val="0"/>
        <w:autoSpaceDN w:val="0"/>
        <w:adjustRightInd w:val="0"/>
        <w:spacing w:after="0" w:line="240" w:lineRule="auto"/>
        <w:rPr>
          <w:rStyle w:val="Style1"/>
          <w:color w:val="C00000"/>
        </w:rPr>
      </w:pPr>
      <w:r>
        <w:rPr>
          <w:rStyle w:val="Style1"/>
          <w:color w:val="C00000"/>
        </w:rPr>
        <w:t xml:space="preserve">Is </w:t>
      </w:r>
      <w:r w:rsidR="00A76EB2">
        <w:rPr>
          <w:rStyle w:val="Style1"/>
          <w:i/>
          <w:color w:val="C00000"/>
        </w:rPr>
        <w:t>Follow-Up After Emergency Department Visit for Mental Illness</w:t>
      </w:r>
      <w:r w:rsidR="00A76EB2">
        <w:rPr>
          <w:rStyle w:val="Style1"/>
          <w:color w:val="C00000"/>
        </w:rPr>
        <w:t xml:space="preserve"> </w:t>
      </w:r>
      <w:r>
        <w:rPr>
          <w:rStyle w:val="Style1"/>
          <w:color w:val="C00000"/>
        </w:rPr>
        <w:t xml:space="preserve">correlated with the HEDIS </w:t>
      </w:r>
      <w:r w:rsidR="00A76EB2">
        <w:rPr>
          <w:rStyle w:val="Style1"/>
          <w:i/>
          <w:color w:val="C00000"/>
        </w:rPr>
        <w:t>Follow-Up After Emergency Department Visit for Alcohol and Other Drug Abuse or Dependence</w:t>
      </w:r>
      <w:r w:rsidR="00A76EB2">
        <w:rPr>
          <w:rStyle w:val="Style1"/>
          <w:color w:val="C00000"/>
        </w:rPr>
        <w:t xml:space="preserve"> </w:t>
      </w:r>
      <w:r>
        <w:rPr>
          <w:rStyle w:val="Style1"/>
          <w:color w:val="C00000"/>
        </w:rPr>
        <w:t xml:space="preserve">measure, which assesses the proportion of ED visits for </w:t>
      </w:r>
      <w:r w:rsidR="00944184">
        <w:rPr>
          <w:rStyle w:val="Style1"/>
          <w:color w:val="C00000"/>
        </w:rPr>
        <w:t xml:space="preserve">alcohol or other drug abuse or dependence </w:t>
      </w:r>
      <w:r>
        <w:rPr>
          <w:rStyle w:val="Style1"/>
          <w:color w:val="C00000"/>
        </w:rPr>
        <w:t xml:space="preserve">that had a follow-up visit </w:t>
      </w:r>
    </w:p>
    <w:p w14:paraId="0AE3E9F7" w14:textId="06314656" w:rsidR="00050880" w:rsidRDefault="00050880" w:rsidP="00D23AD7">
      <w:pPr>
        <w:autoSpaceDE w:val="0"/>
        <w:autoSpaceDN w:val="0"/>
        <w:adjustRightInd w:val="0"/>
        <w:spacing w:after="0" w:line="240" w:lineRule="auto"/>
        <w:contextualSpacing/>
        <w:rPr>
          <w:rStyle w:val="Style1"/>
          <w:color w:val="C00000"/>
        </w:rPr>
      </w:pPr>
      <w:r>
        <w:rPr>
          <w:rStyle w:val="Style1"/>
          <w:color w:val="C00000"/>
        </w:rPr>
        <w:t xml:space="preserve">We hypothesized that rates within the </w:t>
      </w:r>
      <w:r w:rsidR="00944184">
        <w:rPr>
          <w:rStyle w:val="Style1"/>
          <w:i/>
          <w:color w:val="C00000"/>
        </w:rPr>
        <w:t>Follow-Up After Emergency Department Visit for Mental Illness</w:t>
      </w:r>
      <w:r w:rsidR="00944184">
        <w:rPr>
          <w:rStyle w:val="Style1"/>
          <w:color w:val="C00000"/>
        </w:rPr>
        <w:t xml:space="preserve"> </w:t>
      </w:r>
      <w:r>
        <w:rPr>
          <w:rStyle w:val="Style1"/>
          <w:color w:val="C00000"/>
        </w:rPr>
        <w:t xml:space="preserve">measure would be highly correlated, and that organizations that perform well on </w:t>
      </w:r>
      <w:r w:rsidR="00944184">
        <w:rPr>
          <w:rStyle w:val="Style1"/>
          <w:i/>
          <w:color w:val="C00000"/>
        </w:rPr>
        <w:t>Follow-Up After Emergency Department Visit for Mental Illness</w:t>
      </w:r>
      <w:r>
        <w:rPr>
          <w:rStyle w:val="Style1"/>
          <w:color w:val="C00000"/>
        </w:rPr>
        <w:t xml:space="preserve"> should perform well on the other measure</w:t>
      </w:r>
      <w:r w:rsidR="00FD71F5">
        <w:rPr>
          <w:rStyle w:val="Style1"/>
          <w:color w:val="C00000"/>
        </w:rPr>
        <w:t xml:space="preserve"> as they address the same or similar behavioral health conditions</w:t>
      </w:r>
      <w:r>
        <w:rPr>
          <w:rStyle w:val="Style1"/>
          <w:color w:val="C00000"/>
        </w:rPr>
        <w:t xml:space="preserve">. To test these correlations, we used a Pearson correlation test. This test estimates the strength of the linear association between two variables. The magnitude of correlation ranges from -1 to +1. A value of 1 indicates a perfect linear dependence in which increasing values on one variable is associated with increasing values of the second variable. A value of 0 indicates no linear association. A value of -1 indicates a perfect linear relationship in which increasing values of the first variable is associated with decreasing values of the second variable. </w:t>
      </w:r>
    </w:p>
    <w:p w14:paraId="64936D96" w14:textId="77777777" w:rsidR="00050880" w:rsidRDefault="00050880" w:rsidP="00D23AD7">
      <w:pPr>
        <w:autoSpaceDE w:val="0"/>
        <w:autoSpaceDN w:val="0"/>
        <w:adjustRightInd w:val="0"/>
        <w:spacing w:after="0" w:line="240" w:lineRule="auto"/>
        <w:contextualSpacing/>
        <w:rPr>
          <w:rStyle w:val="Style1"/>
          <w:color w:val="C00000"/>
        </w:rPr>
      </w:pPr>
    </w:p>
    <w:p w14:paraId="06E010ED" w14:textId="77777777" w:rsidR="00050880" w:rsidRDefault="00050880" w:rsidP="00D23AD7">
      <w:pPr>
        <w:autoSpaceDE w:val="0"/>
        <w:autoSpaceDN w:val="0"/>
        <w:adjustRightInd w:val="0"/>
        <w:spacing w:after="0" w:line="240" w:lineRule="auto"/>
        <w:contextualSpacing/>
        <w:rPr>
          <w:rStyle w:val="Style1"/>
          <w:color w:val="C00000"/>
          <w:u w:val="single"/>
        </w:rPr>
      </w:pPr>
      <w:r>
        <w:rPr>
          <w:rStyle w:val="Style1"/>
          <w:color w:val="C00000"/>
          <w:u w:val="single"/>
        </w:rPr>
        <w:t xml:space="preserve">Method of assessing face validity </w:t>
      </w:r>
    </w:p>
    <w:p w14:paraId="5CF60A1F" w14:textId="77777777" w:rsidR="00050880" w:rsidRDefault="00050880" w:rsidP="00D23AD7">
      <w:pPr>
        <w:autoSpaceDE w:val="0"/>
        <w:autoSpaceDN w:val="0"/>
        <w:adjustRightInd w:val="0"/>
        <w:spacing w:after="0" w:line="240" w:lineRule="auto"/>
        <w:contextualSpacing/>
        <w:rPr>
          <w:rStyle w:val="Style1"/>
          <w:color w:val="C00000"/>
        </w:rPr>
      </w:pPr>
      <w:r>
        <w:rPr>
          <w:rStyle w:val="Style1"/>
          <w:color w:val="C00000"/>
        </w:rPr>
        <w:t xml:space="preserve">NCQA develops measures using a standardized process. For new measures, face validity is assessed at various steps as described below.  </w:t>
      </w:r>
    </w:p>
    <w:p w14:paraId="65EF1FAD" w14:textId="77777777" w:rsidR="00050880" w:rsidRDefault="00050880" w:rsidP="00D23AD7">
      <w:pPr>
        <w:autoSpaceDE w:val="0"/>
        <w:autoSpaceDN w:val="0"/>
        <w:adjustRightInd w:val="0"/>
        <w:spacing w:after="0" w:line="240" w:lineRule="auto"/>
        <w:contextualSpacing/>
        <w:rPr>
          <w:rStyle w:val="Style1"/>
          <w:color w:val="C00000"/>
        </w:rPr>
      </w:pPr>
    </w:p>
    <w:p w14:paraId="219F1694" w14:textId="77777777" w:rsidR="00050880" w:rsidRDefault="00050880" w:rsidP="00D23AD7">
      <w:pPr>
        <w:autoSpaceDE w:val="0"/>
        <w:autoSpaceDN w:val="0"/>
        <w:adjustRightInd w:val="0"/>
        <w:spacing w:after="0" w:line="240" w:lineRule="auto"/>
        <w:contextualSpacing/>
        <w:rPr>
          <w:rStyle w:val="Style1"/>
          <w:color w:val="C00000"/>
        </w:rPr>
      </w:pPr>
      <w:r>
        <w:rPr>
          <w:rStyle w:val="Style1"/>
          <w:color w:val="C00000"/>
        </w:rPr>
        <w:t xml:space="preserve">STEP 1: NCQA staff identifies areas of interest or gaps in care. Clinical measurement advisory panels (MAPs), whose members are authorities on clinical priorities for measurement, participate in this process. Once topics are identified, a literature review is conducted to find supporting documentation on their importance, scientific soundness, and feasibility. This information is gathered into a work-up </w:t>
      </w:r>
      <w:r>
        <w:rPr>
          <w:rStyle w:val="Style1"/>
          <w:color w:val="C00000"/>
        </w:rPr>
        <w:lastRenderedPageBreak/>
        <w:t xml:space="preserve">format, which is vetted by the MAPs, the Technical Measurement Advisory Panel (TMAP) and the Committee on Performance Measurement (CPM) as well as other panels as necessary.    </w:t>
      </w:r>
    </w:p>
    <w:p w14:paraId="6F31E05D" w14:textId="77777777" w:rsidR="00050880" w:rsidRDefault="00050880" w:rsidP="00D23AD7">
      <w:pPr>
        <w:autoSpaceDE w:val="0"/>
        <w:autoSpaceDN w:val="0"/>
        <w:adjustRightInd w:val="0"/>
        <w:spacing w:after="0" w:line="240" w:lineRule="auto"/>
        <w:contextualSpacing/>
        <w:rPr>
          <w:rStyle w:val="Style1"/>
          <w:color w:val="C00000"/>
        </w:rPr>
      </w:pPr>
    </w:p>
    <w:p w14:paraId="67793D41" w14:textId="63E33B65" w:rsidR="00050880" w:rsidRDefault="00050880" w:rsidP="00D23AD7">
      <w:pPr>
        <w:autoSpaceDE w:val="0"/>
        <w:autoSpaceDN w:val="0"/>
        <w:adjustRightInd w:val="0"/>
        <w:spacing w:after="0" w:line="240" w:lineRule="auto"/>
        <w:contextualSpacing/>
        <w:rPr>
          <w:rStyle w:val="Style1"/>
          <w:color w:val="C00000"/>
        </w:rPr>
      </w:pPr>
      <w:r>
        <w:rPr>
          <w:rStyle w:val="Style1"/>
          <w:color w:val="C00000"/>
        </w:rPr>
        <w:t xml:space="preserve">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measures. At this step, face validity is systematically determined by the CPM, which uses testing results and proposed final specifications to determine if the measure will move forward to Public Comment. </w:t>
      </w:r>
      <w:bookmarkStart w:id="13" w:name="_Hlk531936921"/>
      <w:r>
        <w:rPr>
          <w:rStyle w:val="Style1"/>
          <w:color w:val="C00000"/>
        </w:rPr>
        <w:t>For the most recent updates to this measure in January 201</w:t>
      </w:r>
      <w:r w:rsidR="00A831AA">
        <w:rPr>
          <w:rStyle w:val="Style1"/>
          <w:color w:val="C00000"/>
        </w:rPr>
        <w:t>6</w:t>
      </w:r>
      <w:r>
        <w:rPr>
          <w:rStyle w:val="Style1"/>
          <w:color w:val="C00000"/>
        </w:rPr>
        <w:t>, the CPM voted to approve moving the proposed changes forward to public comment (</w:t>
      </w:r>
      <w:r w:rsidR="00A831AA">
        <w:rPr>
          <w:rStyle w:val="Style1"/>
          <w:color w:val="C00000"/>
        </w:rPr>
        <w:t>9</w:t>
      </w:r>
      <w:r>
        <w:rPr>
          <w:rStyle w:val="Style1"/>
          <w:color w:val="C00000"/>
        </w:rPr>
        <w:t xml:space="preserve"> CPM members approved, 0 members opposed and 0 abstained).   </w:t>
      </w:r>
    </w:p>
    <w:bookmarkEnd w:id="13"/>
    <w:p w14:paraId="312FCEFD" w14:textId="77777777" w:rsidR="00050880" w:rsidRDefault="00050880" w:rsidP="00D23AD7">
      <w:pPr>
        <w:autoSpaceDE w:val="0"/>
        <w:autoSpaceDN w:val="0"/>
        <w:adjustRightInd w:val="0"/>
        <w:spacing w:after="0" w:line="240" w:lineRule="auto"/>
        <w:contextualSpacing/>
        <w:rPr>
          <w:rStyle w:val="Style1"/>
          <w:color w:val="C00000"/>
        </w:rPr>
      </w:pPr>
    </w:p>
    <w:p w14:paraId="0F00C600" w14:textId="6761FC9C" w:rsidR="003077A4" w:rsidRPr="00520584" w:rsidRDefault="00050880" w:rsidP="003077A4">
      <w:pPr>
        <w:autoSpaceDE w:val="0"/>
        <w:autoSpaceDN w:val="0"/>
        <w:adjustRightInd w:val="0"/>
        <w:spacing w:line="240" w:lineRule="auto"/>
        <w:contextualSpacing/>
        <w:rPr>
          <w:rStyle w:val="Style1"/>
          <w:color w:val="C00000"/>
        </w:rPr>
      </w:pPr>
      <w:r>
        <w:rPr>
          <w:rStyle w:val="Style1"/>
          <w:color w:val="C00000"/>
        </w:rPr>
        <w:t xml:space="preserve">STEP 3: Public Comment is a 30-day period of review that allows interested parties to offer feedback to NCQA about proposed new measures. Public comment offers an opportunity to assess the validity, feasibility, importance and other attributes of a measure from a wider audience. For this measure, </w:t>
      </w:r>
      <w:proofErr w:type="gramStart"/>
      <w:r>
        <w:rPr>
          <w:rStyle w:val="Style1"/>
          <w:color w:val="C00000"/>
        </w:rPr>
        <w:t>a majority of</w:t>
      </w:r>
      <w:proofErr w:type="gramEnd"/>
      <w:r>
        <w:rPr>
          <w:rStyle w:val="Style1"/>
          <w:color w:val="C00000"/>
        </w:rPr>
        <w:t xml:space="preserve"> public comment respondents supported the measure. NCQA MAPs and the technical panels consider all comments and advise NCQA staff on appropriate recommendations brought to the CPM.  Face validity is then again systematically assessed by the CPM. The CPM reviews all comments before making a final decision and votes to recommend approval of new measures for HEDIS. NCQA’s Board of Directors then approves new measures</w:t>
      </w:r>
      <w:r w:rsidR="003077A4">
        <w:rPr>
          <w:rStyle w:val="Style1"/>
          <w:color w:val="C00000"/>
        </w:rPr>
        <w:t>.</w:t>
      </w:r>
      <w:r w:rsidR="003077A4" w:rsidRPr="003077A4">
        <w:rPr>
          <w:rStyle w:val="Style1"/>
          <w:color w:val="C00000"/>
        </w:rPr>
        <w:t xml:space="preserve"> </w:t>
      </w:r>
      <w:r w:rsidR="003077A4" w:rsidRPr="00520584">
        <w:rPr>
          <w:rStyle w:val="Style1"/>
          <w:color w:val="C00000"/>
        </w:rPr>
        <w:t>For the most recent updates to this measure in May 201</w:t>
      </w:r>
      <w:r w:rsidR="003077A4">
        <w:rPr>
          <w:rStyle w:val="Style1"/>
          <w:color w:val="C00000"/>
        </w:rPr>
        <w:t>6</w:t>
      </w:r>
      <w:r w:rsidR="003077A4" w:rsidRPr="00520584">
        <w:rPr>
          <w:rStyle w:val="Style1"/>
          <w:color w:val="C00000"/>
        </w:rPr>
        <w:t>, the CPM voted to approve the measure for HEDIS health plan reporting (</w:t>
      </w:r>
      <w:r w:rsidR="003077A4">
        <w:rPr>
          <w:rStyle w:val="Style1"/>
          <w:color w:val="C00000"/>
        </w:rPr>
        <w:t>13</w:t>
      </w:r>
      <w:r w:rsidR="003077A4" w:rsidRPr="00520584">
        <w:rPr>
          <w:rStyle w:val="Style1"/>
          <w:color w:val="C00000"/>
        </w:rPr>
        <w:t xml:space="preserve"> CPM members approved, 0 members opposed and 0 abstained).   </w:t>
      </w:r>
    </w:p>
    <w:p w14:paraId="12249ABA" w14:textId="6D952D89" w:rsidR="00050880" w:rsidRDefault="00050880" w:rsidP="00D23AD7">
      <w:pPr>
        <w:autoSpaceDE w:val="0"/>
        <w:autoSpaceDN w:val="0"/>
        <w:adjustRightInd w:val="0"/>
        <w:spacing w:after="0" w:line="240" w:lineRule="auto"/>
        <w:contextualSpacing/>
        <w:rPr>
          <w:rStyle w:val="Style1"/>
          <w:color w:val="C00000"/>
        </w:rPr>
      </w:pPr>
    </w:p>
    <w:p w14:paraId="21508ABE" w14:textId="77777777" w:rsidR="00050880" w:rsidRDefault="00050880" w:rsidP="00D23AD7">
      <w:pPr>
        <w:autoSpaceDE w:val="0"/>
        <w:autoSpaceDN w:val="0"/>
        <w:adjustRightInd w:val="0"/>
        <w:spacing w:after="0" w:line="240" w:lineRule="auto"/>
        <w:contextualSpacing/>
        <w:rPr>
          <w:rStyle w:val="Style1"/>
        </w:rPr>
      </w:pPr>
    </w:p>
    <w:p w14:paraId="29E76534" w14:textId="77777777" w:rsidR="00050880" w:rsidRDefault="00050880" w:rsidP="00D23AD7">
      <w:pPr>
        <w:autoSpaceDE w:val="0"/>
        <w:autoSpaceDN w:val="0"/>
        <w:adjustRightInd w:val="0"/>
        <w:spacing w:after="0" w:line="240" w:lineRule="auto"/>
        <w:contextualSpacing/>
        <w:rPr>
          <w:color w:val="4F81BD" w:themeColor="accent1"/>
        </w:rPr>
      </w:pPr>
      <w:r>
        <w:rPr>
          <w:rStyle w:val="Style1"/>
          <w:b/>
          <w:bCs/>
          <w:color w:val="4F81BD" w:themeColor="accent1"/>
          <w:u w:val="single"/>
        </w:rPr>
        <w:t>2014 Submission</w:t>
      </w:r>
    </w:p>
    <w:p w14:paraId="2D224EFD"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Empirical validity testing</w:t>
      </w:r>
    </w:p>
    <w:p w14:paraId="183D043F"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p>
    <w:p w14:paraId="77D8B189"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We tested for construct validity by exploring whether states’ performance on this measure was related to their rates of inpatient hospitalization for mental health diagnoses (for the mental health denominator) or for alcohol and other drug use disorders (for the AOD denominator).  We hypothesized that </w:t>
      </w:r>
      <w:proofErr w:type="gramStart"/>
      <w:r>
        <w:rPr>
          <w:rFonts w:cstheme="minorHAnsi"/>
          <w:bCs/>
          <w:color w:val="4F81BD" w:themeColor="accent1"/>
        </w:rPr>
        <w:t>states’</w:t>
      </w:r>
      <w:proofErr w:type="gramEnd"/>
      <w:r>
        <w:rPr>
          <w:rFonts w:cstheme="minorHAnsi"/>
          <w:bCs/>
          <w:color w:val="4F81BD" w:themeColor="accent1"/>
        </w:rPr>
        <w:t xml:space="preserve"> with lower rates of follow-up after discharge from the emergency department might have higher rates of inpatient stays for mental health and AOD. To evaluate the relationship between state performance on our measure and the state-level rate of inpatient stays, we fit a mixed effects logistic regression model. We regressed a beneficiary-level indicator of inpatient stay on a state-level binary variable indicating lowest vs. highest quartile performance follow-up after emergency department measure. To this we added a random effect of state to account for clustering of patients within states. If the p-value for the performance indicator variable is less than 0.05, then there is a significant difference in the rates of inpatient stays between states in the lowest vs. highest quartile of performance. If the p-value is greater than 0.05, then there is not a significant difference between low- and high-performing states. </w:t>
      </w:r>
    </w:p>
    <w:p w14:paraId="4F1FCE01"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p>
    <w:p w14:paraId="122ED24F"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Systematic Assessment of Face Validity</w:t>
      </w:r>
    </w:p>
    <w:p w14:paraId="2946E14A"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Our field test addressed the face validity of the measure specification by several types of stakeholder input. </w:t>
      </w:r>
    </w:p>
    <w:p w14:paraId="1F3D9D64"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A multi-stakeholder technical expert panel of 16 individuals consisting of health plan representatives, behavioral health and quality measurement experts was convened and provided input throughout the </w:t>
      </w:r>
      <w:r>
        <w:rPr>
          <w:rFonts w:cstheme="minorHAnsi"/>
          <w:bCs/>
          <w:color w:val="4F81BD" w:themeColor="accent1"/>
        </w:rPr>
        <w:lastRenderedPageBreak/>
        <w:t>measure development process, including review of the field test results and recommendations for final specifications.</w:t>
      </w:r>
    </w:p>
    <w:p w14:paraId="19CBC013"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p>
    <w:p w14:paraId="38945BF7"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In addition, four multi-stakeholder focus groups that included 29 representatives from Medicaid plans, states, integrated care systems, consumers/advocates, and other health care organizations reviewed and commented on the draft specifications and field test results. </w:t>
      </w:r>
    </w:p>
    <w:p w14:paraId="2E98DC03" w14:textId="77777777" w:rsidR="00050880" w:rsidRDefault="00050880" w:rsidP="00D23AD7">
      <w:pPr>
        <w:autoSpaceDE w:val="0"/>
        <w:autoSpaceDN w:val="0"/>
        <w:adjustRightInd w:val="0"/>
        <w:spacing w:after="0" w:line="240" w:lineRule="auto"/>
        <w:contextualSpacing/>
        <w:rPr>
          <w:rFonts w:cstheme="minorHAnsi"/>
          <w:bCs/>
          <w:color w:val="4F81BD" w:themeColor="accent1"/>
        </w:rPr>
      </w:pPr>
    </w:p>
    <w:p w14:paraId="0CABCFDC" w14:textId="38EE2C45" w:rsidR="00833325" w:rsidRPr="00703429" w:rsidRDefault="00050880"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We also received feedback from a two-week public comment period hosted on NCQA’s online public comment system. The public comment notification was submitted to stakeholders representing consumers, health plans, clinicians, quality measurement and behavioral health experts. </w:t>
      </w:r>
    </w:p>
    <w:p w14:paraId="0CABCFDD" w14:textId="77777777" w:rsidR="00833325" w:rsidRPr="00A25024" w:rsidRDefault="00833325" w:rsidP="00D23AD7">
      <w:pPr>
        <w:autoSpaceDE w:val="0"/>
        <w:autoSpaceDN w:val="0"/>
        <w:adjustRightInd w:val="0"/>
        <w:spacing w:after="0" w:line="240" w:lineRule="auto"/>
        <w:contextualSpacing/>
        <w:rPr>
          <w:rFonts w:cstheme="minorHAnsi"/>
          <w:bCs/>
        </w:rPr>
      </w:pPr>
    </w:p>
    <w:p w14:paraId="6752FD8B" w14:textId="2F3C403B" w:rsidR="00703429" w:rsidRDefault="009C7513" w:rsidP="00D23AD7">
      <w:pPr>
        <w:autoSpaceDE w:val="0"/>
        <w:autoSpaceDN w:val="0"/>
        <w:adjustRightInd w:val="0"/>
        <w:spacing w:after="0" w:line="240" w:lineRule="auto"/>
        <w:contextualSpacing/>
        <w:rPr>
          <w:rStyle w:val="Style1"/>
          <w:color w:val="C00000"/>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703429">
        <w:rPr>
          <w:rStyle w:val="Style1"/>
          <w:b/>
          <w:bCs/>
          <w:color w:val="C00000"/>
          <w:u w:val="single"/>
        </w:rPr>
        <w:t>201</w:t>
      </w:r>
      <w:r w:rsidR="005B4052">
        <w:rPr>
          <w:rStyle w:val="Style1"/>
          <w:b/>
          <w:bCs/>
          <w:color w:val="C00000"/>
          <w:u w:val="single"/>
        </w:rPr>
        <w:t>9</w:t>
      </w:r>
      <w:r w:rsidR="00703429">
        <w:rPr>
          <w:rStyle w:val="Style1"/>
          <w:b/>
          <w:bCs/>
          <w:color w:val="C00000"/>
          <w:u w:val="single"/>
        </w:rPr>
        <w:t xml:space="preserve"> Submission</w:t>
      </w:r>
      <w:r w:rsidR="00703429">
        <w:rPr>
          <w:rStyle w:val="Style1"/>
          <w:color w:val="C00000"/>
        </w:rPr>
        <w:t xml:space="preserve"> </w:t>
      </w:r>
    </w:p>
    <w:p w14:paraId="75D5B05C" w14:textId="77777777" w:rsidR="00703429" w:rsidRDefault="00703429" w:rsidP="00D23AD7">
      <w:pPr>
        <w:autoSpaceDE w:val="0"/>
        <w:autoSpaceDN w:val="0"/>
        <w:adjustRightInd w:val="0"/>
        <w:spacing w:after="0" w:line="240" w:lineRule="auto"/>
        <w:contextualSpacing/>
      </w:pPr>
      <w:r>
        <w:rPr>
          <w:color w:val="C00000"/>
          <w:u w:val="single"/>
        </w:rPr>
        <w:t xml:space="preserve">Results of face validity assessment </w:t>
      </w:r>
    </w:p>
    <w:p w14:paraId="21DBA4B9" w14:textId="77777777" w:rsidR="00703429" w:rsidRDefault="00703429" w:rsidP="00D23AD7">
      <w:pPr>
        <w:autoSpaceDE w:val="0"/>
        <w:autoSpaceDN w:val="0"/>
        <w:adjustRightInd w:val="0"/>
        <w:spacing w:after="0" w:line="240" w:lineRule="auto"/>
        <w:contextualSpacing/>
        <w:rPr>
          <w:color w:val="C00000"/>
        </w:rPr>
      </w:pPr>
      <w:r>
        <w:rPr>
          <w:color w:val="C00000"/>
        </w:rPr>
        <w:t>Input from our multi-stakeholder measurement advisory panels and those submitting to public comment indicate the measure has face validity.</w:t>
      </w:r>
    </w:p>
    <w:p w14:paraId="024B04E2" w14:textId="77777777" w:rsidR="00703429" w:rsidRDefault="00703429" w:rsidP="00D23AD7">
      <w:pPr>
        <w:autoSpaceDE w:val="0"/>
        <w:autoSpaceDN w:val="0"/>
        <w:adjustRightInd w:val="0"/>
        <w:spacing w:after="0" w:line="240" w:lineRule="auto"/>
        <w:contextualSpacing/>
        <w:rPr>
          <w:color w:val="C00000"/>
        </w:rPr>
      </w:pPr>
    </w:p>
    <w:p w14:paraId="13070402" w14:textId="77777777" w:rsidR="00703429" w:rsidRDefault="00703429" w:rsidP="00D23AD7">
      <w:pPr>
        <w:autoSpaceDE w:val="0"/>
        <w:autoSpaceDN w:val="0"/>
        <w:adjustRightInd w:val="0"/>
        <w:spacing w:after="0" w:line="240" w:lineRule="auto"/>
        <w:contextualSpacing/>
        <w:rPr>
          <w:color w:val="C00000"/>
        </w:rPr>
      </w:pPr>
      <w:r>
        <w:rPr>
          <w:color w:val="C00000"/>
          <w:u w:val="single"/>
        </w:rPr>
        <w:t>Statistical results of construct validity testing</w:t>
      </w:r>
      <w:r>
        <w:rPr>
          <w:color w:val="C00000"/>
        </w:rPr>
        <w:t xml:space="preserve"> </w:t>
      </w:r>
    </w:p>
    <w:p w14:paraId="0F317329" w14:textId="6FBBDBFB" w:rsidR="00703429" w:rsidRDefault="00703429" w:rsidP="00D23AD7">
      <w:pPr>
        <w:keepNext/>
        <w:autoSpaceDE w:val="0"/>
        <w:autoSpaceDN w:val="0"/>
        <w:adjustRightInd w:val="0"/>
        <w:spacing w:after="0" w:line="240" w:lineRule="auto"/>
        <w:contextualSpacing/>
        <w:rPr>
          <w:color w:val="C00000"/>
          <w:sz w:val="20"/>
        </w:rPr>
      </w:pPr>
      <w:r>
        <w:rPr>
          <w:rFonts w:cstheme="minorHAnsi"/>
          <w:bCs/>
          <w:color w:val="C00000"/>
          <w:sz w:val="20"/>
        </w:rPr>
        <w:t xml:space="preserve">Table 3a. </w:t>
      </w:r>
      <w:r>
        <w:rPr>
          <w:color w:val="C00000"/>
          <w:sz w:val="20"/>
        </w:rPr>
        <w:t xml:space="preserve">Health-Plan Level Pearson Correlation Coefficients Among </w:t>
      </w:r>
      <w:r w:rsidR="00944184" w:rsidRPr="00944184">
        <w:rPr>
          <w:i/>
          <w:color w:val="C00000"/>
          <w:sz w:val="20"/>
        </w:rPr>
        <w:t xml:space="preserve">Follow-Up After Emergency Department Visit for Mental Illness </w:t>
      </w:r>
      <w:r>
        <w:rPr>
          <w:color w:val="C00000"/>
          <w:sz w:val="20"/>
        </w:rPr>
        <w:t xml:space="preserve">Performance Scores Within Measure – </w:t>
      </w:r>
      <w:r w:rsidRPr="00073702">
        <w:rPr>
          <w:b/>
          <w:color w:val="C00000"/>
          <w:sz w:val="20"/>
        </w:rPr>
        <w:t>Commercial</w:t>
      </w:r>
      <w:r>
        <w:rPr>
          <w:color w:val="C00000"/>
          <w:sz w:val="20"/>
        </w:rPr>
        <w:t xml:space="preserve"> Plans, 2017</w:t>
      </w:r>
    </w:p>
    <w:tbl>
      <w:tblPr>
        <w:tblStyle w:val="TableGrid"/>
        <w:tblW w:w="1556" w:type="pct"/>
        <w:tblLook w:val="04A0" w:firstRow="1" w:lastRow="0" w:firstColumn="1" w:lastColumn="0" w:noHBand="0" w:noVBand="1"/>
      </w:tblPr>
      <w:tblGrid>
        <w:gridCol w:w="1620"/>
        <w:gridCol w:w="1290"/>
      </w:tblGrid>
      <w:tr w:rsidR="00944184" w14:paraId="2F711A90" w14:textId="77777777" w:rsidTr="00944184">
        <w:trPr>
          <w:trHeight w:val="260"/>
        </w:trPr>
        <w:tc>
          <w:tcPr>
            <w:tcW w:w="2784" w:type="pct"/>
            <w:tcBorders>
              <w:top w:val="single" w:sz="4" w:space="0" w:color="auto"/>
              <w:left w:val="single" w:sz="4" w:space="0" w:color="auto"/>
              <w:bottom w:val="single" w:sz="4" w:space="0" w:color="auto"/>
              <w:right w:val="single" w:sz="4" w:space="0" w:color="auto"/>
            </w:tcBorders>
          </w:tcPr>
          <w:p w14:paraId="771B995F" w14:textId="77777777" w:rsidR="00944184" w:rsidRPr="00944184" w:rsidRDefault="00944184" w:rsidP="00944184">
            <w:pPr>
              <w:keepNext/>
              <w:autoSpaceDE w:val="0"/>
              <w:autoSpaceDN w:val="0"/>
              <w:adjustRightInd w:val="0"/>
              <w:contextualSpacing/>
              <w:rPr>
                <w:i/>
                <w:color w:val="C00000"/>
                <w:sz w:val="20"/>
                <w:szCs w:val="20"/>
              </w:rPr>
            </w:pPr>
          </w:p>
        </w:tc>
        <w:tc>
          <w:tcPr>
            <w:tcW w:w="2216" w:type="pct"/>
            <w:tcBorders>
              <w:top w:val="single" w:sz="4" w:space="0" w:color="auto"/>
              <w:left w:val="single" w:sz="4" w:space="0" w:color="auto"/>
              <w:bottom w:val="single" w:sz="4" w:space="0" w:color="auto"/>
              <w:right w:val="single" w:sz="4" w:space="0" w:color="auto"/>
            </w:tcBorders>
            <w:hideMark/>
          </w:tcPr>
          <w:p w14:paraId="0C0DBA5D" w14:textId="3133021B" w:rsidR="00944184" w:rsidRPr="00944184" w:rsidRDefault="007F3CA0" w:rsidP="00944184">
            <w:pPr>
              <w:keepNext/>
              <w:autoSpaceDE w:val="0"/>
              <w:autoSpaceDN w:val="0"/>
              <w:adjustRightInd w:val="0"/>
              <w:contextualSpacing/>
              <w:jc w:val="center"/>
              <w:rPr>
                <w:color w:val="C00000"/>
                <w:sz w:val="20"/>
                <w:szCs w:val="20"/>
              </w:rPr>
            </w:pPr>
            <w:r>
              <w:rPr>
                <w:rStyle w:val="Style1"/>
                <w:color w:val="C00000"/>
                <w:sz w:val="20"/>
                <w:szCs w:val="20"/>
              </w:rPr>
              <w:t>7-</w:t>
            </w:r>
            <w:r w:rsidR="00944184" w:rsidRPr="00944184">
              <w:rPr>
                <w:rStyle w:val="Style1"/>
                <w:color w:val="C00000"/>
                <w:sz w:val="20"/>
                <w:szCs w:val="20"/>
              </w:rPr>
              <w:t>day follow-up</w:t>
            </w:r>
          </w:p>
        </w:tc>
      </w:tr>
      <w:tr w:rsidR="00944184" w14:paraId="75B50E84" w14:textId="77777777" w:rsidTr="00944184">
        <w:tc>
          <w:tcPr>
            <w:tcW w:w="2784" w:type="pct"/>
            <w:tcBorders>
              <w:top w:val="single" w:sz="4" w:space="0" w:color="auto"/>
              <w:left w:val="single" w:sz="4" w:space="0" w:color="auto"/>
              <w:bottom w:val="single" w:sz="4" w:space="0" w:color="auto"/>
              <w:right w:val="single" w:sz="4" w:space="0" w:color="auto"/>
            </w:tcBorders>
            <w:hideMark/>
          </w:tcPr>
          <w:p w14:paraId="2114C208" w14:textId="31ED9962" w:rsidR="00944184" w:rsidRPr="00944184" w:rsidRDefault="007F3CA0" w:rsidP="00944184">
            <w:pPr>
              <w:keepNext/>
              <w:autoSpaceDE w:val="0"/>
              <w:autoSpaceDN w:val="0"/>
              <w:adjustRightInd w:val="0"/>
              <w:contextualSpacing/>
              <w:rPr>
                <w:color w:val="C00000"/>
                <w:sz w:val="20"/>
                <w:szCs w:val="20"/>
              </w:rPr>
            </w:pPr>
            <w:r>
              <w:rPr>
                <w:rStyle w:val="Style1"/>
                <w:color w:val="C00000"/>
                <w:sz w:val="20"/>
                <w:szCs w:val="20"/>
              </w:rPr>
              <w:t>30-</w:t>
            </w:r>
            <w:r w:rsidR="00944184" w:rsidRPr="00944184">
              <w:rPr>
                <w:rStyle w:val="Style1"/>
                <w:color w:val="C00000"/>
                <w:sz w:val="20"/>
                <w:szCs w:val="20"/>
              </w:rPr>
              <w:t>day follow-up</w:t>
            </w:r>
          </w:p>
        </w:tc>
        <w:tc>
          <w:tcPr>
            <w:tcW w:w="2216" w:type="pct"/>
            <w:tcBorders>
              <w:top w:val="single" w:sz="4" w:space="0" w:color="auto"/>
              <w:left w:val="single" w:sz="4" w:space="0" w:color="auto"/>
              <w:bottom w:val="single" w:sz="4" w:space="0" w:color="auto"/>
              <w:right w:val="single" w:sz="4" w:space="0" w:color="auto"/>
            </w:tcBorders>
            <w:vAlign w:val="center"/>
          </w:tcPr>
          <w:p w14:paraId="0E3C0E74" w14:textId="59EF7BD9" w:rsidR="00944184" w:rsidRPr="00944184" w:rsidRDefault="00944184" w:rsidP="00944184">
            <w:pPr>
              <w:keepNext/>
              <w:autoSpaceDE w:val="0"/>
              <w:autoSpaceDN w:val="0"/>
              <w:adjustRightInd w:val="0"/>
              <w:contextualSpacing/>
              <w:jc w:val="center"/>
              <w:rPr>
                <w:color w:val="C00000"/>
                <w:sz w:val="20"/>
                <w:szCs w:val="20"/>
              </w:rPr>
            </w:pPr>
            <w:r>
              <w:rPr>
                <w:color w:val="C00000"/>
                <w:sz w:val="20"/>
                <w:szCs w:val="20"/>
              </w:rPr>
              <w:t>0.93</w:t>
            </w:r>
          </w:p>
        </w:tc>
      </w:tr>
    </w:tbl>
    <w:p w14:paraId="36BC2BB8" w14:textId="095C968A" w:rsidR="00703429" w:rsidRDefault="00703429" w:rsidP="00D23AD7">
      <w:pPr>
        <w:autoSpaceDE w:val="0"/>
        <w:autoSpaceDN w:val="0"/>
        <w:adjustRightInd w:val="0"/>
        <w:spacing w:after="0" w:line="240" w:lineRule="auto"/>
        <w:contextualSpacing/>
        <w:rPr>
          <w:color w:val="C00000"/>
          <w:sz w:val="20"/>
        </w:rPr>
      </w:pPr>
      <w:r>
        <w:rPr>
          <w:color w:val="C00000"/>
          <w:sz w:val="20"/>
        </w:rPr>
        <w:t>All scores were significant at p&lt;</w:t>
      </w:r>
      <w:r w:rsidR="00706923">
        <w:rPr>
          <w:color w:val="C00000"/>
          <w:sz w:val="20"/>
          <w:lang w:val="en"/>
        </w:rPr>
        <w:t>0.05</w:t>
      </w:r>
    </w:p>
    <w:p w14:paraId="6BE6157F" w14:textId="77777777" w:rsidR="00703429" w:rsidRDefault="00703429" w:rsidP="00D23AD7">
      <w:pPr>
        <w:autoSpaceDE w:val="0"/>
        <w:autoSpaceDN w:val="0"/>
        <w:adjustRightInd w:val="0"/>
        <w:spacing w:after="0" w:line="240" w:lineRule="auto"/>
        <w:contextualSpacing/>
        <w:rPr>
          <w:color w:val="C00000"/>
          <w:sz w:val="20"/>
        </w:rPr>
      </w:pPr>
    </w:p>
    <w:p w14:paraId="74D3994D" w14:textId="37188797" w:rsidR="00703429" w:rsidRDefault="00703429" w:rsidP="00D23AD7">
      <w:pPr>
        <w:keepNext/>
        <w:autoSpaceDE w:val="0"/>
        <w:autoSpaceDN w:val="0"/>
        <w:adjustRightInd w:val="0"/>
        <w:spacing w:after="0" w:line="240" w:lineRule="auto"/>
        <w:contextualSpacing/>
        <w:rPr>
          <w:color w:val="C00000"/>
          <w:sz w:val="20"/>
        </w:rPr>
      </w:pPr>
      <w:r>
        <w:rPr>
          <w:color w:val="C00000"/>
          <w:sz w:val="20"/>
        </w:rPr>
        <w:t xml:space="preserve">Table 3b. Health-Plan Level Pearson Correlation Coefficients Among </w:t>
      </w:r>
      <w:r w:rsidR="00944184" w:rsidRPr="00944184">
        <w:rPr>
          <w:i/>
          <w:color w:val="C00000"/>
          <w:sz w:val="20"/>
        </w:rPr>
        <w:t>Follow-Up After Emergency Department Visit for Mental Illness</w:t>
      </w:r>
      <w:r w:rsidR="00944184">
        <w:rPr>
          <w:color w:val="C00000"/>
          <w:sz w:val="20"/>
        </w:rPr>
        <w:t xml:space="preserve"> </w:t>
      </w:r>
      <w:r>
        <w:rPr>
          <w:color w:val="C00000"/>
          <w:sz w:val="20"/>
        </w:rPr>
        <w:t xml:space="preserve">Performance Scores Within Measure – </w:t>
      </w:r>
      <w:r w:rsidRPr="00073702">
        <w:rPr>
          <w:b/>
          <w:color w:val="C00000"/>
          <w:sz w:val="20"/>
        </w:rPr>
        <w:t>Medicaid</w:t>
      </w:r>
      <w:r>
        <w:rPr>
          <w:color w:val="C00000"/>
          <w:sz w:val="20"/>
        </w:rPr>
        <w:t xml:space="preserve"> Plans, 2017</w:t>
      </w:r>
    </w:p>
    <w:tbl>
      <w:tblPr>
        <w:tblStyle w:val="TableGrid"/>
        <w:tblW w:w="1556" w:type="pct"/>
        <w:tblLook w:val="04A0" w:firstRow="1" w:lastRow="0" w:firstColumn="1" w:lastColumn="0" w:noHBand="0" w:noVBand="1"/>
      </w:tblPr>
      <w:tblGrid>
        <w:gridCol w:w="1620"/>
        <w:gridCol w:w="1290"/>
      </w:tblGrid>
      <w:tr w:rsidR="00944184" w14:paraId="6D159FCC" w14:textId="77777777" w:rsidTr="0015522D">
        <w:trPr>
          <w:trHeight w:val="260"/>
        </w:trPr>
        <w:tc>
          <w:tcPr>
            <w:tcW w:w="2784" w:type="pct"/>
            <w:tcBorders>
              <w:top w:val="single" w:sz="4" w:space="0" w:color="auto"/>
              <w:left w:val="single" w:sz="4" w:space="0" w:color="auto"/>
              <w:bottom w:val="single" w:sz="4" w:space="0" w:color="auto"/>
              <w:right w:val="single" w:sz="4" w:space="0" w:color="auto"/>
            </w:tcBorders>
          </w:tcPr>
          <w:p w14:paraId="5437C3D6" w14:textId="77777777" w:rsidR="00944184" w:rsidRPr="00944184" w:rsidRDefault="00944184" w:rsidP="0015522D">
            <w:pPr>
              <w:keepNext/>
              <w:autoSpaceDE w:val="0"/>
              <w:autoSpaceDN w:val="0"/>
              <w:adjustRightInd w:val="0"/>
              <w:contextualSpacing/>
              <w:rPr>
                <w:i/>
                <w:color w:val="C00000"/>
                <w:sz w:val="20"/>
                <w:szCs w:val="20"/>
              </w:rPr>
            </w:pPr>
          </w:p>
        </w:tc>
        <w:tc>
          <w:tcPr>
            <w:tcW w:w="2216" w:type="pct"/>
            <w:tcBorders>
              <w:top w:val="single" w:sz="4" w:space="0" w:color="auto"/>
              <w:left w:val="single" w:sz="4" w:space="0" w:color="auto"/>
              <w:bottom w:val="single" w:sz="4" w:space="0" w:color="auto"/>
              <w:right w:val="single" w:sz="4" w:space="0" w:color="auto"/>
            </w:tcBorders>
            <w:hideMark/>
          </w:tcPr>
          <w:p w14:paraId="7A60C294" w14:textId="0A3AC22B" w:rsidR="00944184" w:rsidRPr="00944184" w:rsidRDefault="007F3CA0" w:rsidP="0015522D">
            <w:pPr>
              <w:keepNext/>
              <w:autoSpaceDE w:val="0"/>
              <w:autoSpaceDN w:val="0"/>
              <w:adjustRightInd w:val="0"/>
              <w:contextualSpacing/>
              <w:jc w:val="center"/>
              <w:rPr>
                <w:color w:val="C00000"/>
                <w:sz w:val="20"/>
                <w:szCs w:val="20"/>
              </w:rPr>
            </w:pPr>
            <w:r>
              <w:rPr>
                <w:rStyle w:val="Style1"/>
                <w:color w:val="C00000"/>
                <w:sz w:val="20"/>
                <w:szCs w:val="20"/>
              </w:rPr>
              <w:t>7-</w:t>
            </w:r>
            <w:r w:rsidR="00944184" w:rsidRPr="00944184">
              <w:rPr>
                <w:rStyle w:val="Style1"/>
                <w:color w:val="C00000"/>
                <w:sz w:val="20"/>
                <w:szCs w:val="20"/>
              </w:rPr>
              <w:t>day follow-up</w:t>
            </w:r>
          </w:p>
        </w:tc>
      </w:tr>
      <w:tr w:rsidR="00944184" w14:paraId="694CD111" w14:textId="77777777" w:rsidTr="00944184">
        <w:trPr>
          <w:trHeight w:val="98"/>
        </w:trPr>
        <w:tc>
          <w:tcPr>
            <w:tcW w:w="2784" w:type="pct"/>
            <w:tcBorders>
              <w:top w:val="single" w:sz="4" w:space="0" w:color="auto"/>
              <w:left w:val="single" w:sz="4" w:space="0" w:color="auto"/>
              <w:bottom w:val="single" w:sz="4" w:space="0" w:color="auto"/>
              <w:right w:val="single" w:sz="4" w:space="0" w:color="auto"/>
            </w:tcBorders>
            <w:hideMark/>
          </w:tcPr>
          <w:p w14:paraId="71A05502" w14:textId="7EF44001" w:rsidR="00944184" w:rsidRPr="00944184" w:rsidRDefault="007F3CA0" w:rsidP="0015522D">
            <w:pPr>
              <w:keepNext/>
              <w:autoSpaceDE w:val="0"/>
              <w:autoSpaceDN w:val="0"/>
              <w:adjustRightInd w:val="0"/>
              <w:contextualSpacing/>
              <w:rPr>
                <w:color w:val="C00000"/>
                <w:sz w:val="20"/>
                <w:szCs w:val="20"/>
              </w:rPr>
            </w:pPr>
            <w:r>
              <w:rPr>
                <w:rStyle w:val="Style1"/>
                <w:color w:val="C00000"/>
                <w:sz w:val="20"/>
                <w:szCs w:val="20"/>
              </w:rPr>
              <w:t>30-</w:t>
            </w:r>
            <w:r w:rsidR="00944184" w:rsidRPr="00944184">
              <w:rPr>
                <w:rStyle w:val="Style1"/>
                <w:color w:val="C00000"/>
                <w:sz w:val="20"/>
                <w:szCs w:val="20"/>
              </w:rPr>
              <w:t>day follow-up</w:t>
            </w:r>
          </w:p>
        </w:tc>
        <w:tc>
          <w:tcPr>
            <w:tcW w:w="2216" w:type="pct"/>
            <w:tcBorders>
              <w:top w:val="single" w:sz="4" w:space="0" w:color="auto"/>
              <w:left w:val="single" w:sz="4" w:space="0" w:color="auto"/>
              <w:bottom w:val="single" w:sz="4" w:space="0" w:color="auto"/>
              <w:right w:val="single" w:sz="4" w:space="0" w:color="auto"/>
            </w:tcBorders>
            <w:vAlign w:val="center"/>
          </w:tcPr>
          <w:p w14:paraId="2EEA3054" w14:textId="362054CD" w:rsidR="00944184" w:rsidRPr="00944184" w:rsidRDefault="00944184" w:rsidP="0015522D">
            <w:pPr>
              <w:keepNext/>
              <w:autoSpaceDE w:val="0"/>
              <w:autoSpaceDN w:val="0"/>
              <w:adjustRightInd w:val="0"/>
              <w:contextualSpacing/>
              <w:jc w:val="center"/>
              <w:rPr>
                <w:color w:val="C00000"/>
                <w:sz w:val="20"/>
                <w:szCs w:val="20"/>
              </w:rPr>
            </w:pPr>
            <w:r>
              <w:rPr>
                <w:color w:val="C00000"/>
                <w:sz w:val="20"/>
                <w:szCs w:val="20"/>
              </w:rPr>
              <w:t>0.96</w:t>
            </w:r>
          </w:p>
        </w:tc>
      </w:tr>
    </w:tbl>
    <w:p w14:paraId="74A73A00" w14:textId="4007F138" w:rsidR="00703429" w:rsidRDefault="00703429" w:rsidP="00D23AD7">
      <w:pPr>
        <w:autoSpaceDE w:val="0"/>
        <w:autoSpaceDN w:val="0"/>
        <w:adjustRightInd w:val="0"/>
        <w:spacing w:after="0" w:line="240" w:lineRule="auto"/>
        <w:contextualSpacing/>
        <w:rPr>
          <w:color w:val="C00000"/>
          <w:sz w:val="20"/>
          <w:lang w:val="en"/>
        </w:rPr>
      </w:pPr>
      <w:r>
        <w:rPr>
          <w:color w:val="C00000"/>
          <w:sz w:val="20"/>
        </w:rPr>
        <w:t>All scores were significant at p&lt;</w:t>
      </w:r>
      <w:r w:rsidR="00706923">
        <w:rPr>
          <w:color w:val="C00000"/>
          <w:sz w:val="20"/>
          <w:lang w:val="en"/>
        </w:rPr>
        <w:t>0.05</w:t>
      </w:r>
    </w:p>
    <w:p w14:paraId="4E691918" w14:textId="77777777" w:rsidR="00703429" w:rsidRDefault="00703429" w:rsidP="00D23AD7">
      <w:pPr>
        <w:autoSpaceDE w:val="0"/>
        <w:autoSpaceDN w:val="0"/>
        <w:adjustRightInd w:val="0"/>
        <w:spacing w:after="0" w:line="240" w:lineRule="auto"/>
        <w:contextualSpacing/>
        <w:rPr>
          <w:color w:val="C00000"/>
          <w:sz w:val="20"/>
        </w:rPr>
      </w:pPr>
    </w:p>
    <w:p w14:paraId="30F49ABE" w14:textId="77777777" w:rsidR="00703429" w:rsidRDefault="00703429" w:rsidP="00D23AD7">
      <w:pPr>
        <w:keepNext/>
        <w:autoSpaceDE w:val="0"/>
        <w:autoSpaceDN w:val="0"/>
        <w:adjustRightInd w:val="0"/>
        <w:spacing w:after="0" w:line="240" w:lineRule="auto"/>
        <w:contextualSpacing/>
        <w:rPr>
          <w:color w:val="C00000"/>
          <w:sz w:val="20"/>
        </w:rPr>
      </w:pPr>
      <w:r>
        <w:rPr>
          <w:color w:val="C00000"/>
          <w:sz w:val="20"/>
        </w:rPr>
        <w:t xml:space="preserve">Table 3c. Health-Plan Level Pearson Correlation Coefficients Among </w:t>
      </w:r>
      <w:r>
        <w:rPr>
          <w:i/>
          <w:color w:val="C00000"/>
          <w:sz w:val="20"/>
        </w:rPr>
        <w:t xml:space="preserve">Follow-Up After Emergency Department Visit for Alcohol and Other Drug Abuse or Dependence </w:t>
      </w:r>
      <w:r>
        <w:rPr>
          <w:color w:val="C00000"/>
          <w:sz w:val="20"/>
        </w:rPr>
        <w:t xml:space="preserve">Performance Scores Within Measure – </w:t>
      </w:r>
      <w:r w:rsidRPr="00073702">
        <w:rPr>
          <w:b/>
          <w:color w:val="C00000"/>
          <w:sz w:val="20"/>
        </w:rPr>
        <w:t>Medicare</w:t>
      </w:r>
      <w:r>
        <w:rPr>
          <w:color w:val="C00000"/>
          <w:sz w:val="20"/>
        </w:rPr>
        <w:t xml:space="preserve"> Plans, 2017</w:t>
      </w:r>
    </w:p>
    <w:tbl>
      <w:tblPr>
        <w:tblStyle w:val="TableGrid"/>
        <w:tblW w:w="1556" w:type="pct"/>
        <w:tblLook w:val="04A0" w:firstRow="1" w:lastRow="0" w:firstColumn="1" w:lastColumn="0" w:noHBand="0" w:noVBand="1"/>
      </w:tblPr>
      <w:tblGrid>
        <w:gridCol w:w="1620"/>
        <w:gridCol w:w="1290"/>
      </w:tblGrid>
      <w:tr w:rsidR="00944184" w14:paraId="3D477D75" w14:textId="77777777" w:rsidTr="0015522D">
        <w:trPr>
          <w:trHeight w:val="260"/>
        </w:trPr>
        <w:tc>
          <w:tcPr>
            <w:tcW w:w="2784" w:type="pct"/>
            <w:tcBorders>
              <w:top w:val="single" w:sz="4" w:space="0" w:color="auto"/>
              <w:left w:val="single" w:sz="4" w:space="0" w:color="auto"/>
              <w:bottom w:val="single" w:sz="4" w:space="0" w:color="auto"/>
              <w:right w:val="single" w:sz="4" w:space="0" w:color="auto"/>
            </w:tcBorders>
          </w:tcPr>
          <w:p w14:paraId="625ABE82" w14:textId="77777777" w:rsidR="00944184" w:rsidRPr="00944184" w:rsidRDefault="00944184" w:rsidP="0015522D">
            <w:pPr>
              <w:keepNext/>
              <w:autoSpaceDE w:val="0"/>
              <w:autoSpaceDN w:val="0"/>
              <w:adjustRightInd w:val="0"/>
              <w:contextualSpacing/>
              <w:rPr>
                <w:i/>
                <w:color w:val="C00000"/>
                <w:sz w:val="20"/>
                <w:szCs w:val="20"/>
              </w:rPr>
            </w:pPr>
          </w:p>
        </w:tc>
        <w:tc>
          <w:tcPr>
            <w:tcW w:w="2216" w:type="pct"/>
            <w:tcBorders>
              <w:top w:val="single" w:sz="4" w:space="0" w:color="auto"/>
              <w:left w:val="single" w:sz="4" w:space="0" w:color="auto"/>
              <w:bottom w:val="single" w:sz="4" w:space="0" w:color="auto"/>
              <w:right w:val="single" w:sz="4" w:space="0" w:color="auto"/>
            </w:tcBorders>
            <w:hideMark/>
          </w:tcPr>
          <w:p w14:paraId="4E4B63FB" w14:textId="51DD5539" w:rsidR="00944184" w:rsidRPr="00944184" w:rsidRDefault="007F3CA0" w:rsidP="0015522D">
            <w:pPr>
              <w:keepNext/>
              <w:autoSpaceDE w:val="0"/>
              <w:autoSpaceDN w:val="0"/>
              <w:adjustRightInd w:val="0"/>
              <w:contextualSpacing/>
              <w:jc w:val="center"/>
              <w:rPr>
                <w:color w:val="C00000"/>
                <w:sz w:val="20"/>
                <w:szCs w:val="20"/>
              </w:rPr>
            </w:pPr>
            <w:r>
              <w:rPr>
                <w:rStyle w:val="Style1"/>
                <w:color w:val="C00000"/>
                <w:sz w:val="20"/>
                <w:szCs w:val="20"/>
              </w:rPr>
              <w:t>7-</w:t>
            </w:r>
            <w:r w:rsidR="00944184" w:rsidRPr="00944184">
              <w:rPr>
                <w:rStyle w:val="Style1"/>
                <w:color w:val="C00000"/>
                <w:sz w:val="20"/>
                <w:szCs w:val="20"/>
              </w:rPr>
              <w:t>day follow-up</w:t>
            </w:r>
          </w:p>
        </w:tc>
      </w:tr>
      <w:tr w:rsidR="00944184" w14:paraId="74E19B8F" w14:textId="77777777" w:rsidTr="0015522D">
        <w:tc>
          <w:tcPr>
            <w:tcW w:w="2784" w:type="pct"/>
            <w:tcBorders>
              <w:top w:val="single" w:sz="4" w:space="0" w:color="auto"/>
              <w:left w:val="single" w:sz="4" w:space="0" w:color="auto"/>
              <w:bottom w:val="single" w:sz="4" w:space="0" w:color="auto"/>
              <w:right w:val="single" w:sz="4" w:space="0" w:color="auto"/>
            </w:tcBorders>
            <w:hideMark/>
          </w:tcPr>
          <w:p w14:paraId="7AA4D335" w14:textId="5355F611" w:rsidR="00944184" w:rsidRPr="00944184" w:rsidRDefault="007F3CA0" w:rsidP="0015522D">
            <w:pPr>
              <w:keepNext/>
              <w:autoSpaceDE w:val="0"/>
              <w:autoSpaceDN w:val="0"/>
              <w:adjustRightInd w:val="0"/>
              <w:contextualSpacing/>
              <w:rPr>
                <w:color w:val="C00000"/>
                <w:sz w:val="20"/>
                <w:szCs w:val="20"/>
              </w:rPr>
            </w:pPr>
            <w:r>
              <w:rPr>
                <w:rStyle w:val="Style1"/>
                <w:color w:val="C00000"/>
                <w:sz w:val="20"/>
                <w:szCs w:val="20"/>
              </w:rPr>
              <w:t>30-</w:t>
            </w:r>
            <w:r w:rsidR="00944184" w:rsidRPr="00944184">
              <w:rPr>
                <w:rStyle w:val="Style1"/>
                <w:color w:val="C00000"/>
                <w:sz w:val="20"/>
                <w:szCs w:val="20"/>
              </w:rPr>
              <w:t>day follow-up</w:t>
            </w:r>
          </w:p>
        </w:tc>
        <w:tc>
          <w:tcPr>
            <w:tcW w:w="2216" w:type="pct"/>
            <w:tcBorders>
              <w:top w:val="single" w:sz="4" w:space="0" w:color="auto"/>
              <w:left w:val="single" w:sz="4" w:space="0" w:color="auto"/>
              <w:bottom w:val="single" w:sz="4" w:space="0" w:color="auto"/>
              <w:right w:val="single" w:sz="4" w:space="0" w:color="auto"/>
            </w:tcBorders>
            <w:vAlign w:val="center"/>
          </w:tcPr>
          <w:p w14:paraId="20479310" w14:textId="436560B9" w:rsidR="00944184" w:rsidRPr="00944184" w:rsidRDefault="00944184" w:rsidP="0015522D">
            <w:pPr>
              <w:keepNext/>
              <w:autoSpaceDE w:val="0"/>
              <w:autoSpaceDN w:val="0"/>
              <w:adjustRightInd w:val="0"/>
              <w:contextualSpacing/>
              <w:jc w:val="center"/>
              <w:rPr>
                <w:color w:val="C00000"/>
                <w:sz w:val="20"/>
                <w:szCs w:val="20"/>
              </w:rPr>
            </w:pPr>
            <w:r>
              <w:rPr>
                <w:color w:val="C00000"/>
                <w:sz w:val="20"/>
                <w:szCs w:val="20"/>
              </w:rPr>
              <w:t>0.92</w:t>
            </w:r>
          </w:p>
        </w:tc>
      </w:tr>
    </w:tbl>
    <w:p w14:paraId="21CA7928" w14:textId="0BBDB6F5" w:rsidR="00703429" w:rsidRDefault="00703429" w:rsidP="00D23AD7">
      <w:pPr>
        <w:autoSpaceDE w:val="0"/>
        <w:autoSpaceDN w:val="0"/>
        <w:adjustRightInd w:val="0"/>
        <w:spacing w:after="0" w:line="240" w:lineRule="auto"/>
        <w:contextualSpacing/>
        <w:rPr>
          <w:rFonts w:ascii="Times New Roman" w:eastAsia="Times New Roman" w:hAnsi="Times New Roman" w:cs="Times New Roman"/>
          <w:color w:val="C00000"/>
          <w:sz w:val="20"/>
          <w:lang w:val="en"/>
        </w:rPr>
      </w:pPr>
      <w:r>
        <w:rPr>
          <w:color w:val="C00000"/>
          <w:sz w:val="20"/>
        </w:rPr>
        <w:t>All scores were significant at p&lt;</w:t>
      </w:r>
      <w:r w:rsidR="00706923">
        <w:rPr>
          <w:color w:val="C00000"/>
          <w:sz w:val="20"/>
          <w:lang w:val="en"/>
        </w:rPr>
        <w:t>0.05</w:t>
      </w:r>
    </w:p>
    <w:p w14:paraId="6F96B8D6" w14:textId="77777777" w:rsidR="00703429" w:rsidRDefault="00703429" w:rsidP="00D23AD7">
      <w:pPr>
        <w:autoSpaceDE w:val="0"/>
        <w:autoSpaceDN w:val="0"/>
        <w:adjustRightInd w:val="0"/>
        <w:spacing w:after="0" w:line="240" w:lineRule="auto"/>
        <w:contextualSpacing/>
        <w:rPr>
          <w:rFonts w:ascii="Times New Roman" w:eastAsia="Times New Roman" w:hAnsi="Times New Roman" w:cs="Times New Roman"/>
          <w:color w:val="C00000"/>
          <w:sz w:val="20"/>
          <w:lang w:val="en"/>
        </w:rPr>
      </w:pPr>
    </w:p>
    <w:p w14:paraId="043DEA9F" w14:textId="35280B11" w:rsidR="00703429" w:rsidRDefault="00703429" w:rsidP="00D23AD7">
      <w:pPr>
        <w:keepNext/>
        <w:autoSpaceDE w:val="0"/>
        <w:autoSpaceDN w:val="0"/>
        <w:adjustRightInd w:val="0"/>
        <w:spacing w:after="0" w:line="240" w:lineRule="auto"/>
        <w:contextualSpacing/>
        <w:rPr>
          <w:color w:val="C00000"/>
          <w:sz w:val="20"/>
        </w:rPr>
      </w:pPr>
      <w:r>
        <w:rPr>
          <w:color w:val="C00000"/>
          <w:sz w:val="20"/>
        </w:rPr>
        <w:lastRenderedPageBreak/>
        <w:t>Table 4a. Health-Plan Level Pearson Correlation Coefficients Among</w:t>
      </w:r>
      <w:r w:rsidR="00944184">
        <w:rPr>
          <w:color w:val="C00000"/>
          <w:sz w:val="20"/>
        </w:rPr>
        <w:t xml:space="preserve"> </w:t>
      </w:r>
      <w:r w:rsidR="00944184">
        <w:rPr>
          <w:i/>
          <w:color w:val="C00000"/>
          <w:sz w:val="20"/>
        </w:rPr>
        <w:t>Follow-Up After Emergency Department Visit for Mental Illness</w:t>
      </w:r>
      <w:r>
        <w:rPr>
          <w:color w:val="C00000"/>
          <w:sz w:val="20"/>
        </w:rPr>
        <w:t xml:space="preserve"> and </w:t>
      </w:r>
      <w:r w:rsidR="00944184">
        <w:rPr>
          <w:i/>
          <w:color w:val="C00000"/>
          <w:sz w:val="20"/>
        </w:rPr>
        <w:t>Follow-Up After Emergency Department Visit for Alcohol and Other Drug Abuse or Dependence</w:t>
      </w:r>
      <w:r>
        <w:rPr>
          <w:i/>
          <w:color w:val="C00000"/>
          <w:sz w:val="20"/>
        </w:rPr>
        <w:t xml:space="preserve"> </w:t>
      </w:r>
      <w:r>
        <w:rPr>
          <w:color w:val="C00000"/>
          <w:sz w:val="20"/>
        </w:rPr>
        <w:t xml:space="preserve">Measure Performance Scores – </w:t>
      </w:r>
      <w:r w:rsidRPr="00073702">
        <w:rPr>
          <w:b/>
          <w:color w:val="C00000"/>
          <w:sz w:val="20"/>
        </w:rPr>
        <w:t>Commercial</w:t>
      </w:r>
      <w:r>
        <w:rPr>
          <w:color w:val="C00000"/>
          <w:sz w:val="20"/>
        </w:rPr>
        <w:t xml:space="preserve"> Plans, 2017</w:t>
      </w:r>
    </w:p>
    <w:tbl>
      <w:tblPr>
        <w:tblStyle w:val="TableGrid"/>
        <w:tblW w:w="3751" w:type="pct"/>
        <w:tblLook w:val="04A0" w:firstRow="1" w:lastRow="0" w:firstColumn="1" w:lastColumn="0" w:noHBand="0" w:noVBand="1"/>
      </w:tblPr>
      <w:tblGrid>
        <w:gridCol w:w="3055"/>
        <w:gridCol w:w="2033"/>
        <w:gridCol w:w="1926"/>
      </w:tblGrid>
      <w:tr w:rsidR="00703429" w14:paraId="124CAF28" w14:textId="77777777" w:rsidTr="00703429">
        <w:trPr>
          <w:trHeight w:val="260"/>
        </w:trPr>
        <w:tc>
          <w:tcPr>
            <w:tcW w:w="2178" w:type="pct"/>
            <w:tcBorders>
              <w:top w:val="single" w:sz="4" w:space="0" w:color="auto"/>
              <w:left w:val="single" w:sz="4" w:space="0" w:color="auto"/>
              <w:bottom w:val="single" w:sz="4" w:space="0" w:color="auto"/>
              <w:right w:val="single" w:sz="4" w:space="0" w:color="auto"/>
            </w:tcBorders>
          </w:tcPr>
          <w:p w14:paraId="565E996C" w14:textId="77777777" w:rsidR="00703429" w:rsidRDefault="00703429" w:rsidP="00D23AD7">
            <w:pPr>
              <w:keepNext/>
              <w:autoSpaceDE w:val="0"/>
              <w:autoSpaceDN w:val="0"/>
              <w:adjustRightInd w:val="0"/>
              <w:contextualSpacing/>
              <w:rPr>
                <w:i/>
                <w:color w:val="C00000"/>
                <w:sz w:val="20"/>
              </w:rPr>
            </w:pPr>
          </w:p>
        </w:tc>
        <w:tc>
          <w:tcPr>
            <w:tcW w:w="2822" w:type="pct"/>
            <w:gridSpan w:val="2"/>
            <w:tcBorders>
              <w:top w:val="single" w:sz="4" w:space="0" w:color="auto"/>
              <w:left w:val="single" w:sz="4" w:space="0" w:color="auto"/>
              <w:bottom w:val="single" w:sz="4" w:space="0" w:color="auto"/>
              <w:right w:val="single" w:sz="4" w:space="0" w:color="auto"/>
            </w:tcBorders>
            <w:hideMark/>
          </w:tcPr>
          <w:p w14:paraId="06309EE7" w14:textId="77777777" w:rsidR="00703429" w:rsidRDefault="00703429" w:rsidP="00D23AD7">
            <w:pPr>
              <w:keepNext/>
              <w:autoSpaceDE w:val="0"/>
              <w:autoSpaceDN w:val="0"/>
              <w:adjustRightInd w:val="0"/>
              <w:contextualSpacing/>
              <w:jc w:val="center"/>
              <w:rPr>
                <w:i/>
                <w:color w:val="C00000"/>
                <w:sz w:val="20"/>
              </w:rPr>
            </w:pPr>
            <w:r>
              <w:rPr>
                <w:i/>
                <w:color w:val="C00000"/>
                <w:sz w:val="20"/>
              </w:rPr>
              <w:t>Follow-Up After Emergency Department Visit for Mental Illness</w:t>
            </w:r>
          </w:p>
        </w:tc>
      </w:tr>
      <w:tr w:rsidR="00703429" w14:paraId="2CC32091" w14:textId="77777777" w:rsidTr="00703429">
        <w:trPr>
          <w:trHeight w:val="260"/>
        </w:trPr>
        <w:tc>
          <w:tcPr>
            <w:tcW w:w="2178" w:type="pct"/>
            <w:tcBorders>
              <w:top w:val="single" w:sz="4" w:space="0" w:color="auto"/>
              <w:left w:val="single" w:sz="4" w:space="0" w:color="auto"/>
              <w:bottom w:val="single" w:sz="4" w:space="0" w:color="auto"/>
              <w:right w:val="single" w:sz="4" w:space="0" w:color="auto"/>
            </w:tcBorders>
            <w:vAlign w:val="bottom"/>
            <w:hideMark/>
          </w:tcPr>
          <w:p w14:paraId="22E83D97" w14:textId="77777777" w:rsidR="00703429" w:rsidRDefault="00703429" w:rsidP="00D23AD7">
            <w:pPr>
              <w:keepNext/>
              <w:autoSpaceDE w:val="0"/>
              <w:autoSpaceDN w:val="0"/>
              <w:adjustRightInd w:val="0"/>
              <w:contextualSpacing/>
              <w:jc w:val="center"/>
              <w:rPr>
                <w:i/>
                <w:color w:val="C00000"/>
                <w:sz w:val="20"/>
              </w:rPr>
            </w:pPr>
            <w:r>
              <w:rPr>
                <w:i/>
                <w:color w:val="C00000"/>
                <w:sz w:val="20"/>
              </w:rPr>
              <w:t>Follow-Up After Emergency Department Visit for Alcohol and Other Drug Abuse or Dependence</w:t>
            </w:r>
          </w:p>
        </w:tc>
        <w:tc>
          <w:tcPr>
            <w:tcW w:w="1449" w:type="pct"/>
            <w:tcBorders>
              <w:top w:val="single" w:sz="4" w:space="0" w:color="auto"/>
              <w:left w:val="single" w:sz="4" w:space="0" w:color="auto"/>
              <w:bottom w:val="single" w:sz="4" w:space="0" w:color="auto"/>
              <w:right w:val="single" w:sz="4" w:space="0" w:color="auto"/>
            </w:tcBorders>
            <w:hideMark/>
          </w:tcPr>
          <w:p w14:paraId="428F9C34" w14:textId="77777777" w:rsidR="00703429" w:rsidRDefault="00703429" w:rsidP="00D23AD7">
            <w:pPr>
              <w:keepNext/>
              <w:autoSpaceDE w:val="0"/>
              <w:autoSpaceDN w:val="0"/>
              <w:adjustRightInd w:val="0"/>
              <w:contextualSpacing/>
              <w:jc w:val="center"/>
              <w:rPr>
                <w:color w:val="C00000"/>
                <w:sz w:val="20"/>
              </w:rPr>
            </w:pPr>
            <w:r>
              <w:rPr>
                <w:color w:val="C00000"/>
                <w:sz w:val="20"/>
              </w:rPr>
              <w:t>30 days</w:t>
            </w:r>
          </w:p>
        </w:tc>
        <w:tc>
          <w:tcPr>
            <w:tcW w:w="1373" w:type="pct"/>
            <w:tcBorders>
              <w:top w:val="single" w:sz="4" w:space="0" w:color="auto"/>
              <w:left w:val="single" w:sz="4" w:space="0" w:color="auto"/>
              <w:bottom w:val="single" w:sz="4" w:space="0" w:color="auto"/>
              <w:right w:val="single" w:sz="4" w:space="0" w:color="auto"/>
            </w:tcBorders>
            <w:hideMark/>
          </w:tcPr>
          <w:p w14:paraId="1A684245" w14:textId="77777777" w:rsidR="00703429" w:rsidRDefault="00703429" w:rsidP="00D23AD7">
            <w:pPr>
              <w:keepNext/>
              <w:autoSpaceDE w:val="0"/>
              <w:autoSpaceDN w:val="0"/>
              <w:adjustRightInd w:val="0"/>
              <w:contextualSpacing/>
              <w:jc w:val="center"/>
              <w:rPr>
                <w:color w:val="C00000"/>
                <w:sz w:val="20"/>
              </w:rPr>
            </w:pPr>
            <w:r>
              <w:rPr>
                <w:color w:val="C00000"/>
                <w:sz w:val="20"/>
              </w:rPr>
              <w:t>7 days</w:t>
            </w:r>
          </w:p>
        </w:tc>
      </w:tr>
      <w:tr w:rsidR="00703429" w14:paraId="69CD0957" w14:textId="77777777" w:rsidTr="00703429">
        <w:tc>
          <w:tcPr>
            <w:tcW w:w="2178" w:type="pct"/>
            <w:tcBorders>
              <w:top w:val="single" w:sz="4" w:space="0" w:color="auto"/>
              <w:left w:val="single" w:sz="4" w:space="0" w:color="auto"/>
              <w:bottom w:val="single" w:sz="4" w:space="0" w:color="auto"/>
              <w:right w:val="single" w:sz="4" w:space="0" w:color="auto"/>
            </w:tcBorders>
            <w:vAlign w:val="center"/>
            <w:hideMark/>
          </w:tcPr>
          <w:p w14:paraId="44658E18" w14:textId="22335933" w:rsidR="00703429" w:rsidRDefault="007F3CA0" w:rsidP="00D23AD7">
            <w:pPr>
              <w:keepNext/>
              <w:autoSpaceDE w:val="0"/>
              <w:autoSpaceDN w:val="0"/>
              <w:adjustRightInd w:val="0"/>
              <w:contextualSpacing/>
              <w:jc w:val="center"/>
              <w:rPr>
                <w:color w:val="C00000"/>
                <w:sz w:val="20"/>
              </w:rPr>
            </w:pPr>
            <w:r>
              <w:rPr>
                <w:color w:val="C00000"/>
                <w:sz w:val="20"/>
              </w:rPr>
              <w:t>30-</w:t>
            </w:r>
            <w:r w:rsidR="00703429">
              <w:rPr>
                <w:color w:val="C00000"/>
                <w:sz w:val="20"/>
              </w:rPr>
              <w:t>day follow-up</w:t>
            </w:r>
          </w:p>
          <w:p w14:paraId="0708F4EE" w14:textId="1973C08F" w:rsidR="00703429" w:rsidRDefault="00703429" w:rsidP="00D23AD7">
            <w:pPr>
              <w:keepNext/>
              <w:autoSpaceDE w:val="0"/>
              <w:autoSpaceDN w:val="0"/>
              <w:adjustRightInd w:val="0"/>
              <w:contextualSpacing/>
              <w:jc w:val="center"/>
              <w:rPr>
                <w:color w:val="C00000"/>
                <w:sz w:val="20"/>
              </w:rPr>
            </w:pPr>
          </w:p>
        </w:tc>
        <w:tc>
          <w:tcPr>
            <w:tcW w:w="1449" w:type="pct"/>
            <w:tcBorders>
              <w:top w:val="single" w:sz="4" w:space="0" w:color="auto"/>
              <w:left w:val="single" w:sz="4" w:space="0" w:color="auto"/>
              <w:bottom w:val="single" w:sz="4" w:space="0" w:color="auto"/>
              <w:right w:val="single" w:sz="4" w:space="0" w:color="auto"/>
            </w:tcBorders>
            <w:vAlign w:val="center"/>
            <w:hideMark/>
          </w:tcPr>
          <w:p w14:paraId="7DA90980" w14:textId="77777777" w:rsidR="00703429" w:rsidRDefault="00703429" w:rsidP="00D23AD7">
            <w:pPr>
              <w:keepNext/>
              <w:autoSpaceDE w:val="0"/>
              <w:autoSpaceDN w:val="0"/>
              <w:adjustRightInd w:val="0"/>
              <w:contextualSpacing/>
              <w:jc w:val="center"/>
              <w:rPr>
                <w:color w:val="C00000"/>
                <w:sz w:val="20"/>
              </w:rPr>
            </w:pPr>
            <w:r>
              <w:rPr>
                <w:color w:val="C00000"/>
                <w:sz w:val="20"/>
              </w:rPr>
              <w:t>0.48</w:t>
            </w:r>
          </w:p>
        </w:tc>
        <w:tc>
          <w:tcPr>
            <w:tcW w:w="1373" w:type="pct"/>
            <w:tcBorders>
              <w:top w:val="single" w:sz="4" w:space="0" w:color="auto"/>
              <w:left w:val="single" w:sz="4" w:space="0" w:color="auto"/>
              <w:bottom w:val="single" w:sz="4" w:space="0" w:color="auto"/>
              <w:right w:val="single" w:sz="4" w:space="0" w:color="auto"/>
            </w:tcBorders>
            <w:vAlign w:val="center"/>
            <w:hideMark/>
          </w:tcPr>
          <w:p w14:paraId="58DE78CC" w14:textId="77777777" w:rsidR="00703429" w:rsidRDefault="00703429" w:rsidP="00D23AD7">
            <w:pPr>
              <w:keepNext/>
              <w:autoSpaceDE w:val="0"/>
              <w:autoSpaceDN w:val="0"/>
              <w:adjustRightInd w:val="0"/>
              <w:contextualSpacing/>
              <w:jc w:val="center"/>
              <w:rPr>
                <w:color w:val="C00000"/>
                <w:sz w:val="20"/>
              </w:rPr>
            </w:pPr>
            <w:r>
              <w:rPr>
                <w:color w:val="C00000"/>
                <w:sz w:val="20"/>
              </w:rPr>
              <w:t>0.45</w:t>
            </w:r>
          </w:p>
        </w:tc>
      </w:tr>
      <w:tr w:rsidR="00703429" w14:paraId="5DFD2BA6" w14:textId="77777777" w:rsidTr="00BE296D">
        <w:tc>
          <w:tcPr>
            <w:tcW w:w="2178" w:type="pct"/>
            <w:tcBorders>
              <w:top w:val="single" w:sz="4" w:space="0" w:color="auto"/>
              <w:left w:val="single" w:sz="4" w:space="0" w:color="auto"/>
              <w:bottom w:val="single" w:sz="4" w:space="0" w:color="auto"/>
              <w:right w:val="single" w:sz="4" w:space="0" w:color="auto"/>
            </w:tcBorders>
            <w:vAlign w:val="center"/>
            <w:hideMark/>
          </w:tcPr>
          <w:p w14:paraId="278F0F9F" w14:textId="4EC2B1B0" w:rsidR="00703429" w:rsidRDefault="007F3CA0" w:rsidP="00D23AD7">
            <w:pPr>
              <w:keepNext/>
              <w:autoSpaceDE w:val="0"/>
              <w:autoSpaceDN w:val="0"/>
              <w:adjustRightInd w:val="0"/>
              <w:contextualSpacing/>
              <w:jc w:val="center"/>
              <w:rPr>
                <w:color w:val="C00000"/>
                <w:sz w:val="20"/>
              </w:rPr>
            </w:pPr>
            <w:r>
              <w:rPr>
                <w:color w:val="C00000"/>
                <w:sz w:val="20"/>
              </w:rPr>
              <w:t>7-day follow-</w:t>
            </w:r>
            <w:r w:rsidR="00703429">
              <w:rPr>
                <w:color w:val="C00000"/>
                <w:sz w:val="20"/>
              </w:rPr>
              <w:t xml:space="preserve">up </w:t>
            </w:r>
            <w:r w:rsidR="00703429">
              <w:rPr>
                <w:color w:val="C00000"/>
                <w:sz w:val="20"/>
              </w:rPr>
              <w:br/>
            </w:r>
          </w:p>
        </w:tc>
        <w:tc>
          <w:tcPr>
            <w:tcW w:w="1449" w:type="pct"/>
            <w:tcBorders>
              <w:top w:val="single" w:sz="4" w:space="0" w:color="auto"/>
              <w:left w:val="single" w:sz="4" w:space="0" w:color="auto"/>
              <w:bottom w:val="single" w:sz="4" w:space="0" w:color="auto"/>
              <w:right w:val="single" w:sz="4" w:space="0" w:color="auto"/>
            </w:tcBorders>
            <w:vAlign w:val="center"/>
            <w:hideMark/>
          </w:tcPr>
          <w:p w14:paraId="36570806" w14:textId="77777777" w:rsidR="00703429" w:rsidRDefault="00703429" w:rsidP="00D23AD7">
            <w:pPr>
              <w:keepNext/>
              <w:autoSpaceDE w:val="0"/>
              <w:autoSpaceDN w:val="0"/>
              <w:adjustRightInd w:val="0"/>
              <w:contextualSpacing/>
              <w:jc w:val="center"/>
              <w:rPr>
                <w:color w:val="C00000"/>
                <w:sz w:val="20"/>
              </w:rPr>
            </w:pPr>
            <w:r>
              <w:rPr>
                <w:color w:val="C00000"/>
                <w:sz w:val="20"/>
              </w:rPr>
              <w:t>0.44</w:t>
            </w:r>
          </w:p>
        </w:tc>
        <w:tc>
          <w:tcPr>
            <w:tcW w:w="1373" w:type="pct"/>
            <w:tcBorders>
              <w:top w:val="single" w:sz="4" w:space="0" w:color="auto"/>
              <w:left w:val="single" w:sz="4" w:space="0" w:color="auto"/>
              <w:bottom w:val="single" w:sz="4" w:space="0" w:color="auto"/>
              <w:right w:val="single" w:sz="4" w:space="0" w:color="auto"/>
            </w:tcBorders>
            <w:vAlign w:val="center"/>
            <w:hideMark/>
          </w:tcPr>
          <w:p w14:paraId="43DBB009" w14:textId="77777777" w:rsidR="00703429" w:rsidRDefault="00703429" w:rsidP="00D23AD7">
            <w:pPr>
              <w:keepNext/>
              <w:autoSpaceDE w:val="0"/>
              <w:autoSpaceDN w:val="0"/>
              <w:adjustRightInd w:val="0"/>
              <w:contextualSpacing/>
              <w:jc w:val="center"/>
              <w:rPr>
                <w:color w:val="C00000"/>
                <w:sz w:val="20"/>
              </w:rPr>
            </w:pPr>
            <w:r>
              <w:rPr>
                <w:color w:val="C00000"/>
                <w:sz w:val="20"/>
              </w:rPr>
              <w:t>0.42</w:t>
            </w:r>
          </w:p>
        </w:tc>
      </w:tr>
    </w:tbl>
    <w:p w14:paraId="54806C1A" w14:textId="39BE1B84" w:rsidR="00703429" w:rsidRDefault="00703429" w:rsidP="00D23AD7">
      <w:pPr>
        <w:autoSpaceDE w:val="0"/>
        <w:autoSpaceDN w:val="0"/>
        <w:adjustRightInd w:val="0"/>
        <w:spacing w:after="0" w:line="240" w:lineRule="auto"/>
        <w:contextualSpacing/>
        <w:rPr>
          <w:color w:val="C00000"/>
          <w:sz w:val="20"/>
        </w:rPr>
      </w:pPr>
      <w:r>
        <w:rPr>
          <w:color w:val="C00000"/>
          <w:sz w:val="20"/>
        </w:rPr>
        <w:t>All scores were significant at p&lt;</w:t>
      </w:r>
      <w:r w:rsidR="00706923">
        <w:rPr>
          <w:color w:val="C00000"/>
          <w:sz w:val="20"/>
        </w:rPr>
        <w:t xml:space="preserve">0.05 </w:t>
      </w:r>
      <w:r>
        <w:rPr>
          <w:color w:val="C00000"/>
          <w:sz w:val="20"/>
          <w:lang w:val="en"/>
        </w:rPr>
        <w:br/>
      </w:r>
    </w:p>
    <w:p w14:paraId="5DBFF164" w14:textId="7C553581" w:rsidR="00703429" w:rsidRDefault="00703429" w:rsidP="00D23AD7">
      <w:pPr>
        <w:keepNext/>
        <w:autoSpaceDE w:val="0"/>
        <w:autoSpaceDN w:val="0"/>
        <w:adjustRightInd w:val="0"/>
        <w:spacing w:after="0" w:line="240" w:lineRule="auto"/>
        <w:contextualSpacing/>
        <w:rPr>
          <w:color w:val="C00000"/>
          <w:sz w:val="20"/>
        </w:rPr>
      </w:pPr>
      <w:r>
        <w:rPr>
          <w:color w:val="C00000"/>
          <w:sz w:val="20"/>
        </w:rPr>
        <w:t>Table 4b</w:t>
      </w:r>
      <w:r w:rsidR="00944184">
        <w:rPr>
          <w:color w:val="C00000"/>
          <w:sz w:val="20"/>
        </w:rPr>
        <w:t xml:space="preserve">. Health-Plan Level Pearson Correlation Coefficients Among </w:t>
      </w:r>
      <w:r w:rsidR="00944184">
        <w:rPr>
          <w:i/>
          <w:color w:val="C00000"/>
          <w:sz w:val="20"/>
        </w:rPr>
        <w:t>Follow-Up After Emergency Department Visit for Mental Illness</w:t>
      </w:r>
      <w:r w:rsidR="00944184">
        <w:rPr>
          <w:color w:val="C00000"/>
          <w:sz w:val="20"/>
        </w:rPr>
        <w:t xml:space="preserve"> and </w:t>
      </w:r>
      <w:r w:rsidR="00944184">
        <w:rPr>
          <w:i/>
          <w:color w:val="C00000"/>
          <w:sz w:val="20"/>
        </w:rPr>
        <w:t xml:space="preserve">Follow-Up After Emergency Department Visit for Alcohol and Other Drug Abuse or Dependence </w:t>
      </w:r>
      <w:r w:rsidR="00944184">
        <w:rPr>
          <w:color w:val="C00000"/>
          <w:sz w:val="20"/>
        </w:rPr>
        <w:t>Measure Performance Scores</w:t>
      </w:r>
      <w:r>
        <w:rPr>
          <w:color w:val="C00000"/>
          <w:sz w:val="20"/>
        </w:rPr>
        <w:t xml:space="preserve"> – </w:t>
      </w:r>
      <w:r w:rsidRPr="00073702">
        <w:rPr>
          <w:b/>
          <w:color w:val="C00000"/>
          <w:sz w:val="20"/>
        </w:rPr>
        <w:t>Medicaid</w:t>
      </w:r>
      <w:r>
        <w:rPr>
          <w:color w:val="C00000"/>
          <w:sz w:val="20"/>
        </w:rPr>
        <w:t xml:space="preserve"> Plans, 2017</w:t>
      </w:r>
    </w:p>
    <w:tbl>
      <w:tblPr>
        <w:tblStyle w:val="TableGrid"/>
        <w:tblW w:w="3751" w:type="pct"/>
        <w:tblLook w:val="04A0" w:firstRow="1" w:lastRow="0" w:firstColumn="1" w:lastColumn="0" w:noHBand="0" w:noVBand="1"/>
      </w:tblPr>
      <w:tblGrid>
        <w:gridCol w:w="3055"/>
        <w:gridCol w:w="2033"/>
        <w:gridCol w:w="1926"/>
      </w:tblGrid>
      <w:tr w:rsidR="00703429" w14:paraId="7D0FD142" w14:textId="77777777" w:rsidTr="00703429">
        <w:trPr>
          <w:trHeight w:val="260"/>
        </w:trPr>
        <w:tc>
          <w:tcPr>
            <w:tcW w:w="2178" w:type="pct"/>
            <w:tcBorders>
              <w:top w:val="single" w:sz="4" w:space="0" w:color="auto"/>
              <w:left w:val="single" w:sz="4" w:space="0" w:color="auto"/>
              <w:bottom w:val="single" w:sz="4" w:space="0" w:color="auto"/>
              <w:right w:val="single" w:sz="4" w:space="0" w:color="auto"/>
            </w:tcBorders>
          </w:tcPr>
          <w:p w14:paraId="279C8244" w14:textId="77777777" w:rsidR="00703429" w:rsidRDefault="00703429" w:rsidP="00D23AD7">
            <w:pPr>
              <w:keepNext/>
              <w:autoSpaceDE w:val="0"/>
              <w:autoSpaceDN w:val="0"/>
              <w:adjustRightInd w:val="0"/>
              <w:contextualSpacing/>
              <w:rPr>
                <w:i/>
                <w:color w:val="C00000"/>
                <w:sz w:val="20"/>
              </w:rPr>
            </w:pPr>
          </w:p>
        </w:tc>
        <w:tc>
          <w:tcPr>
            <w:tcW w:w="2822" w:type="pct"/>
            <w:gridSpan w:val="2"/>
            <w:tcBorders>
              <w:top w:val="single" w:sz="4" w:space="0" w:color="auto"/>
              <w:left w:val="single" w:sz="4" w:space="0" w:color="auto"/>
              <w:bottom w:val="single" w:sz="4" w:space="0" w:color="auto"/>
              <w:right w:val="single" w:sz="4" w:space="0" w:color="auto"/>
            </w:tcBorders>
            <w:hideMark/>
          </w:tcPr>
          <w:p w14:paraId="3A3E24A0" w14:textId="77777777" w:rsidR="00703429" w:rsidRDefault="00703429" w:rsidP="00D23AD7">
            <w:pPr>
              <w:keepNext/>
              <w:autoSpaceDE w:val="0"/>
              <w:autoSpaceDN w:val="0"/>
              <w:adjustRightInd w:val="0"/>
              <w:contextualSpacing/>
              <w:jc w:val="center"/>
              <w:rPr>
                <w:i/>
                <w:color w:val="C00000"/>
                <w:sz w:val="20"/>
              </w:rPr>
            </w:pPr>
            <w:r>
              <w:rPr>
                <w:i/>
                <w:color w:val="C00000"/>
                <w:sz w:val="20"/>
              </w:rPr>
              <w:t>Follow-Up After Emergency Department Visit for Mental Illness</w:t>
            </w:r>
          </w:p>
        </w:tc>
      </w:tr>
      <w:tr w:rsidR="00703429" w14:paraId="58EC916F" w14:textId="77777777" w:rsidTr="00703429">
        <w:trPr>
          <w:trHeight w:val="260"/>
        </w:trPr>
        <w:tc>
          <w:tcPr>
            <w:tcW w:w="2178" w:type="pct"/>
            <w:tcBorders>
              <w:top w:val="single" w:sz="4" w:space="0" w:color="auto"/>
              <w:left w:val="single" w:sz="4" w:space="0" w:color="auto"/>
              <w:bottom w:val="single" w:sz="4" w:space="0" w:color="auto"/>
              <w:right w:val="single" w:sz="4" w:space="0" w:color="auto"/>
            </w:tcBorders>
            <w:vAlign w:val="bottom"/>
            <w:hideMark/>
          </w:tcPr>
          <w:p w14:paraId="62DBC796" w14:textId="77777777" w:rsidR="00703429" w:rsidRDefault="00703429" w:rsidP="00D23AD7">
            <w:pPr>
              <w:keepNext/>
              <w:autoSpaceDE w:val="0"/>
              <w:autoSpaceDN w:val="0"/>
              <w:adjustRightInd w:val="0"/>
              <w:contextualSpacing/>
              <w:jc w:val="center"/>
              <w:rPr>
                <w:i/>
                <w:color w:val="C00000"/>
                <w:sz w:val="20"/>
              </w:rPr>
            </w:pPr>
            <w:r>
              <w:rPr>
                <w:i/>
                <w:color w:val="C00000"/>
                <w:sz w:val="20"/>
              </w:rPr>
              <w:t>Follow-Up After Emergency Department Visit for Alcohol and Other Drug Abuse or Dependence</w:t>
            </w:r>
          </w:p>
        </w:tc>
        <w:tc>
          <w:tcPr>
            <w:tcW w:w="1449" w:type="pct"/>
            <w:tcBorders>
              <w:top w:val="single" w:sz="4" w:space="0" w:color="auto"/>
              <w:left w:val="single" w:sz="4" w:space="0" w:color="auto"/>
              <w:bottom w:val="single" w:sz="4" w:space="0" w:color="auto"/>
              <w:right w:val="single" w:sz="4" w:space="0" w:color="auto"/>
            </w:tcBorders>
            <w:hideMark/>
          </w:tcPr>
          <w:p w14:paraId="2484B403" w14:textId="77777777" w:rsidR="00703429" w:rsidRDefault="00703429" w:rsidP="00D23AD7">
            <w:pPr>
              <w:keepNext/>
              <w:autoSpaceDE w:val="0"/>
              <w:autoSpaceDN w:val="0"/>
              <w:adjustRightInd w:val="0"/>
              <w:contextualSpacing/>
              <w:jc w:val="center"/>
              <w:rPr>
                <w:color w:val="C00000"/>
                <w:sz w:val="20"/>
              </w:rPr>
            </w:pPr>
            <w:r>
              <w:rPr>
                <w:color w:val="C00000"/>
                <w:sz w:val="20"/>
              </w:rPr>
              <w:t>30 days</w:t>
            </w:r>
          </w:p>
        </w:tc>
        <w:tc>
          <w:tcPr>
            <w:tcW w:w="1373" w:type="pct"/>
            <w:tcBorders>
              <w:top w:val="single" w:sz="4" w:space="0" w:color="auto"/>
              <w:left w:val="single" w:sz="4" w:space="0" w:color="auto"/>
              <w:bottom w:val="single" w:sz="4" w:space="0" w:color="auto"/>
              <w:right w:val="single" w:sz="4" w:space="0" w:color="auto"/>
            </w:tcBorders>
            <w:hideMark/>
          </w:tcPr>
          <w:p w14:paraId="11FAADDC" w14:textId="77777777" w:rsidR="00703429" w:rsidRDefault="00703429" w:rsidP="00D23AD7">
            <w:pPr>
              <w:keepNext/>
              <w:autoSpaceDE w:val="0"/>
              <w:autoSpaceDN w:val="0"/>
              <w:adjustRightInd w:val="0"/>
              <w:contextualSpacing/>
              <w:jc w:val="center"/>
              <w:rPr>
                <w:color w:val="C00000"/>
                <w:sz w:val="20"/>
              </w:rPr>
            </w:pPr>
            <w:r>
              <w:rPr>
                <w:color w:val="C00000"/>
                <w:sz w:val="20"/>
              </w:rPr>
              <w:t>7 days</w:t>
            </w:r>
          </w:p>
        </w:tc>
      </w:tr>
      <w:tr w:rsidR="00703429" w14:paraId="3013EA06" w14:textId="77777777" w:rsidTr="00703429">
        <w:tc>
          <w:tcPr>
            <w:tcW w:w="2178" w:type="pct"/>
            <w:tcBorders>
              <w:top w:val="single" w:sz="4" w:space="0" w:color="auto"/>
              <w:left w:val="single" w:sz="4" w:space="0" w:color="auto"/>
              <w:bottom w:val="single" w:sz="4" w:space="0" w:color="auto"/>
              <w:right w:val="single" w:sz="4" w:space="0" w:color="auto"/>
            </w:tcBorders>
            <w:vAlign w:val="center"/>
            <w:hideMark/>
          </w:tcPr>
          <w:p w14:paraId="12CD9BD7" w14:textId="4C62D16F" w:rsidR="00703429" w:rsidRDefault="007F3CA0" w:rsidP="00D23AD7">
            <w:pPr>
              <w:keepNext/>
              <w:autoSpaceDE w:val="0"/>
              <w:autoSpaceDN w:val="0"/>
              <w:adjustRightInd w:val="0"/>
              <w:contextualSpacing/>
              <w:jc w:val="center"/>
              <w:rPr>
                <w:color w:val="C00000"/>
                <w:sz w:val="20"/>
              </w:rPr>
            </w:pPr>
            <w:r>
              <w:rPr>
                <w:color w:val="C00000"/>
                <w:sz w:val="20"/>
              </w:rPr>
              <w:t>30-</w:t>
            </w:r>
            <w:r w:rsidR="00703429">
              <w:rPr>
                <w:color w:val="C00000"/>
                <w:sz w:val="20"/>
              </w:rPr>
              <w:t>day follow-up</w:t>
            </w:r>
          </w:p>
          <w:p w14:paraId="74E04119" w14:textId="2CC252BC" w:rsidR="00703429" w:rsidRDefault="00703429" w:rsidP="00D23AD7">
            <w:pPr>
              <w:keepNext/>
              <w:autoSpaceDE w:val="0"/>
              <w:autoSpaceDN w:val="0"/>
              <w:adjustRightInd w:val="0"/>
              <w:contextualSpacing/>
              <w:jc w:val="center"/>
              <w:rPr>
                <w:color w:val="C00000"/>
                <w:sz w:val="20"/>
              </w:rPr>
            </w:pPr>
          </w:p>
        </w:tc>
        <w:tc>
          <w:tcPr>
            <w:tcW w:w="1449" w:type="pct"/>
            <w:tcBorders>
              <w:top w:val="single" w:sz="4" w:space="0" w:color="auto"/>
              <w:left w:val="single" w:sz="4" w:space="0" w:color="auto"/>
              <w:bottom w:val="single" w:sz="4" w:space="0" w:color="auto"/>
              <w:right w:val="single" w:sz="4" w:space="0" w:color="auto"/>
            </w:tcBorders>
            <w:vAlign w:val="center"/>
            <w:hideMark/>
          </w:tcPr>
          <w:p w14:paraId="5A2E4C8C" w14:textId="77777777" w:rsidR="00703429" w:rsidRDefault="00703429" w:rsidP="00D23AD7">
            <w:pPr>
              <w:keepNext/>
              <w:autoSpaceDE w:val="0"/>
              <w:autoSpaceDN w:val="0"/>
              <w:adjustRightInd w:val="0"/>
              <w:contextualSpacing/>
              <w:jc w:val="center"/>
              <w:rPr>
                <w:color w:val="C00000"/>
                <w:sz w:val="20"/>
              </w:rPr>
            </w:pPr>
            <w:r>
              <w:rPr>
                <w:color w:val="C00000"/>
                <w:sz w:val="20"/>
              </w:rPr>
              <w:t>0.57</w:t>
            </w:r>
          </w:p>
        </w:tc>
        <w:tc>
          <w:tcPr>
            <w:tcW w:w="1373" w:type="pct"/>
            <w:tcBorders>
              <w:top w:val="single" w:sz="4" w:space="0" w:color="auto"/>
              <w:left w:val="single" w:sz="4" w:space="0" w:color="auto"/>
              <w:bottom w:val="single" w:sz="4" w:space="0" w:color="auto"/>
              <w:right w:val="single" w:sz="4" w:space="0" w:color="auto"/>
            </w:tcBorders>
            <w:vAlign w:val="center"/>
            <w:hideMark/>
          </w:tcPr>
          <w:p w14:paraId="3D3B896D" w14:textId="77777777" w:rsidR="00703429" w:rsidRDefault="00703429" w:rsidP="00D23AD7">
            <w:pPr>
              <w:keepNext/>
              <w:autoSpaceDE w:val="0"/>
              <w:autoSpaceDN w:val="0"/>
              <w:adjustRightInd w:val="0"/>
              <w:contextualSpacing/>
              <w:jc w:val="center"/>
              <w:rPr>
                <w:color w:val="C00000"/>
                <w:sz w:val="20"/>
              </w:rPr>
            </w:pPr>
            <w:r>
              <w:rPr>
                <w:color w:val="C00000"/>
                <w:sz w:val="20"/>
              </w:rPr>
              <w:t>0.57</w:t>
            </w:r>
          </w:p>
        </w:tc>
      </w:tr>
      <w:tr w:rsidR="00703429" w14:paraId="1AF4F382" w14:textId="77777777" w:rsidTr="00703429">
        <w:tc>
          <w:tcPr>
            <w:tcW w:w="2178" w:type="pct"/>
            <w:tcBorders>
              <w:top w:val="single" w:sz="4" w:space="0" w:color="auto"/>
              <w:left w:val="single" w:sz="4" w:space="0" w:color="auto"/>
              <w:bottom w:val="single" w:sz="4" w:space="0" w:color="auto"/>
              <w:right w:val="single" w:sz="4" w:space="0" w:color="auto"/>
            </w:tcBorders>
            <w:vAlign w:val="center"/>
            <w:hideMark/>
          </w:tcPr>
          <w:p w14:paraId="4618BBA1" w14:textId="28CDAA9B" w:rsidR="00703429" w:rsidRDefault="007F3CA0" w:rsidP="00D23AD7">
            <w:pPr>
              <w:keepNext/>
              <w:autoSpaceDE w:val="0"/>
              <w:autoSpaceDN w:val="0"/>
              <w:adjustRightInd w:val="0"/>
              <w:contextualSpacing/>
              <w:jc w:val="center"/>
              <w:rPr>
                <w:color w:val="C00000"/>
                <w:sz w:val="20"/>
              </w:rPr>
            </w:pPr>
            <w:r>
              <w:rPr>
                <w:color w:val="C00000"/>
                <w:sz w:val="20"/>
              </w:rPr>
              <w:t>7-day follow-</w:t>
            </w:r>
            <w:r w:rsidR="00703429">
              <w:rPr>
                <w:color w:val="C00000"/>
                <w:sz w:val="20"/>
              </w:rPr>
              <w:t xml:space="preserve">up </w:t>
            </w:r>
            <w:r w:rsidR="00703429">
              <w:rPr>
                <w:color w:val="C00000"/>
                <w:sz w:val="20"/>
              </w:rPr>
              <w:br/>
            </w:r>
          </w:p>
        </w:tc>
        <w:tc>
          <w:tcPr>
            <w:tcW w:w="1449" w:type="pct"/>
            <w:tcBorders>
              <w:top w:val="single" w:sz="4" w:space="0" w:color="auto"/>
              <w:left w:val="single" w:sz="4" w:space="0" w:color="auto"/>
              <w:bottom w:val="single" w:sz="4" w:space="0" w:color="auto"/>
              <w:right w:val="single" w:sz="4" w:space="0" w:color="auto"/>
            </w:tcBorders>
            <w:vAlign w:val="center"/>
            <w:hideMark/>
          </w:tcPr>
          <w:p w14:paraId="3DE2F325" w14:textId="77777777" w:rsidR="00703429" w:rsidRDefault="00703429" w:rsidP="00D23AD7">
            <w:pPr>
              <w:keepNext/>
              <w:autoSpaceDE w:val="0"/>
              <w:autoSpaceDN w:val="0"/>
              <w:adjustRightInd w:val="0"/>
              <w:contextualSpacing/>
              <w:jc w:val="center"/>
              <w:rPr>
                <w:color w:val="C00000"/>
                <w:sz w:val="20"/>
              </w:rPr>
            </w:pPr>
            <w:r>
              <w:rPr>
                <w:color w:val="C00000"/>
                <w:sz w:val="20"/>
              </w:rPr>
              <w:t>0.53</w:t>
            </w:r>
          </w:p>
        </w:tc>
        <w:tc>
          <w:tcPr>
            <w:tcW w:w="1373" w:type="pct"/>
            <w:tcBorders>
              <w:top w:val="single" w:sz="4" w:space="0" w:color="auto"/>
              <w:left w:val="single" w:sz="4" w:space="0" w:color="auto"/>
              <w:bottom w:val="single" w:sz="4" w:space="0" w:color="auto"/>
              <w:right w:val="single" w:sz="4" w:space="0" w:color="auto"/>
            </w:tcBorders>
            <w:vAlign w:val="center"/>
            <w:hideMark/>
          </w:tcPr>
          <w:p w14:paraId="46969C3F" w14:textId="77777777" w:rsidR="00703429" w:rsidRDefault="00703429" w:rsidP="00D23AD7">
            <w:pPr>
              <w:keepNext/>
              <w:autoSpaceDE w:val="0"/>
              <w:autoSpaceDN w:val="0"/>
              <w:adjustRightInd w:val="0"/>
              <w:contextualSpacing/>
              <w:jc w:val="center"/>
              <w:rPr>
                <w:color w:val="C00000"/>
                <w:sz w:val="20"/>
              </w:rPr>
            </w:pPr>
            <w:r>
              <w:rPr>
                <w:color w:val="C00000"/>
                <w:sz w:val="20"/>
              </w:rPr>
              <w:t>0.55</w:t>
            </w:r>
          </w:p>
        </w:tc>
      </w:tr>
    </w:tbl>
    <w:p w14:paraId="422E74CE" w14:textId="4D326ACC" w:rsidR="00703429" w:rsidRDefault="00703429" w:rsidP="00D23AD7">
      <w:pPr>
        <w:autoSpaceDE w:val="0"/>
        <w:autoSpaceDN w:val="0"/>
        <w:adjustRightInd w:val="0"/>
        <w:spacing w:after="0" w:line="240" w:lineRule="auto"/>
        <w:contextualSpacing/>
        <w:rPr>
          <w:color w:val="C00000"/>
          <w:sz w:val="20"/>
          <w:lang w:val="en"/>
        </w:rPr>
      </w:pPr>
      <w:r>
        <w:rPr>
          <w:color w:val="C00000"/>
          <w:sz w:val="20"/>
        </w:rPr>
        <w:t>All scores were significant at p&lt;</w:t>
      </w:r>
      <w:r w:rsidR="00706923">
        <w:rPr>
          <w:color w:val="C00000"/>
          <w:sz w:val="20"/>
          <w:lang w:val="en"/>
        </w:rPr>
        <w:t>0.05</w:t>
      </w:r>
    </w:p>
    <w:p w14:paraId="0B43CD9E" w14:textId="77777777" w:rsidR="00703429" w:rsidRDefault="00703429" w:rsidP="00D23AD7">
      <w:pPr>
        <w:autoSpaceDE w:val="0"/>
        <w:autoSpaceDN w:val="0"/>
        <w:adjustRightInd w:val="0"/>
        <w:spacing w:after="0" w:line="240" w:lineRule="auto"/>
        <w:contextualSpacing/>
        <w:rPr>
          <w:rFonts w:ascii="Times New Roman" w:eastAsia="Times New Roman" w:hAnsi="Times New Roman" w:cs="Times New Roman"/>
          <w:color w:val="C00000"/>
          <w:sz w:val="20"/>
          <w:lang w:val="en"/>
        </w:rPr>
      </w:pPr>
    </w:p>
    <w:p w14:paraId="4333E484" w14:textId="5559D193" w:rsidR="00703429" w:rsidRDefault="00703429" w:rsidP="00D23AD7">
      <w:pPr>
        <w:keepNext/>
        <w:autoSpaceDE w:val="0"/>
        <w:autoSpaceDN w:val="0"/>
        <w:adjustRightInd w:val="0"/>
        <w:spacing w:after="0" w:line="240" w:lineRule="auto"/>
        <w:contextualSpacing/>
        <w:rPr>
          <w:color w:val="C00000"/>
          <w:sz w:val="20"/>
        </w:rPr>
      </w:pPr>
      <w:r>
        <w:rPr>
          <w:color w:val="C00000"/>
          <w:sz w:val="20"/>
        </w:rPr>
        <w:t xml:space="preserve">Table 4c. </w:t>
      </w:r>
      <w:r w:rsidR="00944184">
        <w:rPr>
          <w:color w:val="C00000"/>
          <w:sz w:val="20"/>
        </w:rPr>
        <w:t xml:space="preserve">Health-Plan Level Pearson Correlation Coefficients Among </w:t>
      </w:r>
      <w:r w:rsidR="00944184">
        <w:rPr>
          <w:i/>
          <w:color w:val="C00000"/>
          <w:sz w:val="20"/>
        </w:rPr>
        <w:t>Follow-Up After Emergency Department Visit for Mental Illness</w:t>
      </w:r>
      <w:r w:rsidR="00944184">
        <w:rPr>
          <w:color w:val="C00000"/>
          <w:sz w:val="20"/>
        </w:rPr>
        <w:t xml:space="preserve"> and </w:t>
      </w:r>
      <w:r w:rsidR="00944184">
        <w:rPr>
          <w:i/>
          <w:color w:val="C00000"/>
          <w:sz w:val="20"/>
        </w:rPr>
        <w:t xml:space="preserve">Follow-Up After Emergency Department Visit for Alcohol and Other Drug Abuse or Dependence </w:t>
      </w:r>
      <w:r w:rsidR="00944184">
        <w:rPr>
          <w:color w:val="C00000"/>
          <w:sz w:val="20"/>
        </w:rPr>
        <w:t>Measure Performance Scores</w:t>
      </w:r>
      <w:r>
        <w:rPr>
          <w:color w:val="C00000"/>
          <w:sz w:val="20"/>
        </w:rPr>
        <w:t xml:space="preserve"> – </w:t>
      </w:r>
      <w:r w:rsidRPr="00073702">
        <w:rPr>
          <w:b/>
          <w:color w:val="C00000"/>
          <w:sz w:val="20"/>
        </w:rPr>
        <w:t>Medicare</w:t>
      </w:r>
      <w:r>
        <w:rPr>
          <w:color w:val="C00000"/>
          <w:sz w:val="20"/>
        </w:rPr>
        <w:t xml:space="preserve"> Plans, 2017</w:t>
      </w:r>
    </w:p>
    <w:tbl>
      <w:tblPr>
        <w:tblStyle w:val="TableGrid"/>
        <w:tblW w:w="3751" w:type="pct"/>
        <w:tblLook w:val="04A0" w:firstRow="1" w:lastRow="0" w:firstColumn="1" w:lastColumn="0" w:noHBand="0" w:noVBand="1"/>
      </w:tblPr>
      <w:tblGrid>
        <w:gridCol w:w="3055"/>
        <w:gridCol w:w="2033"/>
        <w:gridCol w:w="1926"/>
      </w:tblGrid>
      <w:tr w:rsidR="00703429" w14:paraId="105BF9C5" w14:textId="77777777" w:rsidTr="00703429">
        <w:trPr>
          <w:trHeight w:val="260"/>
        </w:trPr>
        <w:tc>
          <w:tcPr>
            <w:tcW w:w="2178" w:type="pct"/>
            <w:tcBorders>
              <w:top w:val="single" w:sz="4" w:space="0" w:color="auto"/>
              <w:left w:val="single" w:sz="4" w:space="0" w:color="auto"/>
              <w:bottom w:val="single" w:sz="4" w:space="0" w:color="auto"/>
              <w:right w:val="single" w:sz="4" w:space="0" w:color="auto"/>
            </w:tcBorders>
          </w:tcPr>
          <w:p w14:paraId="38D265AF" w14:textId="77777777" w:rsidR="00703429" w:rsidRDefault="00703429" w:rsidP="00D23AD7">
            <w:pPr>
              <w:keepNext/>
              <w:autoSpaceDE w:val="0"/>
              <w:autoSpaceDN w:val="0"/>
              <w:adjustRightInd w:val="0"/>
              <w:contextualSpacing/>
              <w:rPr>
                <w:i/>
                <w:color w:val="C00000"/>
                <w:sz w:val="20"/>
              </w:rPr>
            </w:pPr>
          </w:p>
        </w:tc>
        <w:tc>
          <w:tcPr>
            <w:tcW w:w="2822" w:type="pct"/>
            <w:gridSpan w:val="2"/>
            <w:tcBorders>
              <w:top w:val="single" w:sz="4" w:space="0" w:color="auto"/>
              <w:left w:val="single" w:sz="4" w:space="0" w:color="auto"/>
              <w:bottom w:val="single" w:sz="4" w:space="0" w:color="auto"/>
              <w:right w:val="single" w:sz="4" w:space="0" w:color="auto"/>
            </w:tcBorders>
            <w:hideMark/>
          </w:tcPr>
          <w:p w14:paraId="7A93BA38" w14:textId="77777777" w:rsidR="00703429" w:rsidRDefault="00703429" w:rsidP="00D23AD7">
            <w:pPr>
              <w:keepNext/>
              <w:autoSpaceDE w:val="0"/>
              <w:autoSpaceDN w:val="0"/>
              <w:adjustRightInd w:val="0"/>
              <w:contextualSpacing/>
              <w:jc w:val="center"/>
              <w:rPr>
                <w:i/>
                <w:color w:val="C00000"/>
                <w:sz w:val="20"/>
              </w:rPr>
            </w:pPr>
            <w:r>
              <w:rPr>
                <w:i/>
                <w:color w:val="C00000"/>
                <w:sz w:val="20"/>
              </w:rPr>
              <w:t>Follow-Up After Emergency Department Visit for Mental Illness</w:t>
            </w:r>
          </w:p>
        </w:tc>
      </w:tr>
      <w:tr w:rsidR="00703429" w14:paraId="56B7B844" w14:textId="77777777" w:rsidTr="00703429">
        <w:trPr>
          <w:trHeight w:val="260"/>
        </w:trPr>
        <w:tc>
          <w:tcPr>
            <w:tcW w:w="2178" w:type="pct"/>
            <w:tcBorders>
              <w:top w:val="single" w:sz="4" w:space="0" w:color="auto"/>
              <w:left w:val="single" w:sz="4" w:space="0" w:color="auto"/>
              <w:bottom w:val="single" w:sz="4" w:space="0" w:color="auto"/>
              <w:right w:val="single" w:sz="4" w:space="0" w:color="auto"/>
            </w:tcBorders>
            <w:vAlign w:val="bottom"/>
            <w:hideMark/>
          </w:tcPr>
          <w:p w14:paraId="3389C51F" w14:textId="77777777" w:rsidR="00703429" w:rsidRDefault="00703429" w:rsidP="00D23AD7">
            <w:pPr>
              <w:keepNext/>
              <w:autoSpaceDE w:val="0"/>
              <w:autoSpaceDN w:val="0"/>
              <w:adjustRightInd w:val="0"/>
              <w:contextualSpacing/>
              <w:jc w:val="center"/>
              <w:rPr>
                <w:i/>
                <w:color w:val="C00000"/>
                <w:sz w:val="20"/>
              </w:rPr>
            </w:pPr>
            <w:r>
              <w:rPr>
                <w:i/>
                <w:color w:val="C00000"/>
                <w:sz w:val="20"/>
              </w:rPr>
              <w:t>Follow-Up After Emergency Department Visit for Alcohol and Other Drug Abuse or Dependence</w:t>
            </w:r>
          </w:p>
        </w:tc>
        <w:tc>
          <w:tcPr>
            <w:tcW w:w="1449" w:type="pct"/>
            <w:tcBorders>
              <w:top w:val="single" w:sz="4" w:space="0" w:color="auto"/>
              <w:left w:val="single" w:sz="4" w:space="0" w:color="auto"/>
              <w:bottom w:val="single" w:sz="4" w:space="0" w:color="auto"/>
              <w:right w:val="single" w:sz="4" w:space="0" w:color="auto"/>
            </w:tcBorders>
            <w:hideMark/>
          </w:tcPr>
          <w:p w14:paraId="475C05D6" w14:textId="77777777" w:rsidR="00703429" w:rsidRDefault="00703429" w:rsidP="00D23AD7">
            <w:pPr>
              <w:keepNext/>
              <w:autoSpaceDE w:val="0"/>
              <w:autoSpaceDN w:val="0"/>
              <w:adjustRightInd w:val="0"/>
              <w:contextualSpacing/>
              <w:jc w:val="center"/>
              <w:rPr>
                <w:color w:val="C00000"/>
                <w:sz w:val="20"/>
              </w:rPr>
            </w:pPr>
            <w:r>
              <w:rPr>
                <w:color w:val="C00000"/>
                <w:sz w:val="20"/>
              </w:rPr>
              <w:t>30 days</w:t>
            </w:r>
          </w:p>
        </w:tc>
        <w:tc>
          <w:tcPr>
            <w:tcW w:w="1373" w:type="pct"/>
            <w:tcBorders>
              <w:top w:val="single" w:sz="4" w:space="0" w:color="auto"/>
              <w:left w:val="single" w:sz="4" w:space="0" w:color="auto"/>
              <w:bottom w:val="single" w:sz="4" w:space="0" w:color="auto"/>
              <w:right w:val="single" w:sz="4" w:space="0" w:color="auto"/>
            </w:tcBorders>
            <w:hideMark/>
          </w:tcPr>
          <w:p w14:paraId="3058B8D6" w14:textId="77777777" w:rsidR="00703429" w:rsidRDefault="00703429" w:rsidP="00D23AD7">
            <w:pPr>
              <w:keepNext/>
              <w:autoSpaceDE w:val="0"/>
              <w:autoSpaceDN w:val="0"/>
              <w:adjustRightInd w:val="0"/>
              <w:contextualSpacing/>
              <w:jc w:val="center"/>
              <w:rPr>
                <w:color w:val="C00000"/>
                <w:sz w:val="20"/>
              </w:rPr>
            </w:pPr>
            <w:r>
              <w:rPr>
                <w:color w:val="C00000"/>
                <w:sz w:val="20"/>
              </w:rPr>
              <w:t>7 days</w:t>
            </w:r>
          </w:p>
        </w:tc>
      </w:tr>
      <w:tr w:rsidR="00703429" w14:paraId="3F7AB0A5" w14:textId="77777777" w:rsidTr="00BE296D">
        <w:tc>
          <w:tcPr>
            <w:tcW w:w="2178" w:type="pct"/>
            <w:tcBorders>
              <w:top w:val="single" w:sz="4" w:space="0" w:color="auto"/>
              <w:left w:val="single" w:sz="4" w:space="0" w:color="auto"/>
              <w:bottom w:val="single" w:sz="4" w:space="0" w:color="auto"/>
              <w:right w:val="single" w:sz="4" w:space="0" w:color="auto"/>
            </w:tcBorders>
            <w:vAlign w:val="center"/>
            <w:hideMark/>
          </w:tcPr>
          <w:p w14:paraId="31D9DA79" w14:textId="43EE94BA" w:rsidR="00703429" w:rsidRDefault="007F3CA0" w:rsidP="00E37221">
            <w:pPr>
              <w:keepNext/>
              <w:autoSpaceDE w:val="0"/>
              <w:autoSpaceDN w:val="0"/>
              <w:adjustRightInd w:val="0"/>
              <w:contextualSpacing/>
              <w:jc w:val="center"/>
              <w:rPr>
                <w:color w:val="C00000"/>
                <w:sz w:val="20"/>
              </w:rPr>
            </w:pPr>
            <w:r>
              <w:rPr>
                <w:color w:val="C00000"/>
                <w:sz w:val="20"/>
              </w:rPr>
              <w:t>30-</w:t>
            </w:r>
            <w:r w:rsidR="00703429">
              <w:rPr>
                <w:color w:val="C00000"/>
                <w:sz w:val="20"/>
              </w:rPr>
              <w:t>day follow-up</w:t>
            </w:r>
          </w:p>
        </w:tc>
        <w:tc>
          <w:tcPr>
            <w:tcW w:w="1449" w:type="pct"/>
            <w:tcBorders>
              <w:top w:val="single" w:sz="4" w:space="0" w:color="auto"/>
              <w:left w:val="single" w:sz="4" w:space="0" w:color="auto"/>
              <w:bottom w:val="single" w:sz="4" w:space="0" w:color="auto"/>
              <w:right w:val="single" w:sz="4" w:space="0" w:color="auto"/>
            </w:tcBorders>
            <w:vAlign w:val="center"/>
            <w:hideMark/>
          </w:tcPr>
          <w:p w14:paraId="0D9F343E" w14:textId="77777777" w:rsidR="00703429" w:rsidRDefault="00703429" w:rsidP="00D23AD7">
            <w:pPr>
              <w:keepNext/>
              <w:autoSpaceDE w:val="0"/>
              <w:autoSpaceDN w:val="0"/>
              <w:adjustRightInd w:val="0"/>
              <w:contextualSpacing/>
              <w:jc w:val="center"/>
              <w:rPr>
                <w:color w:val="C00000"/>
                <w:sz w:val="20"/>
              </w:rPr>
            </w:pPr>
            <w:r>
              <w:rPr>
                <w:color w:val="C00000"/>
                <w:sz w:val="20"/>
              </w:rPr>
              <w:t>0.48</w:t>
            </w:r>
          </w:p>
        </w:tc>
        <w:tc>
          <w:tcPr>
            <w:tcW w:w="1373" w:type="pct"/>
            <w:tcBorders>
              <w:top w:val="single" w:sz="4" w:space="0" w:color="auto"/>
              <w:left w:val="single" w:sz="4" w:space="0" w:color="auto"/>
              <w:bottom w:val="single" w:sz="4" w:space="0" w:color="auto"/>
              <w:right w:val="single" w:sz="4" w:space="0" w:color="auto"/>
            </w:tcBorders>
            <w:vAlign w:val="center"/>
            <w:hideMark/>
          </w:tcPr>
          <w:p w14:paraId="2FA3F1A9" w14:textId="77777777" w:rsidR="00703429" w:rsidRDefault="00703429" w:rsidP="00D23AD7">
            <w:pPr>
              <w:keepNext/>
              <w:autoSpaceDE w:val="0"/>
              <w:autoSpaceDN w:val="0"/>
              <w:adjustRightInd w:val="0"/>
              <w:contextualSpacing/>
              <w:jc w:val="center"/>
              <w:rPr>
                <w:color w:val="C00000"/>
                <w:sz w:val="20"/>
              </w:rPr>
            </w:pPr>
            <w:r>
              <w:rPr>
                <w:color w:val="C00000"/>
                <w:sz w:val="20"/>
              </w:rPr>
              <w:t>0.49</w:t>
            </w:r>
          </w:p>
        </w:tc>
      </w:tr>
      <w:tr w:rsidR="00703429" w14:paraId="3BC59E0A" w14:textId="77777777" w:rsidTr="00BE296D">
        <w:tc>
          <w:tcPr>
            <w:tcW w:w="2178" w:type="pct"/>
            <w:tcBorders>
              <w:top w:val="single" w:sz="4" w:space="0" w:color="auto"/>
              <w:left w:val="single" w:sz="4" w:space="0" w:color="auto"/>
              <w:bottom w:val="single" w:sz="4" w:space="0" w:color="auto"/>
              <w:right w:val="single" w:sz="4" w:space="0" w:color="auto"/>
            </w:tcBorders>
            <w:vAlign w:val="center"/>
            <w:hideMark/>
          </w:tcPr>
          <w:p w14:paraId="6064FA87" w14:textId="03FD4D10" w:rsidR="00703429" w:rsidRDefault="007F3CA0" w:rsidP="00D23AD7">
            <w:pPr>
              <w:keepNext/>
              <w:autoSpaceDE w:val="0"/>
              <w:autoSpaceDN w:val="0"/>
              <w:adjustRightInd w:val="0"/>
              <w:contextualSpacing/>
              <w:jc w:val="center"/>
              <w:rPr>
                <w:color w:val="C00000"/>
                <w:sz w:val="20"/>
              </w:rPr>
            </w:pPr>
            <w:r>
              <w:rPr>
                <w:color w:val="C00000"/>
                <w:sz w:val="20"/>
              </w:rPr>
              <w:t>7-day follow-</w:t>
            </w:r>
            <w:r w:rsidR="00703429">
              <w:rPr>
                <w:color w:val="C00000"/>
                <w:sz w:val="20"/>
              </w:rPr>
              <w:t xml:space="preserve">up </w:t>
            </w:r>
          </w:p>
        </w:tc>
        <w:tc>
          <w:tcPr>
            <w:tcW w:w="1449" w:type="pct"/>
            <w:tcBorders>
              <w:top w:val="single" w:sz="4" w:space="0" w:color="auto"/>
              <w:left w:val="single" w:sz="4" w:space="0" w:color="auto"/>
              <w:bottom w:val="single" w:sz="4" w:space="0" w:color="auto"/>
              <w:right w:val="single" w:sz="4" w:space="0" w:color="auto"/>
            </w:tcBorders>
            <w:vAlign w:val="center"/>
            <w:hideMark/>
          </w:tcPr>
          <w:p w14:paraId="1CEBE456" w14:textId="77777777" w:rsidR="00703429" w:rsidRDefault="00703429" w:rsidP="00D23AD7">
            <w:pPr>
              <w:keepNext/>
              <w:autoSpaceDE w:val="0"/>
              <w:autoSpaceDN w:val="0"/>
              <w:adjustRightInd w:val="0"/>
              <w:contextualSpacing/>
              <w:jc w:val="center"/>
              <w:rPr>
                <w:color w:val="C00000"/>
                <w:sz w:val="20"/>
              </w:rPr>
            </w:pPr>
            <w:r>
              <w:rPr>
                <w:color w:val="C00000"/>
                <w:sz w:val="20"/>
              </w:rPr>
              <w:t>0.42</w:t>
            </w:r>
          </w:p>
        </w:tc>
        <w:tc>
          <w:tcPr>
            <w:tcW w:w="1373" w:type="pct"/>
            <w:tcBorders>
              <w:top w:val="single" w:sz="4" w:space="0" w:color="auto"/>
              <w:left w:val="single" w:sz="4" w:space="0" w:color="auto"/>
              <w:bottom w:val="single" w:sz="4" w:space="0" w:color="auto"/>
              <w:right w:val="single" w:sz="4" w:space="0" w:color="auto"/>
            </w:tcBorders>
            <w:vAlign w:val="center"/>
            <w:hideMark/>
          </w:tcPr>
          <w:p w14:paraId="20A3822C" w14:textId="77777777" w:rsidR="00703429" w:rsidRDefault="00703429" w:rsidP="00D23AD7">
            <w:pPr>
              <w:keepNext/>
              <w:autoSpaceDE w:val="0"/>
              <w:autoSpaceDN w:val="0"/>
              <w:adjustRightInd w:val="0"/>
              <w:contextualSpacing/>
              <w:jc w:val="center"/>
              <w:rPr>
                <w:color w:val="C00000"/>
                <w:sz w:val="20"/>
              </w:rPr>
            </w:pPr>
            <w:r>
              <w:rPr>
                <w:color w:val="C00000"/>
                <w:sz w:val="20"/>
              </w:rPr>
              <w:t>0.44</w:t>
            </w:r>
          </w:p>
        </w:tc>
      </w:tr>
    </w:tbl>
    <w:p w14:paraId="274CA71F" w14:textId="33BFF758" w:rsidR="00703429" w:rsidRDefault="00703429" w:rsidP="00D23AD7">
      <w:pPr>
        <w:autoSpaceDE w:val="0"/>
        <w:autoSpaceDN w:val="0"/>
        <w:adjustRightInd w:val="0"/>
        <w:spacing w:after="0" w:line="240" w:lineRule="auto"/>
        <w:contextualSpacing/>
        <w:rPr>
          <w:rFonts w:ascii="Times New Roman" w:eastAsia="Times New Roman" w:hAnsi="Times New Roman" w:cs="Times New Roman"/>
          <w:color w:val="C00000"/>
          <w:sz w:val="20"/>
          <w:lang w:val="en"/>
        </w:rPr>
      </w:pPr>
      <w:r>
        <w:rPr>
          <w:color w:val="C00000"/>
          <w:sz w:val="20"/>
        </w:rPr>
        <w:t>All scores were significant at p&lt;</w:t>
      </w:r>
      <w:r>
        <w:rPr>
          <w:color w:val="C00000"/>
          <w:sz w:val="20"/>
          <w:lang w:val="en"/>
        </w:rPr>
        <w:t>0.</w:t>
      </w:r>
      <w:r w:rsidR="00073702">
        <w:rPr>
          <w:color w:val="C00000"/>
          <w:sz w:val="20"/>
          <w:lang w:val="en"/>
        </w:rPr>
        <w:t>05</w:t>
      </w:r>
    </w:p>
    <w:p w14:paraId="42B420A9" w14:textId="77777777" w:rsidR="00703429" w:rsidRDefault="00703429" w:rsidP="00D23AD7">
      <w:pPr>
        <w:autoSpaceDE w:val="0"/>
        <w:autoSpaceDN w:val="0"/>
        <w:adjustRightInd w:val="0"/>
        <w:spacing w:after="0" w:line="240" w:lineRule="auto"/>
        <w:contextualSpacing/>
        <w:rPr>
          <w:rFonts w:ascii="Times New Roman" w:eastAsia="Times New Roman" w:hAnsi="Times New Roman" w:cs="Times New Roman"/>
          <w:color w:val="C00000"/>
          <w:sz w:val="20"/>
          <w:lang w:val="en"/>
        </w:rPr>
      </w:pPr>
    </w:p>
    <w:p w14:paraId="0EBBE551" w14:textId="77777777" w:rsidR="00703429" w:rsidRDefault="00703429" w:rsidP="00D23AD7">
      <w:pPr>
        <w:autoSpaceDE w:val="0"/>
        <w:autoSpaceDN w:val="0"/>
        <w:adjustRightInd w:val="0"/>
        <w:spacing w:after="0" w:line="240" w:lineRule="auto"/>
        <w:contextualSpacing/>
        <w:rPr>
          <w:color w:val="C00000"/>
          <w:sz w:val="20"/>
          <w:szCs w:val="20"/>
        </w:rPr>
      </w:pPr>
    </w:p>
    <w:p w14:paraId="595912D7" w14:textId="77777777" w:rsidR="00703429" w:rsidRDefault="00703429" w:rsidP="00D23AD7">
      <w:pPr>
        <w:autoSpaceDE w:val="0"/>
        <w:autoSpaceDN w:val="0"/>
        <w:adjustRightInd w:val="0"/>
        <w:spacing w:after="0" w:line="240" w:lineRule="auto"/>
        <w:contextualSpacing/>
        <w:rPr>
          <w:color w:val="4F81BD" w:themeColor="accent1"/>
        </w:rPr>
      </w:pPr>
      <w:r>
        <w:rPr>
          <w:rStyle w:val="Style1"/>
          <w:b/>
          <w:bCs/>
          <w:color w:val="4F81BD" w:themeColor="accent1"/>
          <w:u w:val="single"/>
        </w:rPr>
        <w:t>2014 Submission</w:t>
      </w:r>
    </w:p>
    <w:p w14:paraId="4934A7B5"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Table 3: Utilization of Inpatient Hospitalization for Mental Health Diagnosis by Measure Performance Quartile</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156"/>
        <w:gridCol w:w="3859"/>
        <w:gridCol w:w="3223"/>
        <w:gridCol w:w="1008"/>
      </w:tblGrid>
      <w:tr w:rsidR="00703429" w14:paraId="46EA1233" w14:textId="77777777" w:rsidTr="00703429">
        <w:trPr>
          <w:trHeight w:val="553"/>
        </w:trPr>
        <w:tc>
          <w:tcPr>
            <w:tcW w:w="0" w:type="auto"/>
            <w:tcBorders>
              <w:top w:val="single" w:sz="2" w:space="0" w:color="auto"/>
              <w:left w:val="single" w:sz="2" w:space="0" w:color="auto"/>
              <w:bottom w:val="single" w:sz="2" w:space="0" w:color="auto"/>
              <w:right w:val="single" w:sz="2" w:space="0" w:color="auto"/>
            </w:tcBorders>
            <w:vAlign w:val="bottom"/>
            <w:hideMark/>
          </w:tcPr>
          <w:p w14:paraId="0412B04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w:t>
            </w:r>
          </w:p>
        </w:tc>
        <w:tc>
          <w:tcPr>
            <w:tcW w:w="7226" w:type="dxa"/>
            <w:gridSpan w:val="2"/>
            <w:tcBorders>
              <w:top w:val="single" w:sz="2" w:space="0" w:color="auto"/>
              <w:left w:val="single" w:sz="2" w:space="0" w:color="auto"/>
              <w:bottom w:val="single" w:sz="2" w:space="0" w:color="auto"/>
              <w:right w:val="single" w:sz="2" w:space="0" w:color="auto"/>
            </w:tcBorders>
            <w:vAlign w:val="bottom"/>
            <w:hideMark/>
          </w:tcPr>
          <w:p w14:paraId="5C0198B7"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Enrollees Hospitalized for Mental Health Diagnosis (Percentage)</w:t>
            </w:r>
          </w:p>
        </w:tc>
        <w:tc>
          <w:tcPr>
            <w:tcW w:w="1008" w:type="dxa"/>
            <w:tcBorders>
              <w:top w:val="single" w:sz="2" w:space="0" w:color="auto"/>
              <w:left w:val="single" w:sz="2" w:space="0" w:color="auto"/>
              <w:bottom w:val="single" w:sz="2" w:space="0" w:color="auto"/>
              <w:right w:val="single" w:sz="2" w:space="0" w:color="auto"/>
            </w:tcBorders>
            <w:vAlign w:val="bottom"/>
            <w:hideMark/>
          </w:tcPr>
          <w:p w14:paraId="444C872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w:t>
            </w:r>
          </w:p>
        </w:tc>
      </w:tr>
      <w:tr w:rsidR="00703429" w14:paraId="3218907B" w14:textId="77777777" w:rsidTr="00703429">
        <w:trPr>
          <w:trHeight w:val="553"/>
        </w:trPr>
        <w:tc>
          <w:tcPr>
            <w:tcW w:w="0" w:type="auto"/>
            <w:tcBorders>
              <w:top w:val="single" w:sz="2" w:space="0" w:color="auto"/>
              <w:left w:val="single" w:sz="2" w:space="0" w:color="auto"/>
              <w:bottom w:val="single" w:sz="2" w:space="0" w:color="auto"/>
              <w:right w:val="single" w:sz="2" w:space="0" w:color="auto"/>
            </w:tcBorders>
            <w:vAlign w:val="bottom"/>
          </w:tcPr>
          <w:p w14:paraId="1CC9145B"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p>
        </w:tc>
        <w:tc>
          <w:tcPr>
            <w:tcW w:w="0" w:type="auto"/>
            <w:tcBorders>
              <w:top w:val="single" w:sz="2" w:space="0" w:color="auto"/>
              <w:left w:val="single" w:sz="2" w:space="0" w:color="auto"/>
              <w:bottom w:val="single" w:sz="2" w:space="0" w:color="auto"/>
              <w:right w:val="single" w:sz="2" w:space="0" w:color="auto"/>
            </w:tcBorders>
            <w:vAlign w:val="bottom"/>
            <w:hideMark/>
          </w:tcPr>
          <w:p w14:paraId="691EBB20"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Among States in Bottom 25 Percent of performance on FUED - Mental Health Denominator</w:t>
            </w:r>
          </w:p>
        </w:tc>
        <w:tc>
          <w:tcPr>
            <w:tcW w:w="3223" w:type="dxa"/>
            <w:tcBorders>
              <w:top w:val="single" w:sz="2" w:space="0" w:color="auto"/>
              <w:left w:val="single" w:sz="2" w:space="0" w:color="auto"/>
              <w:bottom w:val="single" w:sz="2" w:space="0" w:color="auto"/>
              <w:right w:val="single" w:sz="2" w:space="0" w:color="auto"/>
            </w:tcBorders>
            <w:vAlign w:val="bottom"/>
            <w:hideMark/>
          </w:tcPr>
          <w:p w14:paraId="5AFDB32F"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Among States in Top 25 Percent of FUED – Mental Health Denominator</w:t>
            </w:r>
          </w:p>
        </w:tc>
        <w:tc>
          <w:tcPr>
            <w:tcW w:w="1008" w:type="dxa"/>
            <w:tcBorders>
              <w:top w:val="single" w:sz="2" w:space="0" w:color="auto"/>
              <w:left w:val="single" w:sz="2" w:space="0" w:color="auto"/>
              <w:bottom w:val="single" w:sz="2" w:space="0" w:color="auto"/>
              <w:right w:val="single" w:sz="2" w:space="0" w:color="auto"/>
            </w:tcBorders>
            <w:vAlign w:val="bottom"/>
            <w:hideMark/>
          </w:tcPr>
          <w:p w14:paraId="51CFF5E1"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p-value</w:t>
            </w:r>
          </w:p>
        </w:tc>
      </w:tr>
      <w:tr w:rsidR="00703429" w14:paraId="016F7E2C" w14:textId="77777777" w:rsidTr="00703429">
        <w:trPr>
          <w:trHeight w:val="300"/>
        </w:trPr>
        <w:tc>
          <w:tcPr>
            <w:tcW w:w="0" w:type="auto"/>
            <w:tcBorders>
              <w:top w:val="single" w:sz="2" w:space="0" w:color="auto"/>
              <w:left w:val="single" w:sz="2" w:space="0" w:color="auto"/>
              <w:bottom w:val="single" w:sz="2" w:space="0" w:color="auto"/>
              <w:right w:val="single" w:sz="2" w:space="0" w:color="auto"/>
            </w:tcBorders>
            <w:vAlign w:val="bottom"/>
            <w:hideMark/>
          </w:tcPr>
          <w:p w14:paraId="736B8D0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7-day follow-up</w:t>
            </w:r>
          </w:p>
        </w:tc>
        <w:tc>
          <w:tcPr>
            <w:tcW w:w="0" w:type="auto"/>
            <w:tcBorders>
              <w:top w:val="single" w:sz="2" w:space="0" w:color="auto"/>
              <w:left w:val="single" w:sz="2" w:space="0" w:color="auto"/>
              <w:bottom w:val="single" w:sz="2" w:space="0" w:color="auto"/>
              <w:right w:val="single" w:sz="2" w:space="0" w:color="auto"/>
            </w:tcBorders>
            <w:vAlign w:val="bottom"/>
            <w:hideMark/>
          </w:tcPr>
          <w:p w14:paraId="000F5225"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1.87%</w:t>
            </w:r>
          </w:p>
        </w:tc>
        <w:tc>
          <w:tcPr>
            <w:tcW w:w="3223" w:type="dxa"/>
            <w:tcBorders>
              <w:top w:val="single" w:sz="2" w:space="0" w:color="auto"/>
              <w:left w:val="single" w:sz="2" w:space="0" w:color="auto"/>
              <w:bottom w:val="single" w:sz="2" w:space="0" w:color="auto"/>
              <w:right w:val="single" w:sz="2" w:space="0" w:color="auto"/>
            </w:tcBorders>
            <w:vAlign w:val="bottom"/>
            <w:hideMark/>
          </w:tcPr>
          <w:p w14:paraId="66CEF2E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1.79%</w:t>
            </w:r>
          </w:p>
        </w:tc>
        <w:tc>
          <w:tcPr>
            <w:tcW w:w="1008" w:type="dxa"/>
            <w:tcBorders>
              <w:top w:val="single" w:sz="2" w:space="0" w:color="auto"/>
              <w:left w:val="single" w:sz="2" w:space="0" w:color="auto"/>
              <w:bottom w:val="single" w:sz="2" w:space="0" w:color="auto"/>
              <w:right w:val="single" w:sz="2" w:space="0" w:color="auto"/>
            </w:tcBorders>
            <w:vAlign w:val="bottom"/>
            <w:hideMark/>
          </w:tcPr>
          <w:p w14:paraId="2C48D711"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0.90</w:t>
            </w:r>
          </w:p>
        </w:tc>
      </w:tr>
      <w:tr w:rsidR="00703429" w14:paraId="2916758C" w14:textId="77777777" w:rsidTr="00703429">
        <w:trPr>
          <w:trHeight w:val="300"/>
        </w:trPr>
        <w:tc>
          <w:tcPr>
            <w:tcW w:w="0" w:type="auto"/>
            <w:tcBorders>
              <w:top w:val="single" w:sz="2" w:space="0" w:color="auto"/>
              <w:left w:val="single" w:sz="2" w:space="0" w:color="auto"/>
              <w:bottom w:val="single" w:sz="2" w:space="0" w:color="auto"/>
              <w:right w:val="single" w:sz="2" w:space="0" w:color="auto"/>
            </w:tcBorders>
            <w:vAlign w:val="bottom"/>
            <w:hideMark/>
          </w:tcPr>
          <w:p w14:paraId="2D480D0A"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30-day follow-up</w:t>
            </w:r>
          </w:p>
        </w:tc>
        <w:tc>
          <w:tcPr>
            <w:tcW w:w="0" w:type="auto"/>
            <w:tcBorders>
              <w:top w:val="single" w:sz="2" w:space="0" w:color="auto"/>
              <w:left w:val="single" w:sz="2" w:space="0" w:color="auto"/>
              <w:bottom w:val="single" w:sz="2" w:space="0" w:color="auto"/>
              <w:right w:val="single" w:sz="2" w:space="0" w:color="auto"/>
            </w:tcBorders>
            <w:vAlign w:val="bottom"/>
            <w:hideMark/>
          </w:tcPr>
          <w:p w14:paraId="4029152C"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2.08%</w:t>
            </w:r>
          </w:p>
        </w:tc>
        <w:tc>
          <w:tcPr>
            <w:tcW w:w="3223" w:type="dxa"/>
            <w:tcBorders>
              <w:top w:val="single" w:sz="2" w:space="0" w:color="auto"/>
              <w:left w:val="single" w:sz="2" w:space="0" w:color="auto"/>
              <w:bottom w:val="single" w:sz="2" w:space="0" w:color="auto"/>
              <w:right w:val="single" w:sz="2" w:space="0" w:color="auto"/>
            </w:tcBorders>
            <w:vAlign w:val="bottom"/>
            <w:hideMark/>
          </w:tcPr>
          <w:p w14:paraId="031E047B"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1.72%</w:t>
            </w:r>
          </w:p>
        </w:tc>
        <w:tc>
          <w:tcPr>
            <w:tcW w:w="1008" w:type="dxa"/>
            <w:tcBorders>
              <w:top w:val="single" w:sz="2" w:space="0" w:color="auto"/>
              <w:left w:val="single" w:sz="2" w:space="0" w:color="auto"/>
              <w:bottom w:val="single" w:sz="2" w:space="0" w:color="auto"/>
              <w:right w:val="single" w:sz="2" w:space="0" w:color="auto"/>
            </w:tcBorders>
            <w:vAlign w:val="bottom"/>
            <w:hideMark/>
          </w:tcPr>
          <w:p w14:paraId="319E830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0.80</w:t>
            </w:r>
          </w:p>
        </w:tc>
      </w:tr>
    </w:tbl>
    <w:p w14:paraId="5DA854F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p>
    <w:p w14:paraId="1DCFC6FF"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Table 4: Utilization of Inpatient Hospitalization for AOD Diagnosis by Measure Performance Quartile</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56"/>
        <w:gridCol w:w="3559"/>
        <w:gridCol w:w="3423"/>
        <w:gridCol w:w="1008"/>
      </w:tblGrid>
      <w:tr w:rsidR="00703429" w14:paraId="0FCE22A9" w14:textId="77777777" w:rsidTr="00703429">
        <w:trPr>
          <w:trHeight w:val="553"/>
        </w:trPr>
        <w:tc>
          <w:tcPr>
            <w:tcW w:w="0" w:type="auto"/>
            <w:tcBorders>
              <w:top w:val="single" w:sz="2" w:space="0" w:color="auto"/>
              <w:left w:val="single" w:sz="2" w:space="0" w:color="auto"/>
              <w:bottom w:val="single" w:sz="2" w:space="0" w:color="auto"/>
              <w:right w:val="single" w:sz="2" w:space="0" w:color="auto"/>
            </w:tcBorders>
            <w:vAlign w:val="bottom"/>
            <w:hideMark/>
          </w:tcPr>
          <w:p w14:paraId="4711DA8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lastRenderedPageBreak/>
              <w:t> </w:t>
            </w:r>
          </w:p>
        </w:tc>
        <w:tc>
          <w:tcPr>
            <w:tcW w:w="7133" w:type="dxa"/>
            <w:gridSpan w:val="2"/>
            <w:tcBorders>
              <w:top w:val="single" w:sz="2" w:space="0" w:color="auto"/>
              <w:left w:val="single" w:sz="2" w:space="0" w:color="auto"/>
              <w:bottom w:val="single" w:sz="2" w:space="0" w:color="auto"/>
              <w:right w:val="single" w:sz="2" w:space="0" w:color="auto"/>
            </w:tcBorders>
            <w:vAlign w:val="bottom"/>
            <w:hideMark/>
          </w:tcPr>
          <w:p w14:paraId="12F89E12"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Enrollees Hospitalized for AOD Diagnosis (Percentage)</w:t>
            </w:r>
          </w:p>
        </w:tc>
        <w:tc>
          <w:tcPr>
            <w:tcW w:w="1008" w:type="dxa"/>
            <w:tcBorders>
              <w:top w:val="single" w:sz="2" w:space="0" w:color="auto"/>
              <w:left w:val="single" w:sz="2" w:space="0" w:color="auto"/>
              <w:bottom w:val="single" w:sz="2" w:space="0" w:color="auto"/>
              <w:right w:val="single" w:sz="2" w:space="0" w:color="auto"/>
            </w:tcBorders>
            <w:vAlign w:val="bottom"/>
            <w:hideMark/>
          </w:tcPr>
          <w:p w14:paraId="66D4E124"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w:t>
            </w:r>
          </w:p>
        </w:tc>
      </w:tr>
      <w:tr w:rsidR="00703429" w14:paraId="3BDAB3FA" w14:textId="77777777" w:rsidTr="00703429">
        <w:trPr>
          <w:trHeight w:val="553"/>
        </w:trPr>
        <w:tc>
          <w:tcPr>
            <w:tcW w:w="0" w:type="auto"/>
            <w:tcBorders>
              <w:top w:val="single" w:sz="2" w:space="0" w:color="auto"/>
              <w:left w:val="single" w:sz="2" w:space="0" w:color="auto"/>
              <w:bottom w:val="single" w:sz="2" w:space="0" w:color="auto"/>
              <w:right w:val="single" w:sz="2" w:space="0" w:color="auto"/>
            </w:tcBorders>
            <w:vAlign w:val="bottom"/>
          </w:tcPr>
          <w:p w14:paraId="7214552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p>
        </w:tc>
        <w:tc>
          <w:tcPr>
            <w:tcW w:w="0" w:type="auto"/>
            <w:tcBorders>
              <w:top w:val="single" w:sz="2" w:space="0" w:color="auto"/>
              <w:left w:val="single" w:sz="2" w:space="0" w:color="auto"/>
              <w:bottom w:val="single" w:sz="2" w:space="0" w:color="auto"/>
              <w:right w:val="single" w:sz="2" w:space="0" w:color="auto"/>
            </w:tcBorders>
            <w:vAlign w:val="bottom"/>
            <w:hideMark/>
          </w:tcPr>
          <w:p w14:paraId="1114B0DD"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Among States in Bottom 25 Percent of FUED – AOD Denominator </w:t>
            </w:r>
          </w:p>
        </w:tc>
        <w:tc>
          <w:tcPr>
            <w:tcW w:w="3423" w:type="dxa"/>
            <w:tcBorders>
              <w:top w:val="single" w:sz="2" w:space="0" w:color="auto"/>
              <w:left w:val="single" w:sz="2" w:space="0" w:color="auto"/>
              <w:bottom w:val="single" w:sz="2" w:space="0" w:color="auto"/>
              <w:right w:val="single" w:sz="2" w:space="0" w:color="auto"/>
            </w:tcBorders>
            <w:vAlign w:val="bottom"/>
            <w:hideMark/>
          </w:tcPr>
          <w:p w14:paraId="61D1B82B"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Among States in Top 25 Percent of </w:t>
            </w:r>
            <w:proofErr w:type="gramStart"/>
            <w:r>
              <w:rPr>
                <w:rFonts w:cstheme="minorHAnsi"/>
                <w:bCs/>
                <w:color w:val="4F81BD" w:themeColor="accent1"/>
              </w:rPr>
              <w:t>FUED  -</w:t>
            </w:r>
            <w:proofErr w:type="gramEnd"/>
            <w:r>
              <w:rPr>
                <w:rFonts w:cstheme="minorHAnsi"/>
                <w:bCs/>
                <w:color w:val="4F81BD" w:themeColor="accent1"/>
              </w:rPr>
              <w:t xml:space="preserve"> AOD Denominator</w:t>
            </w:r>
          </w:p>
        </w:tc>
        <w:tc>
          <w:tcPr>
            <w:tcW w:w="1008" w:type="dxa"/>
            <w:tcBorders>
              <w:top w:val="single" w:sz="2" w:space="0" w:color="auto"/>
              <w:left w:val="single" w:sz="2" w:space="0" w:color="auto"/>
              <w:bottom w:val="single" w:sz="2" w:space="0" w:color="auto"/>
              <w:right w:val="single" w:sz="2" w:space="0" w:color="auto"/>
            </w:tcBorders>
            <w:vAlign w:val="bottom"/>
            <w:hideMark/>
          </w:tcPr>
          <w:p w14:paraId="45933811"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p-value</w:t>
            </w:r>
          </w:p>
        </w:tc>
      </w:tr>
      <w:tr w:rsidR="00703429" w14:paraId="2F9F8910" w14:textId="77777777" w:rsidTr="00703429">
        <w:trPr>
          <w:trHeight w:val="300"/>
        </w:trPr>
        <w:tc>
          <w:tcPr>
            <w:tcW w:w="0" w:type="auto"/>
            <w:tcBorders>
              <w:top w:val="single" w:sz="2" w:space="0" w:color="auto"/>
              <w:left w:val="single" w:sz="2" w:space="0" w:color="auto"/>
              <w:bottom w:val="single" w:sz="2" w:space="0" w:color="auto"/>
              <w:right w:val="single" w:sz="2" w:space="0" w:color="auto"/>
            </w:tcBorders>
            <w:vAlign w:val="bottom"/>
            <w:hideMark/>
          </w:tcPr>
          <w:p w14:paraId="50374274"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7-day follow-up</w:t>
            </w:r>
          </w:p>
        </w:tc>
        <w:tc>
          <w:tcPr>
            <w:tcW w:w="0" w:type="auto"/>
            <w:tcBorders>
              <w:top w:val="single" w:sz="2" w:space="0" w:color="auto"/>
              <w:left w:val="single" w:sz="2" w:space="0" w:color="auto"/>
              <w:bottom w:val="single" w:sz="2" w:space="0" w:color="auto"/>
              <w:right w:val="single" w:sz="2" w:space="0" w:color="auto"/>
            </w:tcBorders>
            <w:vAlign w:val="bottom"/>
            <w:hideMark/>
          </w:tcPr>
          <w:p w14:paraId="72FD44AA"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0.26%</w:t>
            </w:r>
          </w:p>
        </w:tc>
        <w:tc>
          <w:tcPr>
            <w:tcW w:w="3423" w:type="dxa"/>
            <w:tcBorders>
              <w:top w:val="single" w:sz="2" w:space="0" w:color="auto"/>
              <w:left w:val="single" w:sz="2" w:space="0" w:color="auto"/>
              <w:bottom w:val="single" w:sz="2" w:space="0" w:color="auto"/>
              <w:right w:val="single" w:sz="2" w:space="0" w:color="auto"/>
            </w:tcBorders>
            <w:vAlign w:val="bottom"/>
            <w:hideMark/>
          </w:tcPr>
          <w:p w14:paraId="79401681"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0.32%</w:t>
            </w:r>
          </w:p>
        </w:tc>
        <w:tc>
          <w:tcPr>
            <w:tcW w:w="1008" w:type="dxa"/>
            <w:tcBorders>
              <w:top w:val="single" w:sz="2" w:space="0" w:color="auto"/>
              <w:left w:val="single" w:sz="2" w:space="0" w:color="auto"/>
              <w:bottom w:val="single" w:sz="2" w:space="0" w:color="auto"/>
              <w:right w:val="single" w:sz="2" w:space="0" w:color="auto"/>
            </w:tcBorders>
            <w:vAlign w:val="bottom"/>
            <w:hideMark/>
          </w:tcPr>
          <w:p w14:paraId="2AAC50AB"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0.44</w:t>
            </w:r>
          </w:p>
        </w:tc>
      </w:tr>
      <w:tr w:rsidR="00703429" w14:paraId="73C832F1" w14:textId="77777777" w:rsidTr="00703429">
        <w:trPr>
          <w:trHeight w:val="300"/>
        </w:trPr>
        <w:tc>
          <w:tcPr>
            <w:tcW w:w="0" w:type="auto"/>
            <w:tcBorders>
              <w:top w:val="single" w:sz="2" w:space="0" w:color="auto"/>
              <w:left w:val="single" w:sz="2" w:space="0" w:color="auto"/>
              <w:bottom w:val="single" w:sz="2" w:space="0" w:color="auto"/>
              <w:right w:val="single" w:sz="2" w:space="0" w:color="auto"/>
            </w:tcBorders>
            <w:vAlign w:val="bottom"/>
            <w:hideMark/>
          </w:tcPr>
          <w:p w14:paraId="1659F59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30-day follow-up</w:t>
            </w:r>
          </w:p>
        </w:tc>
        <w:tc>
          <w:tcPr>
            <w:tcW w:w="0" w:type="auto"/>
            <w:tcBorders>
              <w:top w:val="single" w:sz="2" w:space="0" w:color="auto"/>
              <w:left w:val="single" w:sz="2" w:space="0" w:color="auto"/>
              <w:bottom w:val="single" w:sz="2" w:space="0" w:color="auto"/>
              <w:right w:val="single" w:sz="2" w:space="0" w:color="auto"/>
            </w:tcBorders>
            <w:vAlign w:val="bottom"/>
            <w:hideMark/>
          </w:tcPr>
          <w:p w14:paraId="142F8656"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0.26%</w:t>
            </w:r>
          </w:p>
        </w:tc>
        <w:tc>
          <w:tcPr>
            <w:tcW w:w="3423" w:type="dxa"/>
            <w:tcBorders>
              <w:top w:val="single" w:sz="2" w:space="0" w:color="auto"/>
              <w:left w:val="single" w:sz="2" w:space="0" w:color="auto"/>
              <w:bottom w:val="single" w:sz="2" w:space="0" w:color="auto"/>
              <w:right w:val="single" w:sz="2" w:space="0" w:color="auto"/>
            </w:tcBorders>
            <w:vAlign w:val="bottom"/>
            <w:hideMark/>
          </w:tcPr>
          <w:p w14:paraId="7E415AF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0.32%</w:t>
            </w:r>
          </w:p>
        </w:tc>
        <w:tc>
          <w:tcPr>
            <w:tcW w:w="1008" w:type="dxa"/>
            <w:tcBorders>
              <w:top w:val="single" w:sz="2" w:space="0" w:color="auto"/>
              <w:left w:val="single" w:sz="2" w:space="0" w:color="auto"/>
              <w:bottom w:val="single" w:sz="2" w:space="0" w:color="auto"/>
              <w:right w:val="single" w:sz="2" w:space="0" w:color="auto"/>
            </w:tcBorders>
            <w:vAlign w:val="bottom"/>
            <w:hideMark/>
          </w:tcPr>
          <w:p w14:paraId="2C4BD21B"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0.44</w:t>
            </w:r>
          </w:p>
        </w:tc>
      </w:tr>
    </w:tbl>
    <w:p w14:paraId="62573F4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p>
    <w:p w14:paraId="4823B78C"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Systematic assessment of face validity</w:t>
      </w:r>
    </w:p>
    <w:p w14:paraId="0CABCFDE" w14:textId="583EDE1A" w:rsidR="007422FD" w:rsidRPr="00092566" w:rsidRDefault="00703429" w:rsidP="00D23AD7">
      <w:pPr>
        <w:autoSpaceDE w:val="0"/>
        <w:autoSpaceDN w:val="0"/>
        <w:adjustRightInd w:val="0"/>
        <w:spacing w:after="0" w:line="240" w:lineRule="auto"/>
        <w:contextualSpacing/>
        <w:rPr>
          <w:rFonts w:cstheme="minorHAnsi"/>
          <w:bCs/>
        </w:rPr>
      </w:pPr>
      <w:r>
        <w:rPr>
          <w:rFonts w:cstheme="minorHAnsi"/>
          <w:bCs/>
          <w:color w:val="4F81BD" w:themeColor="accent1"/>
        </w:rPr>
        <w:t>Focus group stakeholders and the technical expert panel both supported the face validity of the measure. Both groups agreed that the transition period post-emergency room discharge was a critical time to get patients into outpatient care. Of the stakeholders who provided public comment for this measure, 18 total comments were received and 13 (72.2%) supported or supported the measure with modifications. Other commenters who did not support the measure had concerns about identifying whether an emergency visit took place as well as the validity of the emergency department diagnosis. Specifically, stakeholders were concerned that if the diagnosis in formation is not received, follow-</w:t>
      </w:r>
      <w:proofErr w:type="gramStart"/>
      <w:r>
        <w:rPr>
          <w:rFonts w:cstheme="minorHAnsi"/>
          <w:bCs/>
          <w:color w:val="4F81BD" w:themeColor="accent1"/>
        </w:rPr>
        <w:t>up  There</w:t>
      </w:r>
      <w:proofErr w:type="gramEnd"/>
      <w:r>
        <w:rPr>
          <w:rFonts w:cstheme="minorHAnsi"/>
          <w:bCs/>
          <w:color w:val="4F81BD" w:themeColor="accent1"/>
        </w:rPr>
        <w:t xml:space="preserve"> were additional concerns about the ability to act on the 7-day follow-up as there is lag time between the date of the visit and when the claim is received by the organization. However, our multi-stakeholder expert panel recommended moving forward with the measure because the specifications and testing results were </w:t>
      </w:r>
      <w:proofErr w:type="gramStart"/>
      <w:r>
        <w:rPr>
          <w:rFonts w:cstheme="minorHAnsi"/>
          <w:bCs/>
          <w:color w:val="4F81BD" w:themeColor="accent1"/>
        </w:rPr>
        <w:t>reasonable</w:t>
      </w:r>
      <w:proofErr w:type="gramEnd"/>
      <w:r>
        <w:rPr>
          <w:rFonts w:cstheme="minorHAnsi"/>
          <w:bCs/>
          <w:color w:val="4F81BD" w:themeColor="accent1"/>
        </w:rPr>
        <w:t xml:space="preserve"> and the measure addresses important quality opportunity.</w:t>
      </w:r>
      <w:r>
        <w:rPr>
          <w:rFonts w:eastAsia="Times New Roman" w:cs="Times New Roman"/>
          <w:b/>
          <w:color w:val="FF0000"/>
        </w:rPr>
        <w:t xml:space="preserve"> </w:t>
      </w:r>
      <w:r>
        <w:rPr>
          <w:rFonts w:cstheme="minorHAnsi"/>
          <w:bCs/>
        </w:rPr>
        <w:br/>
      </w:r>
    </w:p>
    <w:p w14:paraId="49F837CA" w14:textId="7865EEC9" w:rsidR="00703429" w:rsidRDefault="009C7513" w:rsidP="00D23AD7">
      <w:pPr>
        <w:autoSpaceDE w:val="0"/>
        <w:autoSpaceDN w:val="0"/>
        <w:adjustRightInd w:val="0"/>
        <w:spacing w:after="0" w:line="240" w:lineRule="auto"/>
        <w:contextualSpacing/>
        <w:rPr>
          <w:rFonts w:ascii="Times New Roman" w:eastAsia="Times New Roman" w:hAnsi="Times New Roman" w:cs="Times New Roman"/>
          <w:b/>
          <w:bCs/>
          <w:color w:val="C00000"/>
          <w:u w:val="single"/>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703429">
        <w:rPr>
          <w:rStyle w:val="Style1"/>
          <w:b/>
          <w:bCs/>
          <w:color w:val="C00000"/>
          <w:u w:val="single"/>
        </w:rPr>
        <w:t>201</w:t>
      </w:r>
      <w:r w:rsidR="005B4052">
        <w:rPr>
          <w:rStyle w:val="Style1"/>
          <w:b/>
          <w:bCs/>
          <w:color w:val="C00000"/>
          <w:u w:val="single"/>
        </w:rPr>
        <w:t>9</w:t>
      </w:r>
      <w:r w:rsidR="00703429">
        <w:rPr>
          <w:rStyle w:val="Style1"/>
          <w:b/>
          <w:bCs/>
          <w:color w:val="C00000"/>
          <w:u w:val="single"/>
        </w:rPr>
        <w:t xml:space="preserve"> Submission</w:t>
      </w:r>
    </w:p>
    <w:p w14:paraId="52811640" w14:textId="77777777" w:rsidR="00703429" w:rsidRDefault="00703429" w:rsidP="00D23AD7">
      <w:pPr>
        <w:autoSpaceDE w:val="0"/>
        <w:autoSpaceDN w:val="0"/>
        <w:adjustRightInd w:val="0"/>
        <w:spacing w:after="0" w:line="240" w:lineRule="auto"/>
        <w:contextualSpacing/>
        <w:rPr>
          <w:color w:val="C00000"/>
          <w:u w:val="single"/>
        </w:rPr>
      </w:pPr>
      <w:r>
        <w:rPr>
          <w:color w:val="C00000"/>
          <w:u w:val="single"/>
        </w:rPr>
        <w:t>Interpretation of systematic assessment of face validity</w:t>
      </w:r>
    </w:p>
    <w:p w14:paraId="3D3F753C" w14:textId="5D08740D" w:rsidR="00703429" w:rsidRDefault="00703429" w:rsidP="00D23AD7">
      <w:pPr>
        <w:autoSpaceDE w:val="0"/>
        <w:autoSpaceDN w:val="0"/>
        <w:adjustRightInd w:val="0"/>
        <w:spacing w:after="0" w:line="240" w:lineRule="auto"/>
        <w:contextualSpacing/>
        <w:rPr>
          <w:color w:val="C00000"/>
        </w:rPr>
      </w:pPr>
      <w:r>
        <w:rPr>
          <w:color w:val="C00000"/>
        </w:rPr>
        <w:t>The multi-stakeholder advisory panels concluded the measures had good face validity</w:t>
      </w:r>
      <w:r w:rsidR="0041445D">
        <w:rPr>
          <w:color w:val="C00000"/>
        </w:rPr>
        <w:t>.</w:t>
      </w:r>
    </w:p>
    <w:p w14:paraId="337C0949" w14:textId="77777777" w:rsidR="00073702" w:rsidRDefault="00073702" w:rsidP="00D23AD7">
      <w:pPr>
        <w:autoSpaceDE w:val="0"/>
        <w:autoSpaceDN w:val="0"/>
        <w:adjustRightInd w:val="0"/>
        <w:spacing w:after="0" w:line="240" w:lineRule="auto"/>
        <w:contextualSpacing/>
        <w:rPr>
          <w:color w:val="C00000"/>
        </w:rPr>
      </w:pPr>
    </w:p>
    <w:p w14:paraId="46814C6C" w14:textId="6BD15B92" w:rsidR="00703429" w:rsidRDefault="00703429" w:rsidP="00D23AD7">
      <w:pPr>
        <w:autoSpaceDE w:val="0"/>
        <w:autoSpaceDN w:val="0"/>
        <w:adjustRightInd w:val="0"/>
        <w:spacing w:after="0" w:line="240" w:lineRule="auto"/>
        <w:contextualSpacing/>
        <w:rPr>
          <w:color w:val="C00000"/>
        </w:rPr>
      </w:pPr>
      <w:r>
        <w:rPr>
          <w:color w:val="C00000"/>
          <w:u w:val="single"/>
        </w:rPr>
        <w:t>Interpretation of construct validity testing</w:t>
      </w:r>
      <w:r>
        <w:rPr>
          <w:color w:val="C00000"/>
        </w:rPr>
        <w:t xml:space="preserve"> </w:t>
      </w:r>
      <w:r>
        <w:rPr>
          <w:color w:val="C00000"/>
        </w:rPr>
        <w:br/>
        <w:t xml:space="preserve">Correlations between individual rates within the </w:t>
      </w:r>
      <w:r w:rsidR="00BE7987" w:rsidRPr="00BE7987">
        <w:rPr>
          <w:i/>
          <w:color w:val="C00000"/>
        </w:rPr>
        <w:t>Follow-Up After Emergency Department Visit for Mental Illness</w:t>
      </w:r>
      <w:r>
        <w:rPr>
          <w:i/>
          <w:color w:val="C00000"/>
        </w:rPr>
        <w:t xml:space="preserve"> </w:t>
      </w:r>
      <w:r w:rsidR="00BE7987">
        <w:rPr>
          <w:color w:val="C00000"/>
        </w:rPr>
        <w:t>measure were</w:t>
      </w:r>
      <w:r>
        <w:rPr>
          <w:color w:val="C00000"/>
        </w:rPr>
        <w:t xml:space="preserve"> strong (Tables 3a, 3b, 3c). Correlations between the </w:t>
      </w:r>
      <w:r>
        <w:rPr>
          <w:i/>
          <w:color w:val="C00000"/>
        </w:rPr>
        <w:t xml:space="preserve">Follow-Up After Emergency Department Visit for Alcohol and Other Drug Abuse or Dependence </w:t>
      </w:r>
      <w:r>
        <w:rPr>
          <w:color w:val="C00000"/>
        </w:rPr>
        <w:t xml:space="preserve">and </w:t>
      </w:r>
      <w:r>
        <w:rPr>
          <w:i/>
          <w:color w:val="C00000"/>
        </w:rPr>
        <w:t xml:space="preserve">Follow-Up After Emergency Department Visit for Mental Illness </w:t>
      </w:r>
      <w:r>
        <w:rPr>
          <w:color w:val="C00000"/>
        </w:rPr>
        <w:t xml:space="preserve">measure rates (Tables 4a, 4b, 4c) were moderate. </w:t>
      </w:r>
      <w:r w:rsidR="004C680B">
        <w:rPr>
          <w:color w:val="C00000"/>
        </w:rPr>
        <w:t xml:space="preserve">Plans with higher rates on </w:t>
      </w:r>
      <w:r w:rsidR="004C680B" w:rsidRPr="00073702">
        <w:rPr>
          <w:i/>
          <w:color w:val="C00000"/>
        </w:rPr>
        <w:t>Follow-Up After Emergency Department Visit for Alcohol and Other Drug Abuse or Dependence</w:t>
      </w:r>
      <w:r w:rsidR="004C680B">
        <w:rPr>
          <w:color w:val="C00000"/>
        </w:rPr>
        <w:t xml:space="preserve"> tend to also have higher rates on the</w:t>
      </w:r>
      <w:r w:rsidR="004C680B" w:rsidRPr="004C680B">
        <w:rPr>
          <w:color w:val="C00000"/>
        </w:rPr>
        <w:t xml:space="preserve"> </w:t>
      </w:r>
      <w:r w:rsidR="004C680B" w:rsidRPr="00073702">
        <w:rPr>
          <w:i/>
          <w:color w:val="C00000"/>
        </w:rPr>
        <w:t>Follow-Up After Emergency Department Visit for Mental Illness</w:t>
      </w:r>
      <w:r w:rsidR="004C680B">
        <w:rPr>
          <w:color w:val="C00000"/>
        </w:rPr>
        <w:t>. The results indicate that the</w:t>
      </w:r>
      <w:r w:rsidR="004C680B" w:rsidRPr="004C680B">
        <w:t xml:space="preserve"> </w:t>
      </w:r>
      <w:r w:rsidR="00BE296D" w:rsidRPr="00BE296D">
        <w:rPr>
          <w:i/>
          <w:color w:val="C00000"/>
        </w:rPr>
        <w:t>Follow-Up After Emergency Department Visit for Mental Illness</w:t>
      </w:r>
      <w:r w:rsidR="00BE296D" w:rsidRPr="00BE296D" w:rsidDel="00BE296D">
        <w:rPr>
          <w:i/>
          <w:color w:val="C00000"/>
        </w:rPr>
        <w:t xml:space="preserve"> </w:t>
      </w:r>
      <w:r w:rsidR="00BE296D">
        <w:rPr>
          <w:color w:val="C00000"/>
        </w:rPr>
        <w:t xml:space="preserve">measure </w:t>
      </w:r>
      <w:r w:rsidR="004C680B">
        <w:rPr>
          <w:color w:val="C00000"/>
        </w:rPr>
        <w:t xml:space="preserve">has good validity. </w:t>
      </w:r>
    </w:p>
    <w:p w14:paraId="695DABF7" w14:textId="77777777" w:rsidR="00703429" w:rsidRDefault="00703429" w:rsidP="00D23AD7">
      <w:pPr>
        <w:autoSpaceDE w:val="0"/>
        <w:autoSpaceDN w:val="0"/>
        <w:adjustRightInd w:val="0"/>
        <w:spacing w:after="0" w:line="240" w:lineRule="auto"/>
        <w:contextualSpacing/>
        <w:rPr>
          <w:color w:val="C00000"/>
        </w:rPr>
      </w:pPr>
    </w:p>
    <w:p w14:paraId="499B0FAD" w14:textId="77777777" w:rsidR="00703429" w:rsidRDefault="00703429" w:rsidP="00D23AD7">
      <w:pPr>
        <w:autoSpaceDE w:val="0"/>
        <w:autoSpaceDN w:val="0"/>
        <w:adjustRightInd w:val="0"/>
        <w:spacing w:after="0" w:line="240" w:lineRule="auto"/>
        <w:contextualSpacing/>
        <w:rPr>
          <w:color w:val="4F81BD" w:themeColor="accent1"/>
        </w:rPr>
      </w:pPr>
      <w:r>
        <w:rPr>
          <w:rStyle w:val="Style1"/>
          <w:b/>
          <w:bCs/>
          <w:color w:val="4F81BD" w:themeColor="accent1"/>
          <w:u w:val="single"/>
        </w:rPr>
        <w:t>2014 Submission</w:t>
      </w:r>
    </w:p>
    <w:p w14:paraId="5CB53DBB"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While the empirical testing did not support our hypothesis, stakeholders generally supported the face validity of the measure.  The rate of inpatient hospitalization is not statistically different between states that perform well on this measure versus states that perform poorly (Tables 3 and 4). However, this result is likely due to the relatively low, tightly distributed rates of inpatient hospitalization for states in both the low- and high-performing groups. Rather than suggest that the measure is not valid, this result may indicate that our assumptions were not correct about the relationship between the measure and inpatient hospitalization; this relationship may warrant further study. The findings from public comment, focus groups and technical expert panel suggest that the adaptation for monitoring follow up after ED visits has specifications that can produce valid results.</w:t>
      </w:r>
    </w:p>
    <w:p w14:paraId="0CABCFE0" w14:textId="77777777" w:rsidR="008A403A" w:rsidRPr="00A25024" w:rsidRDefault="00483E94" w:rsidP="00D23AD7">
      <w:pPr>
        <w:autoSpaceDE w:val="0"/>
        <w:autoSpaceDN w:val="0"/>
        <w:adjustRightInd w:val="0"/>
        <w:spacing w:after="0" w:line="240" w:lineRule="auto"/>
        <w:contextualSpacing/>
        <w:rPr>
          <w:rFonts w:cstheme="minorHAnsi"/>
          <w:bCs/>
        </w:rPr>
      </w:pPr>
      <w:r>
        <w:rPr>
          <w:rFonts w:cstheme="minorHAnsi"/>
          <w:bCs/>
        </w:rPr>
        <w:lastRenderedPageBreak/>
        <w:t>_________________________</w:t>
      </w:r>
    </w:p>
    <w:p w14:paraId="0CABCFE1" w14:textId="5D7F87B5" w:rsidR="00097012" w:rsidRPr="00A25024" w:rsidRDefault="00021170" w:rsidP="00D23AD7">
      <w:pPr>
        <w:autoSpaceDE w:val="0"/>
        <w:autoSpaceDN w:val="0"/>
        <w:adjustRightInd w:val="0"/>
        <w:spacing w:after="0" w:line="240" w:lineRule="auto"/>
        <w:contextualSpacing/>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02F67B4D" w:rsidR="00B037BA" w:rsidRPr="00A25024" w:rsidRDefault="001E4DD4" w:rsidP="00D23AD7">
      <w:pPr>
        <w:autoSpaceDE w:val="0"/>
        <w:autoSpaceDN w:val="0"/>
        <w:adjustRightInd w:val="0"/>
        <w:spacing w:after="0" w:line="240" w:lineRule="auto"/>
        <w:contextualSpacing/>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9D3CB1">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5E1790">
        <w:rPr>
          <w:rFonts w:cstheme="minorHAnsi"/>
          <w:b/>
          <w:bCs/>
          <w:i/>
        </w:rPr>
        <w:t xml:space="preserve">skip </w:t>
      </w:r>
      <w:r w:rsidR="008A4C13" w:rsidRPr="005E1790">
        <w:rPr>
          <w:rFonts w:cstheme="minorHAnsi"/>
          <w:b/>
          <w:bCs/>
          <w:i/>
        </w:rPr>
        <w:t xml:space="preserve">to </w:t>
      </w:r>
      <w:r w:rsidR="00BE592D" w:rsidRPr="005E1790">
        <w:rPr>
          <w:rFonts w:cstheme="minorHAnsi"/>
          <w:b/>
          <w:bCs/>
          <w:i/>
        </w:rPr>
        <w:t xml:space="preserve">section </w:t>
      </w:r>
      <w:hyperlink w:anchor="section2b4" w:history="1">
        <w:r w:rsidR="00483E94" w:rsidRPr="005E1790">
          <w:rPr>
            <w:rStyle w:val="Hyperlink"/>
            <w:rFonts w:cstheme="minorHAnsi"/>
            <w:b/>
            <w:bCs/>
            <w:i/>
          </w:rPr>
          <w:t>2b</w:t>
        </w:r>
        <w:r w:rsidR="00565946" w:rsidRPr="005E1790">
          <w:rPr>
            <w:rStyle w:val="Hyperlink"/>
            <w:rFonts w:cstheme="minorHAnsi"/>
            <w:b/>
            <w:bCs/>
            <w:i/>
          </w:rPr>
          <w:t>3</w:t>
        </w:r>
      </w:hyperlink>
    </w:p>
    <w:p w14:paraId="6B329E39" w14:textId="3AA1A2D5" w:rsidR="000007FD" w:rsidRDefault="000007FD" w:rsidP="000007FD">
      <w:pPr>
        <w:autoSpaceDE w:val="0"/>
        <w:autoSpaceDN w:val="0"/>
        <w:adjustRightInd w:val="0"/>
        <w:spacing w:after="0" w:line="240" w:lineRule="auto"/>
        <w:contextualSpacing/>
        <w:rPr>
          <w:rStyle w:val="Style1"/>
          <w:b/>
          <w:bCs/>
          <w:color w:val="C00000"/>
          <w:u w:val="single"/>
        </w:rPr>
      </w:pPr>
      <w:r>
        <w:rPr>
          <w:rStyle w:val="Style1"/>
          <w:b/>
          <w:bCs/>
          <w:color w:val="C00000"/>
          <w:u w:val="single"/>
        </w:rPr>
        <w:t>201</w:t>
      </w:r>
      <w:r w:rsidR="005B4052">
        <w:rPr>
          <w:rStyle w:val="Style1"/>
          <w:b/>
          <w:bCs/>
          <w:color w:val="C00000"/>
          <w:u w:val="single"/>
        </w:rPr>
        <w:t>9</w:t>
      </w:r>
      <w:r>
        <w:rPr>
          <w:rStyle w:val="Style1"/>
          <w:b/>
          <w:bCs/>
          <w:color w:val="C00000"/>
          <w:u w:val="single"/>
        </w:rPr>
        <w:t xml:space="preserve"> Submission</w:t>
      </w:r>
    </w:p>
    <w:p w14:paraId="0FECE0E1" w14:textId="5D186131" w:rsidR="000007FD" w:rsidRPr="009D3CB1" w:rsidRDefault="00706923" w:rsidP="000007FD">
      <w:pPr>
        <w:autoSpaceDE w:val="0"/>
        <w:autoSpaceDN w:val="0"/>
        <w:adjustRightInd w:val="0"/>
        <w:spacing w:after="0" w:line="240" w:lineRule="auto"/>
        <w:contextualSpacing/>
        <w:rPr>
          <w:color w:val="C00000"/>
        </w:rPr>
      </w:pPr>
      <w:r>
        <w:rPr>
          <w:color w:val="C00000"/>
        </w:rPr>
        <w:t>No exclusions</w:t>
      </w:r>
    </w:p>
    <w:p w14:paraId="76403DE4" w14:textId="77777777" w:rsidR="009D3CB1" w:rsidRDefault="009D3CB1" w:rsidP="00D23AD7">
      <w:pPr>
        <w:autoSpaceDE w:val="0"/>
        <w:autoSpaceDN w:val="0"/>
        <w:adjustRightInd w:val="0"/>
        <w:spacing w:after="0" w:line="240" w:lineRule="auto"/>
        <w:contextualSpacing/>
        <w:rPr>
          <w:rFonts w:cstheme="minorHAnsi"/>
          <w:b/>
          <w:bCs/>
        </w:rPr>
      </w:pPr>
    </w:p>
    <w:p w14:paraId="0CABCFE4" w14:textId="6EFBE429" w:rsidR="00833325" w:rsidRPr="009D3882" w:rsidRDefault="00092566" w:rsidP="00D23AD7">
      <w:pPr>
        <w:autoSpaceDE w:val="0"/>
        <w:autoSpaceDN w:val="0"/>
        <w:adjustRightInd w:val="0"/>
        <w:spacing w:after="0" w:line="240" w:lineRule="auto"/>
        <w:contextualSpacing/>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6AE33DB7" w14:textId="77777777" w:rsidR="00703429" w:rsidRDefault="00703429" w:rsidP="00D23AD7">
      <w:pPr>
        <w:autoSpaceDE w:val="0"/>
        <w:autoSpaceDN w:val="0"/>
        <w:adjustRightInd w:val="0"/>
        <w:spacing w:after="0" w:line="240" w:lineRule="auto"/>
        <w:contextualSpacing/>
        <w:rPr>
          <w:rFonts w:cstheme="minorHAnsi"/>
          <w:bCs/>
        </w:rPr>
      </w:pPr>
      <w:r>
        <w:rPr>
          <w:rStyle w:val="Style1"/>
          <w:b/>
          <w:bCs/>
          <w:color w:val="4F81BD" w:themeColor="accent1"/>
          <w:u w:val="single"/>
        </w:rPr>
        <w:t>2014 Submission</w:t>
      </w:r>
    </w:p>
    <w:p w14:paraId="2AC37311"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Our testing addresses four components of the denominator or exclusions, as shown in Table 5.</w:t>
      </w:r>
    </w:p>
    <w:p w14:paraId="27222812"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p>
    <w:p w14:paraId="64680CA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Table 5: Measure Exclusions </w:t>
      </w:r>
    </w:p>
    <w:tbl>
      <w:tblPr>
        <w:tblStyle w:val="TableGrid"/>
        <w:tblW w:w="0" w:type="auto"/>
        <w:tblLook w:val="04A0" w:firstRow="1" w:lastRow="0" w:firstColumn="1" w:lastColumn="0" w:noHBand="0" w:noVBand="1"/>
      </w:tblPr>
      <w:tblGrid>
        <w:gridCol w:w="2387"/>
        <w:gridCol w:w="3568"/>
        <w:gridCol w:w="1692"/>
        <w:gridCol w:w="1703"/>
      </w:tblGrid>
      <w:tr w:rsidR="00703429" w14:paraId="1A772372" w14:textId="77777777" w:rsidTr="00703429">
        <w:tc>
          <w:tcPr>
            <w:tcW w:w="0" w:type="auto"/>
            <w:tcBorders>
              <w:top w:val="single" w:sz="4" w:space="0" w:color="auto"/>
              <w:left w:val="single" w:sz="4" w:space="0" w:color="auto"/>
              <w:bottom w:val="single" w:sz="4" w:space="0" w:color="auto"/>
              <w:right w:val="single" w:sz="4" w:space="0" w:color="auto"/>
            </w:tcBorders>
            <w:hideMark/>
          </w:tcPr>
          <w:p w14:paraId="06BA8C3C"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Exclusion</w:t>
            </w:r>
          </w:p>
        </w:tc>
        <w:tc>
          <w:tcPr>
            <w:tcW w:w="0" w:type="auto"/>
            <w:tcBorders>
              <w:top w:val="single" w:sz="4" w:space="0" w:color="auto"/>
              <w:left w:val="single" w:sz="4" w:space="0" w:color="auto"/>
              <w:bottom w:val="single" w:sz="4" w:space="0" w:color="auto"/>
              <w:right w:val="single" w:sz="4" w:space="0" w:color="auto"/>
            </w:tcBorders>
            <w:hideMark/>
          </w:tcPr>
          <w:p w14:paraId="3DA28F4C"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Rationale</w:t>
            </w:r>
          </w:p>
        </w:tc>
        <w:tc>
          <w:tcPr>
            <w:tcW w:w="0" w:type="auto"/>
            <w:tcBorders>
              <w:top w:val="single" w:sz="4" w:space="0" w:color="auto"/>
              <w:left w:val="single" w:sz="4" w:space="0" w:color="auto"/>
              <w:bottom w:val="single" w:sz="4" w:space="0" w:color="auto"/>
              <w:right w:val="single" w:sz="4" w:space="0" w:color="auto"/>
            </w:tcBorders>
            <w:hideMark/>
          </w:tcPr>
          <w:p w14:paraId="2060249D"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MH Denominator lost due to exclusion</w:t>
            </w:r>
          </w:p>
        </w:tc>
        <w:tc>
          <w:tcPr>
            <w:tcW w:w="0" w:type="auto"/>
            <w:tcBorders>
              <w:top w:val="single" w:sz="4" w:space="0" w:color="auto"/>
              <w:left w:val="single" w:sz="4" w:space="0" w:color="auto"/>
              <w:bottom w:val="single" w:sz="4" w:space="0" w:color="auto"/>
              <w:right w:val="single" w:sz="4" w:space="0" w:color="auto"/>
            </w:tcBorders>
            <w:hideMark/>
          </w:tcPr>
          <w:p w14:paraId="236951E2"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AOD Denominator lost due to exclusion</w:t>
            </w:r>
          </w:p>
        </w:tc>
      </w:tr>
      <w:tr w:rsidR="00703429" w14:paraId="019AEA11" w14:textId="77777777" w:rsidTr="00703429">
        <w:tc>
          <w:tcPr>
            <w:tcW w:w="0" w:type="auto"/>
            <w:tcBorders>
              <w:top w:val="single" w:sz="4" w:space="0" w:color="auto"/>
              <w:left w:val="single" w:sz="4" w:space="0" w:color="auto"/>
              <w:bottom w:val="single" w:sz="4" w:space="0" w:color="auto"/>
              <w:right w:val="single" w:sz="4" w:space="0" w:color="auto"/>
            </w:tcBorders>
            <w:hideMark/>
          </w:tcPr>
          <w:p w14:paraId="679785CF"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ED discharges after December 1</w:t>
            </w:r>
          </w:p>
        </w:tc>
        <w:tc>
          <w:tcPr>
            <w:tcW w:w="0" w:type="auto"/>
            <w:tcBorders>
              <w:top w:val="single" w:sz="4" w:space="0" w:color="auto"/>
              <w:left w:val="single" w:sz="4" w:space="0" w:color="auto"/>
              <w:bottom w:val="single" w:sz="4" w:space="0" w:color="auto"/>
              <w:right w:val="single" w:sz="4" w:space="0" w:color="auto"/>
            </w:tcBorders>
            <w:hideMark/>
          </w:tcPr>
          <w:p w14:paraId="3AF53549"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If an ED discharge is after December 1, then the full 30-day follow-up period is not available for patient to receive follow-up care during the measurement year</w:t>
            </w:r>
          </w:p>
        </w:tc>
        <w:tc>
          <w:tcPr>
            <w:tcW w:w="0" w:type="auto"/>
            <w:tcBorders>
              <w:top w:val="single" w:sz="4" w:space="0" w:color="auto"/>
              <w:left w:val="single" w:sz="4" w:space="0" w:color="auto"/>
              <w:bottom w:val="single" w:sz="4" w:space="0" w:color="auto"/>
              <w:right w:val="single" w:sz="4" w:space="0" w:color="auto"/>
            </w:tcBorders>
            <w:hideMark/>
          </w:tcPr>
          <w:p w14:paraId="6C09F840"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7.5%</w:t>
            </w:r>
          </w:p>
        </w:tc>
        <w:tc>
          <w:tcPr>
            <w:tcW w:w="0" w:type="auto"/>
            <w:tcBorders>
              <w:top w:val="single" w:sz="4" w:space="0" w:color="auto"/>
              <w:left w:val="single" w:sz="4" w:space="0" w:color="auto"/>
              <w:bottom w:val="single" w:sz="4" w:space="0" w:color="auto"/>
              <w:right w:val="single" w:sz="4" w:space="0" w:color="auto"/>
            </w:tcBorders>
            <w:hideMark/>
          </w:tcPr>
          <w:p w14:paraId="55859B12"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6.9%</w:t>
            </w:r>
          </w:p>
        </w:tc>
      </w:tr>
      <w:tr w:rsidR="00703429" w14:paraId="5D47719E" w14:textId="77777777" w:rsidTr="00703429">
        <w:tc>
          <w:tcPr>
            <w:tcW w:w="0" w:type="auto"/>
            <w:tcBorders>
              <w:top w:val="single" w:sz="4" w:space="0" w:color="auto"/>
              <w:left w:val="single" w:sz="4" w:space="0" w:color="auto"/>
              <w:bottom w:val="single" w:sz="4" w:space="0" w:color="auto"/>
              <w:right w:val="single" w:sz="4" w:space="0" w:color="auto"/>
            </w:tcBorders>
            <w:hideMark/>
          </w:tcPr>
          <w:p w14:paraId="2F125090"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ED discharges who die during the follow-up period</w:t>
            </w:r>
          </w:p>
        </w:tc>
        <w:tc>
          <w:tcPr>
            <w:tcW w:w="0" w:type="auto"/>
            <w:tcBorders>
              <w:top w:val="single" w:sz="4" w:space="0" w:color="auto"/>
              <w:left w:val="single" w:sz="4" w:space="0" w:color="auto"/>
              <w:bottom w:val="single" w:sz="4" w:space="0" w:color="auto"/>
              <w:right w:val="single" w:sz="4" w:space="0" w:color="auto"/>
            </w:tcBorders>
            <w:hideMark/>
          </w:tcPr>
          <w:p w14:paraId="6CA97B9A"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Death prevents follow-up care</w:t>
            </w:r>
          </w:p>
        </w:tc>
        <w:tc>
          <w:tcPr>
            <w:tcW w:w="0" w:type="auto"/>
            <w:tcBorders>
              <w:top w:val="single" w:sz="4" w:space="0" w:color="auto"/>
              <w:left w:val="single" w:sz="4" w:space="0" w:color="auto"/>
              <w:bottom w:val="single" w:sz="4" w:space="0" w:color="auto"/>
              <w:right w:val="single" w:sz="4" w:space="0" w:color="auto"/>
            </w:tcBorders>
            <w:hideMark/>
          </w:tcPr>
          <w:p w14:paraId="3CF7BFBD"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Less than 1%</w:t>
            </w:r>
          </w:p>
        </w:tc>
        <w:tc>
          <w:tcPr>
            <w:tcW w:w="0" w:type="auto"/>
            <w:tcBorders>
              <w:top w:val="single" w:sz="4" w:space="0" w:color="auto"/>
              <w:left w:val="single" w:sz="4" w:space="0" w:color="auto"/>
              <w:bottom w:val="single" w:sz="4" w:space="0" w:color="auto"/>
              <w:right w:val="single" w:sz="4" w:space="0" w:color="auto"/>
            </w:tcBorders>
            <w:hideMark/>
          </w:tcPr>
          <w:p w14:paraId="07839067"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Less than 1%</w:t>
            </w:r>
          </w:p>
        </w:tc>
      </w:tr>
      <w:tr w:rsidR="00703429" w14:paraId="55BF8DFB" w14:textId="77777777" w:rsidTr="00703429">
        <w:tc>
          <w:tcPr>
            <w:tcW w:w="0" w:type="auto"/>
            <w:tcBorders>
              <w:top w:val="single" w:sz="4" w:space="0" w:color="auto"/>
              <w:left w:val="single" w:sz="4" w:space="0" w:color="auto"/>
              <w:bottom w:val="single" w:sz="4" w:space="0" w:color="auto"/>
              <w:right w:val="single" w:sz="4" w:space="0" w:color="auto"/>
            </w:tcBorders>
            <w:hideMark/>
          </w:tcPr>
          <w:p w14:paraId="18DEAF11"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For an ED discharge where the patient also visited the ED in the previous 30 days, exclude those previous ED discharges</w:t>
            </w:r>
          </w:p>
        </w:tc>
        <w:tc>
          <w:tcPr>
            <w:tcW w:w="0" w:type="auto"/>
            <w:tcBorders>
              <w:top w:val="single" w:sz="4" w:space="0" w:color="auto"/>
              <w:left w:val="single" w:sz="4" w:space="0" w:color="auto"/>
              <w:bottom w:val="single" w:sz="4" w:space="0" w:color="auto"/>
              <w:right w:val="single" w:sz="4" w:space="0" w:color="auto"/>
            </w:tcBorders>
            <w:hideMark/>
          </w:tcPr>
          <w:p w14:paraId="31EECB89" w14:textId="77777777" w:rsidR="00703429" w:rsidRDefault="00703429" w:rsidP="00D23AD7">
            <w:pPr>
              <w:autoSpaceDE w:val="0"/>
              <w:autoSpaceDN w:val="0"/>
              <w:adjustRightInd w:val="0"/>
              <w:contextualSpacing/>
              <w:rPr>
                <w:rFonts w:cstheme="minorHAnsi"/>
                <w:bCs/>
                <w:color w:val="4F81BD" w:themeColor="accent1"/>
              </w:rPr>
            </w:pPr>
            <w:proofErr w:type="gramStart"/>
            <w:r>
              <w:rPr>
                <w:rFonts w:cstheme="minorHAnsi"/>
                <w:bCs/>
                <w:color w:val="4F81BD" w:themeColor="accent1"/>
              </w:rPr>
              <w:t>Including  these</w:t>
            </w:r>
            <w:proofErr w:type="gramEnd"/>
            <w:r>
              <w:rPr>
                <w:rFonts w:cstheme="minorHAnsi"/>
                <w:bCs/>
                <w:color w:val="4F81BD" w:themeColor="accent1"/>
              </w:rPr>
              <w:t xml:space="preserve">  ED discharges could lead to a larger number of ED visits resulting in  higher performance on the measure</w:t>
            </w:r>
          </w:p>
          <w:p w14:paraId="31030EA1"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This exclusion aligns with the NQF-endorsed (#0576) Follow-up after Hospitalization for Mental Illness measure to reduce the burden and confusion for health plans implementing both measures</w:t>
            </w:r>
          </w:p>
        </w:tc>
        <w:tc>
          <w:tcPr>
            <w:tcW w:w="0" w:type="auto"/>
            <w:tcBorders>
              <w:top w:val="single" w:sz="4" w:space="0" w:color="auto"/>
              <w:left w:val="single" w:sz="4" w:space="0" w:color="auto"/>
              <w:bottom w:val="single" w:sz="4" w:space="0" w:color="auto"/>
              <w:right w:val="single" w:sz="4" w:space="0" w:color="auto"/>
            </w:tcBorders>
            <w:hideMark/>
          </w:tcPr>
          <w:p w14:paraId="5D54F161"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16.2%</w:t>
            </w:r>
          </w:p>
        </w:tc>
        <w:tc>
          <w:tcPr>
            <w:tcW w:w="0" w:type="auto"/>
            <w:tcBorders>
              <w:top w:val="single" w:sz="4" w:space="0" w:color="auto"/>
              <w:left w:val="single" w:sz="4" w:space="0" w:color="auto"/>
              <w:bottom w:val="single" w:sz="4" w:space="0" w:color="auto"/>
              <w:right w:val="single" w:sz="4" w:space="0" w:color="auto"/>
            </w:tcBorders>
            <w:hideMark/>
          </w:tcPr>
          <w:p w14:paraId="1EBD0D9A"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17.3%</w:t>
            </w:r>
          </w:p>
        </w:tc>
      </w:tr>
      <w:tr w:rsidR="00703429" w14:paraId="69B0F91F" w14:textId="77777777" w:rsidTr="00703429">
        <w:tc>
          <w:tcPr>
            <w:tcW w:w="0" w:type="auto"/>
            <w:tcBorders>
              <w:top w:val="single" w:sz="4" w:space="0" w:color="auto"/>
              <w:left w:val="single" w:sz="4" w:space="0" w:color="auto"/>
              <w:bottom w:val="single" w:sz="4" w:space="0" w:color="auto"/>
              <w:right w:val="single" w:sz="4" w:space="0" w:color="auto"/>
            </w:tcBorders>
            <w:hideMark/>
          </w:tcPr>
          <w:p w14:paraId="30B6C980"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ED discharges with an inpatient or other residential stay during follow-up period</w:t>
            </w:r>
          </w:p>
        </w:tc>
        <w:tc>
          <w:tcPr>
            <w:tcW w:w="0" w:type="auto"/>
            <w:tcBorders>
              <w:top w:val="single" w:sz="4" w:space="0" w:color="auto"/>
              <w:left w:val="single" w:sz="4" w:space="0" w:color="auto"/>
              <w:bottom w:val="single" w:sz="4" w:space="0" w:color="auto"/>
              <w:right w:val="single" w:sz="4" w:space="0" w:color="auto"/>
            </w:tcBorders>
            <w:hideMark/>
          </w:tcPr>
          <w:p w14:paraId="6F5CFBE1"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 xml:space="preserve">An inpatient or otherwise residential stay may interfere with the receipt </w:t>
            </w:r>
            <w:proofErr w:type="gramStart"/>
            <w:r>
              <w:rPr>
                <w:rFonts w:cstheme="minorHAnsi"/>
                <w:bCs/>
                <w:color w:val="4F81BD" w:themeColor="accent1"/>
              </w:rPr>
              <w:t>of  outpatient</w:t>
            </w:r>
            <w:proofErr w:type="gramEnd"/>
            <w:r>
              <w:rPr>
                <w:rFonts w:cstheme="minorHAnsi"/>
                <w:bCs/>
                <w:color w:val="4F81BD" w:themeColor="accent1"/>
              </w:rPr>
              <w:t xml:space="preserve"> follow-up care</w:t>
            </w:r>
          </w:p>
          <w:p w14:paraId="5D37D269"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This exclusion aligns with the NQF-endorsed (#0576) Follow-up after Hospitalization for Mental Illness measure to reduce the burden and confusion for health plans implementing both measures</w:t>
            </w:r>
          </w:p>
        </w:tc>
        <w:tc>
          <w:tcPr>
            <w:tcW w:w="0" w:type="auto"/>
            <w:tcBorders>
              <w:top w:val="single" w:sz="4" w:space="0" w:color="auto"/>
              <w:left w:val="single" w:sz="4" w:space="0" w:color="auto"/>
              <w:bottom w:val="single" w:sz="4" w:space="0" w:color="auto"/>
              <w:right w:val="single" w:sz="4" w:space="0" w:color="auto"/>
            </w:tcBorders>
          </w:tcPr>
          <w:p w14:paraId="418FE0BC"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34.2%</w:t>
            </w:r>
          </w:p>
          <w:p w14:paraId="47AD56ED" w14:textId="77777777" w:rsidR="00703429" w:rsidRDefault="00703429" w:rsidP="00D23AD7">
            <w:pPr>
              <w:autoSpaceDE w:val="0"/>
              <w:autoSpaceDN w:val="0"/>
              <w:adjustRightInd w:val="0"/>
              <w:contextualSpacing/>
              <w:rPr>
                <w:rFonts w:cstheme="minorHAnsi"/>
                <w:bCs/>
                <w:color w:val="4F81BD" w:themeColor="accent1"/>
              </w:rPr>
            </w:pPr>
          </w:p>
          <w:p w14:paraId="5FEC98A3" w14:textId="77777777" w:rsidR="00703429" w:rsidRDefault="00703429" w:rsidP="00D23AD7">
            <w:pPr>
              <w:autoSpaceDE w:val="0"/>
              <w:autoSpaceDN w:val="0"/>
              <w:adjustRightInd w:val="0"/>
              <w:contextualSpacing/>
              <w:rPr>
                <w:rFonts w:cstheme="minorHAnsi"/>
                <w:bCs/>
                <w:color w:val="4F81BD" w:themeColor="accent1"/>
              </w:rPr>
            </w:pPr>
          </w:p>
        </w:tc>
        <w:tc>
          <w:tcPr>
            <w:tcW w:w="0" w:type="auto"/>
            <w:tcBorders>
              <w:top w:val="single" w:sz="4" w:space="0" w:color="auto"/>
              <w:left w:val="single" w:sz="4" w:space="0" w:color="auto"/>
              <w:bottom w:val="single" w:sz="4" w:space="0" w:color="auto"/>
              <w:right w:val="single" w:sz="4" w:space="0" w:color="auto"/>
            </w:tcBorders>
            <w:hideMark/>
          </w:tcPr>
          <w:p w14:paraId="12A89D8E"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40.8%</w:t>
            </w:r>
          </w:p>
        </w:tc>
      </w:tr>
    </w:tbl>
    <w:p w14:paraId="4551FE5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Note: The exclusions presented in this table are not mutually exclusive. For example, a discharge that falls under exclusions 1 and 4 would appear in both places in this table. </w:t>
      </w:r>
    </w:p>
    <w:p w14:paraId="75982966"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p>
    <w:p w14:paraId="6979124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lastRenderedPageBreak/>
        <w:t xml:space="preserve">We tested whether the exclusions affected over performance scores. </w:t>
      </w:r>
    </w:p>
    <w:p w14:paraId="0CABCFE5" w14:textId="77777777" w:rsidR="00833325" w:rsidRPr="00A25024" w:rsidRDefault="00833325" w:rsidP="00D23AD7">
      <w:pPr>
        <w:autoSpaceDE w:val="0"/>
        <w:autoSpaceDN w:val="0"/>
        <w:adjustRightInd w:val="0"/>
        <w:spacing w:after="0" w:line="240" w:lineRule="auto"/>
        <w:contextualSpacing/>
        <w:rPr>
          <w:rFonts w:cstheme="minorHAnsi"/>
          <w:bCs/>
        </w:rPr>
      </w:pPr>
    </w:p>
    <w:p w14:paraId="3B734BD5" w14:textId="77777777" w:rsidR="00703429" w:rsidRDefault="00092566" w:rsidP="00D23AD7">
      <w:pPr>
        <w:autoSpaceDE w:val="0"/>
        <w:autoSpaceDN w:val="0"/>
        <w:adjustRightInd w:val="0"/>
        <w:spacing w:after="0" w:line="240" w:lineRule="auto"/>
        <w:contextualSpacing/>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703429">
        <w:rPr>
          <w:rStyle w:val="Style1"/>
          <w:b/>
          <w:bCs/>
          <w:color w:val="4F81BD" w:themeColor="accent1"/>
          <w:u w:val="single"/>
        </w:rPr>
        <w:t>2014 Submission</w:t>
      </w:r>
    </w:p>
    <w:p w14:paraId="51310C02"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Table 6: Number and percent of denominator remaining after exclusions, by state</w:t>
      </w:r>
    </w:p>
    <w:tbl>
      <w:tblPr>
        <w:tblW w:w="942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428"/>
        <w:gridCol w:w="1450"/>
        <w:gridCol w:w="1250"/>
        <w:gridCol w:w="1428"/>
        <w:gridCol w:w="1450"/>
        <w:gridCol w:w="1250"/>
      </w:tblGrid>
      <w:tr w:rsidR="00703429" w14:paraId="3662C6CB" w14:textId="77777777" w:rsidTr="00BE296D">
        <w:trPr>
          <w:trHeight w:val="268"/>
        </w:trPr>
        <w:tc>
          <w:tcPr>
            <w:tcW w:w="1172" w:type="dxa"/>
            <w:vAlign w:val="bottom"/>
            <w:hideMark/>
          </w:tcPr>
          <w:p w14:paraId="61A69C90" w14:textId="77777777" w:rsidR="00703429" w:rsidRDefault="00703429" w:rsidP="00D23AD7">
            <w:pPr>
              <w:spacing w:after="0" w:line="240" w:lineRule="auto"/>
              <w:contextualSpacing/>
              <w:rPr>
                <w:rFonts w:cstheme="minorHAnsi"/>
                <w:bCs/>
                <w:color w:val="4F81BD" w:themeColor="accent1"/>
              </w:rPr>
            </w:pPr>
          </w:p>
        </w:tc>
        <w:tc>
          <w:tcPr>
            <w:tcW w:w="4128" w:type="dxa"/>
            <w:gridSpan w:val="3"/>
            <w:vAlign w:val="bottom"/>
            <w:hideMark/>
          </w:tcPr>
          <w:p w14:paraId="4FD1397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Mental Health (MH) Denominator</w:t>
            </w:r>
          </w:p>
        </w:tc>
        <w:tc>
          <w:tcPr>
            <w:tcW w:w="4128" w:type="dxa"/>
            <w:gridSpan w:val="3"/>
            <w:vAlign w:val="bottom"/>
            <w:hideMark/>
          </w:tcPr>
          <w:p w14:paraId="2896A5C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AOD Denominator</w:t>
            </w:r>
          </w:p>
        </w:tc>
      </w:tr>
      <w:tr w:rsidR="00703429" w14:paraId="5BC6322E" w14:textId="77777777" w:rsidTr="00BE296D">
        <w:trPr>
          <w:trHeight w:val="988"/>
        </w:trPr>
        <w:tc>
          <w:tcPr>
            <w:tcW w:w="1172" w:type="dxa"/>
            <w:vAlign w:val="bottom"/>
            <w:hideMark/>
          </w:tcPr>
          <w:p w14:paraId="06712B1F"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State</w:t>
            </w:r>
          </w:p>
        </w:tc>
        <w:tc>
          <w:tcPr>
            <w:tcW w:w="1428" w:type="dxa"/>
            <w:vAlign w:val="bottom"/>
            <w:hideMark/>
          </w:tcPr>
          <w:p w14:paraId="3E9001C7"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MH denominator before exclusions</w:t>
            </w:r>
          </w:p>
        </w:tc>
        <w:tc>
          <w:tcPr>
            <w:tcW w:w="1450" w:type="dxa"/>
            <w:vAlign w:val="bottom"/>
            <w:hideMark/>
          </w:tcPr>
          <w:p w14:paraId="35A10E01"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MH denominator after exclusions</w:t>
            </w:r>
          </w:p>
        </w:tc>
        <w:tc>
          <w:tcPr>
            <w:tcW w:w="1250" w:type="dxa"/>
            <w:vAlign w:val="bottom"/>
            <w:hideMark/>
          </w:tcPr>
          <w:p w14:paraId="7EA3069D"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Percent after exclusions</w:t>
            </w:r>
          </w:p>
        </w:tc>
        <w:tc>
          <w:tcPr>
            <w:tcW w:w="1428" w:type="dxa"/>
            <w:vAlign w:val="bottom"/>
            <w:hideMark/>
          </w:tcPr>
          <w:p w14:paraId="4F41B576"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AOD denominator before exclusions</w:t>
            </w:r>
          </w:p>
        </w:tc>
        <w:tc>
          <w:tcPr>
            <w:tcW w:w="1450" w:type="dxa"/>
            <w:vAlign w:val="bottom"/>
            <w:hideMark/>
          </w:tcPr>
          <w:p w14:paraId="26DB569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AOD denominator after exclusions</w:t>
            </w:r>
          </w:p>
        </w:tc>
        <w:tc>
          <w:tcPr>
            <w:tcW w:w="1250" w:type="dxa"/>
            <w:vAlign w:val="bottom"/>
            <w:hideMark/>
          </w:tcPr>
          <w:p w14:paraId="4795E02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proofErr w:type="gramStart"/>
            <w:r>
              <w:rPr>
                <w:rFonts w:cstheme="minorHAnsi"/>
                <w:bCs/>
                <w:color w:val="4F81BD" w:themeColor="accent1"/>
              </w:rPr>
              <w:t>Percent  after</w:t>
            </w:r>
            <w:proofErr w:type="gramEnd"/>
            <w:r>
              <w:rPr>
                <w:rFonts w:cstheme="minorHAnsi"/>
                <w:bCs/>
                <w:color w:val="4F81BD" w:themeColor="accent1"/>
              </w:rPr>
              <w:t xml:space="preserve"> exclusions</w:t>
            </w:r>
          </w:p>
        </w:tc>
      </w:tr>
      <w:tr w:rsidR="00703429" w14:paraId="70860200" w14:textId="77777777" w:rsidTr="00BE296D">
        <w:trPr>
          <w:trHeight w:val="315"/>
        </w:trPr>
        <w:tc>
          <w:tcPr>
            <w:tcW w:w="1172" w:type="dxa"/>
            <w:shd w:val="clear" w:color="auto" w:fill="FFFFFF"/>
            <w:noWrap/>
            <w:vAlign w:val="center"/>
            <w:hideMark/>
          </w:tcPr>
          <w:p w14:paraId="5D7FF702"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AK</w:t>
            </w:r>
          </w:p>
        </w:tc>
        <w:tc>
          <w:tcPr>
            <w:tcW w:w="1428" w:type="dxa"/>
            <w:shd w:val="clear" w:color="auto" w:fill="FFFFFF"/>
            <w:noWrap/>
            <w:vAlign w:val="center"/>
            <w:hideMark/>
          </w:tcPr>
          <w:p w14:paraId="113401F0"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297</w:t>
            </w:r>
          </w:p>
        </w:tc>
        <w:tc>
          <w:tcPr>
            <w:tcW w:w="1450" w:type="dxa"/>
            <w:shd w:val="clear" w:color="auto" w:fill="FFFFFF"/>
            <w:noWrap/>
            <w:vAlign w:val="center"/>
            <w:hideMark/>
          </w:tcPr>
          <w:p w14:paraId="133B117B"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221</w:t>
            </w:r>
          </w:p>
        </w:tc>
        <w:tc>
          <w:tcPr>
            <w:tcW w:w="1250" w:type="dxa"/>
            <w:shd w:val="clear" w:color="auto" w:fill="FFFFFF"/>
            <w:noWrap/>
            <w:vAlign w:val="center"/>
            <w:hideMark/>
          </w:tcPr>
          <w:p w14:paraId="5C1A657D"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74.4%</w:t>
            </w:r>
          </w:p>
        </w:tc>
        <w:tc>
          <w:tcPr>
            <w:tcW w:w="1428" w:type="dxa"/>
            <w:shd w:val="clear" w:color="auto" w:fill="FFFFFF"/>
            <w:noWrap/>
            <w:vAlign w:val="center"/>
            <w:hideMark/>
          </w:tcPr>
          <w:p w14:paraId="7BB44306"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294</w:t>
            </w:r>
          </w:p>
        </w:tc>
        <w:tc>
          <w:tcPr>
            <w:tcW w:w="1450" w:type="dxa"/>
            <w:shd w:val="clear" w:color="auto" w:fill="FFFFFF"/>
            <w:noWrap/>
            <w:vAlign w:val="center"/>
            <w:hideMark/>
          </w:tcPr>
          <w:p w14:paraId="4D7C3C7B"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212</w:t>
            </w:r>
          </w:p>
        </w:tc>
        <w:tc>
          <w:tcPr>
            <w:tcW w:w="1250" w:type="dxa"/>
            <w:noWrap/>
            <w:vAlign w:val="center"/>
            <w:hideMark/>
          </w:tcPr>
          <w:p w14:paraId="32292BE7"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72.1%</w:t>
            </w:r>
          </w:p>
        </w:tc>
      </w:tr>
      <w:tr w:rsidR="00703429" w14:paraId="5B94DE96" w14:textId="77777777" w:rsidTr="00BE296D">
        <w:trPr>
          <w:trHeight w:val="315"/>
        </w:trPr>
        <w:tc>
          <w:tcPr>
            <w:tcW w:w="1172" w:type="dxa"/>
            <w:shd w:val="clear" w:color="auto" w:fill="FFFFFF"/>
            <w:noWrap/>
            <w:vAlign w:val="center"/>
            <w:hideMark/>
          </w:tcPr>
          <w:p w14:paraId="6007A5F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AL</w:t>
            </w:r>
          </w:p>
        </w:tc>
        <w:tc>
          <w:tcPr>
            <w:tcW w:w="1428" w:type="dxa"/>
            <w:shd w:val="clear" w:color="auto" w:fill="FFFFFF"/>
            <w:noWrap/>
            <w:vAlign w:val="center"/>
            <w:hideMark/>
          </w:tcPr>
          <w:p w14:paraId="2077118F"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3,244</w:t>
            </w:r>
          </w:p>
        </w:tc>
        <w:tc>
          <w:tcPr>
            <w:tcW w:w="1450" w:type="dxa"/>
            <w:shd w:val="clear" w:color="auto" w:fill="FFFFFF"/>
            <w:noWrap/>
            <w:vAlign w:val="center"/>
            <w:hideMark/>
          </w:tcPr>
          <w:p w14:paraId="12E9551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2,294</w:t>
            </w:r>
          </w:p>
        </w:tc>
        <w:tc>
          <w:tcPr>
            <w:tcW w:w="1250" w:type="dxa"/>
            <w:shd w:val="clear" w:color="auto" w:fill="FFFFFF"/>
            <w:noWrap/>
            <w:vAlign w:val="center"/>
            <w:hideMark/>
          </w:tcPr>
          <w:p w14:paraId="1C7251C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70.7%</w:t>
            </w:r>
          </w:p>
        </w:tc>
        <w:tc>
          <w:tcPr>
            <w:tcW w:w="1428" w:type="dxa"/>
            <w:shd w:val="clear" w:color="auto" w:fill="FFFFFF"/>
            <w:noWrap/>
            <w:vAlign w:val="center"/>
            <w:hideMark/>
          </w:tcPr>
          <w:p w14:paraId="68B769B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1,135</w:t>
            </w:r>
          </w:p>
        </w:tc>
        <w:tc>
          <w:tcPr>
            <w:tcW w:w="1450" w:type="dxa"/>
            <w:shd w:val="clear" w:color="auto" w:fill="FFFFFF"/>
            <w:noWrap/>
            <w:vAlign w:val="center"/>
            <w:hideMark/>
          </w:tcPr>
          <w:p w14:paraId="5F5FCDC6"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873</w:t>
            </w:r>
          </w:p>
        </w:tc>
        <w:tc>
          <w:tcPr>
            <w:tcW w:w="1250" w:type="dxa"/>
            <w:noWrap/>
            <w:vAlign w:val="center"/>
            <w:hideMark/>
          </w:tcPr>
          <w:p w14:paraId="79661086"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76.9%</w:t>
            </w:r>
          </w:p>
        </w:tc>
      </w:tr>
      <w:tr w:rsidR="00703429" w14:paraId="75C03246" w14:textId="77777777" w:rsidTr="00BE296D">
        <w:trPr>
          <w:trHeight w:val="315"/>
        </w:trPr>
        <w:tc>
          <w:tcPr>
            <w:tcW w:w="1172" w:type="dxa"/>
            <w:shd w:val="clear" w:color="auto" w:fill="FFFFFF"/>
            <w:noWrap/>
            <w:vAlign w:val="center"/>
            <w:hideMark/>
          </w:tcPr>
          <w:p w14:paraId="792C0EB5"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CT</w:t>
            </w:r>
          </w:p>
        </w:tc>
        <w:tc>
          <w:tcPr>
            <w:tcW w:w="1428" w:type="dxa"/>
            <w:shd w:val="clear" w:color="auto" w:fill="FFFFFF"/>
            <w:noWrap/>
            <w:vAlign w:val="center"/>
            <w:hideMark/>
          </w:tcPr>
          <w:p w14:paraId="2A3D3D60"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2,800</w:t>
            </w:r>
          </w:p>
        </w:tc>
        <w:tc>
          <w:tcPr>
            <w:tcW w:w="1450" w:type="dxa"/>
            <w:shd w:val="clear" w:color="auto" w:fill="FFFFFF"/>
            <w:noWrap/>
            <w:vAlign w:val="center"/>
            <w:hideMark/>
          </w:tcPr>
          <w:p w14:paraId="0A685D07"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1,608</w:t>
            </w:r>
          </w:p>
        </w:tc>
        <w:tc>
          <w:tcPr>
            <w:tcW w:w="1250" w:type="dxa"/>
            <w:shd w:val="clear" w:color="auto" w:fill="FFFFFF"/>
            <w:noWrap/>
            <w:vAlign w:val="center"/>
            <w:hideMark/>
          </w:tcPr>
          <w:p w14:paraId="60C57E27"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57.4%</w:t>
            </w:r>
          </w:p>
        </w:tc>
        <w:tc>
          <w:tcPr>
            <w:tcW w:w="1428" w:type="dxa"/>
            <w:shd w:val="clear" w:color="auto" w:fill="FFFFFF"/>
            <w:noWrap/>
            <w:vAlign w:val="center"/>
            <w:hideMark/>
          </w:tcPr>
          <w:p w14:paraId="1385893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2,081</w:t>
            </w:r>
          </w:p>
        </w:tc>
        <w:tc>
          <w:tcPr>
            <w:tcW w:w="1450" w:type="dxa"/>
            <w:shd w:val="clear" w:color="auto" w:fill="FFFFFF"/>
            <w:noWrap/>
            <w:vAlign w:val="center"/>
            <w:hideMark/>
          </w:tcPr>
          <w:p w14:paraId="04EED8A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1,135</w:t>
            </w:r>
          </w:p>
        </w:tc>
        <w:tc>
          <w:tcPr>
            <w:tcW w:w="1250" w:type="dxa"/>
            <w:noWrap/>
            <w:vAlign w:val="center"/>
            <w:hideMark/>
          </w:tcPr>
          <w:p w14:paraId="59FA634C"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54.5%</w:t>
            </w:r>
          </w:p>
        </w:tc>
      </w:tr>
      <w:tr w:rsidR="00703429" w14:paraId="09B680C5" w14:textId="77777777" w:rsidTr="00BE296D">
        <w:trPr>
          <w:trHeight w:val="315"/>
        </w:trPr>
        <w:tc>
          <w:tcPr>
            <w:tcW w:w="1172" w:type="dxa"/>
            <w:shd w:val="clear" w:color="auto" w:fill="FFFFFF"/>
            <w:noWrap/>
            <w:vAlign w:val="center"/>
            <w:hideMark/>
          </w:tcPr>
          <w:p w14:paraId="6955953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DC*</w:t>
            </w:r>
          </w:p>
        </w:tc>
        <w:tc>
          <w:tcPr>
            <w:tcW w:w="1428" w:type="dxa"/>
            <w:shd w:val="clear" w:color="auto" w:fill="FFFFFF"/>
            <w:noWrap/>
            <w:vAlign w:val="center"/>
            <w:hideMark/>
          </w:tcPr>
          <w:p w14:paraId="1349A36A"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311</w:t>
            </w:r>
          </w:p>
        </w:tc>
        <w:tc>
          <w:tcPr>
            <w:tcW w:w="1450" w:type="dxa"/>
            <w:shd w:val="clear" w:color="auto" w:fill="FFFFFF"/>
            <w:noWrap/>
            <w:vAlign w:val="center"/>
            <w:hideMark/>
          </w:tcPr>
          <w:p w14:paraId="0B0EE3D7"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181</w:t>
            </w:r>
          </w:p>
        </w:tc>
        <w:tc>
          <w:tcPr>
            <w:tcW w:w="1250" w:type="dxa"/>
            <w:shd w:val="clear" w:color="auto" w:fill="FFFFFF"/>
            <w:noWrap/>
            <w:vAlign w:val="center"/>
            <w:hideMark/>
          </w:tcPr>
          <w:p w14:paraId="554769C6"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58.2%</w:t>
            </w:r>
          </w:p>
        </w:tc>
        <w:tc>
          <w:tcPr>
            <w:tcW w:w="1428" w:type="dxa"/>
            <w:shd w:val="clear" w:color="auto" w:fill="FFFFFF"/>
            <w:noWrap/>
            <w:vAlign w:val="center"/>
            <w:hideMark/>
          </w:tcPr>
          <w:p w14:paraId="2FB1B36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302</w:t>
            </w:r>
          </w:p>
        </w:tc>
        <w:tc>
          <w:tcPr>
            <w:tcW w:w="1450" w:type="dxa"/>
            <w:shd w:val="clear" w:color="auto" w:fill="FFFFFF"/>
            <w:noWrap/>
            <w:vAlign w:val="center"/>
            <w:hideMark/>
          </w:tcPr>
          <w:p w14:paraId="4F3BAA5D"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0</w:t>
            </w:r>
          </w:p>
        </w:tc>
        <w:tc>
          <w:tcPr>
            <w:tcW w:w="1250" w:type="dxa"/>
            <w:noWrap/>
            <w:vAlign w:val="center"/>
            <w:hideMark/>
          </w:tcPr>
          <w:p w14:paraId="3F03A3FA"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0.0%</w:t>
            </w:r>
          </w:p>
        </w:tc>
      </w:tr>
      <w:tr w:rsidR="00703429" w14:paraId="6BAB25F2" w14:textId="77777777" w:rsidTr="00BE296D">
        <w:trPr>
          <w:trHeight w:val="315"/>
        </w:trPr>
        <w:tc>
          <w:tcPr>
            <w:tcW w:w="1172" w:type="dxa"/>
            <w:shd w:val="clear" w:color="auto" w:fill="FFFFFF"/>
            <w:noWrap/>
            <w:vAlign w:val="center"/>
            <w:hideMark/>
          </w:tcPr>
          <w:p w14:paraId="3976BBF7"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GA</w:t>
            </w:r>
          </w:p>
        </w:tc>
        <w:tc>
          <w:tcPr>
            <w:tcW w:w="1428" w:type="dxa"/>
            <w:shd w:val="clear" w:color="auto" w:fill="FFFFFF"/>
            <w:noWrap/>
            <w:vAlign w:val="center"/>
            <w:hideMark/>
          </w:tcPr>
          <w:p w14:paraId="1B15C7A0"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5,009</w:t>
            </w:r>
          </w:p>
        </w:tc>
        <w:tc>
          <w:tcPr>
            <w:tcW w:w="1450" w:type="dxa"/>
            <w:shd w:val="clear" w:color="auto" w:fill="FFFFFF"/>
            <w:noWrap/>
            <w:vAlign w:val="center"/>
            <w:hideMark/>
          </w:tcPr>
          <w:p w14:paraId="2D98173F"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3,506</w:t>
            </w:r>
          </w:p>
        </w:tc>
        <w:tc>
          <w:tcPr>
            <w:tcW w:w="1250" w:type="dxa"/>
            <w:shd w:val="clear" w:color="auto" w:fill="FFFFFF"/>
            <w:noWrap/>
            <w:vAlign w:val="center"/>
            <w:hideMark/>
          </w:tcPr>
          <w:p w14:paraId="3EC0A8B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70.0%</w:t>
            </w:r>
          </w:p>
        </w:tc>
        <w:tc>
          <w:tcPr>
            <w:tcW w:w="1428" w:type="dxa"/>
            <w:shd w:val="clear" w:color="auto" w:fill="FFFFFF"/>
            <w:noWrap/>
            <w:vAlign w:val="center"/>
            <w:hideMark/>
          </w:tcPr>
          <w:p w14:paraId="00159D1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1,796</w:t>
            </w:r>
          </w:p>
        </w:tc>
        <w:tc>
          <w:tcPr>
            <w:tcW w:w="1450" w:type="dxa"/>
            <w:shd w:val="clear" w:color="auto" w:fill="FFFFFF"/>
            <w:noWrap/>
            <w:vAlign w:val="center"/>
            <w:hideMark/>
          </w:tcPr>
          <w:p w14:paraId="5837898A"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1,273</w:t>
            </w:r>
          </w:p>
        </w:tc>
        <w:tc>
          <w:tcPr>
            <w:tcW w:w="1250" w:type="dxa"/>
            <w:noWrap/>
            <w:vAlign w:val="center"/>
            <w:hideMark/>
          </w:tcPr>
          <w:p w14:paraId="65A4505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70.9%</w:t>
            </w:r>
          </w:p>
        </w:tc>
      </w:tr>
      <w:tr w:rsidR="00703429" w14:paraId="772D1301" w14:textId="77777777" w:rsidTr="00BE296D">
        <w:trPr>
          <w:trHeight w:val="315"/>
        </w:trPr>
        <w:tc>
          <w:tcPr>
            <w:tcW w:w="1172" w:type="dxa"/>
            <w:shd w:val="clear" w:color="auto" w:fill="FFFFFF"/>
            <w:noWrap/>
            <w:vAlign w:val="center"/>
            <w:hideMark/>
          </w:tcPr>
          <w:p w14:paraId="1FDB96EC"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IL</w:t>
            </w:r>
          </w:p>
        </w:tc>
        <w:tc>
          <w:tcPr>
            <w:tcW w:w="1428" w:type="dxa"/>
            <w:shd w:val="clear" w:color="auto" w:fill="FFFFFF"/>
            <w:noWrap/>
            <w:vAlign w:val="center"/>
            <w:hideMark/>
          </w:tcPr>
          <w:p w14:paraId="4639A5B0"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11,057</w:t>
            </w:r>
          </w:p>
        </w:tc>
        <w:tc>
          <w:tcPr>
            <w:tcW w:w="1450" w:type="dxa"/>
            <w:shd w:val="clear" w:color="auto" w:fill="FFFFFF"/>
            <w:noWrap/>
            <w:vAlign w:val="center"/>
            <w:hideMark/>
          </w:tcPr>
          <w:p w14:paraId="2C96357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5,681</w:t>
            </w:r>
          </w:p>
        </w:tc>
        <w:tc>
          <w:tcPr>
            <w:tcW w:w="1250" w:type="dxa"/>
            <w:shd w:val="clear" w:color="auto" w:fill="FFFFFF"/>
            <w:noWrap/>
            <w:vAlign w:val="center"/>
            <w:hideMark/>
          </w:tcPr>
          <w:p w14:paraId="198EF37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51.4%</w:t>
            </w:r>
          </w:p>
        </w:tc>
        <w:tc>
          <w:tcPr>
            <w:tcW w:w="1428" w:type="dxa"/>
            <w:shd w:val="clear" w:color="auto" w:fill="FFFFFF"/>
            <w:noWrap/>
            <w:vAlign w:val="center"/>
            <w:hideMark/>
          </w:tcPr>
          <w:p w14:paraId="1C1F347D"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3,179</w:t>
            </w:r>
          </w:p>
        </w:tc>
        <w:tc>
          <w:tcPr>
            <w:tcW w:w="1450" w:type="dxa"/>
            <w:shd w:val="clear" w:color="auto" w:fill="FFFFFF"/>
            <w:noWrap/>
            <w:vAlign w:val="center"/>
            <w:hideMark/>
          </w:tcPr>
          <w:p w14:paraId="742D567B"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1,248</w:t>
            </w:r>
          </w:p>
        </w:tc>
        <w:tc>
          <w:tcPr>
            <w:tcW w:w="1250" w:type="dxa"/>
            <w:noWrap/>
            <w:vAlign w:val="center"/>
            <w:hideMark/>
          </w:tcPr>
          <w:p w14:paraId="0A5B99EF"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39.3%</w:t>
            </w:r>
          </w:p>
        </w:tc>
      </w:tr>
      <w:tr w:rsidR="00703429" w14:paraId="0533BF25" w14:textId="77777777" w:rsidTr="00BE296D">
        <w:trPr>
          <w:trHeight w:val="315"/>
        </w:trPr>
        <w:tc>
          <w:tcPr>
            <w:tcW w:w="1172" w:type="dxa"/>
            <w:shd w:val="clear" w:color="auto" w:fill="FFFFFF"/>
            <w:noWrap/>
            <w:vAlign w:val="center"/>
            <w:hideMark/>
          </w:tcPr>
          <w:p w14:paraId="173EFB8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IN</w:t>
            </w:r>
          </w:p>
        </w:tc>
        <w:tc>
          <w:tcPr>
            <w:tcW w:w="1428" w:type="dxa"/>
            <w:shd w:val="clear" w:color="auto" w:fill="FFFFFF"/>
            <w:noWrap/>
            <w:vAlign w:val="center"/>
            <w:hideMark/>
          </w:tcPr>
          <w:p w14:paraId="664384AA"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1,405</w:t>
            </w:r>
          </w:p>
        </w:tc>
        <w:tc>
          <w:tcPr>
            <w:tcW w:w="1450" w:type="dxa"/>
            <w:shd w:val="clear" w:color="auto" w:fill="FFFFFF"/>
            <w:noWrap/>
            <w:vAlign w:val="center"/>
            <w:hideMark/>
          </w:tcPr>
          <w:p w14:paraId="474550D0"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990</w:t>
            </w:r>
          </w:p>
        </w:tc>
        <w:tc>
          <w:tcPr>
            <w:tcW w:w="1250" w:type="dxa"/>
            <w:shd w:val="clear" w:color="auto" w:fill="FFFFFF"/>
            <w:noWrap/>
            <w:vAlign w:val="center"/>
            <w:hideMark/>
          </w:tcPr>
          <w:p w14:paraId="493A1A5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70.5%</w:t>
            </w:r>
          </w:p>
        </w:tc>
        <w:tc>
          <w:tcPr>
            <w:tcW w:w="1428" w:type="dxa"/>
            <w:shd w:val="clear" w:color="auto" w:fill="FFFFFF"/>
            <w:noWrap/>
            <w:vAlign w:val="center"/>
            <w:hideMark/>
          </w:tcPr>
          <w:p w14:paraId="5511998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765</w:t>
            </w:r>
          </w:p>
        </w:tc>
        <w:tc>
          <w:tcPr>
            <w:tcW w:w="1450" w:type="dxa"/>
            <w:shd w:val="clear" w:color="auto" w:fill="FFFFFF"/>
            <w:noWrap/>
            <w:vAlign w:val="center"/>
            <w:hideMark/>
          </w:tcPr>
          <w:p w14:paraId="1F3CB28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563</w:t>
            </w:r>
          </w:p>
        </w:tc>
        <w:tc>
          <w:tcPr>
            <w:tcW w:w="1250" w:type="dxa"/>
            <w:noWrap/>
            <w:vAlign w:val="center"/>
            <w:hideMark/>
          </w:tcPr>
          <w:p w14:paraId="7699CBF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73.6%</w:t>
            </w:r>
          </w:p>
        </w:tc>
      </w:tr>
      <w:tr w:rsidR="00703429" w14:paraId="64AE0484" w14:textId="77777777" w:rsidTr="00BE296D">
        <w:trPr>
          <w:trHeight w:val="315"/>
        </w:trPr>
        <w:tc>
          <w:tcPr>
            <w:tcW w:w="1172" w:type="dxa"/>
            <w:shd w:val="clear" w:color="auto" w:fill="FFFFFF"/>
            <w:noWrap/>
            <w:vAlign w:val="center"/>
            <w:hideMark/>
          </w:tcPr>
          <w:p w14:paraId="2D38A94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KY</w:t>
            </w:r>
          </w:p>
        </w:tc>
        <w:tc>
          <w:tcPr>
            <w:tcW w:w="1428" w:type="dxa"/>
            <w:shd w:val="clear" w:color="auto" w:fill="FFFFFF"/>
            <w:noWrap/>
            <w:vAlign w:val="center"/>
            <w:hideMark/>
          </w:tcPr>
          <w:p w14:paraId="71C2395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4,762</w:t>
            </w:r>
          </w:p>
        </w:tc>
        <w:tc>
          <w:tcPr>
            <w:tcW w:w="1450" w:type="dxa"/>
            <w:shd w:val="clear" w:color="auto" w:fill="FFFFFF"/>
            <w:noWrap/>
            <w:vAlign w:val="center"/>
            <w:hideMark/>
          </w:tcPr>
          <w:p w14:paraId="431FB6AC"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3,520</w:t>
            </w:r>
          </w:p>
        </w:tc>
        <w:tc>
          <w:tcPr>
            <w:tcW w:w="1250" w:type="dxa"/>
            <w:shd w:val="clear" w:color="auto" w:fill="FFFFFF"/>
            <w:noWrap/>
            <w:vAlign w:val="center"/>
            <w:hideMark/>
          </w:tcPr>
          <w:p w14:paraId="32AFB12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73.9%</w:t>
            </w:r>
          </w:p>
        </w:tc>
        <w:tc>
          <w:tcPr>
            <w:tcW w:w="1428" w:type="dxa"/>
            <w:shd w:val="clear" w:color="auto" w:fill="FFFFFF"/>
            <w:noWrap/>
            <w:vAlign w:val="center"/>
            <w:hideMark/>
          </w:tcPr>
          <w:p w14:paraId="192B5E97"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1,879</w:t>
            </w:r>
          </w:p>
        </w:tc>
        <w:tc>
          <w:tcPr>
            <w:tcW w:w="1450" w:type="dxa"/>
            <w:shd w:val="clear" w:color="auto" w:fill="FFFFFF"/>
            <w:noWrap/>
            <w:vAlign w:val="center"/>
            <w:hideMark/>
          </w:tcPr>
          <w:p w14:paraId="2FD8764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1,403</w:t>
            </w:r>
          </w:p>
        </w:tc>
        <w:tc>
          <w:tcPr>
            <w:tcW w:w="1250" w:type="dxa"/>
            <w:noWrap/>
            <w:vAlign w:val="center"/>
            <w:hideMark/>
          </w:tcPr>
          <w:p w14:paraId="1E3EA78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74.7%</w:t>
            </w:r>
          </w:p>
        </w:tc>
      </w:tr>
      <w:tr w:rsidR="00703429" w14:paraId="0C11A6A7" w14:textId="77777777" w:rsidTr="00BE296D">
        <w:trPr>
          <w:trHeight w:val="315"/>
        </w:trPr>
        <w:tc>
          <w:tcPr>
            <w:tcW w:w="1172" w:type="dxa"/>
            <w:shd w:val="clear" w:color="auto" w:fill="FFFFFF"/>
            <w:noWrap/>
            <w:vAlign w:val="center"/>
            <w:hideMark/>
          </w:tcPr>
          <w:p w14:paraId="02F01C51"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LA</w:t>
            </w:r>
          </w:p>
        </w:tc>
        <w:tc>
          <w:tcPr>
            <w:tcW w:w="1428" w:type="dxa"/>
            <w:shd w:val="clear" w:color="auto" w:fill="FFFFFF"/>
            <w:noWrap/>
            <w:vAlign w:val="center"/>
            <w:hideMark/>
          </w:tcPr>
          <w:p w14:paraId="507AF32A"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3,738</w:t>
            </w:r>
          </w:p>
        </w:tc>
        <w:tc>
          <w:tcPr>
            <w:tcW w:w="1450" w:type="dxa"/>
            <w:shd w:val="clear" w:color="auto" w:fill="FFFFFF"/>
            <w:noWrap/>
            <w:vAlign w:val="center"/>
            <w:hideMark/>
          </w:tcPr>
          <w:p w14:paraId="17CF84C1"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2,447</w:t>
            </w:r>
          </w:p>
        </w:tc>
        <w:tc>
          <w:tcPr>
            <w:tcW w:w="1250" w:type="dxa"/>
            <w:shd w:val="clear" w:color="auto" w:fill="FFFFFF"/>
            <w:noWrap/>
            <w:vAlign w:val="center"/>
            <w:hideMark/>
          </w:tcPr>
          <w:p w14:paraId="0F249936"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65.5%</w:t>
            </w:r>
          </w:p>
        </w:tc>
        <w:tc>
          <w:tcPr>
            <w:tcW w:w="1428" w:type="dxa"/>
            <w:shd w:val="clear" w:color="auto" w:fill="FFFFFF"/>
            <w:noWrap/>
            <w:vAlign w:val="center"/>
            <w:hideMark/>
          </w:tcPr>
          <w:p w14:paraId="0A166FD5"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1,451</w:t>
            </w:r>
          </w:p>
        </w:tc>
        <w:tc>
          <w:tcPr>
            <w:tcW w:w="1450" w:type="dxa"/>
            <w:shd w:val="clear" w:color="auto" w:fill="FFFFFF"/>
            <w:noWrap/>
            <w:vAlign w:val="center"/>
            <w:hideMark/>
          </w:tcPr>
          <w:p w14:paraId="19CCEF3C"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1,081</w:t>
            </w:r>
          </w:p>
        </w:tc>
        <w:tc>
          <w:tcPr>
            <w:tcW w:w="1250" w:type="dxa"/>
            <w:noWrap/>
            <w:vAlign w:val="center"/>
            <w:hideMark/>
          </w:tcPr>
          <w:p w14:paraId="660294C1"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74.5%</w:t>
            </w:r>
          </w:p>
        </w:tc>
      </w:tr>
      <w:tr w:rsidR="00703429" w14:paraId="4CEBEAAF" w14:textId="77777777" w:rsidTr="00BE296D">
        <w:trPr>
          <w:trHeight w:val="315"/>
        </w:trPr>
        <w:tc>
          <w:tcPr>
            <w:tcW w:w="1172" w:type="dxa"/>
            <w:shd w:val="clear" w:color="auto" w:fill="FFFFFF"/>
            <w:noWrap/>
            <w:vAlign w:val="center"/>
            <w:hideMark/>
          </w:tcPr>
          <w:p w14:paraId="1C3315C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MN</w:t>
            </w:r>
          </w:p>
        </w:tc>
        <w:tc>
          <w:tcPr>
            <w:tcW w:w="1428" w:type="dxa"/>
            <w:shd w:val="clear" w:color="auto" w:fill="FFFFFF"/>
            <w:noWrap/>
            <w:vAlign w:val="center"/>
            <w:hideMark/>
          </w:tcPr>
          <w:p w14:paraId="6ED76D9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3,192</w:t>
            </w:r>
          </w:p>
        </w:tc>
        <w:tc>
          <w:tcPr>
            <w:tcW w:w="1450" w:type="dxa"/>
            <w:shd w:val="clear" w:color="auto" w:fill="FFFFFF"/>
            <w:noWrap/>
            <w:vAlign w:val="center"/>
            <w:hideMark/>
          </w:tcPr>
          <w:p w14:paraId="59938B06"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2,149</w:t>
            </w:r>
          </w:p>
        </w:tc>
        <w:tc>
          <w:tcPr>
            <w:tcW w:w="1250" w:type="dxa"/>
            <w:shd w:val="clear" w:color="auto" w:fill="FFFFFF"/>
            <w:noWrap/>
            <w:vAlign w:val="center"/>
            <w:hideMark/>
          </w:tcPr>
          <w:p w14:paraId="0C49514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67.3%</w:t>
            </w:r>
          </w:p>
        </w:tc>
        <w:tc>
          <w:tcPr>
            <w:tcW w:w="1428" w:type="dxa"/>
            <w:shd w:val="clear" w:color="auto" w:fill="FFFFFF"/>
            <w:noWrap/>
            <w:vAlign w:val="center"/>
            <w:hideMark/>
          </w:tcPr>
          <w:p w14:paraId="73C0D4E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1,100</w:t>
            </w:r>
          </w:p>
        </w:tc>
        <w:tc>
          <w:tcPr>
            <w:tcW w:w="1450" w:type="dxa"/>
            <w:shd w:val="clear" w:color="auto" w:fill="FFFFFF"/>
            <w:noWrap/>
            <w:vAlign w:val="center"/>
            <w:hideMark/>
          </w:tcPr>
          <w:p w14:paraId="47B5A61F"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747</w:t>
            </w:r>
          </w:p>
        </w:tc>
        <w:tc>
          <w:tcPr>
            <w:tcW w:w="1250" w:type="dxa"/>
            <w:noWrap/>
            <w:vAlign w:val="center"/>
            <w:hideMark/>
          </w:tcPr>
          <w:p w14:paraId="1EB2D040"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67.9%</w:t>
            </w:r>
          </w:p>
        </w:tc>
      </w:tr>
      <w:tr w:rsidR="00703429" w14:paraId="2B824DB6" w14:textId="77777777" w:rsidTr="00BE296D">
        <w:trPr>
          <w:trHeight w:val="315"/>
        </w:trPr>
        <w:tc>
          <w:tcPr>
            <w:tcW w:w="1172" w:type="dxa"/>
            <w:shd w:val="clear" w:color="auto" w:fill="FFFFFF"/>
            <w:noWrap/>
            <w:vAlign w:val="center"/>
            <w:hideMark/>
          </w:tcPr>
          <w:p w14:paraId="119727B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MS</w:t>
            </w:r>
          </w:p>
        </w:tc>
        <w:tc>
          <w:tcPr>
            <w:tcW w:w="1428" w:type="dxa"/>
            <w:shd w:val="clear" w:color="auto" w:fill="FFFFFF"/>
            <w:noWrap/>
            <w:vAlign w:val="center"/>
            <w:hideMark/>
          </w:tcPr>
          <w:p w14:paraId="6EDAB59F"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1,198</w:t>
            </w:r>
          </w:p>
        </w:tc>
        <w:tc>
          <w:tcPr>
            <w:tcW w:w="1450" w:type="dxa"/>
            <w:shd w:val="clear" w:color="auto" w:fill="FFFFFF"/>
            <w:noWrap/>
            <w:vAlign w:val="center"/>
            <w:hideMark/>
          </w:tcPr>
          <w:p w14:paraId="57768C6C"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842</w:t>
            </w:r>
          </w:p>
        </w:tc>
        <w:tc>
          <w:tcPr>
            <w:tcW w:w="1250" w:type="dxa"/>
            <w:shd w:val="clear" w:color="auto" w:fill="FFFFFF"/>
            <w:noWrap/>
            <w:vAlign w:val="center"/>
            <w:hideMark/>
          </w:tcPr>
          <w:p w14:paraId="79F5E83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70.3%</w:t>
            </w:r>
          </w:p>
        </w:tc>
        <w:tc>
          <w:tcPr>
            <w:tcW w:w="1428" w:type="dxa"/>
            <w:shd w:val="clear" w:color="auto" w:fill="FFFFFF"/>
            <w:noWrap/>
            <w:vAlign w:val="center"/>
            <w:hideMark/>
          </w:tcPr>
          <w:p w14:paraId="69DA9624"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524</w:t>
            </w:r>
          </w:p>
        </w:tc>
        <w:tc>
          <w:tcPr>
            <w:tcW w:w="1450" w:type="dxa"/>
            <w:shd w:val="clear" w:color="auto" w:fill="FFFFFF"/>
            <w:noWrap/>
            <w:vAlign w:val="center"/>
            <w:hideMark/>
          </w:tcPr>
          <w:p w14:paraId="01BECF34"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392</w:t>
            </w:r>
          </w:p>
        </w:tc>
        <w:tc>
          <w:tcPr>
            <w:tcW w:w="1250" w:type="dxa"/>
            <w:noWrap/>
            <w:vAlign w:val="center"/>
            <w:hideMark/>
          </w:tcPr>
          <w:p w14:paraId="101FB57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74.8%</w:t>
            </w:r>
          </w:p>
        </w:tc>
      </w:tr>
      <w:tr w:rsidR="00703429" w14:paraId="18C056E1" w14:textId="77777777" w:rsidTr="00BE296D">
        <w:trPr>
          <w:trHeight w:val="315"/>
        </w:trPr>
        <w:tc>
          <w:tcPr>
            <w:tcW w:w="1172" w:type="dxa"/>
            <w:shd w:val="clear" w:color="auto" w:fill="FFFFFF"/>
            <w:noWrap/>
            <w:vAlign w:val="center"/>
            <w:hideMark/>
          </w:tcPr>
          <w:p w14:paraId="40EC0CAB"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NC</w:t>
            </w:r>
          </w:p>
        </w:tc>
        <w:tc>
          <w:tcPr>
            <w:tcW w:w="1428" w:type="dxa"/>
            <w:shd w:val="clear" w:color="auto" w:fill="FFFFFF"/>
            <w:noWrap/>
            <w:vAlign w:val="center"/>
            <w:hideMark/>
          </w:tcPr>
          <w:p w14:paraId="3AAED5E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6,755</w:t>
            </w:r>
          </w:p>
        </w:tc>
        <w:tc>
          <w:tcPr>
            <w:tcW w:w="1450" w:type="dxa"/>
            <w:shd w:val="clear" w:color="auto" w:fill="FFFFFF"/>
            <w:noWrap/>
            <w:vAlign w:val="center"/>
            <w:hideMark/>
          </w:tcPr>
          <w:p w14:paraId="6050302B"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4,907</w:t>
            </w:r>
          </w:p>
        </w:tc>
        <w:tc>
          <w:tcPr>
            <w:tcW w:w="1250" w:type="dxa"/>
            <w:shd w:val="clear" w:color="auto" w:fill="FFFFFF"/>
            <w:noWrap/>
            <w:vAlign w:val="center"/>
            <w:hideMark/>
          </w:tcPr>
          <w:p w14:paraId="7F54BF21"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72.6%</w:t>
            </w:r>
          </w:p>
        </w:tc>
        <w:tc>
          <w:tcPr>
            <w:tcW w:w="1428" w:type="dxa"/>
            <w:shd w:val="clear" w:color="auto" w:fill="FFFFFF"/>
            <w:noWrap/>
            <w:vAlign w:val="center"/>
            <w:hideMark/>
          </w:tcPr>
          <w:p w14:paraId="7135493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3,372</w:t>
            </w:r>
          </w:p>
        </w:tc>
        <w:tc>
          <w:tcPr>
            <w:tcW w:w="1450" w:type="dxa"/>
            <w:shd w:val="clear" w:color="auto" w:fill="FFFFFF"/>
            <w:noWrap/>
            <w:vAlign w:val="center"/>
            <w:hideMark/>
          </w:tcPr>
          <w:p w14:paraId="24461F3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2,416</w:t>
            </w:r>
          </w:p>
        </w:tc>
        <w:tc>
          <w:tcPr>
            <w:tcW w:w="1250" w:type="dxa"/>
            <w:noWrap/>
            <w:vAlign w:val="center"/>
            <w:hideMark/>
          </w:tcPr>
          <w:p w14:paraId="31294ECA"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71.6%</w:t>
            </w:r>
          </w:p>
        </w:tc>
      </w:tr>
      <w:tr w:rsidR="00703429" w14:paraId="0576E086" w14:textId="77777777" w:rsidTr="00BE296D">
        <w:trPr>
          <w:trHeight w:val="315"/>
        </w:trPr>
        <w:tc>
          <w:tcPr>
            <w:tcW w:w="1172" w:type="dxa"/>
            <w:shd w:val="clear" w:color="auto" w:fill="FFFFFF"/>
            <w:noWrap/>
            <w:vAlign w:val="center"/>
            <w:hideMark/>
          </w:tcPr>
          <w:p w14:paraId="25D1B1C2"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NH</w:t>
            </w:r>
          </w:p>
        </w:tc>
        <w:tc>
          <w:tcPr>
            <w:tcW w:w="1428" w:type="dxa"/>
            <w:shd w:val="clear" w:color="auto" w:fill="FFFFFF"/>
            <w:noWrap/>
            <w:vAlign w:val="center"/>
            <w:hideMark/>
          </w:tcPr>
          <w:p w14:paraId="789D25E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800</w:t>
            </w:r>
          </w:p>
        </w:tc>
        <w:tc>
          <w:tcPr>
            <w:tcW w:w="1450" w:type="dxa"/>
            <w:shd w:val="clear" w:color="auto" w:fill="FFFFFF"/>
            <w:noWrap/>
            <w:vAlign w:val="center"/>
            <w:hideMark/>
          </w:tcPr>
          <w:p w14:paraId="3FC42B9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574</w:t>
            </w:r>
          </w:p>
        </w:tc>
        <w:tc>
          <w:tcPr>
            <w:tcW w:w="1250" w:type="dxa"/>
            <w:shd w:val="clear" w:color="auto" w:fill="FFFFFF"/>
            <w:noWrap/>
            <w:vAlign w:val="center"/>
            <w:hideMark/>
          </w:tcPr>
          <w:p w14:paraId="63C938DD"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71.8%</w:t>
            </w:r>
          </w:p>
        </w:tc>
        <w:tc>
          <w:tcPr>
            <w:tcW w:w="1428" w:type="dxa"/>
            <w:shd w:val="clear" w:color="auto" w:fill="FFFFFF"/>
            <w:noWrap/>
            <w:vAlign w:val="center"/>
            <w:hideMark/>
          </w:tcPr>
          <w:p w14:paraId="39975D8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292</w:t>
            </w:r>
          </w:p>
        </w:tc>
        <w:tc>
          <w:tcPr>
            <w:tcW w:w="1450" w:type="dxa"/>
            <w:shd w:val="clear" w:color="auto" w:fill="FFFFFF"/>
            <w:noWrap/>
            <w:vAlign w:val="center"/>
            <w:hideMark/>
          </w:tcPr>
          <w:p w14:paraId="7EEC3625"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188</w:t>
            </w:r>
          </w:p>
        </w:tc>
        <w:tc>
          <w:tcPr>
            <w:tcW w:w="1250" w:type="dxa"/>
            <w:noWrap/>
            <w:vAlign w:val="center"/>
            <w:hideMark/>
          </w:tcPr>
          <w:p w14:paraId="46E6206D"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64.4%</w:t>
            </w:r>
          </w:p>
        </w:tc>
      </w:tr>
      <w:tr w:rsidR="00703429" w14:paraId="6040FBE8" w14:textId="77777777" w:rsidTr="00BE296D">
        <w:trPr>
          <w:trHeight w:val="315"/>
        </w:trPr>
        <w:tc>
          <w:tcPr>
            <w:tcW w:w="1172" w:type="dxa"/>
            <w:shd w:val="clear" w:color="auto" w:fill="FFFFFF"/>
            <w:noWrap/>
            <w:vAlign w:val="center"/>
            <w:hideMark/>
          </w:tcPr>
          <w:p w14:paraId="3C902FE0"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OK</w:t>
            </w:r>
          </w:p>
        </w:tc>
        <w:tc>
          <w:tcPr>
            <w:tcW w:w="1428" w:type="dxa"/>
            <w:shd w:val="clear" w:color="auto" w:fill="FFFFFF"/>
            <w:noWrap/>
            <w:vAlign w:val="center"/>
            <w:hideMark/>
          </w:tcPr>
          <w:p w14:paraId="02896AE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1,183</w:t>
            </w:r>
          </w:p>
        </w:tc>
        <w:tc>
          <w:tcPr>
            <w:tcW w:w="1450" w:type="dxa"/>
            <w:shd w:val="clear" w:color="auto" w:fill="FFFFFF"/>
            <w:noWrap/>
            <w:vAlign w:val="center"/>
            <w:hideMark/>
          </w:tcPr>
          <w:p w14:paraId="6CD63704"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813</w:t>
            </w:r>
          </w:p>
        </w:tc>
        <w:tc>
          <w:tcPr>
            <w:tcW w:w="1250" w:type="dxa"/>
            <w:shd w:val="clear" w:color="auto" w:fill="FFFFFF"/>
            <w:noWrap/>
            <w:vAlign w:val="center"/>
            <w:hideMark/>
          </w:tcPr>
          <w:p w14:paraId="71098944"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68.7%</w:t>
            </w:r>
          </w:p>
        </w:tc>
        <w:tc>
          <w:tcPr>
            <w:tcW w:w="1428" w:type="dxa"/>
            <w:shd w:val="clear" w:color="auto" w:fill="FFFFFF"/>
            <w:noWrap/>
            <w:vAlign w:val="center"/>
            <w:hideMark/>
          </w:tcPr>
          <w:p w14:paraId="15E3ED5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717</w:t>
            </w:r>
          </w:p>
        </w:tc>
        <w:tc>
          <w:tcPr>
            <w:tcW w:w="1450" w:type="dxa"/>
            <w:shd w:val="clear" w:color="auto" w:fill="FFFFFF"/>
            <w:noWrap/>
            <w:vAlign w:val="center"/>
            <w:hideMark/>
          </w:tcPr>
          <w:p w14:paraId="6415E5C5"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514</w:t>
            </w:r>
          </w:p>
        </w:tc>
        <w:tc>
          <w:tcPr>
            <w:tcW w:w="1250" w:type="dxa"/>
            <w:noWrap/>
            <w:vAlign w:val="center"/>
            <w:hideMark/>
          </w:tcPr>
          <w:p w14:paraId="371CA05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71.7%</w:t>
            </w:r>
          </w:p>
        </w:tc>
      </w:tr>
      <w:tr w:rsidR="00703429" w14:paraId="0D27B8B9" w14:textId="77777777" w:rsidTr="00BE296D">
        <w:trPr>
          <w:trHeight w:val="315"/>
        </w:trPr>
        <w:tc>
          <w:tcPr>
            <w:tcW w:w="1172" w:type="dxa"/>
            <w:shd w:val="clear" w:color="auto" w:fill="FFFFFF"/>
            <w:noWrap/>
            <w:vAlign w:val="center"/>
            <w:hideMark/>
          </w:tcPr>
          <w:p w14:paraId="380CD13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WI</w:t>
            </w:r>
          </w:p>
        </w:tc>
        <w:tc>
          <w:tcPr>
            <w:tcW w:w="1428" w:type="dxa"/>
            <w:shd w:val="clear" w:color="auto" w:fill="FFFFFF"/>
            <w:noWrap/>
            <w:vAlign w:val="center"/>
            <w:hideMark/>
          </w:tcPr>
          <w:p w14:paraId="5EC408D2"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1,491</w:t>
            </w:r>
          </w:p>
        </w:tc>
        <w:tc>
          <w:tcPr>
            <w:tcW w:w="1450" w:type="dxa"/>
            <w:shd w:val="clear" w:color="auto" w:fill="FFFFFF"/>
            <w:noWrap/>
            <w:vAlign w:val="center"/>
            <w:hideMark/>
          </w:tcPr>
          <w:p w14:paraId="21933D34"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1,041</w:t>
            </w:r>
          </w:p>
        </w:tc>
        <w:tc>
          <w:tcPr>
            <w:tcW w:w="1250" w:type="dxa"/>
            <w:shd w:val="clear" w:color="auto" w:fill="FFFFFF"/>
            <w:noWrap/>
            <w:vAlign w:val="center"/>
            <w:hideMark/>
          </w:tcPr>
          <w:p w14:paraId="289FB05C"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69.8%</w:t>
            </w:r>
          </w:p>
        </w:tc>
        <w:tc>
          <w:tcPr>
            <w:tcW w:w="1428" w:type="dxa"/>
            <w:shd w:val="clear" w:color="auto" w:fill="FFFFFF"/>
            <w:noWrap/>
            <w:vAlign w:val="center"/>
            <w:hideMark/>
          </w:tcPr>
          <w:p w14:paraId="113D834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895</w:t>
            </w:r>
          </w:p>
        </w:tc>
        <w:tc>
          <w:tcPr>
            <w:tcW w:w="1450" w:type="dxa"/>
            <w:shd w:val="clear" w:color="auto" w:fill="FFFFFF"/>
            <w:noWrap/>
            <w:vAlign w:val="center"/>
            <w:hideMark/>
          </w:tcPr>
          <w:p w14:paraId="7FE2FE8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588</w:t>
            </w:r>
          </w:p>
        </w:tc>
        <w:tc>
          <w:tcPr>
            <w:tcW w:w="1250" w:type="dxa"/>
            <w:noWrap/>
            <w:vAlign w:val="center"/>
            <w:hideMark/>
          </w:tcPr>
          <w:p w14:paraId="424C88C5"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65.7%</w:t>
            </w:r>
          </w:p>
        </w:tc>
      </w:tr>
      <w:tr w:rsidR="00703429" w14:paraId="0856FC76" w14:textId="77777777" w:rsidTr="00BE296D">
        <w:trPr>
          <w:trHeight w:val="315"/>
        </w:trPr>
        <w:tc>
          <w:tcPr>
            <w:tcW w:w="1172" w:type="dxa"/>
            <w:shd w:val="clear" w:color="auto" w:fill="FFFFFF"/>
            <w:noWrap/>
            <w:vAlign w:val="center"/>
            <w:hideMark/>
          </w:tcPr>
          <w:p w14:paraId="47E64BCD"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WV</w:t>
            </w:r>
          </w:p>
        </w:tc>
        <w:tc>
          <w:tcPr>
            <w:tcW w:w="1428" w:type="dxa"/>
            <w:shd w:val="clear" w:color="auto" w:fill="FFFFFF"/>
            <w:noWrap/>
            <w:vAlign w:val="center"/>
            <w:hideMark/>
          </w:tcPr>
          <w:p w14:paraId="68F6D2F5"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1,699</w:t>
            </w:r>
          </w:p>
        </w:tc>
        <w:tc>
          <w:tcPr>
            <w:tcW w:w="1450" w:type="dxa"/>
            <w:shd w:val="clear" w:color="auto" w:fill="FFFFFF"/>
            <w:noWrap/>
            <w:vAlign w:val="center"/>
            <w:hideMark/>
          </w:tcPr>
          <w:p w14:paraId="6007F8E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1,178</w:t>
            </w:r>
          </w:p>
        </w:tc>
        <w:tc>
          <w:tcPr>
            <w:tcW w:w="1250" w:type="dxa"/>
            <w:shd w:val="clear" w:color="auto" w:fill="FFFFFF"/>
            <w:noWrap/>
            <w:vAlign w:val="center"/>
            <w:hideMark/>
          </w:tcPr>
          <w:p w14:paraId="2CE40E4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69.3%</w:t>
            </w:r>
          </w:p>
        </w:tc>
        <w:tc>
          <w:tcPr>
            <w:tcW w:w="1428" w:type="dxa"/>
            <w:shd w:val="clear" w:color="auto" w:fill="FFFFFF"/>
            <w:noWrap/>
            <w:vAlign w:val="center"/>
            <w:hideMark/>
          </w:tcPr>
          <w:p w14:paraId="4404B6A0"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934</w:t>
            </w:r>
          </w:p>
        </w:tc>
        <w:tc>
          <w:tcPr>
            <w:tcW w:w="1450" w:type="dxa"/>
            <w:shd w:val="clear" w:color="auto" w:fill="FFFFFF"/>
            <w:noWrap/>
            <w:vAlign w:val="center"/>
            <w:hideMark/>
          </w:tcPr>
          <w:p w14:paraId="03DEE322"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704</w:t>
            </w:r>
          </w:p>
        </w:tc>
        <w:tc>
          <w:tcPr>
            <w:tcW w:w="1250" w:type="dxa"/>
            <w:noWrap/>
            <w:vAlign w:val="center"/>
            <w:hideMark/>
          </w:tcPr>
          <w:p w14:paraId="18BC3C03"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75.4%</w:t>
            </w:r>
          </w:p>
        </w:tc>
      </w:tr>
      <w:tr w:rsidR="00703429" w14:paraId="7CB606CC" w14:textId="77777777" w:rsidTr="00BE296D">
        <w:trPr>
          <w:trHeight w:val="315"/>
        </w:trPr>
        <w:tc>
          <w:tcPr>
            <w:tcW w:w="1172" w:type="dxa"/>
            <w:shd w:val="clear" w:color="auto" w:fill="FFFFFF"/>
            <w:noWrap/>
            <w:vAlign w:val="center"/>
            <w:hideMark/>
          </w:tcPr>
          <w:p w14:paraId="0C1FE54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Total </w:t>
            </w:r>
          </w:p>
        </w:tc>
        <w:tc>
          <w:tcPr>
            <w:tcW w:w="1428" w:type="dxa"/>
            <w:shd w:val="clear" w:color="auto" w:fill="FFFFFF"/>
            <w:noWrap/>
            <w:vAlign w:val="center"/>
            <w:hideMark/>
          </w:tcPr>
          <w:p w14:paraId="3EABA74A"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48,941</w:t>
            </w:r>
          </w:p>
        </w:tc>
        <w:tc>
          <w:tcPr>
            <w:tcW w:w="1450" w:type="dxa"/>
            <w:shd w:val="clear" w:color="auto" w:fill="FFFFFF"/>
            <w:noWrap/>
            <w:vAlign w:val="center"/>
            <w:hideMark/>
          </w:tcPr>
          <w:p w14:paraId="5A3D9B32"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31,952</w:t>
            </w:r>
          </w:p>
        </w:tc>
        <w:tc>
          <w:tcPr>
            <w:tcW w:w="1250" w:type="dxa"/>
            <w:shd w:val="clear" w:color="auto" w:fill="FFFFFF"/>
            <w:noWrap/>
            <w:vAlign w:val="center"/>
            <w:hideMark/>
          </w:tcPr>
          <w:p w14:paraId="0877BACA"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65.3%</w:t>
            </w:r>
          </w:p>
        </w:tc>
        <w:tc>
          <w:tcPr>
            <w:tcW w:w="1428" w:type="dxa"/>
            <w:shd w:val="clear" w:color="auto" w:fill="FFFFFF"/>
            <w:noWrap/>
            <w:vAlign w:val="center"/>
            <w:hideMark/>
          </w:tcPr>
          <w:p w14:paraId="744580E4"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20,716</w:t>
            </w:r>
          </w:p>
        </w:tc>
        <w:tc>
          <w:tcPr>
            <w:tcW w:w="1450" w:type="dxa"/>
            <w:shd w:val="clear" w:color="auto" w:fill="FFFFFF"/>
            <w:noWrap/>
            <w:vAlign w:val="center"/>
            <w:hideMark/>
          </w:tcPr>
          <w:p w14:paraId="296E9CCC"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13,337</w:t>
            </w:r>
          </w:p>
        </w:tc>
        <w:tc>
          <w:tcPr>
            <w:tcW w:w="1250" w:type="dxa"/>
            <w:noWrap/>
            <w:vAlign w:val="center"/>
            <w:hideMark/>
          </w:tcPr>
          <w:p w14:paraId="1381FC3A"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64.4%</w:t>
            </w:r>
          </w:p>
        </w:tc>
      </w:tr>
    </w:tbl>
    <w:p w14:paraId="6E2FB61E"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*DC was dropped from AOD denominator due to small sample size.</w:t>
      </w:r>
    </w:p>
    <w:p w14:paraId="376AA066"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p>
    <w:p w14:paraId="10983A81"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Table 7: Measure performance before and after application of final exclusion</w:t>
      </w:r>
    </w:p>
    <w:tbl>
      <w:tblPr>
        <w:tblStyle w:val="TableGrid"/>
        <w:tblW w:w="0" w:type="auto"/>
        <w:tblLook w:val="04A0" w:firstRow="1" w:lastRow="0" w:firstColumn="1" w:lastColumn="0" w:noHBand="0" w:noVBand="1"/>
      </w:tblPr>
      <w:tblGrid>
        <w:gridCol w:w="3108"/>
        <w:gridCol w:w="3121"/>
        <w:gridCol w:w="3121"/>
      </w:tblGrid>
      <w:tr w:rsidR="00703429" w14:paraId="504ED554" w14:textId="77777777" w:rsidTr="00703429">
        <w:tc>
          <w:tcPr>
            <w:tcW w:w="3192" w:type="dxa"/>
            <w:tcBorders>
              <w:top w:val="single" w:sz="4" w:space="0" w:color="auto"/>
              <w:left w:val="single" w:sz="4" w:space="0" w:color="auto"/>
              <w:bottom w:val="single" w:sz="4" w:space="0" w:color="auto"/>
              <w:right w:val="single" w:sz="4" w:space="0" w:color="auto"/>
            </w:tcBorders>
            <w:hideMark/>
          </w:tcPr>
          <w:p w14:paraId="3B092B59"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Measure</w:t>
            </w:r>
          </w:p>
        </w:tc>
        <w:tc>
          <w:tcPr>
            <w:tcW w:w="3192" w:type="dxa"/>
            <w:tcBorders>
              <w:top w:val="single" w:sz="4" w:space="0" w:color="auto"/>
              <w:left w:val="single" w:sz="4" w:space="0" w:color="auto"/>
              <w:bottom w:val="single" w:sz="4" w:space="0" w:color="auto"/>
              <w:right w:val="single" w:sz="4" w:space="0" w:color="auto"/>
            </w:tcBorders>
            <w:hideMark/>
          </w:tcPr>
          <w:p w14:paraId="69D0CFEB"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Overall measure performance after exclusions 1-3 applied</w:t>
            </w:r>
          </w:p>
        </w:tc>
        <w:tc>
          <w:tcPr>
            <w:tcW w:w="3192" w:type="dxa"/>
            <w:tcBorders>
              <w:top w:val="single" w:sz="4" w:space="0" w:color="auto"/>
              <w:left w:val="single" w:sz="4" w:space="0" w:color="auto"/>
              <w:bottom w:val="single" w:sz="4" w:space="0" w:color="auto"/>
              <w:right w:val="single" w:sz="4" w:space="0" w:color="auto"/>
            </w:tcBorders>
            <w:hideMark/>
          </w:tcPr>
          <w:p w14:paraId="0AC55B5E"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Overall measure performance after exclusions 1-4 applied</w:t>
            </w:r>
          </w:p>
        </w:tc>
      </w:tr>
      <w:tr w:rsidR="00703429" w14:paraId="2A3964F6" w14:textId="77777777" w:rsidTr="00703429">
        <w:tc>
          <w:tcPr>
            <w:tcW w:w="3192" w:type="dxa"/>
            <w:tcBorders>
              <w:top w:val="single" w:sz="4" w:space="0" w:color="auto"/>
              <w:left w:val="single" w:sz="4" w:space="0" w:color="auto"/>
              <w:bottom w:val="single" w:sz="4" w:space="0" w:color="auto"/>
              <w:right w:val="single" w:sz="4" w:space="0" w:color="auto"/>
            </w:tcBorders>
            <w:hideMark/>
          </w:tcPr>
          <w:p w14:paraId="7B5AC97C"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Mental Health: 7-day follow-up</w:t>
            </w:r>
          </w:p>
        </w:tc>
        <w:tc>
          <w:tcPr>
            <w:tcW w:w="3192" w:type="dxa"/>
            <w:tcBorders>
              <w:top w:val="single" w:sz="4" w:space="0" w:color="auto"/>
              <w:left w:val="single" w:sz="4" w:space="0" w:color="auto"/>
              <w:bottom w:val="single" w:sz="4" w:space="0" w:color="auto"/>
              <w:right w:val="single" w:sz="4" w:space="0" w:color="auto"/>
            </w:tcBorders>
            <w:hideMark/>
          </w:tcPr>
          <w:p w14:paraId="64F08F4F"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66.6</w:t>
            </w:r>
          </w:p>
        </w:tc>
        <w:tc>
          <w:tcPr>
            <w:tcW w:w="3192" w:type="dxa"/>
            <w:tcBorders>
              <w:top w:val="single" w:sz="4" w:space="0" w:color="auto"/>
              <w:left w:val="single" w:sz="4" w:space="0" w:color="auto"/>
              <w:bottom w:val="single" w:sz="4" w:space="0" w:color="auto"/>
              <w:right w:val="single" w:sz="4" w:space="0" w:color="auto"/>
            </w:tcBorders>
            <w:hideMark/>
          </w:tcPr>
          <w:p w14:paraId="7BB6ADE0"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67.8</w:t>
            </w:r>
          </w:p>
        </w:tc>
      </w:tr>
      <w:tr w:rsidR="00703429" w14:paraId="3E7C84AB" w14:textId="77777777" w:rsidTr="00703429">
        <w:tc>
          <w:tcPr>
            <w:tcW w:w="3192" w:type="dxa"/>
            <w:tcBorders>
              <w:top w:val="single" w:sz="4" w:space="0" w:color="auto"/>
              <w:left w:val="single" w:sz="4" w:space="0" w:color="auto"/>
              <w:bottom w:val="single" w:sz="4" w:space="0" w:color="auto"/>
              <w:right w:val="single" w:sz="4" w:space="0" w:color="auto"/>
            </w:tcBorders>
            <w:hideMark/>
          </w:tcPr>
          <w:p w14:paraId="76E2EB22"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Mental Health: 30-day follow-up</w:t>
            </w:r>
          </w:p>
        </w:tc>
        <w:tc>
          <w:tcPr>
            <w:tcW w:w="3192" w:type="dxa"/>
            <w:tcBorders>
              <w:top w:val="single" w:sz="4" w:space="0" w:color="auto"/>
              <w:left w:val="single" w:sz="4" w:space="0" w:color="auto"/>
              <w:bottom w:val="single" w:sz="4" w:space="0" w:color="auto"/>
              <w:right w:val="single" w:sz="4" w:space="0" w:color="auto"/>
            </w:tcBorders>
            <w:hideMark/>
          </w:tcPr>
          <w:p w14:paraId="7A637946"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76.9</w:t>
            </w:r>
          </w:p>
        </w:tc>
        <w:tc>
          <w:tcPr>
            <w:tcW w:w="3192" w:type="dxa"/>
            <w:tcBorders>
              <w:top w:val="single" w:sz="4" w:space="0" w:color="auto"/>
              <w:left w:val="single" w:sz="4" w:space="0" w:color="auto"/>
              <w:bottom w:val="single" w:sz="4" w:space="0" w:color="auto"/>
              <w:right w:val="single" w:sz="4" w:space="0" w:color="auto"/>
            </w:tcBorders>
            <w:hideMark/>
          </w:tcPr>
          <w:p w14:paraId="5530716F"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77.3</w:t>
            </w:r>
          </w:p>
        </w:tc>
      </w:tr>
      <w:tr w:rsidR="00703429" w14:paraId="5BBDB5D9" w14:textId="77777777" w:rsidTr="00703429">
        <w:tc>
          <w:tcPr>
            <w:tcW w:w="3192" w:type="dxa"/>
            <w:tcBorders>
              <w:top w:val="single" w:sz="4" w:space="0" w:color="auto"/>
              <w:left w:val="single" w:sz="4" w:space="0" w:color="auto"/>
              <w:bottom w:val="single" w:sz="4" w:space="0" w:color="auto"/>
              <w:right w:val="single" w:sz="4" w:space="0" w:color="auto"/>
            </w:tcBorders>
            <w:hideMark/>
          </w:tcPr>
          <w:p w14:paraId="49FA69B0"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AOD: 7-day follow-up</w:t>
            </w:r>
          </w:p>
        </w:tc>
        <w:tc>
          <w:tcPr>
            <w:tcW w:w="3192" w:type="dxa"/>
            <w:tcBorders>
              <w:top w:val="single" w:sz="4" w:space="0" w:color="auto"/>
              <w:left w:val="single" w:sz="4" w:space="0" w:color="auto"/>
              <w:bottom w:val="single" w:sz="4" w:space="0" w:color="auto"/>
              <w:right w:val="single" w:sz="4" w:space="0" w:color="auto"/>
            </w:tcBorders>
            <w:hideMark/>
          </w:tcPr>
          <w:p w14:paraId="26B56F6A"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64.2</w:t>
            </w:r>
          </w:p>
        </w:tc>
        <w:tc>
          <w:tcPr>
            <w:tcW w:w="3192" w:type="dxa"/>
            <w:tcBorders>
              <w:top w:val="single" w:sz="4" w:space="0" w:color="auto"/>
              <w:left w:val="single" w:sz="4" w:space="0" w:color="auto"/>
              <w:bottom w:val="single" w:sz="4" w:space="0" w:color="auto"/>
              <w:right w:val="single" w:sz="4" w:space="0" w:color="auto"/>
            </w:tcBorders>
            <w:hideMark/>
          </w:tcPr>
          <w:p w14:paraId="197FED42"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66.6</w:t>
            </w:r>
          </w:p>
        </w:tc>
      </w:tr>
      <w:tr w:rsidR="00703429" w14:paraId="5DEC9BF8" w14:textId="77777777" w:rsidTr="00703429">
        <w:tc>
          <w:tcPr>
            <w:tcW w:w="3192" w:type="dxa"/>
            <w:tcBorders>
              <w:top w:val="single" w:sz="4" w:space="0" w:color="auto"/>
              <w:left w:val="single" w:sz="4" w:space="0" w:color="auto"/>
              <w:bottom w:val="single" w:sz="4" w:space="0" w:color="auto"/>
              <w:right w:val="single" w:sz="4" w:space="0" w:color="auto"/>
            </w:tcBorders>
            <w:hideMark/>
          </w:tcPr>
          <w:p w14:paraId="17F61A81"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AOD: 30-day follow up</w:t>
            </w:r>
          </w:p>
        </w:tc>
        <w:tc>
          <w:tcPr>
            <w:tcW w:w="3192" w:type="dxa"/>
            <w:tcBorders>
              <w:top w:val="single" w:sz="4" w:space="0" w:color="auto"/>
              <w:left w:val="single" w:sz="4" w:space="0" w:color="auto"/>
              <w:bottom w:val="single" w:sz="4" w:space="0" w:color="auto"/>
              <w:right w:val="single" w:sz="4" w:space="0" w:color="auto"/>
            </w:tcBorders>
            <w:hideMark/>
          </w:tcPr>
          <w:p w14:paraId="57638414"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67.9</w:t>
            </w:r>
          </w:p>
        </w:tc>
        <w:tc>
          <w:tcPr>
            <w:tcW w:w="3192" w:type="dxa"/>
            <w:tcBorders>
              <w:top w:val="single" w:sz="4" w:space="0" w:color="auto"/>
              <w:left w:val="single" w:sz="4" w:space="0" w:color="auto"/>
              <w:bottom w:val="single" w:sz="4" w:space="0" w:color="auto"/>
              <w:right w:val="single" w:sz="4" w:space="0" w:color="auto"/>
            </w:tcBorders>
            <w:hideMark/>
          </w:tcPr>
          <w:p w14:paraId="1FCEDC78"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68.7</w:t>
            </w:r>
          </w:p>
        </w:tc>
      </w:tr>
    </w:tbl>
    <w:p w14:paraId="592851A8"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Note: The overall performance rates presented here are pooled across states. </w:t>
      </w:r>
    </w:p>
    <w:p w14:paraId="0CABCFE7" w14:textId="7842F30E" w:rsidR="00092566" w:rsidRPr="009D3882" w:rsidRDefault="00092566" w:rsidP="00D23AD7">
      <w:pPr>
        <w:autoSpaceDE w:val="0"/>
        <w:autoSpaceDN w:val="0"/>
        <w:adjustRightInd w:val="0"/>
        <w:spacing w:after="0" w:line="240" w:lineRule="auto"/>
        <w:contextualSpacing/>
        <w:rPr>
          <w:rFonts w:cstheme="minorHAnsi"/>
          <w:bCs/>
          <w:sz w:val="12"/>
        </w:rPr>
      </w:pPr>
    </w:p>
    <w:p w14:paraId="232B5C78" w14:textId="77777777" w:rsidR="00703429" w:rsidRDefault="00092566" w:rsidP="00D23AD7">
      <w:pPr>
        <w:autoSpaceDE w:val="0"/>
        <w:autoSpaceDN w:val="0"/>
        <w:adjustRightInd w:val="0"/>
        <w:spacing w:after="0" w:line="240" w:lineRule="auto"/>
        <w:contextualSpacing/>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xml:space="preserve">, the measure must be specified </w:t>
      </w:r>
      <w:r w:rsidR="00713394" w:rsidRPr="00A25024">
        <w:rPr>
          <w:rFonts w:cstheme="minorHAnsi"/>
          <w:bCs/>
          <w:i/>
        </w:rPr>
        <w:lastRenderedPageBreak/>
        <w:t>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703429">
        <w:rPr>
          <w:rStyle w:val="Style1"/>
          <w:b/>
          <w:bCs/>
          <w:color w:val="4F81BD" w:themeColor="accent1"/>
          <w:u w:val="single"/>
        </w:rPr>
        <w:t>2014 Submission</w:t>
      </w:r>
    </w:p>
    <w:p w14:paraId="0CABCFE8" w14:textId="5DC1510F" w:rsidR="007422FD" w:rsidRP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We tested several exclusions in order to understand the impact on the denominator.  Exclusions 1 and 2 are necessary to ensure that follow-up care can be observed during the measurement year. Exclusion 3 is </w:t>
      </w:r>
      <w:proofErr w:type="gramStart"/>
      <w:r>
        <w:rPr>
          <w:rFonts w:cstheme="minorHAnsi"/>
          <w:bCs/>
          <w:color w:val="4F81BD" w:themeColor="accent1"/>
        </w:rPr>
        <w:t>prevents</w:t>
      </w:r>
      <w:proofErr w:type="gramEnd"/>
      <w:r>
        <w:rPr>
          <w:rFonts w:cstheme="minorHAnsi"/>
          <w:bCs/>
          <w:color w:val="4F81BD" w:themeColor="accent1"/>
        </w:rPr>
        <w:t xml:space="preserve"> incentivizing more emergency department visits and aligns with other NQF endorsed measures to decrease burden and confusion for health plans. Average measure performance does not change substantially when Exclusion 4 is implemented, this exclusion aligns with NQF measure 0576, and there is a clinical rationale for excluding emergency department discharges that have an inpatient or other residential stay during the follow-up period, which is important to the face validity of the measure. </w:t>
      </w:r>
      <w:proofErr w:type="gramStart"/>
      <w:r>
        <w:rPr>
          <w:rFonts w:cstheme="minorHAnsi"/>
          <w:bCs/>
          <w:color w:val="4F81BD" w:themeColor="accent1"/>
        </w:rPr>
        <w:t>All of</w:t>
      </w:r>
      <w:proofErr w:type="gramEnd"/>
      <w:r>
        <w:rPr>
          <w:rFonts w:cstheme="minorHAnsi"/>
          <w:bCs/>
          <w:color w:val="4F81BD" w:themeColor="accent1"/>
        </w:rPr>
        <w:t xml:space="preserve"> the exclusions have minimal effect on the burden of calculating the measure since these exclusions are derived exclusively from claims data. In the specifications, some of these exclusions have been incorporated into the denominator definition. </w:t>
      </w:r>
    </w:p>
    <w:p w14:paraId="0CABCFE9" w14:textId="77777777" w:rsidR="001202E9" w:rsidRPr="00A25024" w:rsidRDefault="0086464B" w:rsidP="00D23AD7">
      <w:pPr>
        <w:autoSpaceDE w:val="0"/>
        <w:autoSpaceDN w:val="0"/>
        <w:adjustRightInd w:val="0"/>
        <w:spacing w:after="0" w:line="240" w:lineRule="auto"/>
        <w:contextualSpacing/>
        <w:rPr>
          <w:rFonts w:cstheme="minorHAnsi"/>
          <w:bCs/>
        </w:rPr>
      </w:pPr>
      <w:r>
        <w:rPr>
          <w:rFonts w:cstheme="minorHAnsi"/>
          <w:bCs/>
        </w:rPr>
        <w:t>____________________________</w:t>
      </w:r>
    </w:p>
    <w:p w14:paraId="0CABCFEA" w14:textId="1A6C3041" w:rsidR="00AC1D8E" w:rsidRPr="00703429" w:rsidRDefault="00092566" w:rsidP="00D23AD7">
      <w:pPr>
        <w:autoSpaceDE w:val="0"/>
        <w:autoSpaceDN w:val="0"/>
        <w:adjustRightInd w:val="0"/>
        <w:spacing w:after="0" w:line="240" w:lineRule="auto"/>
        <w:contextualSpacing/>
        <w:rPr>
          <w:rFonts w:cstheme="minorHAnsi"/>
          <w:b/>
          <w:bCs/>
          <w:i/>
          <w:color w:val="808080" w:themeColor="background1" w:themeShade="80"/>
        </w:rPr>
      </w:pPr>
      <w:bookmarkStart w:id="14" w:name="section2b4"/>
      <w:bookmarkEnd w:id="14"/>
      <w:r w:rsidRPr="00703429">
        <w:rPr>
          <w:rFonts w:cstheme="minorHAnsi"/>
          <w:b/>
          <w:bCs/>
          <w:color w:val="808080" w:themeColor="background1" w:themeShade="80"/>
        </w:rPr>
        <w:t>2b</w:t>
      </w:r>
      <w:r w:rsidR="009C7513" w:rsidRPr="00703429">
        <w:rPr>
          <w:rFonts w:cstheme="minorHAnsi"/>
          <w:b/>
          <w:bCs/>
          <w:color w:val="808080" w:themeColor="background1" w:themeShade="80"/>
        </w:rPr>
        <w:t>3</w:t>
      </w:r>
      <w:r w:rsidRPr="00703429">
        <w:rPr>
          <w:rFonts w:cstheme="minorHAnsi"/>
          <w:b/>
          <w:bCs/>
          <w:color w:val="808080" w:themeColor="background1" w:themeShade="80"/>
        </w:rPr>
        <w:t>. RISK ADJUSTMENT/STRATIFICATION FOR OUTCOME OR RESOURCE USE MEASURES</w:t>
      </w:r>
      <w:r w:rsidRPr="00703429">
        <w:rPr>
          <w:rFonts w:cstheme="minorHAnsi"/>
          <w:bCs/>
          <w:color w:val="808080" w:themeColor="background1" w:themeShade="80"/>
        </w:rPr>
        <w:br/>
      </w:r>
      <w:r w:rsidR="00AC1D8E" w:rsidRPr="00703429">
        <w:rPr>
          <w:rFonts w:cstheme="minorHAnsi"/>
          <w:b/>
          <w:bCs/>
          <w:i/>
          <w:color w:val="808080" w:themeColor="background1" w:themeShade="80"/>
        </w:rPr>
        <w:t>If not an intermediate or health outcome</w:t>
      </w:r>
      <w:r w:rsidR="00127C06" w:rsidRPr="00703429">
        <w:rPr>
          <w:rFonts w:cstheme="minorHAnsi"/>
          <w:b/>
          <w:bCs/>
          <w:i/>
          <w:color w:val="808080" w:themeColor="background1" w:themeShade="80"/>
        </w:rPr>
        <w:t>,</w:t>
      </w:r>
      <w:r w:rsidR="00AC1D8E" w:rsidRPr="00703429">
        <w:rPr>
          <w:rFonts w:cstheme="minorHAnsi"/>
          <w:b/>
          <w:bCs/>
          <w:i/>
          <w:color w:val="808080" w:themeColor="background1" w:themeShade="80"/>
        </w:rPr>
        <w:t xml:space="preserve"> </w:t>
      </w:r>
      <w:r w:rsidR="00127C06" w:rsidRPr="00703429">
        <w:rPr>
          <w:rFonts w:cstheme="minorHAnsi"/>
          <w:b/>
          <w:bCs/>
          <w:i/>
          <w:color w:val="808080" w:themeColor="background1" w:themeShade="80"/>
        </w:rPr>
        <w:t xml:space="preserve">or PRO-PM, </w:t>
      </w:r>
      <w:r w:rsidR="00AC1D8E" w:rsidRPr="00703429">
        <w:rPr>
          <w:rFonts w:cstheme="minorHAnsi"/>
          <w:b/>
          <w:bCs/>
          <w:i/>
          <w:color w:val="808080" w:themeColor="background1" w:themeShade="80"/>
        </w:rPr>
        <w:t xml:space="preserve">or resource use measure, </w:t>
      </w:r>
      <w:r w:rsidR="00BE592D" w:rsidRPr="00703429">
        <w:rPr>
          <w:rFonts w:cstheme="minorHAnsi"/>
          <w:b/>
          <w:bCs/>
          <w:i/>
          <w:color w:val="808080" w:themeColor="background1" w:themeShade="80"/>
        </w:rPr>
        <w:t xml:space="preserve">skip to section </w:t>
      </w:r>
      <w:hyperlink w:anchor="section2b5" w:history="1">
        <w:r w:rsidR="00BE592D" w:rsidRPr="00703429">
          <w:rPr>
            <w:rStyle w:val="Hyperlink"/>
            <w:rFonts w:cstheme="minorHAnsi"/>
            <w:b/>
            <w:bCs/>
            <w:i/>
            <w:color w:val="808080" w:themeColor="background1" w:themeShade="80"/>
          </w:rPr>
          <w:t>2b</w:t>
        </w:r>
        <w:r w:rsidR="00565946" w:rsidRPr="00703429">
          <w:rPr>
            <w:rStyle w:val="Hyperlink"/>
            <w:rFonts w:cstheme="minorHAnsi"/>
            <w:b/>
            <w:bCs/>
            <w:i/>
            <w:color w:val="808080" w:themeColor="background1" w:themeShade="80"/>
          </w:rPr>
          <w:t>4</w:t>
        </w:r>
      </w:hyperlink>
      <w:r w:rsidR="00BE592D" w:rsidRPr="00703429">
        <w:rPr>
          <w:rFonts w:cstheme="minorHAnsi"/>
          <w:b/>
          <w:bCs/>
          <w:i/>
          <w:color w:val="808080" w:themeColor="background1" w:themeShade="80"/>
        </w:rPr>
        <w:t>.</w:t>
      </w:r>
    </w:p>
    <w:p w14:paraId="19FA1460" w14:textId="59B4890D" w:rsidR="00703429" w:rsidRDefault="00703429" w:rsidP="00D23AD7">
      <w:pPr>
        <w:autoSpaceDE w:val="0"/>
        <w:autoSpaceDN w:val="0"/>
        <w:adjustRightInd w:val="0"/>
        <w:spacing w:after="0" w:line="240" w:lineRule="auto"/>
        <w:contextualSpacing/>
        <w:rPr>
          <w:b/>
          <w:color w:val="C00000"/>
          <w:u w:val="single"/>
        </w:rPr>
      </w:pPr>
      <w:r>
        <w:rPr>
          <w:b/>
          <w:color w:val="C00000"/>
          <w:u w:val="single"/>
        </w:rPr>
        <w:t>201</w:t>
      </w:r>
      <w:r w:rsidR="005B4052">
        <w:rPr>
          <w:b/>
          <w:color w:val="C00000"/>
          <w:u w:val="single"/>
        </w:rPr>
        <w:t>9</w:t>
      </w:r>
      <w:r>
        <w:rPr>
          <w:b/>
          <w:color w:val="C00000"/>
          <w:u w:val="single"/>
        </w:rPr>
        <w:t xml:space="preserve"> Submission</w:t>
      </w:r>
    </w:p>
    <w:p w14:paraId="29EC6DC2" w14:textId="77777777" w:rsidR="00703429" w:rsidRDefault="00703429" w:rsidP="00D23AD7">
      <w:pPr>
        <w:autoSpaceDE w:val="0"/>
        <w:autoSpaceDN w:val="0"/>
        <w:adjustRightInd w:val="0"/>
        <w:spacing w:after="0" w:line="240" w:lineRule="auto"/>
        <w:contextualSpacing/>
        <w:rPr>
          <w:rStyle w:val="normaltextrun"/>
        </w:rPr>
      </w:pPr>
      <w:r>
        <w:rPr>
          <w:rStyle w:val="normaltextrun"/>
          <w:rFonts w:ascii="Calibri" w:hAnsi="Calibri" w:cs="Calibri"/>
          <w:color w:val="C00000"/>
          <w:bdr w:val="none" w:sz="0" w:space="0" w:color="auto" w:frame="1"/>
        </w:rPr>
        <w:t>N/A. Not an intermediate or health outcome, PRO-PM, or resource use measure.</w:t>
      </w:r>
    </w:p>
    <w:p w14:paraId="0CABCFEB" w14:textId="77777777" w:rsidR="008871A9" w:rsidRDefault="008871A9" w:rsidP="00D23AD7">
      <w:pPr>
        <w:autoSpaceDE w:val="0"/>
        <w:autoSpaceDN w:val="0"/>
        <w:adjustRightInd w:val="0"/>
        <w:spacing w:after="0" w:line="240" w:lineRule="auto"/>
        <w:contextualSpacing/>
        <w:rPr>
          <w:rFonts w:cstheme="minorHAnsi"/>
          <w:b/>
          <w:bCs/>
        </w:rPr>
      </w:pPr>
    </w:p>
    <w:p w14:paraId="0CABCFEC" w14:textId="166E6E8B" w:rsidR="00743E46" w:rsidRPr="00703429" w:rsidRDefault="00092566" w:rsidP="00D23AD7">
      <w:pPr>
        <w:autoSpaceDE w:val="0"/>
        <w:autoSpaceDN w:val="0"/>
        <w:adjustRightInd w:val="0"/>
        <w:spacing w:after="0" w:line="240" w:lineRule="auto"/>
        <w:contextualSpacing/>
        <w:rPr>
          <w:rFonts w:cstheme="minorHAnsi"/>
          <w:b/>
          <w:bCs/>
          <w:color w:val="808080" w:themeColor="background1" w:themeShade="80"/>
        </w:rPr>
      </w:pPr>
      <w:r w:rsidRPr="00703429">
        <w:rPr>
          <w:rFonts w:cstheme="minorHAnsi"/>
          <w:b/>
          <w:bCs/>
          <w:color w:val="808080" w:themeColor="background1" w:themeShade="80"/>
        </w:rPr>
        <w:t>2b</w:t>
      </w:r>
      <w:r w:rsidR="009C7513" w:rsidRPr="00703429">
        <w:rPr>
          <w:rFonts w:cstheme="minorHAnsi"/>
          <w:b/>
          <w:bCs/>
          <w:color w:val="808080" w:themeColor="background1" w:themeShade="80"/>
        </w:rPr>
        <w:t>3</w:t>
      </w:r>
      <w:r w:rsidRPr="00703429">
        <w:rPr>
          <w:rFonts w:cstheme="minorHAnsi"/>
          <w:b/>
          <w:bCs/>
          <w:color w:val="808080" w:themeColor="background1" w:themeShade="80"/>
        </w:rPr>
        <w:t xml:space="preserve">.1. </w:t>
      </w:r>
      <w:r w:rsidR="00743E46" w:rsidRPr="00703429">
        <w:rPr>
          <w:rFonts w:cstheme="minorHAnsi"/>
          <w:b/>
          <w:bCs/>
          <w:color w:val="808080" w:themeColor="background1" w:themeShade="80"/>
        </w:rPr>
        <w:t>What method of controlling for differences in case mix is used?</w:t>
      </w:r>
    </w:p>
    <w:p w14:paraId="0CABCFED" w14:textId="77777777" w:rsidR="00033038" w:rsidRPr="00703429" w:rsidRDefault="000E54CE" w:rsidP="00D23AD7">
      <w:pPr>
        <w:autoSpaceDE w:val="0"/>
        <w:autoSpaceDN w:val="0"/>
        <w:adjustRightInd w:val="0"/>
        <w:spacing w:after="0" w:line="240" w:lineRule="auto"/>
        <w:contextualSpacing/>
        <w:rPr>
          <w:rFonts w:cstheme="minorHAnsi"/>
          <w:b/>
          <w:bCs/>
          <w:color w:val="808080" w:themeColor="background1" w:themeShade="80"/>
        </w:rPr>
      </w:pPr>
      <w:sdt>
        <w:sdtPr>
          <w:rPr>
            <w:rFonts w:cstheme="minorHAnsi"/>
            <w:bCs/>
            <w:color w:val="808080" w:themeColor="background1" w:themeShade="80"/>
          </w:rPr>
          <w:id w:val="-1450705013"/>
          <w14:checkbox>
            <w14:checked w14:val="0"/>
            <w14:checkedState w14:val="2612" w14:font="MS Gothic"/>
            <w14:uncheckedState w14:val="2610" w14:font="MS Gothic"/>
          </w14:checkbox>
        </w:sdtPr>
        <w:sdtEndPr/>
        <w:sdtContent>
          <w:r w:rsidR="00033038" w:rsidRPr="00703429">
            <w:rPr>
              <w:rFonts w:ascii="MS Gothic" w:eastAsia="MS Gothic" w:hAnsi="MS Gothic" w:cstheme="minorHAnsi" w:hint="eastAsia"/>
              <w:bCs/>
              <w:color w:val="808080" w:themeColor="background1" w:themeShade="80"/>
            </w:rPr>
            <w:t>☐</w:t>
          </w:r>
        </w:sdtContent>
      </w:sdt>
      <w:r w:rsidR="00033038" w:rsidRPr="00703429">
        <w:rPr>
          <w:rFonts w:eastAsia="MS Mincho" w:cstheme="minorHAnsi"/>
          <w:b/>
          <w:bCs/>
          <w:color w:val="808080" w:themeColor="background1" w:themeShade="80"/>
        </w:rPr>
        <w:t xml:space="preserve"> </w:t>
      </w:r>
      <w:r w:rsidR="00033038" w:rsidRPr="00703429">
        <w:rPr>
          <w:rFonts w:cstheme="minorHAnsi"/>
          <w:b/>
          <w:bCs/>
          <w:color w:val="808080" w:themeColor="background1" w:themeShade="80"/>
        </w:rPr>
        <w:t>No risk adjustment or stratification</w:t>
      </w:r>
    </w:p>
    <w:p w14:paraId="0CABCFEE" w14:textId="77777777" w:rsidR="00743E46" w:rsidRPr="00703429" w:rsidRDefault="000E54CE" w:rsidP="00D23AD7">
      <w:pPr>
        <w:autoSpaceDE w:val="0"/>
        <w:autoSpaceDN w:val="0"/>
        <w:adjustRightInd w:val="0"/>
        <w:spacing w:after="0" w:line="240" w:lineRule="auto"/>
        <w:contextualSpacing/>
        <w:rPr>
          <w:rFonts w:cstheme="minorHAnsi"/>
          <w:b/>
          <w:bCs/>
          <w:color w:val="808080" w:themeColor="background1" w:themeShade="80"/>
        </w:rPr>
      </w:pPr>
      <w:sdt>
        <w:sdtPr>
          <w:rPr>
            <w:rFonts w:cstheme="minorHAnsi"/>
            <w:bCs/>
            <w:color w:val="808080" w:themeColor="background1" w:themeShade="80"/>
          </w:rPr>
          <w:id w:val="-912162535"/>
          <w14:checkbox>
            <w14:checked w14:val="0"/>
            <w14:checkedState w14:val="2612" w14:font="MS Gothic"/>
            <w14:uncheckedState w14:val="2610" w14:font="MS Gothic"/>
          </w14:checkbox>
        </w:sdtPr>
        <w:sdtEndPr/>
        <w:sdtContent>
          <w:r w:rsidR="006574D2" w:rsidRPr="00703429">
            <w:rPr>
              <w:rFonts w:ascii="MS Gothic" w:eastAsia="MS Gothic" w:cstheme="minorHAnsi" w:hint="eastAsia"/>
              <w:bCs/>
              <w:color w:val="808080" w:themeColor="background1" w:themeShade="80"/>
            </w:rPr>
            <w:t>☐</w:t>
          </w:r>
        </w:sdtContent>
      </w:sdt>
      <w:r w:rsidR="006574D2" w:rsidRPr="00703429">
        <w:rPr>
          <w:rFonts w:cstheme="minorHAnsi"/>
          <w:bCs/>
          <w:color w:val="808080" w:themeColor="background1" w:themeShade="80"/>
        </w:rPr>
        <w:t xml:space="preserve"> </w:t>
      </w:r>
      <w:r w:rsidR="00743E46" w:rsidRPr="00703429">
        <w:rPr>
          <w:rFonts w:cstheme="minorHAnsi"/>
          <w:b/>
          <w:bCs/>
          <w:color w:val="808080" w:themeColor="background1" w:themeShade="80"/>
        </w:rPr>
        <w:t xml:space="preserve">Statistical risk model with </w:t>
      </w:r>
      <w:sdt>
        <w:sdtPr>
          <w:rPr>
            <w:rStyle w:val="Style4"/>
            <w:color w:val="808080" w:themeColor="background1" w:themeShade="80"/>
            <w:u w:val="none"/>
          </w:rPr>
          <w:id w:val="309760327"/>
          <w:showingPlcHdr/>
          <w:text/>
        </w:sdtPr>
        <w:sdtEndPr>
          <w:rPr>
            <w:rStyle w:val="DefaultParagraphFont"/>
            <w:rFonts w:asciiTheme="minorHAnsi" w:hAnsiTheme="minorHAnsi" w:cstheme="minorHAnsi"/>
            <w:b w:val="0"/>
            <w:bCs/>
          </w:rPr>
        </w:sdtEndPr>
        <w:sdtContent>
          <w:r w:rsidR="00E562C0" w:rsidRPr="00703429">
            <w:rPr>
              <w:rStyle w:val="PlaceholderText"/>
              <w:color w:val="808080" w:themeColor="background1" w:themeShade="80"/>
            </w:rPr>
            <w:t>Click here to enter number of factors</w:t>
          </w:r>
        </w:sdtContent>
      </w:sdt>
      <w:r w:rsidR="00E562C0" w:rsidRPr="00703429">
        <w:rPr>
          <w:rStyle w:val="Style4"/>
          <w:color w:val="808080" w:themeColor="background1" w:themeShade="80"/>
          <w:u w:val="none"/>
        </w:rPr>
        <w:t xml:space="preserve"> </w:t>
      </w:r>
      <w:r w:rsidR="00743E46" w:rsidRPr="00703429">
        <w:rPr>
          <w:rFonts w:cstheme="minorHAnsi"/>
          <w:b/>
          <w:bCs/>
          <w:color w:val="808080" w:themeColor="background1" w:themeShade="80"/>
        </w:rPr>
        <w:t>risk factors</w:t>
      </w:r>
    </w:p>
    <w:p w14:paraId="0CABCFEF" w14:textId="77777777" w:rsidR="00743E46" w:rsidRPr="00703429" w:rsidRDefault="000E54CE" w:rsidP="00D23AD7">
      <w:pPr>
        <w:autoSpaceDE w:val="0"/>
        <w:autoSpaceDN w:val="0"/>
        <w:adjustRightInd w:val="0"/>
        <w:spacing w:after="0" w:line="240" w:lineRule="auto"/>
        <w:contextualSpacing/>
        <w:rPr>
          <w:rFonts w:cstheme="minorHAnsi"/>
          <w:b/>
          <w:bCs/>
          <w:color w:val="808080" w:themeColor="background1" w:themeShade="80"/>
        </w:rPr>
      </w:pPr>
      <w:sdt>
        <w:sdtPr>
          <w:rPr>
            <w:rFonts w:cstheme="minorHAnsi"/>
            <w:bCs/>
            <w:color w:val="808080" w:themeColor="background1" w:themeShade="80"/>
          </w:rPr>
          <w:id w:val="-1831823302"/>
          <w14:checkbox>
            <w14:checked w14:val="0"/>
            <w14:checkedState w14:val="2612" w14:font="MS Gothic"/>
            <w14:uncheckedState w14:val="2610" w14:font="MS Gothic"/>
          </w14:checkbox>
        </w:sdtPr>
        <w:sdtEndPr/>
        <w:sdtContent>
          <w:r w:rsidR="006574D2" w:rsidRPr="00703429">
            <w:rPr>
              <w:rFonts w:ascii="MS Gothic" w:eastAsia="MS Gothic" w:cstheme="minorHAnsi" w:hint="eastAsia"/>
              <w:bCs/>
              <w:color w:val="808080" w:themeColor="background1" w:themeShade="80"/>
            </w:rPr>
            <w:t>☐</w:t>
          </w:r>
        </w:sdtContent>
      </w:sdt>
      <w:r w:rsidR="000414E8" w:rsidRPr="00703429">
        <w:rPr>
          <w:rFonts w:eastAsia="MS Mincho" w:cstheme="minorHAnsi"/>
          <w:b/>
          <w:bCs/>
          <w:color w:val="808080" w:themeColor="background1" w:themeShade="80"/>
        </w:rPr>
        <w:t xml:space="preserve"> </w:t>
      </w:r>
      <w:r w:rsidR="00743E46" w:rsidRPr="00703429">
        <w:rPr>
          <w:rFonts w:cstheme="minorHAnsi"/>
          <w:b/>
          <w:bCs/>
          <w:color w:val="808080" w:themeColor="background1" w:themeShade="80"/>
        </w:rPr>
        <w:t xml:space="preserve">Stratification by </w:t>
      </w:r>
      <w:sdt>
        <w:sdtPr>
          <w:rPr>
            <w:rStyle w:val="Style4"/>
            <w:color w:val="808080" w:themeColor="background1" w:themeShade="80"/>
            <w:u w:val="none"/>
          </w:rPr>
          <w:id w:val="-52006544"/>
          <w:showingPlcHdr/>
          <w:text/>
        </w:sdtPr>
        <w:sdtEndPr>
          <w:rPr>
            <w:rStyle w:val="DefaultParagraphFont"/>
            <w:rFonts w:asciiTheme="minorHAnsi" w:hAnsiTheme="minorHAnsi" w:cstheme="minorHAnsi"/>
            <w:b w:val="0"/>
            <w:bCs/>
          </w:rPr>
        </w:sdtEndPr>
        <w:sdtContent>
          <w:r w:rsidR="00E562C0" w:rsidRPr="00703429">
            <w:rPr>
              <w:rStyle w:val="PlaceholderText"/>
              <w:color w:val="808080" w:themeColor="background1" w:themeShade="80"/>
            </w:rPr>
            <w:t>Click here to enter number of categories</w:t>
          </w:r>
        </w:sdtContent>
      </w:sdt>
      <w:r w:rsidR="00E562C0" w:rsidRPr="00703429">
        <w:rPr>
          <w:rStyle w:val="Style4"/>
          <w:color w:val="808080" w:themeColor="background1" w:themeShade="80"/>
          <w:u w:val="none"/>
        </w:rPr>
        <w:t xml:space="preserve"> </w:t>
      </w:r>
      <w:r w:rsidR="00C33F2E" w:rsidRPr="00703429">
        <w:rPr>
          <w:rFonts w:cstheme="minorHAnsi"/>
          <w:b/>
          <w:bCs/>
          <w:color w:val="808080" w:themeColor="background1" w:themeShade="80"/>
        </w:rPr>
        <w:t xml:space="preserve">risk </w:t>
      </w:r>
      <w:r w:rsidR="00743E46" w:rsidRPr="00703429">
        <w:rPr>
          <w:rFonts w:cstheme="minorHAnsi"/>
          <w:b/>
          <w:bCs/>
          <w:color w:val="808080" w:themeColor="background1" w:themeShade="80"/>
        </w:rPr>
        <w:t>categories</w:t>
      </w:r>
    </w:p>
    <w:p w14:paraId="0CABCFF0" w14:textId="77777777" w:rsidR="00743E46" w:rsidRPr="00703429" w:rsidRDefault="000E54CE" w:rsidP="00D23AD7">
      <w:pPr>
        <w:autoSpaceDE w:val="0"/>
        <w:autoSpaceDN w:val="0"/>
        <w:adjustRightInd w:val="0"/>
        <w:spacing w:after="0" w:line="240" w:lineRule="auto"/>
        <w:contextualSpacing/>
        <w:rPr>
          <w:rFonts w:cstheme="minorHAnsi"/>
          <w:b/>
          <w:bCs/>
          <w:color w:val="808080" w:themeColor="background1" w:themeShade="80"/>
        </w:rPr>
      </w:pPr>
      <w:sdt>
        <w:sdtPr>
          <w:rPr>
            <w:rFonts w:cstheme="minorHAnsi"/>
            <w:bCs/>
            <w:color w:val="808080" w:themeColor="background1" w:themeShade="80"/>
          </w:rPr>
          <w:id w:val="2076930997"/>
          <w14:checkbox>
            <w14:checked w14:val="0"/>
            <w14:checkedState w14:val="2612" w14:font="MS Gothic"/>
            <w14:uncheckedState w14:val="2610" w14:font="MS Gothic"/>
          </w14:checkbox>
        </w:sdtPr>
        <w:sdtEndPr/>
        <w:sdtContent>
          <w:r w:rsidR="006574D2" w:rsidRPr="00703429">
            <w:rPr>
              <w:rFonts w:ascii="MS Gothic" w:eastAsia="MS Gothic" w:cstheme="minorHAnsi" w:hint="eastAsia"/>
              <w:bCs/>
              <w:color w:val="808080" w:themeColor="background1" w:themeShade="80"/>
            </w:rPr>
            <w:t>☐</w:t>
          </w:r>
        </w:sdtContent>
      </w:sdt>
      <w:r w:rsidR="000414E8" w:rsidRPr="00703429">
        <w:rPr>
          <w:rFonts w:eastAsia="MS Mincho" w:cstheme="minorHAnsi"/>
          <w:b/>
          <w:bCs/>
          <w:color w:val="808080" w:themeColor="background1" w:themeShade="80"/>
        </w:rPr>
        <w:t xml:space="preserve"> </w:t>
      </w:r>
      <w:r w:rsidR="00743E46" w:rsidRPr="00703429">
        <w:rPr>
          <w:rFonts w:cstheme="minorHAnsi"/>
          <w:b/>
          <w:bCs/>
          <w:color w:val="808080" w:themeColor="background1" w:themeShade="80"/>
        </w:rPr>
        <w:t xml:space="preserve">Other, </w:t>
      </w:r>
      <w:sdt>
        <w:sdtPr>
          <w:rPr>
            <w:rStyle w:val="Style1"/>
            <w:color w:val="808080" w:themeColor="background1" w:themeShade="80"/>
          </w:rPr>
          <w:id w:val="-1471512333"/>
          <w:showingPlcHdr/>
          <w:text/>
        </w:sdtPr>
        <w:sdtEndPr>
          <w:rPr>
            <w:rStyle w:val="DefaultParagraphFont"/>
            <w:rFonts w:cstheme="minorHAnsi"/>
            <w:b/>
            <w:bCs/>
          </w:rPr>
        </w:sdtEndPr>
        <w:sdtContent>
          <w:r w:rsidR="00E562C0" w:rsidRPr="00703429">
            <w:rPr>
              <w:rStyle w:val="PlaceholderText"/>
              <w:color w:val="808080" w:themeColor="background1" w:themeShade="80"/>
            </w:rPr>
            <w:t>Click here to enter description</w:t>
          </w:r>
        </w:sdtContent>
      </w:sdt>
    </w:p>
    <w:p w14:paraId="0CABCFF1" w14:textId="77777777" w:rsidR="00743E46" w:rsidRPr="00703429" w:rsidRDefault="00743E46" w:rsidP="00D23AD7">
      <w:pPr>
        <w:autoSpaceDE w:val="0"/>
        <w:autoSpaceDN w:val="0"/>
        <w:adjustRightInd w:val="0"/>
        <w:spacing w:after="0" w:line="240" w:lineRule="auto"/>
        <w:contextualSpacing/>
        <w:rPr>
          <w:rFonts w:cstheme="minorHAnsi"/>
          <w:b/>
          <w:bCs/>
          <w:color w:val="808080" w:themeColor="background1" w:themeShade="80"/>
        </w:rPr>
      </w:pPr>
    </w:p>
    <w:p w14:paraId="0CABCFF2" w14:textId="7B192693" w:rsidR="00092566" w:rsidRPr="00703429" w:rsidRDefault="000B7D57" w:rsidP="00D23AD7">
      <w:pPr>
        <w:autoSpaceDE w:val="0"/>
        <w:autoSpaceDN w:val="0"/>
        <w:adjustRightInd w:val="0"/>
        <w:spacing w:after="0" w:line="240" w:lineRule="auto"/>
        <w:contextualSpacing/>
        <w:rPr>
          <w:rFonts w:cstheme="minorHAnsi"/>
          <w:bCs/>
          <w:color w:val="808080" w:themeColor="background1" w:themeShade="80"/>
        </w:rPr>
      </w:pPr>
      <w:r w:rsidRPr="00703429">
        <w:rPr>
          <w:rFonts w:cstheme="minorHAnsi"/>
          <w:b/>
          <w:bCs/>
          <w:color w:val="808080" w:themeColor="background1" w:themeShade="80"/>
        </w:rPr>
        <w:t>2b</w:t>
      </w:r>
      <w:r w:rsidR="009C7513" w:rsidRPr="00703429">
        <w:rPr>
          <w:rFonts w:cstheme="minorHAnsi"/>
          <w:b/>
          <w:bCs/>
          <w:color w:val="808080" w:themeColor="background1" w:themeShade="80"/>
        </w:rPr>
        <w:t>3</w:t>
      </w:r>
      <w:r w:rsidRPr="00703429">
        <w:rPr>
          <w:rFonts w:cstheme="minorHAnsi"/>
          <w:b/>
          <w:bCs/>
          <w:color w:val="808080" w:themeColor="background1" w:themeShade="80"/>
        </w:rPr>
        <w:t xml:space="preserve">.1.1 </w:t>
      </w:r>
      <w:r w:rsidR="00F34FAB" w:rsidRPr="00703429">
        <w:rPr>
          <w:rFonts w:ascii="Calibri" w:eastAsia="MS Mincho" w:hAnsi="Calibri" w:cs="Calibri"/>
          <w:b/>
          <w:bCs/>
          <w:color w:val="808080" w:themeColor="background1" w:themeShade="80"/>
        </w:rPr>
        <w:t xml:space="preserve">If using a statistical risk model, provide detailed risk model specifications, including the risk model method, risk factors, coefficients, equations, codes with descriptors, and definitions. </w:t>
      </w:r>
    </w:p>
    <w:p w14:paraId="0A1E352E" w14:textId="77777777" w:rsidR="00AF2D68" w:rsidRPr="00703429" w:rsidRDefault="00AF2D68" w:rsidP="00D23AD7">
      <w:pPr>
        <w:spacing w:after="0" w:line="240" w:lineRule="auto"/>
        <w:contextualSpacing/>
        <w:rPr>
          <w:rFonts w:cs="Calibri"/>
          <w:b/>
          <w:bCs/>
          <w:color w:val="808080" w:themeColor="background1" w:themeShade="80"/>
        </w:rPr>
      </w:pPr>
    </w:p>
    <w:p w14:paraId="0CABCFF4" w14:textId="72F05C9F" w:rsidR="009D3882" w:rsidRPr="00703429" w:rsidRDefault="009C7513" w:rsidP="00D23AD7">
      <w:pPr>
        <w:spacing w:after="0" w:line="240" w:lineRule="auto"/>
        <w:contextualSpacing/>
        <w:rPr>
          <w:rFonts w:cstheme="minorHAnsi"/>
          <w:b/>
          <w:bCs/>
          <w:color w:val="808080" w:themeColor="background1" w:themeShade="80"/>
          <w:sz w:val="14"/>
        </w:rPr>
      </w:pPr>
      <w:r w:rsidRPr="00703429">
        <w:rPr>
          <w:rFonts w:cs="Calibri"/>
          <w:b/>
          <w:bCs/>
          <w:color w:val="808080" w:themeColor="background1" w:themeShade="80"/>
        </w:rPr>
        <w:t>2b3</w:t>
      </w:r>
      <w:r w:rsidR="009D3882" w:rsidRPr="00703429">
        <w:rPr>
          <w:rFonts w:cs="Calibri"/>
          <w:b/>
          <w:bCs/>
          <w:color w:val="808080" w:themeColor="background1" w:themeShade="80"/>
        </w:rPr>
        <w:t xml:space="preserve">.2. If an outcome or resource use component measure is </w:t>
      </w:r>
      <w:r w:rsidR="009D3882" w:rsidRPr="00703429">
        <w:rPr>
          <w:rFonts w:cs="Calibri"/>
          <w:b/>
          <w:bCs/>
          <w:color w:val="808080" w:themeColor="background1" w:themeShade="80"/>
          <w:u w:val="single"/>
        </w:rPr>
        <w:t>not risk adjusted or stratified</w:t>
      </w:r>
      <w:r w:rsidR="009D3882" w:rsidRPr="00703429">
        <w:rPr>
          <w:rFonts w:cs="Calibri"/>
          <w:b/>
          <w:bCs/>
          <w:color w:val="808080" w:themeColor="background1" w:themeShade="80"/>
        </w:rPr>
        <w:t xml:space="preserve">, provide </w:t>
      </w:r>
      <w:r w:rsidR="009D3882" w:rsidRPr="00703429">
        <w:rPr>
          <w:rFonts w:cs="Calibri"/>
          <w:b/>
          <w:bCs/>
          <w:color w:val="808080" w:themeColor="background1" w:themeShade="80"/>
          <w:u w:val="single"/>
        </w:rPr>
        <w:t>rationale and analyses</w:t>
      </w:r>
      <w:r w:rsidR="009D3882" w:rsidRPr="00703429">
        <w:rPr>
          <w:rFonts w:cs="Calibri"/>
          <w:b/>
          <w:bCs/>
          <w:color w:val="808080" w:themeColor="background1" w:themeShade="80"/>
        </w:rPr>
        <w:t xml:space="preserve"> to demonstrate that controlling for differences in patient characteristics (case mix) is not needed to achieve fair comparisons across measured entities</w:t>
      </w:r>
      <w:r w:rsidR="009D3882" w:rsidRPr="00703429">
        <w:rPr>
          <w:rFonts w:cs="Calibri"/>
          <w:bCs/>
          <w:color w:val="808080" w:themeColor="background1" w:themeShade="80"/>
        </w:rPr>
        <w:t xml:space="preserve">. </w:t>
      </w:r>
      <w:r w:rsidR="009D3882" w:rsidRPr="00703429">
        <w:rPr>
          <w:rFonts w:cs="Calibri"/>
          <w:bCs/>
          <w:color w:val="808080" w:themeColor="background1" w:themeShade="80"/>
        </w:rPr>
        <w:br/>
      </w:r>
    </w:p>
    <w:p w14:paraId="0CABCFF6" w14:textId="6B194552" w:rsidR="00001D73" w:rsidRPr="00703429" w:rsidRDefault="009C7513" w:rsidP="00D23AD7">
      <w:pPr>
        <w:spacing w:after="0" w:line="240" w:lineRule="auto"/>
        <w:contextualSpacing/>
        <w:rPr>
          <w:rFonts w:cstheme="minorHAnsi"/>
          <w:bCs/>
          <w:color w:val="808080" w:themeColor="background1" w:themeShade="80"/>
          <w:sz w:val="4"/>
        </w:rPr>
      </w:pPr>
      <w:r w:rsidRPr="00703429">
        <w:rPr>
          <w:rFonts w:cstheme="minorHAnsi"/>
          <w:b/>
          <w:bCs/>
          <w:color w:val="808080" w:themeColor="background1" w:themeShade="80"/>
        </w:rPr>
        <w:t>2b3</w:t>
      </w:r>
      <w:r w:rsidR="00092566" w:rsidRPr="00703429">
        <w:rPr>
          <w:rFonts w:cstheme="minorHAnsi"/>
          <w:b/>
          <w:bCs/>
          <w:color w:val="808080" w:themeColor="background1" w:themeShade="80"/>
        </w:rPr>
        <w:t>.3</w:t>
      </w:r>
      <w:r w:rsidR="00275563" w:rsidRPr="00703429">
        <w:rPr>
          <w:rFonts w:cstheme="minorHAnsi"/>
          <w:b/>
          <w:bCs/>
          <w:color w:val="808080" w:themeColor="background1" w:themeShade="80"/>
        </w:rPr>
        <w:t>a</w:t>
      </w:r>
      <w:r w:rsidR="00092566" w:rsidRPr="00703429">
        <w:rPr>
          <w:rFonts w:cstheme="minorHAnsi"/>
          <w:b/>
          <w:bCs/>
          <w:color w:val="808080" w:themeColor="background1" w:themeShade="80"/>
        </w:rPr>
        <w:t xml:space="preserve">. </w:t>
      </w:r>
      <w:r w:rsidR="00927027" w:rsidRPr="00703429">
        <w:rPr>
          <w:rFonts w:cstheme="minorHAnsi"/>
          <w:b/>
          <w:bCs/>
          <w:color w:val="808080" w:themeColor="background1" w:themeShade="80"/>
        </w:rPr>
        <w:t>Describe</w:t>
      </w:r>
      <w:r w:rsidR="00092566" w:rsidRPr="00703429">
        <w:rPr>
          <w:rFonts w:cstheme="minorHAnsi"/>
          <w:b/>
          <w:bCs/>
          <w:color w:val="808080" w:themeColor="background1" w:themeShade="80"/>
        </w:rPr>
        <w:t xml:space="preserve"> the conceptual/clinical </w:t>
      </w:r>
      <w:r w:rsidR="00092566" w:rsidRPr="00703429">
        <w:rPr>
          <w:rFonts w:cstheme="minorHAnsi"/>
          <w:b/>
          <w:bCs/>
          <w:color w:val="808080" w:themeColor="background1" w:themeShade="80"/>
          <w:u w:val="single"/>
        </w:rPr>
        <w:t>and</w:t>
      </w:r>
      <w:r w:rsidR="00092566" w:rsidRPr="00703429">
        <w:rPr>
          <w:rFonts w:cstheme="minorHAnsi"/>
          <w:b/>
          <w:bCs/>
          <w:color w:val="808080" w:themeColor="background1" w:themeShade="80"/>
        </w:rPr>
        <w:t xml:space="preserve"> statistical methods and criteria used to select </w:t>
      </w:r>
      <w:r w:rsidR="005363F1" w:rsidRPr="00703429">
        <w:rPr>
          <w:rFonts w:cstheme="minorHAnsi"/>
          <w:b/>
          <w:bCs/>
          <w:color w:val="808080" w:themeColor="background1" w:themeShade="80"/>
        </w:rPr>
        <w:t xml:space="preserve">patient </w:t>
      </w:r>
      <w:r w:rsidR="00092566" w:rsidRPr="00703429">
        <w:rPr>
          <w:rFonts w:cstheme="minorHAnsi"/>
          <w:b/>
          <w:bCs/>
          <w:color w:val="808080" w:themeColor="background1" w:themeShade="80"/>
        </w:rPr>
        <w:t xml:space="preserve">factors </w:t>
      </w:r>
      <w:r w:rsidR="0021054A" w:rsidRPr="00703429">
        <w:rPr>
          <w:rFonts w:cstheme="minorHAnsi"/>
          <w:b/>
          <w:bCs/>
          <w:color w:val="808080" w:themeColor="background1" w:themeShade="80"/>
        </w:rPr>
        <w:t>(</w:t>
      </w:r>
      <w:r w:rsidR="00E967AD" w:rsidRPr="00703429">
        <w:rPr>
          <w:rFonts w:cstheme="minorHAnsi"/>
          <w:b/>
          <w:bCs/>
          <w:color w:val="808080" w:themeColor="background1" w:themeShade="80"/>
        </w:rPr>
        <w:t xml:space="preserve">clinical factors or </w:t>
      </w:r>
      <w:r w:rsidR="00AF2D68" w:rsidRPr="00703429">
        <w:rPr>
          <w:rFonts w:cstheme="minorHAnsi"/>
          <w:b/>
          <w:bCs/>
          <w:color w:val="808080" w:themeColor="background1" w:themeShade="80"/>
        </w:rPr>
        <w:t xml:space="preserve">social risk </w:t>
      </w:r>
      <w:r w:rsidR="0021054A" w:rsidRPr="00703429">
        <w:rPr>
          <w:rFonts w:cstheme="minorHAnsi"/>
          <w:b/>
          <w:bCs/>
          <w:color w:val="808080" w:themeColor="background1" w:themeShade="80"/>
        </w:rPr>
        <w:t xml:space="preserve">factors) </w:t>
      </w:r>
      <w:r w:rsidR="00092566" w:rsidRPr="00703429">
        <w:rPr>
          <w:rFonts w:cstheme="minorHAnsi"/>
          <w:b/>
          <w:bCs/>
          <w:color w:val="808080" w:themeColor="background1" w:themeShade="80"/>
        </w:rPr>
        <w:t>used in the statistical risk model or for stratification by risk</w:t>
      </w:r>
      <w:r w:rsidR="00927027" w:rsidRPr="00703429">
        <w:rPr>
          <w:rFonts w:cstheme="minorHAnsi"/>
          <w:b/>
          <w:bCs/>
          <w:color w:val="808080" w:themeColor="background1" w:themeShade="80"/>
        </w:rPr>
        <w:t xml:space="preserve"> </w:t>
      </w:r>
      <w:r w:rsidR="00092566" w:rsidRPr="00703429">
        <w:rPr>
          <w:rFonts w:cstheme="minorHAnsi"/>
          <w:bCs/>
          <w:color w:val="808080" w:themeColor="background1" w:themeShade="80"/>
        </w:rPr>
        <w:t>(</w:t>
      </w:r>
      <w:r w:rsidR="00092566" w:rsidRPr="00703429">
        <w:rPr>
          <w:rFonts w:cstheme="minorHAnsi"/>
          <w:bCs/>
          <w:i/>
          <w:color w:val="808080" w:themeColor="background1" w:themeShade="80"/>
        </w:rPr>
        <w:t xml:space="preserve">e.g., potential factors identified in </w:t>
      </w:r>
      <w:r w:rsidR="005363F1" w:rsidRPr="00703429">
        <w:rPr>
          <w:rFonts w:cstheme="minorHAnsi"/>
          <w:bCs/>
          <w:i/>
          <w:color w:val="808080" w:themeColor="background1" w:themeShade="80"/>
        </w:rPr>
        <w:t xml:space="preserve">the </w:t>
      </w:r>
      <w:r w:rsidR="00092566" w:rsidRPr="00703429">
        <w:rPr>
          <w:rFonts w:cstheme="minorHAnsi"/>
          <w:bCs/>
          <w:i/>
          <w:color w:val="808080" w:themeColor="background1" w:themeShade="80"/>
        </w:rPr>
        <w:t>literature and/or expert panel; regression analysis; statistical significance of p&lt;0.10; correlation of x or higher</w:t>
      </w:r>
      <w:r w:rsidR="005363F1" w:rsidRPr="00703429">
        <w:rPr>
          <w:rFonts w:cstheme="minorHAnsi"/>
          <w:bCs/>
          <w:i/>
          <w:color w:val="808080" w:themeColor="background1" w:themeShade="80"/>
        </w:rPr>
        <w:t>; patient factors should be present at the start of care</w:t>
      </w:r>
      <w:r w:rsidR="00092566" w:rsidRPr="00703429">
        <w:rPr>
          <w:rFonts w:cstheme="minorHAnsi"/>
          <w:bCs/>
          <w:color w:val="808080" w:themeColor="background1" w:themeShade="80"/>
        </w:rPr>
        <w:t>)</w:t>
      </w:r>
      <w:r w:rsidR="00AF2D68" w:rsidRPr="00703429">
        <w:rPr>
          <w:rFonts w:cstheme="minorHAnsi"/>
          <w:bCs/>
          <w:color w:val="808080" w:themeColor="background1" w:themeShade="80"/>
        </w:rPr>
        <w:t xml:space="preserve">  </w:t>
      </w:r>
      <w:r w:rsidR="00AF2D68" w:rsidRPr="00703429">
        <w:rPr>
          <w:rFonts w:cstheme="minorHAnsi"/>
          <w:b/>
          <w:bCs/>
          <w:color w:val="808080" w:themeColor="background1" w:themeShade="80"/>
        </w:rPr>
        <w:t>Also discuss any “ordering” of risk factor inclusion</w:t>
      </w:r>
      <w:r w:rsidR="00CE284E" w:rsidRPr="00703429">
        <w:rPr>
          <w:rFonts w:cstheme="minorHAnsi"/>
          <w:bCs/>
          <w:color w:val="808080" w:themeColor="background1" w:themeShade="80"/>
        </w:rPr>
        <w:t>; for example, a</w:t>
      </w:r>
      <w:r w:rsidR="00AF2D68" w:rsidRPr="00703429">
        <w:rPr>
          <w:rFonts w:cstheme="minorHAnsi"/>
          <w:bCs/>
          <w:color w:val="808080" w:themeColor="background1" w:themeShade="80"/>
        </w:rPr>
        <w:t>re social risk factors added after all clinical factors?</w:t>
      </w:r>
      <w:r w:rsidR="00092566" w:rsidRPr="00703429">
        <w:rPr>
          <w:rFonts w:cstheme="minorHAnsi"/>
          <w:bCs/>
          <w:color w:val="808080" w:themeColor="background1" w:themeShade="80"/>
        </w:rPr>
        <w:br/>
      </w:r>
    </w:p>
    <w:p w14:paraId="4260792A" w14:textId="019483A8" w:rsidR="00275563" w:rsidRPr="00703429" w:rsidRDefault="00275563" w:rsidP="00D23AD7">
      <w:pPr>
        <w:autoSpaceDE w:val="0"/>
        <w:autoSpaceDN w:val="0"/>
        <w:adjustRightInd w:val="0"/>
        <w:spacing w:after="0" w:line="240" w:lineRule="auto"/>
        <w:contextualSpacing/>
        <w:rPr>
          <w:rFonts w:cstheme="minorHAnsi"/>
          <w:b/>
          <w:bCs/>
          <w:color w:val="808080" w:themeColor="background1" w:themeShade="80"/>
        </w:rPr>
      </w:pPr>
      <w:r w:rsidRPr="00703429">
        <w:rPr>
          <w:rFonts w:cstheme="minorHAnsi"/>
          <w:b/>
          <w:bCs/>
          <w:color w:val="808080" w:themeColor="background1" w:themeShade="80"/>
        </w:rPr>
        <w:t xml:space="preserve">2b3.3b. How was the conceptual model </w:t>
      </w:r>
      <w:r w:rsidR="00CE284E" w:rsidRPr="00703429">
        <w:rPr>
          <w:rFonts w:cstheme="minorHAnsi"/>
          <w:b/>
          <w:bCs/>
          <w:color w:val="808080" w:themeColor="background1" w:themeShade="80"/>
        </w:rPr>
        <w:t xml:space="preserve">of how social risk impacts this outcome </w:t>
      </w:r>
      <w:r w:rsidRPr="00703429">
        <w:rPr>
          <w:rFonts w:cstheme="minorHAnsi"/>
          <w:b/>
          <w:bCs/>
          <w:color w:val="808080" w:themeColor="background1" w:themeShade="80"/>
        </w:rPr>
        <w:t>developed?  Please check all that apply:</w:t>
      </w:r>
    </w:p>
    <w:p w14:paraId="2B47DA83" w14:textId="30659D6E" w:rsidR="00275563" w:rsidRPr="00703429" w:rsidRDefault="000E54CE" w:rsidP="00D23AD7">
      <w:pPr>
        <w:tabs>
          <w:tab w:val="left" w:pos="180"/>
        </w:tabs>
        <w:autoSpaceDE w:val="0"/>
        <w:autoSpaceDN w:val="0"/>
        <w:adjustRightInd w:val="0"/>
        <w:spacing w:after="0" w:line="240" w:lineRule="auto"/>
        <w:ind w:left="180"/>
        <w:contextualSpacing/>
        <w:rPr>
          <w:rFonts w:cstheme="minorHAnsi"/>
          <w:b/>
          <w:bCs/>
          <w:color w:val="808080" w:themeColor="background1" w:themeShade="80"/>
        </w:rPr>
      </w:pPr>
      <w:sdt>
        <w:sdtPr>
          <w:rPr>
            <w:rFonts w:cstheme="minorHAnsi"/>
            <w:bCs/>
            <w:color w:val="808080" w:themeColor="background1" w:themeShade="80"/>
          </w:rPr>
          <w:id w:val="-319728797"/>
          <w14:checkbox>
            <w14:checked w14:val="0"/>
            <w14:checkedState w14:val="2612" w14:font="MS Gothic"/>
            <w14:uncheckedState w14:val="2610" w14:font="MS Gothic"/>
          </w14:checkbox>
        </w:sdtPr>
        <w:sdtEndPr/>
        <w:sdtContent>
          <w:r w:rsidR="00275563" w:rsidRPr="00703429">
            <w:rPr>
              <w:rFonts w:ascii="MS Gothic" w:eastAsia="MS Gothic" w:hAnsi="MS Gothic" w:cstheme="minorHAnsi" w:hint="eastAsia"/>
              <w:bCs/>
              <w:color w:val="808080" w:themeColor="background1" w:themeShade="80"/>
            </w:rPr>
            <w:t>☐</w:t>
          </w:r>
        </w:sdtContent>
      </w:sdt>
      <w:r w:rsidR="00275563" w:rsidRPr="00703429">
        <w:rPr>
          <w:rFonts w:eastAsia="MS Mincho" w:cstheme="minorHAnsi"/>
          <w:b/>
          <w:bCs/>
          <w:color w:val="808080" w:themeColor="background1" w:themeShade="80"/>
        </w:rPr>
        <w:t xml:space="preserve"> </w:t>
      </w:r>
      <w:r w:rsidR="00CE284E" w:rsidRPr="00703429">
        <w:rPr>
          <w:rFonts w:cstheme="minorHAnsi"/>
          <w:b/>
          <w:bCs/>
          <w:color w:val="808080" w:themeColor="background1" w:themeShade="80"/>
        </w:rPr>
        <w:t>Published l</w:t>
      </w:r>
      <w:r w:rsidR="00275563" w:rsidRPr="00703429">
        <w:rPr>
          <w:rFonts w:cstheme="minorHAnsi"/>
          <w:b/>
          <w:bCs/>
          <w:color w:val="808080" w:themeColor="background1" w:themeShade="80"/>
        </w:rPr>
        <w:t>iterature</w:t>
      </w:r>
    </w:p>
    <w:p w14:paraId="7E969A3E" w14:textId="6BA683BB" w:rsidR="00275563" w:rsidRPr="00703429" w:rsidRDefault="000E54CE" w:rsidP="00D23AD7">
      <w:pPr>
        <w:tabs>
          <w:tab w:val="left" w:pos="180"/>
        </w:tabs>
        <w:autoSpaceDE w:val="0"/>
        <w:autoSpaceDN w:val="0"/>
        <w:adjustRightInd w:val="0"/>
        <w:spacing w:after="0" w:line="240" w:lineRule="auto"/>
        <w:ind w:left="180"/>
        <w:contextualSpacing/>
        <w:rPr>
          <w:rFonts w:cstheme="minorHAnsi"/>
          <w:b/>
          <w:bCs/>
          <w:color w:val="808080" w:themeColor="background1" w:themeShade="80"/>
        </w:rPr>
      </w:pPr>
      <w:sdt>
        <w:sdtPr>
          <w:rPr>
            <w:rFonts w:cstheme="minorHAnsi"/>
            <w:bCs/>
            <w:color w:val="808080" w:themeColor="background1" w:themeShade="80"/>
          </w:rPr>
          <w:id w:val="1418363777"/>
          <w14:checkbox>
            <w14:checked w14:val="0"/>
            <w14:checkedState w14:val="2612" w14:font="MS Gothic"/>
            <w14:uncheckedState w14:val="2610" w14:font="MS Gothic"/>
          </w14:checkbox>
        </w:sdtPr>
        <w:sdtEndPr/>
        <w:sdtContent>
          <w:r w:rsidR="00275563" w:rsidRPr="00703429">
            <w:rPr>
              <w:rFonts w:ascii="MS Gothic" w:eastAsia="MS Gothic" w:hAnsi="MS Gothic" w:cstheme="minorHAnsi" w:hint="eastAsia"/>
              <w:bCs/>
              <w:color w:val="808080" w:themeColor="background1" w:themeShade="80"/>
            </w:rPr>
            <w:t>☐</w:t>
          </w:r>
        </w:sdtContent>
      </w:sdt>
      <w:r w:rsidR="00275563" w:rsidRPr="00703429">
        <w:rPr>
          <w:rFonts w:cstheme="minorHAnsi"/>
          <w:bCs/>
          <w:color w:val="808080" w:themeColor="background1" w:themeShade="80"/>
        </w:rPr>
        <w:t xml:space="preserve"> </w:t>
      </w:r>
      <w:r w:rsidR="00CE284E" w:rsidRPr="00703429">
        <w:rPr>
          <w:rFonts w:cstheme="minorHAnsi"/>
          <w:b/>
          <w:bCs/>
          <w:color w:val="808080" w:themeColor="background1" w:themeShade="80"/>
        </w:rPr>
        <w:t>Internal d</w:t>
      </w:r>
      <w:r w:rsidR="00275563" w:rsidRPr="00703429">
        <w:rPr>
          <w:rFonts w:cstheme="minorHAnsi"/>
          <w:b/>
          <w:bCs/>
          <w:color w:val="808080" w:themeColor="background1" w:themeShade="80"/>
        </w:rPr>
        <w:t>ata</w:t>
      </w:r>
      <w:r w:rsidR="00CE284E" w:rsidRPr="00703429">
        <w:rPr>
          <w:rFonts w:cstheme="minorHAnsi"/>
          <w:b/>
          <w:bCs/>
          <w:color w:val="808080" w:themeColor="background1" w:themeShade="80"/>
        </w:rPr>
        <w:t xml:space="preserve"> analysis</w:t>
      </w:r>
    </w:p>
    <w:p w14:paraId="72A847BD" w14:textId="1489D6C2" w:rsidR="00275563" w:rsidRPr="00703429" w:rsidRDefault="000E54CE" w:rsidP="00D23AD7">
      <w:pPr>
        <w:tabs>
          <w:tab w:val="left" w:pos="180"/>
        </w:tabs>
        <w:autoSpaceDE w:val="0"/>
        <w:autoSpaceDN w:val="0"/>
        <w:adjustRightInd w:val="0"/>
        <w:spacing w:after="0" w:line="240" w:lineRule="auto"/>
        <w:ind w:left="180"/>
        <w:contextualSpacing/>
        <w:rPr>
          <w:rFonts w:cstheme="minorHAnsi"/>
          <w:b/>
          <w:bCs/>
          <w:color w:val="808080" w:themeColor="background1" w:themeShade="80"/>
        </w:rPr>
      </w:pPr>
      <w:sdt>
        <w:sdtPr>
          <w:rPr>
            <w:rFonts w:cstheme="minorHAnsi"/>
            <w:bCs/>
            <w:color w:val="808080" w:themeColor="background1" w:themeShade="80"/>
          </w:rPr>
          <w:id w:val="776755179"/>
          <w14:checkbox>
            <w14:checked w14:val="0"/>
            <w14:checkedState w14:val="2612" w14:font="MS Gothic"/>
            <w14:uncheckedState w14:val="2610" w14:font="MS Gothic"/>
          </w14:checkbox>
        </w:sdtPr>
        <w:sdtEndPr/>
        <w:sdtContent>
          <w:r w:rsidR="00275563" w:rsidRPr="00703429">
            <w:rPr>
              <w:rFonts w:ascii="MS Gothic" w:eastAsia="MS Gothic" w:cstheme="minorHAnsi" w:hint="eastAsia"/>
              <w:bCs/>
              <w:color w:val="808080" w:themeColor="background1" w:themeShade="80"/>
            </w:rPr>
            <w:t>☐</w:t>
          </w:r>
        </w:sdtContent>
      </w:sdt>
      <w:r w:rsidR="00275563" w:rsidRPr="00703429">
        <w:rPr>
          <w:rFonts w:eastAsia="MS Mincho" w:cstheme="minorHAnsi"/>
          <w:b/>
          <w:bCs/>
          <w:color w:val="808080" w:themeColor="background1" w:themeShade="80"/>
        </w:rPr>
        <w:t xml:space="preserve"> </w:t>
      </w:r>
      <w:r w:rsidR="00275563" w:rsidRPr="00703429">
        <w:rPr>
          <w:rFonts w:cstheme="minorHAnsi"/>
          <w:b/>
          <w:bCs/>
          <w:color w:val="808080" w:themeColor="background1" w:themeShade="80"/>
        </w:rPr>
        <w:t>Other (please describe)</w:t>
      </w:r>
    </w:p>
    <w:p w14:paraId="7C5644B4" w14:textId="77777777" w:rsidR="00275563" w:rsidRPr="00703429" w:rsidRDefault="00275563" w:rsidP="00D23AD7">
      <w:pPr>
        <w:autoSpaceDE w:val="0"/>
        <w:autoSpaceDN w:val="0"/>
        <w:adjustRightInd w:val="0"/>
        <w:spacing w:after="0" w:line="240" w:lineRule="auto"/>
        <w:contextualSpacing/>
        <w:rPr>
          <w:rFonts w:cstheme="minorHAnsi"/>
          <w:b/>
          <w:bCs/>
          <w:color w:val="808080" w:themeColor="background1" w:themeShade="80"/>
        </w:rPr>
      </w:pPr>
    </w:p>
    <w:p w14:paraId="0CABCFF7" w14:textId="434655CC" w:rsidR="00092566" w:rsidRPr="00703429" w:rsidRDefault="009C7513" w:rsidP="00D23AD7">
      <w:pPr>
        <w:autoSpaceDE w:val="0"/>
        <w:autoSpaceDN w:val="0"/>
        <w:adjustRightInd w:val="0"/>
        <w:spacing w:after="0" w:line="240" w:lineRule="auto"/>
        <w:contextualSpacing/>
        <w:rPr>
          <w:rFonts w:cstheme="minorHAnsi"/>
          <w:b/>
          <w:bCs/>
          <w:color w:val="808080" w:themeColor="background1" w:themeShade="80"/>
        </w:rPr>
      </w:pPr>
      <w:r w:rsidRPr="00703429">
        <w:rPr>
          <w:rFonts w:cstheme="minorHAnsi"/>
          <w:b/>
          <w:bCs/>
          <w:color w:val="808080" w:themeColor="background1" w:themeShade="80"/>
        </w:rPr>
        <w:t>2b3</w:t>
      </w:r>
      <w:r w:rsidR="00092566" w:rsidRPr="00703429">
        <w:rPr>
          <w:rFonts w:cstheme="minorHAnsi"/>
          <w:b/>
          <w:bCs/>
          <w:color w:val="808080" w:themeColor="background1" w:themeShade="80"/>
        </w:rPr>
        <w:t>.4</w:t>
      </w:r>
      <w:r w:rsidR="00193F21" w:rsidRPr="00703429">
        <w:rPr>
          <w:rFonts w:cstheme="minorHAnsi"/>
          <w:b/>
          <w:bCs/>
          <w:color w:val="808080" w:themeColor="background1" w:themeShade="80"/>
        </w:rPr>
        <w:t>a</w:t>
      </w:r>
      <w:r w:rsidR="00092566" w:rsidRPr="00703429">
        <w:rPr>
          <w:rFonts w:cstheme="minorHAnsi"/>
          <w:b/>
          <w:bCs/>
          <w:color w:val="808080" w:themeColor="background1" w:themeShade="80"/>
        </w:rPr>
        <w:t>. What were the statistical results of the analyses used to select risk factors?</w:t>
      </w:r>
      <w:r w:rsidR="00001D73" w:rsidRPr="00703429">
        <w:rPr>
          <w:rFonts w:cstheme="minorHAnsi"/>
          <w:b/>
          <w:bCs/>
          <w:color w:val="808080" w:themeColor="background1" w:themeShade="80"/>
        </w:rPr>
        <w:br/>
      </w:r>
    </w:p>
    <w:p w14:paraId="0CABCFF8" w14:textId="350A0D85" w:rsidR="00001D73" w:rsidRPr="00703429" w:rsidRDefault="009C7513" w:rsidP="00D23AD7">
      <w:pPr>
        <w:autoSpaceDE w:val="0"/>
        <w:autoSpaceDN w:val="0"/>
        <w:adjustRightInd w:val="0"/>
        <w:spacing w:after="0" w:line="240" w:lineRule="auto"/>
        <w:contextualSpacing/>
        <w:rPr>
          <w:rFonts w:cstheme="minorHAnsi"/>
          <w:b/>
          <w:bCs/>
          <w:color w:val="808080" w:themeColor="background1" w:themeShade="80"/>
        </w:rPr>
      </w:pPr>
      <w:r w:rsidRPr="00703429">
        <w:rPr>
          <w:rFonts w:cstheme="minorHAnsi"/>
          <w:b/>
          <w:bCs/>
          <w:color w:val="808080" w:themeColor="background1" w:themeShade="80"/>
        </w:rPr>
        <w:t>2b3</w:t>
      </w:r>
      <w:r w:rsidR="00C1695E" w:rsidRPr="00703429">
        <w:rPr>
          <w:rFonts w:cstheme="minorHAnsi"/>
          <w:b/>
          <w:bCs/>
          <w:color w:val="808080" w:themeColor="background1" w:themeShade="80"/>
        </w:rPr>
        <w:t xml:space="preserve">.4b. Describe the analyses and interpretation resulting in the decision to select </w:t>
      </w:r>
      <w:r w:rsidR="00AF2D68" w:rsidRPr="00703429">
        <w:rPr>
          <w:rFonts w:cstheme="minorHAnsi"/>
          <w:b/>
          <w:bCs/>
          <w:color w:val="808080" w:themeColor="background1" w:themeShade="80"/>
        </w:rPr>
        <w:t>social risk</w:t>
      </w:r>
      <w:r w:rsidR="00C1695E" w:rsidRPr="00703429">
        <w:rPr>
          <w:rFonts w:cstheme="minorHAnsi"/>
          <w:b/>
          <w:bCs/>
          <w:color w:val="808080" w:themeColor="background1" w:themeShade="80"/>
        </w:rPr>
        <w:t xml:space="preserve"> factors </w:t>
      </w:r>
      <w:r w:rsidR="00C1695E" w:rsidRPr="00703429">
        <w:rPr>
          <w:rFonts w:cstheme="minorHAnsi"/>
          <w:bCs/>
          <w:i/>
          <w:color w:val="808080" w:themeColor="background1" w:themeShade="80"/>
        </w:rPr>
        <w:t xml:space="preserve">(e.g. prevalence of the factor across measured entities, empirical association with the outcome, contribution of unique variation in the outcome, assessment of between-unit effects and within-unit </w:t>
      </w:r>
      <w:r w:rsidR="00C1695E" w:rsidRPr="00703429">
        <w:rPr>
          <w:rFonts w:cstheme="minorHAnsi"/>
          <w:bCs/>
          <w:i/>
          <w:color w:val="808080" w:themeColor="background1" w:themeShade="80"/>
        </w:rPr>
        <w:lastRenderedPageBreak/>
        <w:t>effects</w:t>
      </w:r>
      <w:r w:rsidR="00CE284E" w:rsidRPr="00703429">
        <w:rPr>
          <w:rFonts w:cstheme="minorHAnsi"/>
          <w:bCs/>
          <w:i/>
          <w:color w:val="808080" w:themeColor="background1" w:themeShade="80"/>
        </w:rPr>
        <w:t xml:space="preserve">.)  </w:t>
      </w:r>
      <w:r w:rsidR="00CE284E" w:rsidRPr="00703429">
        <w:rPr>
          <w:rFonts w:cstheme="minorHAnsi"/>
          <w:b/>
          <w:bCs/>
          <w:color w:val="808080" w:themeColor="background1" w:themeShade="80"/>
        </w:rPr>
        <w:t>Also describe the</w:t>
      </w:r>
      <w:r w:rsidR="00AF2D68" w:rsidRPr="00703429">
        <w:rPr>
          <w:rFonts w:cstheme="minorHAnsi"/>
          <w:b/>
          <w:bCs/>
          <w:color w:val="808080" w:themeColor="background1" w:themeShade="80"/>
        </w:rPr>
        <w:t xml:space="preserve"> impact of adjusting for social risk (or not) on providers</w:t>
      </w:r>
      <w:r w:rsidR="00CE284E" w:rsidRPr="00703429">
        <w:rPr>
          <w:rFonts w:cstheme="minorHAnsi"/>
          <w:b/>
          <w:bCs/>
          <w:color w:val="808080" w:themeColor="background1" w:themeShade="80"/>
        </w:rPr>
        <w:t xml:space="preserve"> at high or low extremes of risk.</w:t>
      </w:r>
    </w:p>
    <w:p w14:paraId="0CABCFF9" w14:textId="77777777" w:rsidR="00C1695E" w:rsidRPr="00703429" w:rsidRDefault="00C1695E" w:rsidP="00D23AD7">
      <w:pPr>
        <w:autoSpaceDE w:val="0"/>
        <w:autoSpaceDN w:val="0"/>
        <w:adjustRightInd w:val="0"/>
        <w:spacing w:after="0" w:line="240" w:lineRule="auto"/>
        <w:contextualSpacing/>
        <w:rPr>
          <w:rFonts w:cstheme="minorHAnsi"/>
          <w:b/>
          <w:bCs/>
          <w:color w:val="808080" w:themeColor="background1" w:themeShade="80"/>
        </w:rPr>
      </w:pPr>
    </w:p>
    <w:p w14:paraId="0CABCFFA" w14:textId="5F1D568F" w:rsidR="00092566" w:rsidRPr="00703429" w:rsidRDefault="009C7513" w:rsidP="00D23AD7">
      <w:pPr>
        <w:autoSpaceDE w:val="0"/>
        <w:autoSpaceDN w:val="0"/>
        <w:adjustRightInd w:val="0"/>
        <w:spacing w:after="0" w:line="240" w:lineRule="auto"/>
        <w:contextualSpacing/>
        <w:rPr>
          <w:rFonts w:cstheme="minorHAnsi"/>
          <w:bCs/>
          <w:color w:val="808080" w:themeColor="background1" w:themeShade="80"/>
        </w:rPr>
      </w:pPr>
      <w:r w:rsidRPr="00703429">
        <w:rPr>
          <w:rFonts w:cstheme="minorHAnsi"/>
          <w:b/>
          <w:bCs/>
          <w:color w:val="808080" w:themeColor="background1" w:themeShade="80"/>
        </w:rPr>
        <w:t>2b3</w:t>
      </w:r>
      <w:r w:rsidR="00E1508F" w:rsidRPr="00703429">
        <w:rPr>
          <w:rFonts w:cstheme="minorHAnsi"/>
          <w:b/>
          <w:bCs/>
          <w:color w:val="808080" w:themeColor="background1" w:themeShade="80"/>
        </w:rPr>
        <w:t>.</w:t>
      </w:r>
      <w:r w:rsidR="00092566" w:rsidRPr="00703429">
        <w:rPr>
          <w:rFonts w:cstheme="minorHAnsi"/>
          <w:b/>
          <w:bCs/>
          <w:color w:val="808080" w:themeColor="background1" w:themeShade="80"/>
        </w:rPr>
        <w:t xml:space="preserve">5. </w:t>
      </w:r>
      <w:r w:rsidR="008871A9" w:rsidRPr="00703429">
        <w:rPr>
          <w:rFonts w:cstheme="minorHAnsi"/>
          <w:b/>
          <w:bCs/>
          <w:color w:val="808080" w:themeColor="background1" w:themeShade="80"/>
        </w:rPr>
        <w:t>Describe the method of</w:t>
      </w:r>
      <w:r w:rsidR="00092566" w:rsidRPr="00703429">
        <w:rPr>
          <w:rFonts w:cstheme="minorHAnsi"/>
          <w:b/>
          <w:bCs/>
          <w:color w:val="808080" w:themeColor="background1" w:themeShade="80"/>
        </w:rPr>
        <w:t xml:space="preserve"> </w:t>
      </w:r>
      <w:r w:rsidR="008871A9" w:rsidRPr="00703429">
        <w:rPr>
          <w:rFonts w:cstheme="minorHAnsi"/>
          <w:b/>
          <w:bCs/>
          <w:color w:val="808080" w:themeColor="background1" w:themeShade="80"/>
        </w:rPr>
        <w:t xml:space="preserve">testing/analysis used </w:t>
      </w:r>
      <w:r w:rsidR="00092566" w:rsidRPr="00703429">
        <w:rPr>
          <w:rFonts w:cstheme="minorHAnsi"/>
          <w:b/>
          <w:bCs/>
          <w:color w:val="808080" w:themeColor="background1" w:themeShade="80"/>
        </w:rPr>
        <w:t xml:space="preserve">to develop and validate the adequacy of the statistical model </w:t>
      </w:r>
      <w:r w:rsidR="00092566" w:rsidRPr="00703429">
        <w:rPr>
          <w:rFonts w:cstheme="minorHAnsi"/>
          <w:b/>
          <w:bCs/>
          <w:color w:val="808080" w:themeColor="background1" w:themeShade="80"/>
          <w:u w:val="single"/>
        </w:rPr>
        <w:t>or</w:t>
      </w:r>
      <w:r w:rsidR="00092566" w:rsidRPr="00703429">
        <w:rPr>
          <w:rFonts w:cstheme="minorHAnsi"/>
          <w:b/>
          <w:bCs/>
          <w:color w:val="808080" w:themeColor="background1" w:themeShade="80"/>
        </w:rPr>
        <w:t xml:space="preserve"> stratification approach</w:t>
      </w:r>
      <w:r w:rsidR="00092566" w:rsidRPr="00703429">
        <w:rPr>
          <w:rFonts w:cstheme="minorHAnsi"/>
          <w:bCs/>
          <w:color w:val="808080" w:themeColor="background1" w:themeShade="80"/>
        </w:rPr>
        <w:t xml:space="preserve"> (</w:t>
      </w:r>
      <w:r w:rsidR="008871A9" w:rsidRPr="00703429">
        <w:rPr>
          <w:rFonts w:cstheme="minorHAnsi"/>
          <w:bCs/>
          <w:i/>
          <w:color w:val="808080" w:themeColor="background1" w:themeShade="80"/>
        </w:rPr>
        <w:t>describe the steps―do not just name a method</w:t>
      </w:r>
      <w:r w:rsidR="006C3A4F" w:rsidRPr="00703429">
        <w:rPr>
          <w:rFonts w:cstheme="minorHAnsi"/>
          <w:bCs/>
          <w:i/>
          <w:color w:val="808080" w:themeColor="background1" w:themeShade="80"/>
        </w:rPr>
        <w:t>; what statistical analysis was used</w:t>
      </w:r>
      <w:r w:rsidR="00092566" w:rsidRPr="00703429">
        <w:rPr>
          <w:rFonts w:cstheme="minorHAnsi"/>
          <w:bCs/>
          <w:color w:val="808080" w:themeColor="background1" w:themeShade="80"/>
        </w:rPr>
        <w:t>)</w:t>
      </w:r>
      <w:r w:rsidR="00092566" w:rsidRPr="00703429">
        <w:rPr>
          <w:rFonts w:cstheme="minorHAnsi"/>
          <w:bCs/>
          <w:color w:val="808080" w:themeColor="background1" w:themeShade="80"/>
        </w:rPr>
        <w:br/>
      </w:r>
    </w:p>
    <w:p w14:paraId="0CABCFFB" w14:textId="78FCA6D3" w:rsidR="00E1508F" w:rsidRPr="00703429" w:rsidRDefault="00001D73" w:rsidP="00D23AD7">
      <w:pPr>
        <w:autoSpaceDE w:val="0"/>
        <w:autoSpaceDN w:val="0"/>
        <w:adjustRightInd w:val="0"/>
        <w:spacing w:after="0" w:line="240" w:lineRule="auto"/>
        <w:contextualSpacing/>
        <w:rPr>
          <w:rFonts w:cstheme="minorHAnsi"/>
          <w:b/>
          <w:bCs/>
          <w:color w:val="808080" w:themeColor="background1" w:themeShade="80"/>
        </w:rPr>
      </w:pPr>
      <w:r w:rsidRPr="00703429">
        <w:rPr>
          <w:rFonts w:cstheme="minorHAnsi"/>
          <w:bCs/>
          <w:i/>
          <w:color w:val="808080" w:themeColor="background1" w:themeShade="80"/>
        </w:rPr>
        <w:t>Provide</w:t>
      </w:r>
      <w:r w:rsidR="00092566" w:rsidRPr="00703429">
        <w:rPr>
          <w:rFonts w:cstheme="minorHAnsi"/>
          <w:bCs/>
          <w:i/>
          <w:color w:val="808080" w:themeColor="background1" w:themeShade="80"/>
        </w:rPr>
        <w:t xml:space="preserve"> the statistical results from testing the approach to controlling for differences in patient characteristics (case mix)</w:t>
      </w:r>
      <w:r w:rsidRPr="00703429">
        <w:rPr>
          <w:rFonts w:cstheme="minorHAnsi"/>
          <w:bCs/>
          <w:i/>
          <w:color w:val="808080" w:themeColor="background1" w:themeShade="80"/>
        </w:rPr>
        <w:t xml:space="preserve"> below</w:t>
      </w:r>
      <w:r w:rsidRPr="00703429">
        <w:rPr>
          <w:rFonts w:cstheme="minorHAnsi"/>
          <w:bCs/>
          <w:color w:val="808080" w:themeColor="background1" w:themeShade="80"/>
        </w:rPr>
        <w:t>.</w:t>
      </w:r>
      <w:r w:rsidR="00092566" w:rsidRPr="00703429">
        <w:rPr>
          <w:rFonts w:cstheme="minorHAnsi"/>
          <w:bCs/>
          <w:color w:val="808080" w:themeColor="background1" w:themeShade="80"/>
        </w:rPr>
        <w:br/>
      </w:r>
      <w:r w:rsidR="001F7A20" w:rsidRPr="00703429">
        <w:rPr>
          <w:rFonts w:cstheme="minorHAnsi"/>
          <w:b/>
          <w:bCs/>
          <w:i/>
          <w:color w:val="808080" w:themeColor="background1" w:themeShade="80"/>
        </w:rPr>
        <w:t>If</w:t>
      </w:r>
      <w:r w:rsidR="00743E46" w:rsidRPr="00703429">
        <w:rPr>
          <w:rFonts w:cstheme="minorHAnsi"/>
          <w:b/>
          <w:bCs/>
          <w:i/>
          <w:color w:val="808080" w:themeColor="background1" w:themeShade="80"/>
        </w:rPr>
        <w:t xml:space="preserve"> stratified, skip to </w:t>
      </w:r>
      <w:hyperlink w:anchor="question2b49" w:history="1">
        <w:r w:rsidR="009C7513" w:rsidRPr="00703429">
          <w:rPr>
            <w:rStyle w:val="Hyperlink"/>
            <w:rFonts w:cstheme="minorHAnsi"/>
            <w:b/>
            <w:bCs/>
            <w:i/>
            <w:color w:val="808080" w:themeColor="background1" w:themeShade="80"/>
          </w:rPr>
          <w:t>2b3.9</w:t>
        </w:r>
      </w:hyperlink>
    </w:p>
    <w:p w14:paraId="0CABCFFC" w14:textId="77777777" w:rsidR="00743E46" w:rsidRPr="00703429" w:rsidRDefault="00743E46" w:rsidP="00D23AD7">
      <w:pPr>
        <w:autoSpaceDE w:val="0"/>
        <w:autoSpaceDN w:val="0"/>
        <w:adjustRightInd w:val="0"/>
        <w:spacing w:after="0" w:line="240" w:lineRule="auto"/>
        <w:contextualSpacing/>
        <w:rPr>
          <w:rFonts w:cstheme="minorHAnsi"/>
          <w:b/>
          <w:bCs/>
          <w:color w:val="808080" w:themeColor="background1" w:themeShade="80"/>
        </w:rPr>
      </w:pPr>
    </w:p>
    <w:p w14:paraId="0CABCFFD" w14:textId="79D5D7A7" w:rsidR="00001D73" w:rsidRPr="00703429" w:rsidRDefault="00743E46" w:rsidP="00D23AD7">
      <w:pPr>
        <w:autoSpaceDE w:val="0"/>
        <w:autoSpaceDN w:val="0"/>
        <w:adjustRightInd w:val="0"/>
        <w:spacing w:after="0" w:line="240" w:lineRule="auto"/>
        <w:contextualSpacing/>
        <w:rPr>
          <w:rFonts w:cstheme="minorHAnsi"/>
          <w:b/>
          <w:bCs/>
          <w:color w:val="808080" w:themeColor="background1" w:themeShade="80"/>
        </w:rPr>
      </w:pPr>
      <w:r w:rsidRPr="00703429">
        <w:rPr>
          <w:rFonts w:cstheme="minorHAnsi"/>
          <w:b/>
          <w:bCs/>
          <w:color w:val="808080" w:themeColor="background1" w:themeShade="80"/>
        </w:rPr>
        <w:t>2b</w:t>
      </w:r>
      <w:r w:rsidR="009C7513" w:rsidRPr="00703429">
        <w:rPr>
          <w:rFonts w:cstheme="minorHAnsi"/>
          <w:b/>
          <w:bCs/>
          <w:color w:val="808080" w:themeColor="background1" w:themeShade="80"/>
        </w:rPr>
        <w:t>3</w:t>
      </w:r>
      <w:r w:rsidRPr="00703429">
        <w:rPr>
          <w:rFonts w:cstheme="minorHAnsi"/>
          <w:b/>
          <w:bCs/>
          <w:color w:val="808080" w:themeColor="background1" w:themeShade="80"/>
        </w:rPr>
        <w:t xml:space="preserve">.6. </w:t>
      </w:r>
      <w:r w:rsidR="00001D73" w:rsidRPr="00703429">
        <w:rPr>
          <w:rFonts w:cstheme="minorHAnsi"/>
          <w:b/>
          <w:bCs/>
          <w:color w:val="808080" w:themeColor="background1" w:themeShade="80"/>
        </w:rPr>
        <w:t xml:space="preserve">Statistical </w:t>
      </w:r>
      <w:r w:rsidR="00092566" w:rsidRPr="00703429">
        <w:rPr>
          <w:rFonts w:cstheme="minorHAnsi"/>
          <w:b/>
          <w:bCs/>
          <w:color w:val="808080" w:themeColor="background1" w:themeShade="80"/>
        </w:rPr>
        <w:t>Risk Model Discrimination Statistics</w:t>
      </w:r>
      <w:r w:rsidR="003605B4" w:rsidRPr="00703429">
        <w:rPr>
          <w:rFonts w:cstheme="minorHAnsi"/>
          <w:bCs/>
          <w:color w:val="808080" w:themeColor="background1" w:themeShade="80"/>
        </w:rPr>
        <w:t xml:space="preserve"> (</w:t>
      </w:r>
      <w:r w:rsidR="003605B4" w:rsidRPr="00703429">
        <w:rPr>
          <w:rFonts w:cstheme="minorHAnsi"/>
          <w:bCs/>
          <w:i/>
          <w:color w:val="808080" w:themeColor="background1" w:themeShade="80"/>
        </w:rPr>
        <w:t>e.g., c-statistic, R-squared</w:t>
      </w:r>
      <w:r w:rsidR="003605B4" w:rsidRPr="00703429">
        <w:rPr>
          <w:rFonts w:cstheme="minorHAnsi"/>
          <w:bCs/>
          <w:color w:val="808080" w:themeColor="background1" w:themeShade="80"/>
        </w:rPr>
        <w:t>)</w:t>
      </w:r>
      <w:r w:rsidRPr="00703429">
        <w:rPr>
          <w:rFonts w:cstheme="minorHAnsi"/>
          <w:b/>
          <w:bCs/>
          <w:color w:val="808080" w:themeColor="background1" w:themeShade="80"/>
        </w:rPr>
        <w:t>:</w:t>
      </w:r>
      <w:r w:rsidR="00092566" w:rsidRPr="00703429">
        <w:rPr>
          <w:rFonts w:cstheme="minorHAnsi"/>
          <w:b/>
          <w:bCs/>
          <w:color w:val="808080" w:themeColor="background1" w:themeShade="80"/>
        </w:rPr>
        <w:t xml:space="preserve">  </w:t>
      </w:r>
      <w:r w:rsidR="00092566" w:rsidRPr="00703429">
        <w:rPr>
          <w:rFonts w:cstheme="minorHAnsi"/>
          <w:b/>
          <w:color w:val="808080" w:themeColor="background1" w:themeShade="80"/>
        </w:rPr>
        <w:br/>
      </w:r>
    </w:p>
    <w:p w14:paraId="0CABCFFE" w14:textId="57E7DDD4" w:rsidR="00001D73" w:rsidRPr="00703429" w:rsidRDefault="009C7513" w:rsidP="00D23AD7">
      <w:pPr>
        <w:autoSpaceDE w:val="0"/>
        <w:autoSpaceDN w:val="0"/>
        <w:adjustRightInd w:val="0"/>
        <w:spacing w:after="0" w:line="240" w:lineRule="auto"/>
        <w:contextualSpacing/>
        <w:rPr>
          <w:rFonts w:cstheme="minorHAnsi"/>
          <w:b/>
          <w:bCs/>
          <w:color w:val="808080" w:themeColor="background1" w:themeShade="80"/>
        </w:rPr>
      </w:pPr>
      <w:r w:rsidRPr="00703429">
        <w:rPr>
          <w:rFonts w:cstheme="minorHAnsi"/>
          <w:b/>
          <w:bCs/>
          <w:color w:val="808080" w:themeColor="background1" w:themeShade="80"/>
        </w:rPr>
        <w:t>2b3</w:t>
      </w:r>
      <w:r w:rsidR="00743E46" w:rsidRPr="00703429">
        <w:rPr>
          <w:rFonts w:cstheme="minorHAnsi"/>
          <w:b/>
          <w:bCs/>
          <w:color w:val="808080" w:themeColor="background1" w:themeShade="80"/>
        </w:rPr>
        <w:t>.7</w:t>
      </w:r>
      <w:r w:rsidR="00001D73" w:rsidRPr="00703429">
        <w:rPr>
          <w:rFonts w:cstheme="minorHAnsi"/>
          <w:b/>
          <w:bCs/>
          <w:color w:val="808080" w:themeColor="background1" w:themeShade="80"/>
        </w:rPr>
        <w:t xml:space="preserve">. </w:t>
      </w:r>
      <w:r w:rsidR="00743E46" w:rsidRPr="00703429">
        <w:rPr>
          <w:rFonts w:cstheme="minorHAnsi"/>
          <w:b/>
          <w:bCs/>
          <w:color w:val="808080" w:themeColor="background1" w:themeShade="80"/>
        </w:rPr>
        <w:t xml:space="preserve">Statistical </w:t>
      </w:r>
      <w:r w:rsidR="00092566" w:rsidRPr="00703429">
        <w:rPr>
          <w:rFonts w:cstheme="minorHAnsi"/>
          <w:b/>
          <w:bCs/>
          <w:color w:val="808080" w:themeColor="background1" w:themeShade="80"/>
        </w:rPr>
        <w:t>Risk Model Calibration Statistics</w:t>
      </w:r>
      <w:r w:rsidR="003605B4" w:rsidRPr="00703429">
        <w:rPr>
          <w:rFonts w:cstheme="minorHAnsi"/>
          <w:b/>
          <w:bCs/>
          <w:color w:val="808080" w:themeColor="background1" w:themeShade="80"/>
        </w:rPr>
        <w:t xml:space="preserve"> </w:t>
      </w:r>
      <w:r w:rsidR="003605B4" w:rsidRPr="00703429">
        <w:rPr>
          <w:rFonts w:cstheme="minorHAnsi"/>
          <w:bCs/>
          <w:color w:val="808080" w:themeColor="background1" w:themeShade="80"/>
        </w:rPr>
        <w:t>(</w:t>
      </w:r>
      <w:r w:rsidR="003605B4" w:rsidRPr="00703429">
        <w:rPr>
          <w:rFonts w:cstheme="minorHAnsi"/>
          <w:bCs/>
          <w:i/>
          <w:color w:val="808080" w:themeColor="background1" w:themeShade="80"/>
        </w:rPr>
        <w:t>e.g., Hosmer-</w:t>
      </w:r>
      <w:proofErr w:type="spellStart"/>
      <w:r w:rsidR="003605B4" w:rsidRPr="00703429">
        <w:rPr>
          <w:rFonts w:cstheme="minorHAnsi"/>
          <w:bCs/>
          <w:i/>
          <w:color w:val="808080" w:themeColor="background1" w:themeShade="80"/>
        </w:rPr>
        <w:t>Lemeshow</w:t>
      </w:r>
      <w:proofErr w:type="spellEnd"/>
      <w:r w:rsidR="003605B4" w:rsidRPr="00703429">
        <w:rPr>
          <w:rFonts w:cstheme="minorHAnsi"/>
          <w:bCs/>
          <w:i/>
          <w:color w:val="808080" w:themeColor="background1" w:themeShade="80"/>
        </w:rPr>
        <w:t xml:space="preserve"> statistic</w:t>
      </w:r>
      <w:r w:rsidR="003605B4" w:rsidRPr="00703429">
        <w:rPr>
          <w:rFonts w:cstheme="minorHAnsi"/>
          <w:bCs/>
          <w:color w:val="808080" w:themeColor="background1" w:themeShade="80"/>
        </w:rPr>
        <w:t>)</w:t>
      </w:r>
      <w:r w:rsidR="00092566" w:rsidRPr="00703429">
        <w:rPr>
          <w:rFonts w:cstheme="minorHAnsi"/>
          <w:bCs/>
          <w:color w:val="808080" w:themeColor="background1" w:themeShade="80"/>
        </w:rPr>
        <w:t xml:space="preserve">:  </w:t>
      </w:r>
      <w:r w:rsidR="00092566" w:rsidRPr="00703429">
        <w:rPr>
          <w:rFonts w:cstheme="minorHAnsi"/>
          <w:bCs/>
          <w:color w:val="808080" w:themeColor="background1" w:themeShade="80"/>
        </w:rPr>
        <w:br/>
      </w:r>
    </w:p>
    <w:p w14:paraId="0CABCFFF" w14:textId="7ECFB7AA" w:rsidR="00743E46" w:rsidRPr="00703429" w:rsidRDefault="009C7513" w:rsidP="00D23AD7">
      <w:pPr>
        <w:autoSpaceDE w:val="0"/>
        <w:autoSpaceDN w:val="0"/>
        <w:adjustRightInd w:val="0"/>
        <w:spacing w:after="0" w:line="240" w:lineRule="auto"/>
        <w:contextualSpacing/>
        <w:rPr>
          <w:rFonts w:cstheme="minorHAnsi"/>
          <w:b/>
          <w:color w:val="808080" w:themeColor="background1" w:themeShade="80"/>
        </w:rPr>
      </w:pPr>
      <w:r w:rsidRPr="00703429">
        <w:rPr>
          <w:rFonts w:cstheme="minorHAnsi"/>
          <w:b/>
          <w:bCs/>
          <w:color w:val="808080" w:themeColor="background1" w:themeShade="80"/>
        </w:rPr>
        <w:t>2b3</w:t>
      </w:r>
      <w:r w:rsidR="00743E46" w:rsidRPr="00703429">
        <w:rPr>
          <w:rFonts w:cstheme="minorHAnsi"/>
          <w:b/>
          <w:bCs/>
          <w:color w:val="808080" w:themeColor="background1" w:themeShade="80"/>
        </w:rPr>
        <w:t>.8</w:t>
      </w:r>
      <w:r w:rsidR="00001D73" w:rsidRPr="00703429">
        <w:rPr>
          <w:rFonts w:cstheme="minorHAnsi"/>
          <w:b/>
          <w:bCs/>
          <w:color w:val="808080" w:themeColor="background1" w:themeShade="80"/>
        </w:rPr>
        <w:t xml:space="preserve">. </w:t>
      </w:r>
      <w:r w:rsidR="00743E46" w:rsidRPr="00703429">
        <w:rPr>
          <w:rFonts w:cstheme="minorHAnsi"/>
          <w:b/>
          <w:bCs/>
          <w:color w:val="808080" w:themeColor="background1" w:themeShade="80"/>
        </w:rPr>
        <w:t xml:space="preserve">Statistical </w:t>
      </w:r>
      <w:r w:rsidR="00092566" w:rsidRPr="00703429">
        <w:rPr>
          <w:rFonts w:cstheme="minorHAnsi"/>
          <w:b/>
          <w:bCs/>
          <w:color w:val="808080" w:themeColor="background1" w:themeShade="80"/>
        </w:rPr>
        <w:t>Risk Model Calibration – Risk decile plots or calibration curves</w:t>
      </w:r>
      <w:r w:rsidR="00092566" w:rsidRPr="00703429">
        <w:rPr>
          <w:rFonts w:cstheme="minorHAnsi"/>
          <w:bCs/>
          <w:color w:val="808080" w:themeColor="background1" w:themeShade="80"/>
        </w:rPr>
        <w:t>:</w:t>
      </w:r>
      <w:r w:rsidR="00092566" w:rsidRPr="00703429">
        <w:rPr>
          <w:rFonts w:cstheme="minorHAnsi"/>
          <w:bCs/>
          <w:color w:val="808080" w:themeColor="background1" w:themeShade="80"/>
        </w:rPr>
        <w:br/>
      </w:r>
    </w:p>
    <w:p w14:paraId="0CABD000" w14:textId="2277C090" w:rsidR="00092566" w:rsidRPr="00703429" w:rsidRDefault="009C7513" w:rsidP="00D23AD7">
      <w:pPr>
        <w:autoSpaceDE w:val="0"/>
        <w:autoSpaceDN w:val="0"/>
        <w:adjustRightInd w:val="0"/>
        <w:spacing w:after="0" w:line="240" w:lineRule="auto"/>
        <w:contextualSpacing/>
        <w:rPr>
          <w:rFonts w:cstheme="minorHAnsi"/>
          <w:bCs/>
          <w:color w:val="808080" w:themeColor="background1" w:themeShade="80"/>
        </w:rPr>
      </w:pPr>
      <w:bookmarkStart w:id="15" w:name="question2b49"/>
      <w:bookmarkEnd w:id="15"/>
      <w:r w:rsidRPr="00703429">
        <w:rPr>
          <w:rFonts w:cstheme="minorHAnsi"/>
          <w:b/>
          <w:color w:val="808080" w:themeColor="background1" w:themeShade="80"/>
        </w:rPr>
        <w:t>2b3</w:t>
      </w:r>
      <w:r w:rsidR="00743E46" w:rsidRPr="00703429">
        <w:rPr>
          <w:rFonts w:cstheme="minorHAnsi"/>
          <w:b/>
          <w:color w:val="808080" w:themeColor="background1" w:themeShade="80"/>
        </w:rPr>
        <w:t>.9</w:t>
      </w:r>
      <w:r w:rsidR="00001D73" w:rsidRPr="00703429">
        <w:rPr>
          <w:rFonts w:cstheme="minorHAnsi"/>
          <w:b/>
          <w:color w:val="808080" w:themeColor="background1" w:themeShade="80"/>
        </w:rPr>
        <w:t xml:space="preserve">. Results of </w:t>
      </w:r>
      <w:r w:rsidR="00092566" w:rsidRPr="00703429">
        <w:rPr>
          <w:rFonts w:cstheme="minorHAnsi"/>
          <w:b/>
          <w:color w:val="808080" w:themeColor="background1" w:themeShade="80"/>
        </w:rPr>
        <w:t>Risk Stratification Analysis</w:t>
      </w:r>
      <w:r w:rsidR="00092566" w:rsidRPr="00703429">
        <w:rPr>
          <w:rFonts w:cstheme="minorHAnsi"/>
          <w:color w:val="808080" w:themeColor="background1" w:themeShade="80"/>
        </w:rPr>
        <w:t xml:space="preserve">: </w:t>
      </w:r>
      <w:r w:rsidR="00092566" w:rsidRPr="00703429">
        <w:rPr>
          <w:rFonts w:cstheme="minorHAnsi"/>
          <w:bCs/>
          <w:color w:val="808080" w:themeColor="background1" w:themeShade="80"/>
        </w:rPr>
        <w:t xml:space="preserve"> </w:t>
      </w:r>
    </w:p>
    <w:p w14:paraId="3F1ED428" w14:textId="77777777" w:rsidR="00703429" w:rsidRDefault="00703429" w:rsidP="00D23AD7">
      <w:pPr>
        <w:autoSpaceDE w:val="0"/>
        <w:autoSpaceDN w:val="0"/>
        <w:adjustRightInd w:val="0"/>
        <w:spacing w:after="0" w:line="240" w:lineRule="auto"/>
        <w:contextualSpacing/>
        <w:rPr>
          <w:rFonts w:cstheme="minorHAnsi"/>
          <w:b/>
          <w:bCs/>
          <w:color w:val="808080" w:themeColor="background1" w:themeShade="80"/>
        </w:rPr>
      </w:pPr>
    </w:p>
    <w:p w14:paraId="0CABD003" w14:textId="0DC595E7" w:rsidR="00092566" w:rsidRPr="00703429" w:rsidRDefault="009C7513" w:rsidP="00D23AD7">
      <w:pPr>
        <w:autoSpaceDE w:val="0"/>
        <w:autoSpaceDN w:val="0"/>
        <w:adjustRightInd w:val="0"/>
        <w:spacing w:after="0" w:line="240" w:lineRule="auto"/>
        <w:contextualSpacing/>
        <w:rPr>
          <w:rFonts w:cstheme="minorHAnsi"/>
          <w:color w:val="808080" w:themeColor="background1" w:themeShade="80"/>
        </w:rPr>
      </w:pPr>
      <w:r w:rsidRPr="00703429">
        <w:rPr>
          <w:rFonts w:cstheme="minorHAnsi"/>
          <w:b/>
          <w:bCs/>
          <w:color w:val="808080" w:themeColor="background1" w:themeShade="80"/>
        </w:rPr>
        <w:t>2b3</w:t>
      </w:r>
      <w:r w:rsidR="00743E46" w:rsidRPr="00703429">
        <w:rPr>
          <w:rFonts w:cstheme="minorHAnsi"/>
          <w:b/>
          <w:bCs/>
          <w:color w:val="808080" w:themeColor="background1" w:themeShade="80"/>
        </w:rPr>
        <w:t>.10</w:t>
      </w:r>
      <w:r w:rsidR="00001D73" w:rsidRPr="00703429">
        <w:rPr>
          <w:rFonts w:cstheme="minorHAnsi"/>
          <w:b/>
          <w:bCs/>
          <w:color w:val="808080" w:themeColor="background1" w:themeShade="80"/>
        </w:rPr>
        <w:t xml:space="preserve">. </w:t>
      </w:r>
      <w:r w:rsidR="00092566" w:rsidRPr="00703429">
        <w:rPr>
          <w:rFonts w:cstheme="minorHAnsi"/>
          <w:b/>
          <w:bCs/>
          <w:color w:val="808080" w:themeColor="background1" w:themeShade="80"/>
        </w:rPr>
        <w:t>What is your interpretation of the results in terms of demonstrating adequacy of controlling for differences in patient characteristics (case mix)?</w:t>
      </w:r>
      <w:r w:rsidR="00092566" w:rsidRPr="00703429">
        <w:rPr>
          <w:rFonts w:cstheme="minorHAnsi"/>
          <w:bCs/>
          <w:color w:val="808080" w:themeColor="background1" w:themeShade="80"/>
        </w:rPr>
        <w:t xml:space="preserve"> (i</w:t>
      </w:r>
      <w:r w:rsidR="00092566" w:rsidRPr="00703429">
        <w:rPr>
          <w:rFonts w:cstheme="minorHAnsi"/>
          <w:bCs/>
          <w:i/>
          <w:color w:val="808080" w:themeColor="background1" w:themeShade="80"/>
        </w:rPr>
        <w:t>.e., what do the results mean and what are the norms for the test conducted</w:t>
      </w:r>
      <w:r w:rsidR="00092566" w:rsidRPr="00703429">
        <w:rPr>
          <w:rFonts w:cstheme="minorHAnsi"/>
          <w:bCs/>
          <w:color w:val="808080" w:themeColor="background1" w:themeShade="80"/>
        </w:rPr>
        <w:t>)</w:t>
      </w:r>
      <w:r w:rsidR="00092566" w:rsidRPr="00703429">
        <w:rPr>
          <w:rFonts w:cstheme="minorHAnsi"/>
          <w:bCs/>
          <w:color w:val="808080" w:themeColor="background1" w:themeShade="80"/>
        </w:rPr>
        <w:br/>
      </w:r>
    </w:p>
    <w:p w14:paraId="0CABD004" w14:textId="74D8FEB4" w:rsidR="00021170" w:rsidRPr="00703429" w:rsidRDefault="009C7513" w:rsidP="00D23AD7">
      <w:pPr>
        <w:spacing w:after="0" w:line="240" w:lineRule="auto"/>
        <w:contextualSpacing/>
        <w:rPr>
          <w:rFonts w:cstheme="minorHAnsi"/>
          <w:color w:val="808080" w:themeColor="background1" w:themeShade="80"/>
        </w:rPr>
      </w:pPr>
      <w:r w:rsidRPr="00703429">
        <w:rPr>
          <w:rFonts w:cstheme="minorHAnsi"/>
          <w:b/>
          <w:color w:val="808080" w:themeColor="background1" w:themeShade="80"/>
        </w:rPr>
        <w:t>2b3</w:t>
      </w:r>
      <w:r w:rsidR="009B1A15" w:rsidRPr="00703429">
        <w:rPr>
          <w:rFonts w:cstheme="minorHAnsi"/>
          <w:b/>
          <w:color w:val="808080" w:themeColor="background1" w:themeShade="80"/>
        </w:rPr>
        <w:t>.11.</w:t>
      </w:r>
      <w:r w:rsidR="009B1A15" w:rsidRPr="00703429">
        <w:rPr>
          <w:rFonts w:cstheme="minorHAnsi"/>
          <w:color w:val="808080" w:themeColor="background1" w:themeShade="80"/>
        </w:rPr>
        <w:t xml:space="preserve"> </w:t>
      </w:r>
      <w:r w:rsidR="00092566" w:rsidRPr="00703429">
        <w:rPr>
          <w:rFonts w:cstheme="minorHAnsi"/>
          <w:b/>
          <w:color w:val="808080" w:themeColor="background1" w:themeShade="80"/>
        </w:rPr>
        <w:t>Optional</w:t>
      </w:r>
      <w:r w:rsidR="009B1A15" w:rsidRPr="00703429">
        <w:rPr>
          <w:rFonts w:cstheme="minorHAnsi"/>
          <w:b/>
          <w:color w:val="808080" w:themeColor="background1" w:themeShade="80"/>
        </w:rPr>
        <w:t xml:space="preserve"> Additional Testing</w:t>
      </w:r>
      <w:r w:rsidR="004756E1" w:rsidRPr="00703429">
        <w:rPr>
          <w:rFonts w:cstheme="minorHAnsi"/>
          <w:b/>
          <w:color w:val="808080" w:themeColor="background1" w:themeShade="80"/>
        </w:rPr>
        <w:t xml:space="preserve"> for Risk Adjustment</w:t>
      </w:r>
      <w:r w:rsidR="00092566" w:rsidRPr="00703429">
        <w:rPr>
          <w:rFonts w:cstheme="minorHAnsi"/>
          <w:b/>
          <w:color w:val="808080" w:themeColor="background1" w:themeShade="80"/>
        </w:rPr>
        <w:t xml:space="preserve"> </w:t>
      </w:r>
      <w:r w:rsidR="00092566" w:rsidRPr="00703429">
        <w:rPr>
          <w:rFonts w:cstheme="minorHAnsi"/>
          <w:color w:val="808080" w:themeColor="background1" w:themeShade="80"/>
        </w:rPr>
        <w:t>(</w:t>
      </w:r>
      <w:r w:rsidR="00092566" w:rsidRPr="00703429">
        <w:rPr>
          <w:rFonts w:cstheme="minorHAnsi"/>
          <w:i/>
          <w:color w:val="808080" w:themeColor="background1" w:themeShade="80"/>
          <w:u w:val="single"/>
        </w:rPr>
        <w:t>not required</w:t>
      </w:r>
      <w:r w:rsidR="00092566" w:rsidRPr="00703429">
        <w:rPr>
          <w:rFonts w:cstheme="minorHAnsi"/>
          <w:i/>
          <w:color w:val="808080" w:themeColor="background1" w:themeShade="80"/>
        </w:rPr>
        <w:t>, but would provide additional support of adequacy of risk model</w:t>
      </w:r>
      <w:r w:rsidR="009B1A15" w:rsidRPr="00703429">
        <w:rPr>
          <w:rFonts w:cstheme="minorHAnsi"/>
          <w:i/>
          <w:color w:val="808080" w:themeColor="background1" w:themeShade="80"/>
        </w:rPr>
        <w:t>, e.g., testing of risk model in another data se</w:t>
      </w:r>
      <w:r w:rsidR="002408E4" w:rsidRPr="00703429">
        <w:rPr>
          <w:rFonts w:cstheme="minorHAnsi"/>
          <w:i/>
          <w:color w:val="808080" w:themeColor="background1" w:themeShade="80"/>
        </w:rPr>
        <w:t>t</w:t>
      </w:r>
      <w:r w:rsidR="009B1A15" w:rsidRPr="00703429">
        <w:rPr>
          <w:rFonts w:cstheme="minorHAnsi"/>
          <w:i/>
          <w:color w:val="808080" w:themeColor="background1" w:themeShade="80"/>
        </w:rPr>
        <w:t>; sensitivity analysis for missing data</w:t>
      </w:r>
      <w:r w:rsidR="002408E4" w:rsidRPr="00703429">
        <w:rPr>
          <w:rFonts w:cstheme="minorHAnsi"/>
          <w:i/>
          <w:color w:val="808080" w:themeColor="background1" w:themeShade="80"/>
        </w:rPr>
        <w:t>;</w:t>
      </w:r>
      <w:r w:rsidR="009B1A15" w:rsidRPr="00703429">
        <w:rPr>
          <w:rFonts w:cstheme="minorHAnsi"/>
          <w:i/>
          <w:color w:val="808080" w:themeColor="background1" w:themeShade="80"/>
        </w:rPr>
        <w:t xml:space="preserve"> other methods</w:t>
      </w:r>
      <w:r w:rsidR="008F7E67" w:rsidRPr="00703429">
        <w:rPr>
          <w:rFonts w:cstheme="minorHAnsi"/>
          <w:i/>
          <w:color w:val="808080" w:themeColor="background1" w:themeShade="80"/>
        </w:rPr>
        <w:t xml:space="preserve"> that were assessed</w:t>
      </w:r>
      <w:r w:rsidR="009B1A15" w:rsidRPr="00703429">
        <w:rPr>
          <w:rFonts w:cstheme="minorHAnsi"/>
          <w:color w:val="808080" w:themeColor="background1" w:themeShade="80"/>
        </w:rPr>
        <w:t>)</w:t>
      </w:r>
    </w:p>
    <w:p w14:paraId="0CABD006" w14:textId="77777777" w:rsidR="00D61410" w:rsidRPr="00A25024" w:rsidRDefault="00D61410" w:rsidP="00D23AD7">
      <w:pPr>
        <w:autoSpaceDE w:val="0"/>
        <w:autoSpaceDN w:val="0"/>
        <w:adjustRightInd w:val="0"/>
        <w:spacing w:after="0" w:line="240" w:lineRule="auto"/>
        <w:contextualSpacing/>
        <w:rPr>
          <w:rFonts w:cstheme="minorHAnsi"/>
          <w:bCs/>
        </w:rPr>
      </w:pPr>
      <w:r>
        <w:rPr>
          <w:rFonts w:cstheme="minorHAnsi"/>
          <w:bCs/>
        </w:rPr>
        <w:t>_______________________</w:t>
      </w:r>
    </w:p>
    <w:p w14:paraId="0CABD007" w14:textId="2123B75E" w:rsidR="00D61410" w:rsidRPr="00A25024" w:rsidRDefault="009C7513" w:rsidP="00D23AD7">
      <w:pPr>
        <w:autoSpaceDE w:val="0"/>
        <w:autoSpaceDN w:val="0"/>
        <w:adjustRightInd w:val="0"/>
        <w:spacing w:after="0" w:line="240" w:lineRule="auto"/>
        <w:contextualSpacing/>
        <w:rPr>
          <w:rFonts w:cstheme="minorHAnsi"/>
          <w:b/>
          <w:bCs/>
        </w:rPr>
      </w:pPr>
      <w:bookmarkStart w:id="16" w:name="section2b5"/>
      <w:bookmarkEnd w:id="16"/>
      <w:r>
        <w:rPr>
          <w:rFonts w:cstheme="minorHAnsi"/>
          <w:b/>
          <w:bCs/>
        </w:rPr>
        <w:t>2b4</w:t>
      </w:r>
      <w:r w:rsidR="00D61410" w:rsidRPr="00A25024">
        <w:rPr>
          <w:rFonts w:cstheme="minorHAnsi"/>
          <w:b/>
          <w:bCs/>
        </w:rPr>
        <w:t>. IDENTIFICATION OF STATISTICALLY SIGNIFICANT &amp; MEANINGFUL DIFFERENCES IN PERFORMANCE</w:t>
      </w:r>
    </w:p>
    <w:p w14:paraId="226E939D" w14:textId="36ED81A9" w:rsidR="00703429" w:rsidRDefault="009C7513" w:rsidP="00D23AD7">
      <w:pPr>
        <w:autoSpaceDE w:val="0"/>
        <w:autoSpaceDN w:val="0"/>
        <w:adjustRightInd w:val="0"/>
        <w:spacing w:after="0" w:line="240" w:lineRule="auto"/>
        <w:contextualSpacing/>
        <w:rPr>
          <w:rStyle w:val="Style1"/>
          <w:color w:val="C00000"/>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r w:rsidR="00703429">
        <w:rPr>
          <w:rStyle w:val="Style1"/>
          <w:b/>
          <w:bCs/>
          <w:color w:val="C00000"/>
          <w:u w:val="single"/>
        </w:rPr>
        <w:t>201</w:t>
      </w:r>
      <w:r w:rsidR="005B4052">
        <w:rPr>
          <w:rStyle w:val="Style1"/>
          <w:b/>
          <w:bCs/>
          <w:color w:val="C00000"/>
          <w:u w:val="single"/>
        </w:rPr>
        <w:t>9</w:t>
      </w:r>
      <w:r w:rsidR="00703429">
        <w:rPr>
          <w:rStyle w:val="Style1"/>
          <w:b/>
          <w:bCs/>
          <w:color w:val="C00000"/>
          <w:u w:val="single"/>
        </w:rPr>
        <w:t xml:space="preserve"> Submission</w:t>
      </w:r>
      <w:r w:rsidR="00703429">
        <w:rPr>
          <w:rStyle w:val="Style1"/>
          <w:color w:val="C00000"/>
        </w:rPr>
        <w:t xml:space="preserve"> </w:t>
      </w:r>
    </w:p>
    <w:p w14:paraId="0721BD17" w14:textId="77777777" w:rsidR="00703429" w:rsidRDefault="00703429" w:rsidP="00D23AD7">
      <w:pPr>
        <w:autoSpaceDE w:val="0"/>
        <w:autoSpaceDN w:val="0"/>
        <w:adjustRightInd w:val="0"/>
        <w:spacing w:after="0" w:line="240" w:lineRule="auto"/>
        <w:contextualSpacing/>
        <w:rPr>
          <w:rFonts w:cstheme="minorHAnsi"/>
          <w:bCs/>
        </w:rPr>
      </w:pPr>
      <w:r>
        <w:rPr>
          <w:rStyle w:val="Style1"/>
          <w:color w:val="C00000"/>
        </w:rPr>
        <w:t>To demonstrate meaningful differences in performance, NCQA calculates an inter-quartile range (IQR) for each indicator. The IQR provides a measure of the dispersion of performance. The IQR can be interpreted as the difference between the 25th and 75th percentile on a measure. To determine if this difference is statistically significant, NCQA calculates an independent sample t-test of the performance difference between two randomly selected plans at the 25th and 75th percentile. The t-test method calculates a testing statistic based on the sample size, performance rate, and standardized error of each plan. The test statistic is then compared against a normal distribution. If the p value of the test statistic is less than 0.05, then the two plans’ performance is significantly different from each other.</w:t>
      </w:r>
      <w:r>
        <w:rPr>
          <w:rFonts w:cstheme="minorHAnsi"/>
          <w:bCs/>
          <w:color w:val="C00000"/>
        </w:rPr>
        <w:t> </w:t>
      </w:r>
    </w:p>
    <w:p w14:paraId="345FC0AC" w14:textId="77777777" w:rsidR="00703429" w:rsidRDefault="00703429" w:rsidP="00D23AD7">
      <w:pPr>
        <w:autoSpaceDE w:val="0"/>
        <w:autoSpaceDN w:val="0"/>
        <w:adjustRightInd w:val="0"/>
        <w:spacing w:after="0" w:line="240" w:lineRule="auto"/>
        <w:contextualSpacing/>
        <w:rPr>
          <w:rFonts w:cstheme="minorHAnsi"/>
          <w:bCs/>
          <w:color w:val="C00000"/>
        </w:rPr>
      </w:pPr>
    </w:p>
    <w:p w14:paraId="586F4B7E" w14:textId="77777777" w:rsidR="00703429" w:rsidRDefault="00703429" w:rsidP="00D23AD7">
      <w:pPr>
        <w:autoSpaceDE w:val="0"/>
        <w:autoSpaceDN w:val="0"/>
        <w:adjustRightInd w:val="0"/>
        <w:spacing w:after="0" w:line="240" w:lineRule="auto"/>
        <w:contextualSpacing/>
        <w:rPr>
          <w:rFonts w:cstheme="minorHAnsi"/>
          <w:bCs/>
        </w:rPr>
      </w:pPr>
      <w:r>
        <w:rPr>
          <w:rStyle w:val="Style1"/>
          <w:b/>
          <w:bCs/>
          <w:color w:val="4F81BD" w:themeColor="accent1"/>
          <w:u w:val="single"/>
        </w:rPr>
        <w:t>2014 Submission</w:t>
      </w:r>
    </w:p>
    <w:p w14:paraId="40B005C7"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Empirical testing</w:t>
      </w:r>
    </w:p>
    <w:p w14:paraId="3BDA7770"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To demonstrate meaningful differences in performance, we calculated an inter-quartile range (IQR) for each rate. The IQR provides a measure of the dispersion of performance. The IQR can be interpreted as the difference between the 25th and 75th percentile on a measure.  To determine if this difference is statistically significant, we calculate a Chi-squared test of the performance difference between each </w:t>
      </w:r>
      <w:r>
        <w:rPr>
          <w:rFonts w:cstheme="minorHAnsi"/>
          <w:bCs/>
          <w:color w:val="4F81BD" w:themeColor="accent1"/>
        </w:rPr>
        <w:lastRenderedPageBreak/>
        <w:t>state in the lowest quartile vs. each state in the highest quartile. The Chi-squared test method calculates a test statistic based on the sample size and performance rate of each state. If the p value of the test statistic is less than .05, then the two states’ performance is significantly different from each other. Using this method, we compared the performance rates of each pair of states, one state in the 25th percentile and another state in the 75th percentile of performance.</w:t>
      </w:r>
    </w:p>
    <w:p w14:paraId="0CABD009" w14:textId="77777777" w:rsidR="00D61410" w:rsidRPr="00A25024" w:rsidRDefault="00D61410" w:rsidP="00D23AD7">
      <w:pPr>
        <w:autoSpaceDE w:val="0"/>
        <w:autoSpaceDN w:val="0"/>
        <w:adjustRightInd w:val="0"/>
        <w:spacing w:after="0" w:line="240" w:lineRule="auto"/>
        <w:contextualSpacing/>
        <w:rPr>
          <w:rFonts w:cstheme="minorHAnsi"/>
          <w:bCs/>
        </w:rPr>
      </w:pPr>
    </w:p>
    <w:p w14:paraId="0CABD00A" w14:textId="1BA155DB" w:rsidR="00D61410" w:rsidRDefault="009C7513" w:rsidP="00D23AD7">
      <w:pPr>
        <w:autoSpaceDE w:val="0"/>
        <w:autoSpaceDN w:val="0"/>
        <w:adjustRightInd w:val="0"/>
        <w:spacing w:after="0" w:line="240" w:lineRule="auto"/>
        <w:contextualSpacing/>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4D369B01" w14:textId="5BBB018F" w:rsidR="00703429" w:rsidRDefault="00703429" w:rsidP="00E03BE6">
      <w:pPr>
        <w:keepNext/>
        <w:autoSpaceDE w:val="0"/>
        <w:autoSpaceDN w:val="0"/>
        <w:adjustRightInd w:val="0"/>
        <w:spacing w:after="0" w:line="240" w:lineRule="auto"/>
        <w:contextualSpacing/>
        <w:rPr>
          <w:b/>
          <w:color w:val="C00000"/>
          <w:u w:val="single"/>
        </w:rPr>
      </w:pPr>
      <w:r>
        <w:rPr>
          <w:b/>
          <w:color w:val="C00000"/>
          <w:u w:val="single"/>
        </w:rPr>
        <w:t>201</w:t>
      </w:r>
      <w:r w:rsidR="005B4052">
        <w:rPr>
          <w:b/>
          <w:color w:val="C00000"/>
          <w:u w:val="single"/>
        </w:rPr>
        <w:t>9</w:t>
      </w:r>
      <w:r>
        <w:rPr>
          <w:b/>
          <w:color w:val="C00000"/>
          <w:u w:val="single"/>
        </w:rPr>
        <w:t xml:space="preserve"> Submission</w:t>
      </w:r>
    </w:p>
    <w:p w14:paraId="42E56083" w14:textId="77777777" w:rsidR="00703429" w:rsidRDefault="00703429" w:rsidP="00E03BE6">
      <w:pPr>
        <w:keepNext/>
        <w:autoSpaceDE w:val="0"/>
        <w:autoSpaceDN w:val="0"/>
        <w:adjustRightInd w:val="0"/>
        <w:spacing w:after="0" w:line="240" w:lineRule="auto"/>
        <w:contextualSpacing/>
        <w:rPr>
          <w:rStyle w:val="Style1"/>
          <w:color w:val="C00000"/>
        </w:rPr>
      </w:pPr>
      <w:r>
        <w:rPr>
          <w:rStyle w:val="Style1"/>
          <w:color w:val="C00000"/>
        </w:rPr>
        <w:t>Table 6. Calendar year 2017 Variation in Performance Across Health Plans </w:t>
      </w:r>
    </w:p>
    <w:tbl>
      <w:tblPr>
        <w:tblW w:w="9285" w:type="dxa"/>
        <w:tblBorders>
          <w:top w:val="outset" w:sz="6" w:space="0" w:color="auto"/>
          <w:left w:val="outset" w:sz="6" w:space="0" w:color="auto"/>
          <w:bottom w:val="outset" w:sz="6" w:space="0" w:color="auto"/>
          <w:right w:val="outset" w:sz="6" w:space="0" w:color="auto"/>
        </w:tblBorders>
        <w:tblLayout w:type="fixed"/>
        <w:tblCellMar>
          <w:left w:w="0" w:type="dxa"/>
          <w:right w:w="72" w:type="dxa"/>
        </w:tblCellMar>
        <w:tblLook w:val="04A0" w:firstRow="1" w:lastRow="0" w:firstColumn="1" w:lastColumn="0" w:noHBand="0" w:noVBand="1"/>
      </w:tblPr>
      <w:tblGrid>
        <w:gridCol w:w="1268"/>
        <w:gridCol w:w="1701"/>
        <w:gridCol w:w="599"/>
        <w:gridCol w:w="599"/>
        <w:gridCol w:w="599"/>
        <w:gridCol w:w="599"/>
        <w:gridCol w:w="600"/>
        <w:gridCol w:w="599"/>
        <w:gridCol w:w="599"/>
        <w:gridCol w:w="599"/>
        <w:gridCol w:w="600"/>
        <w:gridCol w:w="923"/>
      </w:tblGrid>
      <w:tr w:rsidR="00703429" w14:paraId="1ABCC9EA" w14:textId="77777777" w:rsidTr="0015522D">
        <w:tc>
          <w:tcPr>
            <w:tcW w:w="1268" w:type="dxa"/>
            <w:tcBorders>
              <w:top w:val="single" w:sz="6" w:space="0" w:color="auto"/>
              <w:left w:val="single" w:sz="6" w:space="0" w:color="auto"/>
              <w:bottom w:val="single" w:sz="6" w:space="0" w:color="auto"/>
              <w:right w:val="single" w:sz="6" w:space="0" w:color="auto"/>
            </w:tcBorders>
            <w:hideMark/>
          </w:tcPr>
          <w:p w14:paraId="74B451AF" w14:textId="77777777" w:rsidR="00703429" w:rsidRDefault="00703429" w:rsidP="00E03BE6">
            <w:pPr>
              <w:keepNext/>
              <w:autoSpaceDE w:val="0"/>
              <w:autoSpaceDN w:val="0"/>
              <w:adjustRightInd w:val="0"/>
              <w:spacing w:after="0" w:line="240" w:lineRule="auto"/>
              <w:contextualSpacing/>
              <w:rPr>
                <w:rStyle w:val="Style1"/>
                <w:color w:val="C00000"/>
              </w:rPr>
            </w:pPr>
            <w:r>
              <w:rPr>
                <w:rStyle w:val="Style1"/>
                <w:color w:val="C00000"/>
              </w:rPr>
              <w:t> </w:t>
            </w:r>
          </w:p>
        </w:tc>
        <w:tc>
          <w:tcPr>
            <w:tcW w:w="1701" w:type="dxa"/>
            <w:tcBorders>
              <w:top w:val="single" w:sz="6" w:space="0" w:color="auto"/>
              <w:left w:val="nil"/>
              <w:bottom w:val="single" w:sz="6" w:space="0" w:color="auto"/>
              <w:right w:val="single" w:sz="6" w:space="0" w:color="auto"/>
            </w:tcBorders>
            <w:hideMark/>
          </w:tcPr>
          <w:p w14:paraId="44AEAD72" w14:textId="77777777" w:rsidR="00703429" w:rsidRDefault="00703429" w:rsidP="00E03BE6">
            <w:pPr>
              <w:keepNext/>
              <w:autoSpaceDE w:val="0"/>
              <w:autoSpaceDN w:val="0"/>
              <w:adjustRightInd w:val="0"/>
              <w:spacing w:after="0" w:line="240" w:lineRule="auto"/>
              <w:contextualSpacing/>
              <w:rPr>
                <w:rStyle w:val="Style1"/>
                <w:color w:val="C00000"/>
              </w:rPr>
            </w:pPr>
            <w:r>
              <w:rPr>
                <w:rStyle w:val="Style1"/>
                <w:color w:val="C00000"/>
              </w:rPr>
              <w:t>Rate </w:t>
            </w:r>
          </w:p>
        </w:tc>
        <w:tc>
          <w:tcPr>
            <w:tcW w:w="599" w:type="dxa"/>
            <w:tcBorders>
              <w:top w:val="single" w:sz="6" w:space="0" w:color="auto"/>
              <w:left w:val="nil"/>
              <w:bottom w:val="single" w:sz="6" w:space="0" w:color="auto"/>
              <w:right w:val="single" w:sz="6" w:space="0" w:color="auto"/>
            </w:tcBorders>
            <w:hideMark/>
          </w:tcPr>
          <w:p w14:paraId="7C40C674"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Avg. EP </w:t>
            </w:r>
          </w:p>
        </w:tc>
        <w:tc>
          <w:tcPr>
            <w:tcW w:w="599" w:type="dxa"/>
            <w:tcBorders>
              <w:top w:val="single" w:sz="6" w:space="0" w:color="auto"/>
              <w:left w:val="nil"/>
              <w:bottom w:val="single" w:sz="6" w:space="0" w:color="auto"/>
              <w:right w:val="single" w:sz="6" w:space="0" w:color="auto"/>
            </w:tcBorders>
            <w:hideMark/>
          </w:tcPr>
          <w:p w14:paraId="5C0A3A63"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Avg. </w:t>
            </w:r>
          </w:p>
          <w:p w14:paraId="0F6ED7B0"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 </w:t>
            </w:r>
          </w:p>
        </w:tc>
        <w:tc>
          <w:tcPr>
            <w:tcW w:w="599" w:type="dxa"/>
            <w:tcBorders>
              <w:top w:val="single" w:sz="6" w:space="0" w:color="auto"/>
              <w:left w:val="nil"/>
              <w:bottom w:val="single" w:sz="6" w:space="0" w:color="auto"/>
              <w:right w:val="single" w:sz="6" w:space="0" w:color="auto"/>
            </w:tcBorders>
            <w:hideMark/>
          </w:tcPr>
          <w:p w14:paraId="2A5527BF"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SD </w:t>
            </w:r>
          </w:p>
          <w:p w14:paraId="1FE295B1"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 </w:t>
            </w:r>
          </w:p>
        </w:tc>
        <w:tc>
          <w:tcPr>
            <w:tcW w:w="599" w:type="dxa"/>
            <w:tcBorders>
              <w:top w:val="single" w:sz="6" w:space="0" w:color="auto"/>
              <w:left w:val="nil"/>
              <w:bottom w:val="single" w:sz="6" w:space="0" w:color="auto"/>
              <w:right w:val="single" w:sz="6" w:space="0" w:color="auto"/>
            </w:tcBorders>
            <w:hideMark/>
          </w:tcPr>
          <w:p w14:paraId="52956FD5"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10th </w:t>
            </w:r>
          </w:p>
          <w:p w14:paraId="49F011A0"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 </w:t>
            </w:r>
          </w:p>
        </w:tc>
        <w:tc>
          <w:tcPr>
            <w:tcW w:w="600" w:type="dxa"/>
            <w:tcBorders>
              <w:top w:val="single" w:sz="6" w:space="0" w:color="auto"/>
              <w:left w:val="nil"/>
              <w:bottom w:val="single" w:sz="6" w:space="0" w:color="auto"/>
              <w:right w:val="single" w:sz="6" w:space="0" w:color="auto"/>
            </w:tcBorders>
            <w:hideMark/>
          </w:tcPr>
          <w:p w14:paraId="19E0F966"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25th </w:t>
            </w:r>
          </w:p>
          <w:p w14:paraId="66CC8276"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 </w:t>
            </w:r>
          </w:p>
        </w:tc>
        <w:tc>
          <w:tcPr>
            <w:tcW w:w="599" w:type="dxa"/>
            <w:tcBorders>
              <w:top w:val="single" w:sz="6" w:space="0" w:color="auto"/>
              <w:left w:val="nil"/>
              <w:bottom w:val="single" w:sz="6" w:space="0" w:color="auto"/>
              <w:right w:val="single" w:sz="6" w:space="0" w:color="auto"/>
            </w:tcBorders>
            <w:hideMark/>
          </w:tcPr>
          <w:p w14:paraId="4EB5E2DA"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50th </w:t>
            </w:r>
          </w:p>
          <w:p w14:paraId="32CC93F2"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 </w:t>
            </w:r>
          </w:p>
        </w:tc>
        <w:tc>
          <w:tcPr>
            <w:tcW w:w="599" w:type="dxa"/>
            <w:tcBorders>
              <w:top w:val="single" w:sz="6" w:space="0" w:color="auto"/>
              <w:left w:val="nil"/>
              <w:bottom w:val="single" w:sz="6" w:space="0" w:color="auto"/>
              <w:right w:val="single" w:sz="6" w:space="0" w:color="auto"/>
            </w:tcBorders>
            <w:hideMark/>
          </w:tcPr>
          <w:p w14:paraId="6D548114"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75th </w:t>
            </w:r>
          </w:p>
          <w:p w14:paraId="5DE8D81F"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 </w:t>
            </w:r>
          </w:p>
        </w:tc>
        <w:tc>
          <w:tcPr>
            <w:tcW w:w="599" w:type="dxa"/>
            <w:tcBorders>
              <w:top w:val="single" w:sz="6" w:space="0" w:color="auto"/>
              <w:left w:val="nil"/>
              <w:bottom w:val="single" w:sz="6" w:space="0" w:color="auto"/>
              <w:right w:val="single" w:sz="6" w:space="0" w:color="auto"/>
            </w:tcBorders>
            <w:hideMark/>
          </w:tcPr>
          <w:p w14:paraId="48B800D7"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90th </w:t>
            </w:r>
          </w:p>
          <w:p w14:paraId="5605214E"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 </w:t>
            </w:r>
          </w:p>
        </w:tc>
        <w:tc>
          <w:tcPr>
            <w:tcW w:w="600" w:type="dxa"/>
            <w:tcBorders>
              <w:top w:val="single" w:sz="6" w:space="0" w:color="auto"/>
              <w:left w:val="nil"/>
              <w:bottom w:val="single" w:sz="6" w:space="0" w:color="auto"/>
              <w:right w:val="single" w:sz="6" w:space="0" w:color="auto"/>
            </w:tcBorders>
            <w:hideMark/>
          </w:tcPr>
          <w:p w14:paraId="1DDB8814"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IQR </w:t>
            </w:r>
          </w:p>
          <w:p w14:paraId="0A001979"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 </w:t>
            </w:r>
          </w:p>
        </w:tc>
        <w:tc>
          <w:tcPr>
            <w:tcW w:w="923" w:type="dxa"/>
            <w:tcBorders>
              <w:top w:val="single" w:sz="6" w:space="0" w:color="auto"/>
              <w:left w:val="nil"/>
              <w:bottom w:val="single" w:sz="6" w:space="0" w:color="auto"/>
              <w:right w:val="single" w:sz="6" w:space="0" w:color="auto"/>
            </w:tcBorders>
            <w:hideMark/>
          </w:tcPr>
          <w:p w14:paraId="40DDDEE5" w14:textId="77777777" w:rsidR="00703429" w:rsidRDefault="00703429" w:rsidP="00E03BE6">
            <w:pPr>
              <w:keepNext/>
              <w:autoSpaceDE w:val="0"/>
              <w:autoSpaceDN w:val="0"/>
              <w:adjustRightInd w:val="0"/>
              <w:spacing w:after="0" w:line="240" w:lineRule="auto"/>
              <w:ind w:left="61"/>
              <w:contextualSpacing/>
              <w:rPr>
                <w:rStyle w:val="Style1"/>
                <w:color w:val="C00000"/>
              </w:rPr>
            </w:pPr>
            <w:r>
              <w:rPr>
                <w:rStyle w:val="Style1"/>
                <w:color w:val="C00000"/>
              </w:rPr>
              <w:t>p-value </w:t>
            </w:r>
          </w:p>
        </w:tc>
      </w:tr>
      <w:tr w:rsidR="005E1790" w14:paraId="60D521BF" w14:textId="77777777" w:rsidTr="005E1790">
        <w:tc>
          <w:tcPr>
            <w:tcW w:w="1268" w:type="dxa"/>
            <w:vMerge w:val="restart"/>
            <w:tcBorders>
              <w:top w:val="nil"/>
              <w:left w:val="single" w:sz="6" w:space="0" w:color="auto"/>
              <w:bottom w:val="single" w:sz="4" w:space="0" w:color="auto"/>
              <w:right w:val="single" w:sz="6" w:space="0" w:color="auto"/>
            </w:tcBorders>
            <w:hideMark/>
          </w:tcPr>
          <w:p w14:paraId="579ADDDD" w14:textId="77777777" w:rsidR="005E1790" w:rsidRDefault="005E1790" w:rsidP="00E03BE6">
            <w:pPr>
              <w:keepNext/>
              <w:autoSpaceDE w:val="0"/>
              <w:autoSpaceDN w:val="0"/>
              <w:adjustRightInd w:val="0"/>
              <w:spacing w:after="0" w:line="240" w:lineRule="auto"/>
              <w:ind w:left="75"/>
              <w:contextualSpacing/>
              <w:rPr>
                <w:rStyle w:val="Style1"/>
                <w:color w:val="C00000"/>
              </w:rPr>
            </w:pPr>
            <w:r>
              <w:rPr>
                <w:rStyle w:val="Style1"/>
                <w:color w:val="C00000"/>
              </w:rPr>
              <w:t>Commercial </w:t>
            </w:r>
          </w:p>
        </w:tc>
        <w:tc>
          <w:tcPr>
            <w:tcW w:w="1701" w:type="dxa"/>
            <w:tcBorders>
              <w:top w:val="nil"/>
              <w:left w:val="nil"/>
              <w:bottom w:val="single" w:sz="6" w:space="0" w:color="auto"/>
              <w:right w:val="single" w:sz="6" w:space="0" w:color="auto"/>
            </w:tcBorders>
            <w:hideMark/>
          </w:tcPr>
          <w:p w14:paraId="6B3E488A" w14:textId="05723AAF" w:rsidR="005E1790" w:rsidRPr="0015522D" w:rsidRDefault="007F3CA0" w:rsidP="00E03BE6">
            <w:pPr>
              <w:keepNext/>
              <w:autoSpaceDE w:val="0"/>
              <w:autoSpaceDN w:val="0"/>
              <w:adjustRightInd w:val="0"/>
              <w:spacing w:after="0" w:line="240" w:lineRule="auto"/>
              <w:ind w:left="61"/>
              <w:contextualSpacing/>
              <w:rPr>
                <w:rStyle w:val="Style1"/>
                <w:color w:val="C00000"/>
              </w:rPr>
            </w:pPr>
            <w:r>
              <w:rPr>
                <w:rStyle w:val="Style1"/>
                <w:color w:val="C00000"/>
              </w:rPr>
              <w:t>30-</w:t>
            </w:r>
            <w:r w:rsidR="005E1790" w:rsidRPr="0015522D">
              <w:rPr>
                <w:rStyle w:val="Style1"/>
                <w:color w:val="C00000"/>
              </w:rPr>
              <w:t>day follow-up</w:t>
            </w:r>
          </w:p>
        </w:tc>
        <w:tc>
          <w:tcPr>
            <w:tcW w:w="599" w:type="dxa"/>
            <w:tcBorders>
              <w:top w:val="nil"/>
              <w:left w:val="nil"/>
              <w:bottom w:val="single" w:sz="6" w:space="0" w:color="auto"/>
              <w:right w:val="single" w:sz="6" w:space="0" w:color="auto"/>
            </w:tcBorders>
            <w:vAlign w:val="center"/>
          </w:tcPr>
          <w:p w14:paraId="4F71CD7E" w14:textId="07296B5F" w:rsidR="005E1790" w:rsidRDefault="005E1790" w:rsidP="00E03BE6">
            <w:pPr>
              <w:keepNext/>
              <w:autoSpaceDE w:val="0"/>
              <w:autoSpaceDN w:val="0"/>
              <w:adjustRightInd w:val="0"/>
              <w:spacing w:after="0" w:line="240" w:lineRule="auto"/>
              <w:contextualSpacing/>
              <w:jc w:val="right"/>
              <w:rPr>
                <w:rStyle w:val="Style1"/>
                <w:color w:val="C00000"/>
              </w:rPr>
            </w:pPr>
            <w:r w:rsidRPr="005E1790">
              <w:rPr>
                <w:rStyle w:val="Style1"/>
                <w:color w:val="C00000"/>
              </w:rPr>
              <w:t xml:space="preserve">419 </w:t>
            </w:r>
          </w:p>
        </w:tc>
        <w:tc>
          <w:tcPr>
            <w:tcW w:w="599" w:type="dxa"/>
            <w:tcBorders>
              <w:top w:val="nil"/>
              <w:left w:val="nil"/>
              <w:bottom w:val="single" w:sz="6" w:space="0" w:color="auto"/>
              <w:right w:val="single" w:sz="6" w:space="0" w:color="auto"/>
            </w:tcBorders>
            <w:vAlign w:val="center"/>
          </w:tcPr>
          <w:p w14:paraId="5BE5423F" w14:textId="275E4B70" w:rsidR="005E1790" w:rsidRDefault="005E1790" w:rsidP="00E03BE6">
            <w:pPr>
              <w:keepNext/>
              <w:autoSpaceDE w:val="0"/>
              <w:autoSpaceDN w:val="0"/>
              <w:adjustRightInd w:val="0"/>
              <w:spacing w:after="0" w:line="240" w:lineRule="auto"/>
              <w:contextualSpacing/>
              <w:jc w:val="right"/>
              <w:rPr>
                <w:rStyle w:val="Style1"/>
                <w:color w:val="C00000"/>
              </w:rPr>
            </w:pPr>
            <w:r w:rsidRPr="0015522D">
              <w:rPr>
                <w:rStyle w:val="Style1"/>
                <w:color w:val="C00000"/>
              </w:rPr>
              <w:t>60.1</w:t>
            </w:r>
          </w:p>
        </w:tc>
        <w:tc>
          <w:tcPr>
            <w:tcW w:w="599" w:type="dxa"/>
            <w:tcBorders>
              <w:top w:val="nil"/>
              <w:left w:val="nil"/>
              <w:bottom w:val="single" w:sz="6" w:space="0" w:color="auto"/>
              <w:right w:val="single" w:sz="6" w:space="0" w:color="auto"/>
            </w:tcBorders>
            <w:vAlign w:val="center"/>
          </w:tcPr>
          <w:p w14:paraId="052B652C" w14:textId="77C2A952" w:rsidR="005E1790" w:rsidRDefault="005E1790" w:rsidP="00E03BE6">
            <w:pPr>
              <w:keepNext/>
              <w:autoSpaceDE w:val="0"/>
              <w:autoSpaceDN w:val="0"/>
              <w:adjustRightInd w:val="0"/>
              <w:spacing w:after="0" w:line="240" w:lineRule="auto"/>
              <w:contextualSpacing/>
              <w:jc w:val="right"/>
              <w:rPr>
                <w:rStyle w:val="Style1"/>
                <w:color w:val="C00000"/>
              </w:rPr>
            </w:pPr>
            <w:r w:rsidRPr="0015522D">
              <w:rPr>
                <w:rStyle w:val="Style1"/>
                <w:color w:val="C00000"/>
              </w:rPr>
              <w:t>11.5</w:t>
            </w:r>
          </w:p>
        </w:tc>
        <w:tc>
          <w:tcPr>
            <w:tcW w:w="599" w:type="dxa"/>
            <w:tcBorders>
              <w:top w:val="nil"/>
              <w:left w:val="nil"/>
              <w:bottom w:val="single" w:sz="6" w:space="0" w:color="auto"/>
              <w:right w:val="single" w:sz="6" w:space="0" w:color="auto"/>
            </w:tcBorders>
            <w:vAlign w:val="center"/>
          </w:tcPr>
          <w:p w14:paraId="6CD50D3E" w14:textId="2C985FE4" w:rsidR="005E1790" w:rsidRDefault="005E1790" w:rsidP="00E03BE6">
            <w:pPr>
              <w:keepNext/>
              <w:autoSpaceDE w:val="0"/>
              <w:autoSpaceDN w:val="0"/>
              <w:adjustRightInd w:val="0"/>
              <w:spacing w:after="0" w:line="240" w:lineRule="auto"/>
              <w:contextualSpacing/>
              <w:jc w:val="right"/>
              <w:rPr>
                <w:rStyle w:val="Style1"/>
                <w:color w:val="C00000"/>
              </w:rPr>
            </w:pPr>
            <w:r w:rsidRPr="0015522D">
              <w:rPr>
                <w:rStyle w:val="Style1"/>
                <w:color w:val="C00000"/>
              </w:rPr>
              <w:t>43.9</w:t>
            </w:r>
          </w:p>
        </w:tc>
        <w:tc>
          <w:tcPr>
            <w:tcW w:w="600" w:type="dxa"/>
            <w:tcBorders>
              <w:top w:val="nil"/>
              <w:left w:val="nil"/>
              <w:bottom w:val="single" w:sz="6" w:space="0" w:color="auto"/>
              <w:right w:val="single" w:sz="6" w:space="0" w:color="auto"/>
            </w:tcBorders>
            <w:vAlign w:val="center"/>
          </w:tcPr>
          <w:p w14:paraId="4469EF92" w14:textId="7636F5F2" w:rsidR="005E1790" w:rsidRDefault="005E1790" w:rsidP="00E03BE6">
            <w:pPr>
              <w:keepNext/>
              <w:autoSpaceDE w:val="0"/>
              <w:autoSpaceDN w:val="0"/>
              <w:adjustRightInd w:val="0"/>
              <w:spacing w:after="0" w:line="240" w:lineRule="auto"/>
              <w:contextualSpacing/>
              <w:jc w:val="right"/>
              <w:rPr>
                <w:rStyle w:val="Style1"/>
                <w:color w:val="C00000"/>
              </w:rPr>
            </w:pPr>
            <w:r w:rsidRPr="0015522D">
              <w:rPr>
                <w:rStyle w:val="Style1"/>
                <w:color w:val="C00000"/>
              </w:rPr>
              <w:t>52.3</w:t>
            </w:r>
          </w:p>
        </w:tc>
        <w:tc>
          <w:tcPr>
            <w:tcW w:w="599" w:type="dxa"/>
            <w:tcBorders>
              <w:top w:val="nil"/>
              <w:left w:val="nil"/>
              <w:bottom w:val="single" w:sz="6" w:space="0" w:color="auto"/>
              <w:right w:val="single" w:sz="6" w:space="0" w:color="auto"/>
            </w:tcBorders>
            <w:vAlign w:val="center"/>
          </w:tcPr>
          <w:p w14:paraId="2F188B2F" w14:textId="48964068" w:rsidR="005E1790" w:rsidRDefault="005E1790" w:rsidP="00E03BE6">
            <w:pPr>
              <w:keepNext/>
              <w:autoSpaceDE w:val="0"/>
              <w:autoSpaceDN w:val="0"/>
              <w:adjustRightInd w:val="0"/>
              <w:spacing w:after="0" w:line="240" w:lineRule="auto"/>
              <w:contextualSpacing/>
              <w:jc w:val="right"/>
              <w:rPr>
                <w:rStyle w:val="Style1"/>
                <w:color w:val="C00000"/>
              </w:rPr>
            </w:pPr>
            <w:r w:rsidRPr="0015522D">
              <w:rPr>
                <w:rStyle w:val="Style1"/>
                <w:color w:val="C00000"/>
              </w:rPr>
              <w:t>60.4</w:t>
            </w:r>
          </w:p>
        </w:tc>
        <w:tc>
          <w:tcPr>
            <w:tcW w:w="599" w:type="dxa"/>
            <w:tcBorders>
              <w:top w:val="nil"/>
              <w:left w:val="nil"/>
              <w:bottom w:val="single" w:sz="6" w:space="0" w:color="auto"/>
              <w:right w:val="single" w:sz="6" w:space="0" w:color="auto"/>
            </w:tcBorders>
            <w:vAlign w:val="center"/>
          </w:tcPr>
          <w:p w14:paraId="5BA04711" w14:textId="73A9A694" w:rsidR="005E1790" w:rsidRDefault="005E1790" w:rsidP="00E03BE6">
            <w:pPr>
              <w:keepNext/>
              <w:autoSpaceDE w:val="0"/>
              <w:autoSpaceDN w:val="0"/>
              <w:adjustRightInd w:val="0"/>
              <w:spacing w:after="0" w:line="240" w:lineRule="auto"/>
              <w:contextualSpacing/>
              <w:jc w:val="right"/>
              <w:rPr>
                <w:rStyle w:val="Style1"/>
                <w:color w:val="C00000"/>
              </w:rPr>
            </w:pPr>
            <w:r w:rsidRPr="0015522D">
              <w:rPr>
                <w:rStyle w:val="Style1"/>
                <w:color w:val="C00000"/>
              </w:rPr>
              <w:t>67.1</w:t>
            </w:r>
          </w:p>
        </w:tc>
        <w:tc>
          <w:tcPr>
            <w:tcW w:w="599" w:type="dxa"/>
            <w:tcBorders>
              <w:top w:val="nil"/>
              <w:left w:val="nil"/>
              <w:bottom w:val="single" w:sz="6" w:space="0" w:color="auto"/>
              <w:right w:val="single" w:sz="6" w:space="0" w:color="auto"/>
            </w:tcBorders>
            <w:vAlign w:val="center"/>
          </w:tcPr>
          <w:p w14:paraId="2ED32B79" w14:textId="40B26C8B" w:rsidR="005E1790" w:rsidRDefault="005E1790" w:rsidP="00E03BE6">
            <w:pPr>
              <w:keepNext/>
              <w:autoSpaceDE w:val="0"/>
              <w:autoSpaceDN w:val="0"/>
              <w:adjustRightInd w:val="0"/>
              <w:spacing w:after="0" w:line="240" w:lineRule="auto"/>
              <w:contextualSpacing/>
              <w:jc w:val="right"/>
              <w:rPr>
                <w:rStyle w:val="Style1"/>
                <w:color w:val="C00000"/>
              </w:rPr>
            </w:pPr>
            <w:r w:rsidRPr="0015522D">
              <w:rPr>
                <w:rStyle w:val="Style1"/>
                <w:color w:val="C00000"/>
              </w:rPr>
              <w:t>75.0</w:t>
            </w:r>
          </w:p>
        </w:tc>
        <w:tc>
          <w:tcPr>
            <w:tcW w:w="600" w:type="dxa"/>
            <w:tcBorders>
              <w:top w:val="nil"/>
              <w:left w:val="nil"/>
              <w:bottom w:val="single" w:sz="6" w:space="0" w:color="auto"/>
              <w:right w:val="single" w:sz="6" w:space="0" w:color="auto"/>
            </w:tcBorders>
            <w:vAlign w:val="center"/>
          </w:tcPr>
          <w:p w14:paraId="763781B1" w14:textId="03D01D10" w:rsidR="005E1790" w:rsidRDefault="005E1790" w:rsidP="00E03BE6">
            <w:pPr>
              <w:keepNext/>
              <w:autoSpaceDE w:val="0"/>
              <w:autoSpaceDN w:val="0"/>
              <w:adjustRightInd w:val="0"/>
              <w:spacing w:after="0" w:line="240" w:lineRule="auto"/>
              <w:contextualSpacing/>
              <w:jc w:val="right"/>
              <w:rPr>
                <w:rStyle w:val="Style1"/>
                <w:color w:val="C00000"/>
              </w:rPr>
            </w:pPr>
            <w:r w:rsidRPr="0015522D">
              <w:rPr>
                <w:rStyle w:val="Style1"/>
                <w:color w:val="C00000"/>
              </w:rPr>
              <w:t>14.8</w:t>
            </w:r>
          </w:p>
        </w:tc>
        <w:tc>
          <w:tcPr>
            <w:tcW w:w="923" w:type="dxa"/>
            <w:tcBorders>
              <w:top w:val="nil"/>
              <w:left w:val="nil"/>
              <w:bottom w:val="single" w:sz="6" w:space="0" w:color="auto"/>
              <w:right w:val="single" w:sz="6" w:space="0" w:color="auto"/>
            </w:tcBorders>
            <w:vAlign w:val="center"/>
          </w:tcPr>
          <w:p w14:paraId="4A77611B" w14:textId="183CEC4F" w:rsidR="005E1790" w:rsidRDefault="005E1790" w:rsidP="00E03BE6">
            <w:pPr>
              <w:keepNext/>
              <w:autoSpaceDE w:val="0"/>
              <w:autoSpaceDN w:val="0"/>
              <w:adjustRightInd w:val="0"/>
              <w:spacing w:after="0" w:line="240" w:lineRule="auto"/>
              <w:ind w:left="61"/>
              <w:contextualSpacing/>
              <w:jc w:val="right"/>
              <w:rPr>
                <w:rStyle w:val="Style1"/>
                <w:color w:val="C00000"/>
              </w:rPr>
            </w:pPr>
            <w:r>
              <w:rPr>
                <w:rStyle w:val="Style1"/>
                <w:color w:val="C00000"/>
              </w:rPr>
              <w:t>&lt;0.</w:t>
            </w:r>
            <w:r w:rsidR="00D243C8">
              <w:rPr>
                <w:rStyle w:val="Style1"/>
                <w:color w:val="C00000"/>
              </w:rPr>
              <w:t>05</w:t>
            </w:r>
          </w:p>
        </w:tc>
      </w:tr>
      <w:tr w:rsidR="00D243C8" w14:paraId="0A3FFF5B" w14:textId="77777777" w:rsidTr="00AC06F1">
        <w:tc>
          <w:tcPr>
            <w:tcW w:w="1268" w:type="dxa"/>
            <w:vMerge/>
            <w:tcBorders>
              <w:top w:val="nil"/>
              <w:left w:val="single" w:sz="6" w:space="0" w:color="auto"/>
              <w:bottom w:val="single" w:sz="4" w:space="0" w:color="auto"/>
              <w:right w:val="single" w:sz="6" w:space="0" w:color="auto"/>
            </w:tcBorders>
            <w:vAlign w:val="center"/>
            <w:hideMark/>
          </w:tcPr>
          <w:p w14:paraId="6B7C8D87" w14:textId="77777777" w:rsidR="00D243C8" w:rsidRDefault="00D243C8" w:rsidP="00D243C8">
            <w:pPr>
              <w:keepNext/>
              <w:spacing w:after="0" w:line="240" w:lineRule="auto"/>
              <w:contextualSpacing/>
              <w:rPr>
                <w:rStyle w:val="Style1"/>
                <w:color w:val="C00000"/>
              </w:rPr>
            </w:pPr>
          </w:p>
        </w:tc>
        <w:tc>
          <w:tcPr>
            <w:tcW w:w="1701" w:type="dxa"/>
            <w:tcBorders>
              <w:top w:val="nil"/>
              <w:left w:val="nil"/>
              <w:bottom w:val="single" w:sz="6" w:space="0" w:color="auto"/>
              <w:right w:val="single" w:sz="6" w:space="0" w:color="auto"/>
            </w:tcBorders>
            <w:hideMark/>
          </w:tcPr>
          <w:p w14:paraId="244E5886" w14:textId="1EE4B88D" w:rsidR="00D243C8" w:rsidRPr="0015522D" w:rsidRDefault="00D243C8" w:rsidP="00D243C8">
            <w:pPr>
              <w:keepNext/>
              <w:autoSpaceDE w:val="0"/>
              <w:autoSpaceDN w:val="0"/>
              <w:adjustRightInd w:val="0"/>
              <w:spacing w:after="0" w:line="240" w:lineRule="auto"/>
              <w:ind w:left="61"/>
              <w:contextualSpacing/>
              <w:rPr>
                <w:rStyle w:val="Style1"/>
                <w:color w:val="C00000"/>
              </w:rPr>
            </w:pPr>
            <w:r>
              <w:rPr>
                <w:rStyle w:val="Style1"/>
                <w:color w:val="C00000"/>
              </w:rPr>
              <w:t>7-</w:t>
            </w:r>
            <w:r w:rsidRPr="0015522D">
              <w:rPr>
                <w:rStyle w:val="Style1"/>
                <w:color w:val="C00000"/>
              </w:rPr>
              <w:t>day follow-up</w:t>
            </w:r>
          </w:p>
        </w:tc>
        <w:tc>
          <w:tcPr>
            <w:tcW w:w="599" w:type="dxa"/>
            <w:tcBorders>
              <w:top w:val="nil"/>
              <w:left w:val="nil"/>
              <w:bottom w:val="single" w:sz="6" w:space="0" w:color="auto"/>
              <w:right w:val="single" w:sz="6" w:space="0" w:color="auto"/>
            </w:tcBorders>
            <w:vAlign w:val="center"/>
          </w:tcPr>
          <w:p w14:paraId="6CA6D67B" w14:textId="5B08DD99" w:rsidR="00D243C8" w:rsidRDefault="00D243C8" w:rsidP="00D243C8">
            <w:pPr>
              <w:keepNext/>
              <w:autoSpaceDE w:val="0"/>
              <w:autoSpaceDN w:val="0"/>
              <w:adjustRightInd w:val="0"/>
              <w:spacing w:after="0" w:line="240" w:lineRule="auto"/>
              <w:contextualSpacing/>
              <w:jc w:val="right"/>
              <w:rPr>
                <w:rStyle w:val="Style1"/>
                <w:color w:val="C00000"/>
              </w:rPr>
            </w:pPr>
            <w:r w:rsidRPr="005E1790">
              <w:rPr>
                <w:rStyle w:val="Style1"/>
                <w:color w:val="C00000"/>
              </w:rPr>
              <w:t xml:space="preserve">419 </w:t>
            </w:r>
          </w:p>
        </w:tc>
        <w:tc>
          <w:tcPr>
            <w:tcW w:w="599" w:type="dxa"/>
            <w:tcBorders>
              <w:top w:val="nil"/>
              <w:left w:val="nil"/>
              <w:bottom w:val="single" w:sz="6" w:space="0" w:color="auto"/>
              <w:right w:val="single" w:sz="6" w:space="0" w:color="auto"/>
            </w:tcBorders>
            <w:vAlign w:val="center"/>
          </w:tcPr>
          <w:p w14:paraId="577F29AA" w14:textId="6780D2D7"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45.3</w:t>
            </w:r>
          </w:p>
        </w:tc>
        <w:tc>
          <w:tcPr>
            <w:tcW w:w="599" w:type="dxa"/>
            <w:tcBorders>
              <w:top w:val="nil"/>
              <w:left w:val="nil"/>
              <w:bottom w:val="single" w:sz="6" w:space="0" w:color="auto"/>
              <w:right w:val="single" w:sz="6" w:space="0" w:color="auto"/>
            </w:tcBorders>
            <w:vAlign w:val="center"/>
          </w:tcPr>
          <w:p w14:paraId="446E37B3" w14:textId="01E6A029"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12.3</w:t>
            </w:r>
          </w:p>
        </w:tc>
        <w:tc>
          <w:tcPr>
            <w:tcW w:w="599" w:type="dxa"/>
            <w:tcBorders>
              <w:top w:val="nil"/>
              <w:left w:val="nil"/>
              <w:bottom w:val="single" w:sz="6" w:space="0" w:color="auto"/>
              <w:right w:val="single" w:sz="6" w:space="0" w:color="auto"/>
            </w:tcBorders>
            <w:vAlign w:val="center"/>
          </w:tcPr>
          <w:p w14:paraId="535B98CE" w14:textId="6CA378E7"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30.3</w:t>
            </w:r>
          </w:p>
        </w:tc>
        <w:tc>
          <w:tcPr>
            <w:tcW w:w="600" w:type="dxa"/>
            <w:tcBorders>
              <w:top w:val="nil"/>
              <w:left w:val="nil"/>
              <w:bottom w:val="single" w:sz="6" w:space="0" w:color="auto"/>
              <w:right w:val="single" w:sz="6" w:space="0" w:color="auto"/>
            </w:tcBorders>
            <w:vAlign w:val="center"/>
          </w:tcPr>
          <w:p w14:paraId="7C01FB50" w14:textId="358630E3"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37.7</w:t>
            </w:r>
          </w:p>
        </w:tc>
        <w:tc>
          <w:tcPr>
            <w:tcW w:w="599" w:type="dxa"/>
            <w:tcBorders>
              <w:top w:val="nil"/>
              <w:left w:val="nil"/>
              <w:bottom w:val="single" w:sz="6" w:space="0" w:color="auto"/>
              <w:right w:val="single" w:sz="6" w:space="0" w:color="auto"/>
            </w:tcBorders>
            <w:vAlign w:val="center"/>
          </w:tcPr>
          <w:p w14:paraId="73131C27" w14:textId="4731C161"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44.4</w:t>
            </w:r>
          </w:p>
        </w:tc>
        <w:tc>
          <w:tcPr>
            <w:tcW w:w="599" w:type="dxa"/>
            <w:tcBorders>
              <w:top w:val="nil"/>
              <w:left w:val="nil"/>
              <w:bottom w:val="single" w:sz="6" w:space="0" w:color="auto"/>
              <w:right w:val="single" w:sz="6" w:space="0" w:color="auto"/>
            </w:tcBorders>
            <w:vAlign w:val="center"/>
          </w:tcPr>
          <w:p w14:paraId="3F2BFA2E" w14:textId="192C4DA2"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51.8</w:t>
            </w:r>
          </w:p>
        </w:tc>
        <w:tc>
          <w:tcPr>
            <w:tcW w:w="599" w:type="dxa"/>
            <w:tcBorders>
              <w:top w:val="nil"/>
              <w:left w:val="nil"/>
              <w:bottom w:val="single" w:sz="6" w:space="0" w:color="auto"/>
              <w:right w:val="single" w:sz="6" w:space="0" w:color="auto"/>
            </w:tcBorders>
            <w:vAlign w:val="center"/>
          </w:tcPr>
          <w:p w14:paraId="152993DA" w14:textId="119D842A"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62.0</w:t>
            </w:r>
          </w:p>
        </w:tc>
        <w:tc>
          <w:tcPr>
            <w:tcW w:w="600" w:type="dxa"/>
            <w:tcBorders>
              <w:top w:val="nil"/>
              <w:left w:val="nil"/>
              <w:bottom w:val="single" w:sz="6" w:space="0" w:color="auto"/>
              <w:right w:val="single" w:sz="6" w:space="0" w:color="auto"/>
            </w:tcBorders>
            <w:vAlign w:val="center"/>
          </w:tcPr>
          <w:p w14:paraId="7719BD33" w14:textId="61F7AD4D"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14.1</w:t>
            </w:r>
          </w:p>
        </w:tc>
        <w:tc>
          <w:tcPr>
            <w:tcW w:w="923" w:type="dxa"/>
            <w:tcBorders>
              <w:top w:val="nil"/>
              <w:left w:val="nil"/>
              <w:bottom w:val="single" w:sz="6" w:space="0" w:color="auto"/>
              <w:right w:val="single" w:sz="6" w:space="0" w:color="auto"/>
            </w:tcBorders>
          </w:tcPr>
          <w:p w14:paraId="317C57C5" w14:textId="4251A822" w:rsidR="00D243C8" w:rsidRDefault="00D243C8" w:rsidP="00D243C8">
            <w:pPr>
              <w:keepNext/>
              <w:autoSpaceDE w:val="0"/>
              <w:autoSpaceDN w:val="0"/>
              <w:adjustRightInd w:val="0"/>
              <w:spacing w:after="0" w:line="240" w:lineRule="auto"/>
              <w:ind w:left="61"/>
              <w:contextualSpacing/>
              <w:jc w:val="right"/>
              <w:rPr>
                <w:rStyle w:val="Style1"/>
                <w:color w:val="C00000"/>
              </w:rPr>
            </w:pPr>
            <w:r w:rsidRPr="004A7C4B">
              <w:rPr>
                <w:rStyle w:val="Style1"/>
                <w:color w:val="C00000"/>
              </w:rPr>
              <w:t>&lt;0.05</w:t>
            </w:r>
          </w:p>
        </w:tc>
      </w:tr>
      <w:tr w:rsidR="00D243C8" w14:paraId="751B2FD4" w14:textId="77777777" w:rsidTr="00AC06F1">
        <w:tc>
          <w:tcPr>
            <w:tcW w:w="1268" w:type="dxa"/>
            <w:vMerge w:val="restart"/>
            <w:tcBorders>
              <w:top w:val="single" w:sz="4" w:space="0" w:color="auto"/>
              <w:left w:val="single" w:sz="4" w:space="0" w:color="auto"/>
              <w:bottom w:val="single" w:sz="4" w:space="0" w:color="auto"/>
              <w:right w:val="single" w:sz="4" w:space="0" w:color="auto"/>
            </w:tcBorders>
            <w:hideMark/>
          </w:tcPr>
          <w:p w14:paraId="5D8C392F" w14:textId="67180008" w:rsidR="00D243C8" w:rsidRDefault="00D243C8" w:rsidP="00D243C8">
            <w:pPr>
              <w:keepNext/>
              <w:autoSpaceDE w:val="0"/>
              <w:autoSpaceDN w:val="0"/>
              <w:adjustRightInd w:val="0"/>
              <w:spacing w:after="0" w:line="240" w:lineRule="auto"/>
              <w:ind w:left="75"/>
              <w:contextualSpacing/>
              <w:rPr>
                <w:rStyle w:val="Style1"/>
                <w:color w:val="C00000"/>
              </w:rPr>
            </w:pPr>
            <w:r>
              <w:rPr>
                <w:rStyle w:val="Style1"/>
                <w:color w:val="C00000"/>
              </w:rPr>
              <w:t>Medicaid</w:t>
            </w:r>
          </w:p>
        </w:tc>
        <w:tc>
          <w:tcPr>
            <w:tcW w:w="1701" w:type="dxa"/>
            <w:tcBorders>
              <w:top w:val="single" w:sz="4" w:space="0" w:color="auto"/>
              <w:left w:val="single" w:sz="4" w:space="0" w:color="auto"/>
              <w:bottom w:val="single" w:sz="4" w:space="0" w:color="auto"/>
              <w:right w:val="single" w:sz="4" w:space="0" w:color="auto"/>
            </w:tcBorders>
            <w:hideMark/>
          </w:tcPr>
          <w:p w14:paraId="677AA6B9" w14:textId="579F8EB7" w:rsidR="00D243C8" w:rsidRDefault="00D243C8" w:rsidP="00D243C8">
            <w:pPr>
              <w:keepNext/>
              <w:autoSpaceDE w:val="0"/>
              <w:autoSpaceDN w:val="0"/>
              <w:adjustRightInd w:val="0"/>
              <w:spacing w:after="0" w:line="240" w:lineRule="auto"/>
              <w:ind w:left="61"/>
              <w:contextualSpacing/>
              <w:rPr>
                <w:rStyle w:val="Style1"/>
                <w:color w:val="C00000"/>
              </w:rPr>
            </w:pPr>
            <w:r>
              <w:rPr>
                <w:rStyle w:val="Style1"/>
                <w:color w:val="C00000"/>
              </w:rPr>
              <w:t>30-</w:t>
            </w:r>
            <w:r w:rsidRPr="0015522D">
              <w:rPr>
                <w:rStyle w:val="Style1"/>
                <w:color w:val="C00000"/>
              </w:rPr>
              <w:t>day follow-up</w:t>
            </w:r>
          </w:p>
        </w:tc>
        <w:tc>
          <w:tcPr>
            <w:tcW w:w="599" w:type="dxa"/>
            <w:tcBorders>
              <w:top w:val="single" w:sz="4" w:space="0" w:color="auto"/>
              <w:left w:val="single" w:sz="4" w:space="0" w:color="auto"/>
              <w:bottom w:val="single" w:sz="4" w:space="0" w:color="auto"/>
              <w:right w:val="single" w:sz="4" w:space="0" w:color="auto"/>
            </w:tcBorders>
            <w:vAlign w:val="center"/>
          </w:tcPr>
          <w:p w14:paraId="675B0190" w14:textId="53BC9176" w:rsidR="00D243C8" w:rsidRDefault="00D243C8" w:rsidP="00D243C8">
            <w:pPr>
              <w:keepNext/>
              <w:autoSpaceDE w:val="0"/>
              <w:autoSpaceDN w:val="0"/>
              <w:adjustRightInd w:val="0"/>
              <w:spacing w:after="0" w:line="240" w:lineRule="auto"/>
              <w:contextualSpacing/>
              <w:jc w:val="right"/>
              <w:rPr>
                <w:rStyle w:val="Style1"/>
                <w:color w:val="C00000"/>
              </w:rPr>
            </w:pPr>
            <w:r w:rsidRPr="005E1790">
              <w:rPr>
                <w:rStyle w:val="Style1"/>
                <w:color w:val="C00000"/>
              </w:rPr>
              <w:t xml:space="preserve">1,114 </w:t>
            </w:r>
          </w:p>
        </w:tc>
        <w:tc>
          <w:tcPr>
            <w:tcW w:w="599" w:type="dxa"/>
            <w:tcBorders>
              <w:top w:val="single" w:sz="4" w:space="0" w:color="auto"/>
              <w:left w:val="single" w:sz="4" w:space="0" w:color="auto"/>
              <w:bottom w:val="single" w:sz="4" w:space="0" w:color="auto"/>
              <w:right w:val="single" w:sz="4" w:space="0" w:color="auto"/>
            </w:tcBorders>
            <w:vAlign w:val="center"/>
          </w:tcPr>
          <w:p w14:paraId="2957E2E8" w14:textId="54256310"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54.8</w:t>
            </w:r>
          </w:p>
        </w:tc>
        <w:tc>
          <w:tcPr>
            <w:tcW w:w="599" w:type="dxa"/>
            <w:tcBorders>
              <w:top w:val="single" w:sz="4" w:space="0" w:color="auto"/>
              <w:left w:val="single" w:sz="4" w:space="0" w:color="auto"/>
              <w:bottom w:val="single" w:sz="4" w:space="0" w:color="auto"/>
              <w:right w:val="single" w:sz="4" w:space="0" w:color="auto"/>
            </w:tcBorders>
            <w:vAlign w:val="center"/>
          </w:tcPr>
          <w:p w14:paraId="2BA89FD8" w14:textId="079AF1A1"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14.7</w:t>
            </w:r>
          </w:p>
        </w:tc>
        <w:tc>
          <w:tcPr>
            <w:tcW w:w="599" w:type="dxa"/>
            <w:tcBorders>
              <w:top w:val="single" w:sz="4" w:space="0" w:color="auto"/>
              <w:left w:val="single" w:sz="4" w:space="0" w:color="auto"/>
              <w:bottom w:val="single" w:sz="4" w:space="0" w:color="auto"/>
              <w:right w:val="single" w:sz="4" w:space="0" w:color="auto"/>
            </w:tcBorders>
            <w:vAlign w:val="center"/>
          </w:tcPr>
          <w:p w14:paraId="7F08F8D5" w14:textId="56623645"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37.8</w:t>
            </w:r>
          </w:p>
        </w:tc>
        <w:tc>
          <w:tcPr>
            <w:tcW w:w="600" w:type="dxa"/>
            <w:tcBorders>
              <w:top w:val="single" w:sz="4" w:space="0" w:color="auto"/>
              <w:left w:val="single" w:sz="4" w:space="0" w:color="auto"/>
              <w:bottom w:val="single" w:sz="4" w:space="0" w:color="auto"/>
              <w:right w:val="single" w:sz="4" w:space="0" w:color="auto"/>
            </w:tcBorders>
            <w:vAlign w:val="center"/>
          </w:tcPr>
          <w:p w14:paraId="163EFBA4" w14:textId="780E448F"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45.6</w:t>
            </w:r>
          </w:p>
        </w:tc>
        <w:tc>
          <w:tcPr>
            <w:tcW w:w="599" w:type="dxa"/>
            <w:tcBorders>
              <w:top w:val="single" w:sz="4" w:space="0" w:color="auto"/>
              <w:left w:val="single" w:sz="4" w:space="0" w:color="auto"/>
              <w:bottom w:val="single" w:sz="4" w:space="0" w:color="auto"/>
              <w:right w:val="single" w:sz="4" w:space="0" w:color="auto"/>
            </w:tcBorders>
            <w:vAlign w:val="center"/>
          </w:tcPr>
          <w:p w14:paraId="09488A96" w14:textId="2450DBCE"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52.8</w:t>
            </w:r>
          </w:p>
        </w:tc>
        <w:tc>
          <w:tcPr>
            <w:tcW w:w="599" w:type="dxa"/>
            <w:tcBorders>
              <w:top w:val="single" w:sz="4" w:space="0" w:color="auto"/>
              <w:left w:val="single" w:sz="4" w:space="0" w:color="auto"/>
              <w:bottom w:val="single" w:sz="4" w:space="0" w:color="auto"/>
              <w:right w:val="single" w:sz="4" w:space="0" w:color="auto"/>
            </w:tcBorders>
            <w:vAlign w:val="center"/>
          </w:tcPr>
          <w:p w14:paraId="3EF96553" w14:textId="63C3A6F7"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66.3</w:t>
            </w:r>
          </w:p>
        </w:tc>
        <w:tc>
          <w:tcPr>
            <w:tcW w:w="599" w:type="dxa"/>
            <w:tcBorders>
              <w:top w:val="single" w:sz="4" w:space="0" w:color="auto"/>
              <w:left w:val="single" w:sz="4" w:space="0" w:color="auto"/>
              <w:bottom w:val="single" w:sz="4" w:space="0" w:color="auto"/>
              <w:right w:val="single" w:sz="4" w:space="0" w:color="auto"/>
            </w:tcBorders>
            <w:vAlign w:val="center"/>
          </w:tcPr>
          <w:p w14:paraId="00B0E9E9" w14:textId="60426CAE"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74.5</w:t>
            </w:r>
          </w:p>
        </w:tc>
        <w:tc>
          <w:tcPr>
            <w:tcW w:w="600" w:type="dxa"/>
            <w:tcBorders>
              <w:top w:val="single" w:sz="4" w:space="0" w:color="auto"/>
              <w:left w:val="single" w:sz="4" w:space="0" w:color="auto"/>
              <w:bottom w:val="single" w:sz="4" w:space="0" w:color="auto"/>
              <w:right w:val="single" w:sz="4" w:space="0" w:color="auto"/>
            </w:tcBorders>
            <w:vAlign w:val="center"/>
          </w:tcPr>
          <w:p w14:paraId="1E0A516F" w14:textId="75C04F8A"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20.7</w:t>
            </w:r>
          </w:p>
        </w:tc>
        <w:tc>
          <w:tcPr>
            <w:tcW w:w="923" w:type="dxa"/>
            <w:tcBorders>
              <w:top w:val="single" w:sz="4" w:space="0" w:color="auto"/>
              <w:left w:val="single" w:sz="4" w:space="0" w:color="auto"/>
              <w:bottom w:val="single" w:sz="4" w:space="0" w:color="auto"/>
              <w:right w:val="single" w:sz="4" w:space="0" w:color="auto"/>
            </w:tcBorders>
          </w:tcPr>
          <w:p w14:paraId="0CE2D53D" w14:textId="4E95B0DE" w:rsidR="00D243C8" w:rsidRDefault="00D243C8" w:rsidP="00D243C8">
            <w:pPr>
              <w:keepNext/>
              <w:autoSpaceDE w:val="0"/>
              <w:autoSpaceDN w:val="0"/>
              <w:adjustRightInd w:val="0"/>
              <w:spacing w:after="0" w:line="240" w:lineRule="auto"/>
              <w:ind w:left="61"/>
              <w:contextualSpacing/>
              <w:jc w:val="right"/>
              <w:rPr>
                <w:rStyle w:val="Style1"/>
                <w:color w:val="C00000"/>
              </w:rPr>
            </w:pPr>
            <w:r w:rsidRPr="004A7C4B">
              <w:rPr>
                <w:rStyle w:val="Style1"/>
                <w:color w:val="C00000"/>
              </w:rPr>
              <w:t>&lt;0.05</w:t>
            </w:r>
          </w:p>
        </w:tc>
      </w:tr>
      <w:tr w:rsidR="00D243C8" w14:paraId="03364465" w14:textId="77777777" w:rsidTr="00AC06F1">
        <w:tc>
          <w:tcPr>
            <w:tcW w:w="1268" w:type="dxa"/>
            <w:vMerge/>
            <w:tcBorders>
              <w:top w:val="single" w:sz="4" w:space="0" w:color="auto"/>
              <w:left w:val="single" w:sz="4" w:space="0" w:color="auto"/>
              <w:bottom w:val="single" w:sz="4" w:space="0" w:color="auto"/>
              <w:right w:val="single" w:sz="4" w:space="0" w:color="auto"/>
            </w:tcBorders>
            <w:vAlign w:val="center"/>
            <w:hideMark/>
          </w:tcPr>
          <w:p w14:paraId="2F06D615" w14:textId="77777777" w:rsidR="00D243C8" w:rsidRDefault="00D243C8" w:rsidP="00D243C8">
            <w:pPr>
              <w:keepNext/>
              <w:spacing w:after="0" w:line="240" w:lineRule="auto"/>
              <w:contextualSpacing/>
              <w:rPr>
                <w:rStyle w:val="Style1"/>
                <w:color w:val="C00000"/>
              </w:rPr>
            </w:pPr>
          </w:p>
        </w:tc>
        <w:tc>
          <w:tcPr>
            <w:tcW w:w="1701" w:type="dxa"/>
            <w:tcBorders>
              <w:top w:val="single" w:sz="4" w:space="0" w:color="auto"/>
              <w:left w:val="single" w:sz="4" w:space="0" w:color="auto"/>
              <w:bottom w:val="single" w:sz="4" w:space="0" w:color="auto"/>
              <w:right w:val="single" w:sz="4" w:space="0" w:color="auto"/>
            </w:tcBorders>
            <w:hideMark/>
          </w:tcPr>
          <w:p w14:paraId="344FC1D1" w14:textId="0D1F41B6" w:rsidR="00D243C8" w:rsidRDefault="00D243C8" w:rsidP="00D243C8">
            <w:pPr>
              <w:keepNext/>
              <w:autoSpaceDE w:val="0"/>
              <w:autoSpaceDN w:val="0"/>
              <w:adjustRightInd w:val="0"/>
              <w:spacing w:after="0" w:line="240" w:lineRule="auto"/>
              <w:ind w:left="61"/>
              <w:contextualSpacing/>
              <w:rPr>
                <w:rStyle w:val="Style1"/>
                <w:color w:val="C00000"/>
              </w:rPr>
            </w:pPr>
            <w:r>
              <w:rPr>
                <w:rStyle w:val="Style1"/>
                <w:color w:val="C00000"/>
              </w:rPr>
              <w:t>7-</w:t>
            </w:r>
            <w:r w:rsidRPr="0015522D">
              <w:rPr>
                <w:rStyle w:val="Style1"/>
                <w:color w:val="C00000"/>
              </w:rPr>
              <w:t>day follow-up</w:t>
            </w:r>
          </w:p>
        </w:tc>
        <w:tc>
          <w:tcPr>
            <w:tcW w:w="599" w:type="dxa"/>
            <w:tcBorders>
              <w:top w:val="single" w:sz="4" w:space="0" w:color="auto"/>
              <w:left w:val="single" w:sz="4" w:space="0" w:color="auto"/>
              <w:bottom w:val="single" w:sz="4" w:space="0" w:color="auto"/>
              <w:right w:val="single" w:sz="4" w:space="0" w:color="auto"/>
            </w:tcBorders>
            <w:vAlign w:val="center"/>
          </w:tcPr>
          <w:p w14:paraId="72CB2EC3" w14:textId="04254645" w:rsidR="00D243C8" w:rsidRDefault="00D243C8" w:rsidP="00D243C8">
            <w:pPr>
              <w:keepNext/>
              <w:autoSpaceDE w:val="0"/>
              <w:autoSpaceDN w:val="0"/>
              <w:adjustRightInd w:val="0"/>
              <w:spacing w:after="0" w:line="240" w:lineRule="auto"/>
              <w:contextualSpacing/>
              <w:jc w:val="right"/>
              <w:rPr>
                <w:rStyle w:val="Style1"/>
                <w:color w:val="C00000"/>
              </w:rPr>
            </w:pPr>
            <w:r w:rsidRPr="005E1790">
              <w:rPr>
                <w:rStyle w:val="Style1"/>
                <w:color w:val="C00000"/>
              </w:rPr>
              <w:t xml:space="preserve">1,114 </w:t>
            </w:r>
          </w:p>
        </w:tc>
        <w:tc>
          <w:tcPr>
            <w:tcW w:w="599" w:type="dxa"/>
            <w:tcBorders>
              <w:top w:val="single" w:sz="4" w:space="0" w:color="auto"/>
              <w:left w:val="single" w:sz="4" w:space="0" w:color="auto"/>
              <w:bottom w:val="single" w:sz="4" w:space="0" w:color="auto"/>
              <w:right w:val="single" w:sz="4" w:space="0" w:color="auto"/>
            </w:tcBorders>
            <w:vAlign w:val="center"/>
          </w:tcPr>
          <w:p w14:paraId="77CDE5BF" w14:textId="3956384D"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40.1</w:t>
            </w:r>
          </w:p>
        </w:tc>
        <w:tc>
          <w:tcPr>
            <w:tcW w:w="599" w:type="dxa"/>
            <w:tcBorders>
              <w:top w:val="single" w:sz="4" w:space="0" w:color="auto"/>
              <w:left w:val="single" w:sz="4" w:space="0" w:color="auto"/>
              <w:bottom w:val="single" w:sz="4" w:space="0" w:color="auto"/>
              <w:right w:val="single" w:sz="4" w:space="0" w:color="auto"/>
            </w:tcBorders>
            <w:vAlign w:val="center"/>
          </w:tcPr>
          <w:p w14:paraId="30F3DAC8" w14:textId="1CFF8F4D"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15.4</w:t>
            </w:r>
          </w:p>
        </w:tc>
        <w:tc>
          <w:tcPr>
            <w:tcW w:w="599" w:type="dxa"/>
            <w:tcBorders>
              <w:top w:val="single" w:sz="4" w:space="0" w:color="auto"/>
              <w:left w:val="single" w:sz="4" w:space="0" w:color="auto"/>
              <w:bottom w:val="single" w:sz="4" w:space="0" w:color="auto"/>
              <w:right w:val="single" w:sz="4" w:space="0" w:color="auto"/>
            </w:tcBorders>
            <w:vAlign w:val="center"/>
          </w:tcPr>
          <w:p w14:paraId="161CF104" w14:textId="10C8D4C1"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21.9</w:t>
            </w:r>
          </w:p>
        </w:tc>
        <w:tc>
          <w:tcPr>
            <w:tcW w:w="600" w:type="dxa"/>
            <w:tcBorders>
              <w:top w:val="single" w:sz="4" w:space="0" w:color="auto"/>
              <w:left w:val="single" w:sz="4" w:space="0" w:color="auto"/>
              <w:bottom w:val="single" w:sz="4" w:space="0" w:color="auto"/>
              <w:right w:val="single" w:sz="4" w:space="0" w:color="auto"/>
            </w:tcBorders>
            <w:vAlign w:val="center"/>
          </w:tcPr>
          <w:p w14:paraId="6F56EF6E" w14:textId="566928D2"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28.9</w:t>
            </w:r>
          </w:p>
        </w:tc>
        <w:tc>
          <w:tcPr>
            <w:tcW w:w="599" w:type="dxa"/>
            <w:tcBorders>
              <w:top w:val="single" w:sz="4" w:space="0" w:color="auto"/>
              <w:left w:val="single" w:sz="4" w:space="0" w:color="auto"/>
              <w:bottom w:val="single" w:sz="4" w:space="0" w:color="auto"/>
              <w:right w:val="single" w:sz="4" w:space="0" w:color="auto"/>
            </w:tcBorders>
            <w:vAlign w:val="center"/>
          </w:tcPr>
          <w:p w14:paraId="752C4C03" w14:textId="0BD50AF6"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37.3</w:t>
            </w:r>
          </w:p>
        </w:tc>
        <w:tc>
          <w:tcPr>
            <w:tcW w:w="599" w:type="dxa"/>
            <w:tcBorders>
              <w:top w:val="single" w:sz="4" w:space="0" w:color="auto"/>
              <w:left w:val="single" w:sz="4" w:space="0" w:color="auto"/>
              <w:bottom w:val="single" w:sz="4" w:space="0" w:color="auto"/>
              <w:right w:val="single" w:sz="4" w:space="0" w:color="auto"/>
            </w:tcBorders>
            <w:vAlign w:val="center"/>
          </w:tcPr>
          <w:p w14:paraId="3F6D1570" w14:textId="068F0B4E"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53.0</w:t>
            </w:r>
          </w:p>
        </w:tc>
        <w:tc>
          <w:tcPr>
            <w:tcW w:w="599" w:type="dxa"/>
            <w:tcBorders>
              <w:top w:val="single" w:sz="4" w:space="0" w:color="auto"/>
              <w:left w:val="single" w:sz="4" w:space="0" w:color="auto"/>
              <w:bottom w:val="single" w:sz="4" w:space="0" w:color="auto"/>
              <w:right w:val="single" w:sz="4" w:space="0" w:color="auto"/>
            </w:tcBorders>
            <w:vAlign w:val="center"/>
          </w:tcPr>
          <w:p w14:paraId="56DC3763" w14:textId="731DF40E"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61.3</w:t>
            </w:r>
          </w:p>
        </w:tc>
        <w:tc>
          <w:tcPr>
            <w:tcW w:w="600" w:type="dxa"/>
            <w:tcBorders>
              <w:top w:val="single" w:sz="4" w:space="0" w:color="auto"/>
              <w:left w:val="single" w:sz="4" w:space="0" w:color="auto"/>
              <w:bottom w:val="single" w:sz="4" w:space="0" w:color="auto"/>
              <w:right w:val="single" w:sz="4" w:space="0" w:color="auto"/>
            </w:tcBorders>
            <w:vAlign w:val="center"/>
          </w:tcPr>
          <w:p w14:paraId="5945B8AA" w14:textId="6DB868E7"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24.1</w:t>
            </w:r>
          </w:p>
        </w:tc>
        <w:tc>
          <w:tcPr>
            <w:tcW w:w="923" w:type="dxa"/>
            <w:tcBorders>
              <w:top w:val="single" w:sz="4" w:space="0" w:color="auto"/>
              <w:left w:val="single" w:sz="4" w:space="0" w:color="auto"/>
              <w:bottom w:val="single" w:sz="4" w:space="0" w:color="auto"/>
              <w:right w:val="single" w:sz="4" w:space="0" w:color="auto"/>
            </w:tcBorders>
          </w:tcPr>
          <w:p w14:paraId="62CA3A95" w14:textId="5AD4172F" w:rsidR="00D243C8" w:rsidRDefault="00D243C8" w:rsidP="00D243C8">
            <w:pPr>
              <w:keepNext/>
              <w:autoSpaceDE w:val="0"/>
              <w:autoSpaceDN w:val="0"/>
              <w:adjustRightInd w:val="0"/>
              <w:spacing w:after="0" w:line="240" w:lineRule="auto"/>
              <w:ind w:left="61"/>
              <w:contextualSpacing/>
              <w:jc w:val="right"/>
              <w:rPr>
                <w:rStyle w:val="Style1"/>
                <w:color w:val="C00000"/>
              </w:rPr>
            </w:pPr>
            <w:r w:rsidRPr="004A7C4B">
              <w:rPr>
                <w:rStyle w:val="Style1"/>
                <w:color w:val="C00000"/>
              </w:rPr>
              <w:t>&lt;0.05</w:t>
            </w:r>
          </w:p>
        </w:tc>
      </w:tr>
      <w:tr w:rsidR="00D243C8" w14:paraId="6195DD68" w14:textId="77777777" w:rsidTr="00AC06F1">
        <w:tc>
          <w:tcPr>
            <w:tcW w:w="1268" w:type="dxa"/>
            <w:tcBorders>
              <w:top w:val="nil"/>
              <w:left w:val="single" w:sz="4" w:space="0" w:color="auto"/>
              <w:bottom w:val="nil"/>
              <w:right w:val="single" w:sz="4" w:space="0" w:color="auto"/>
            </w:tcBorders>
            <w:vAlign w:val="center"/>
            <w:hideMark/>
          </w:tcPr>
          <w:p w14:paraId="29E72EC4" w14:textId="77777777" w:rsidR="00D243C8" w:rsidRDefault="00D243C8" w:rsidP="00D243C8">
            <w:pPr>
              <w:keepNext/>
              <w:autoSpaceDE w:val="0"/>
              <w:autoSpaceDN w:val="0"/>
              <w:adjustRightInd w:val="0"/>
              <w:spacing w:after="0" w:line="240" w:lineRule="auto"/>
              <w:ind w:left="75"/>
              <w:contextualSpacing/>
              <w:rPr>
                <w:rStyle w:val="Style1"/>
                <w:color w:val="C00000"/>
              </w:rPr>
            </w:pPr>
            <w:r>
              <w:rPr>
                <w:rStyle w:val="Style1"/>
                <w:color w:val="C00000"/>
              </w:rPr>
              <w:t>Medicare</w:t>
            </w:r>
          </w:p>
        </w:tc>
        <w:tc>
          <w:tcPr>
            <w:tcW w:w="1701" w:type="dxa"/>
            <w:tcBorders>
              <w:top w:val="single" w:sz="4" w:space="0" w:color="auto"/>
              <w:left w:val="single" w:sz="4" w:space="0" w:color="auto"/>
              <w:bottom w:val="single" w:sz="4" w:space="0" w:color="auto"/>
              <w:right w:val="single" w:sz="4" w:space="0" w:color="auto"/>
            </w:tcBorders>
            <w:hideMark/>
          </w:tcPr>
          <w:p w14:paraId="24F9EAB3" w14:textId="247EB185" w:rsidR="00D243C8" w:rsidRDefault="00D243C8" w:rsidP="00D243C8">
            <w:pPr>
              <w:keepNext/>
              <w:autoSpaceDE w:val="0"/>
              <w:autoSpaceDN w:val="0"/>
              <w:adjustRightInd w:val="0"/>
              <w:spacing w:after="0" w:line="240" w:lineRule="auto"/>
              <w:ind w:left="61"/>
              <w:contextualSpacing/>
              <w:rPr>
                <w:rStyle w:val="Style1"/>
                <w:color w:val="C00000"/>
              </w:rPr>
            </w:pPr>
            <w:r>
              <w:rPr>
                <w:rStyle w:val="Style1"/>
                <w:color w:val="C00000"/>
              </w:rPr>
              <w:t>30-</w:t>
            </w:r>
            <w:r w:rsidRPr="0015522D">
              <w:rPr>
                <w:rStyle w:val="Style1"/>
                <w:color w:val="C00000"/>
              </w:rPr>
              <w:t>day follow-up</w:t>
            </w:r>
          </w:p>
        </w:tc>
        <w:tc>
          <w:tcPr>
            <w:tcW w:w="599" w:type="dxa"/>
            <w:tcBorders>
              <w:top w:val="single" w:sz="4" w:space="0" w:color="auto"/>
              <w:left w:val="single" w:sz="4" w:space="0" w:color="auto"/>
              <w:bottom w:val="single" w:sz="4" w:space="0" w:color="auto"/>
              <w:right w:val="single" w:sz="4" w:space="0" w:color="auto"/>
            </w:tcBorders>
            <w:vAlign w:val="center"/>
          </w:tcPr>
          <w:p w14:paraId="22AD922C" w14:textId="53CB0B0D" w:rsidR="00D243C8" w:rsidRDefault="00D243C8" w:rsidP="00D243C8">
            <w:pPr>
              <w:keepNext/>
              <w:autoSpaceDE w:val="0"/>
              <w:autoSpaceDN w:val="0"/>
              <w:adjustRightInd w:val="0"/>
              <w:spacing w:after="0" w:line="240" w:lineRule="auto"/>
              <w:contextualSpacing/>
              <w:jc w:val="right"/>
              <w:rPr>
                <w:rStyle w:val="Style1"/>
                <w:color w:val="C00000"/>
              </w:rPr>
            </w:pPr>
            <w:r w:rsidRPr="005E1790">
              <w:rPr>
                <w:rStyle w:val="Style1"/>
                <w:color w:val="C00000"/>
              </w:rPr>
              <w:t xml:space="preserve">166 </w:t>
            </w:r>
          </w:p>
        </w:tc>
        <w:tc>
          <w:tcPr>
            <w:tcW w:w="599" w:type="dxa"/>
            <w:tcBorders>
              <w:top w:val="single" w:sz="4" w:space="0" w:color="auto"/>
              <w:left w:val="single" w:sz="4" w:space="0" w:color="auto"/>
              <w:bottom w:val="single" w:sz="4" w:space="0" w:color="auto"/>
              <w:right w:val="single" w:sz="4" w:space="0" w:color="auto"/>
            </w:tcBorders>
            <w:vAlign w:val="center"/>
          </w:tcPr>
          <w:p w14:paraId="77CD5DD9" w14:textId="3BBAB37F"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47.6</w:t>
            </w:r>
          </w:p>
        </w:tc>
        <w:tc>
          <w:tcPr>
            <w:tcW w:w="599" w:type="dxa"/>
            <w:tcBorders>
              <w:top w:val="single" w:sz="4" w:space="0" w:color="auto"/>
              <w:left w:val="single" w:sz="4" w:space="0" w:color="auto"/>
              <w:bottom w:val="single" w:sz="4" w:space="0" w:color="auto"/>
              <w:right w:val="single" w:sz="4" w:space="0" w:color="auto"/>
            </w:tcBorders>
            <w:vAlign w:val="center"/>
          </w:tcPr>
          <w:p w14:paraId="1C96530F" w14:textId="1329377F"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13.5</w:t>
            </w:r>
          </w:p>
        </w:tc>
        <w:tc>
          <w:tcPr>
            <w:tcW w:w="599" w:type="dxa"/>
            <w:tcBorders>
              <w:top w:val="single" w:sz="4" w:space="0" w:color="auto"/>
              <w:left w:val="single" w:sz="4" w:space="0" w:color="auto"/>
              <w:bottom w:val="single" w:sz="4" w:space="0" w:color="auto"/>
              <w:right w:val="single" w:sz="4" w:space="0" w:color="auto"/>
            </w:tcBorders>
            <w:vAlign w:val="center"/>
          </w:tcPr>
          <w:p w14:paraId="4DFD186D" w14:textId="0396A1DF"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31.3</w:t>
            </w:r>
          </w:p>
        </w:tc>
        <w:tc>
          <w:tcPr>
            <w:tcW w:w="600" w:type="dxa"/>
            <w:tcBorders>
              <w:top w:val="single" w:sz="4" w:space="0" w:color="auto"/>
              <w:left w:val="single" w:sz="4" w:space="0" w:color="auto"/>
              <w:bottom w:val="single" w:sz="4" w:space="0" w:color="auto"/>
              <w:right w:val="single" w:sz="4" w:space="0" w:color="auto"/>
            </w:tcBorders>
            <w:vAlign w:val="center"/>
          </w:tcPr>
          <w:p w14:paraId="019EED5C" w14:textId="1B4FD855"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37.8</w:t>
            </w:r>
          </w:p>
        </w:tc>
        <w:tc>
          <w:tcPr>
            <w:tcW w:w="599" w:type="dxa"/>
            <w:tcBorders>
              <w:top w:val="single" w:sz="4" w:space="0" w:color="auto"/>
              <w:left w:val="single" w:sz="4" w:space="0" w:color="auto"/>
              <w:bottom w:val="single" w:sz="4" w:space="0" w:color="auto"/>
              <w:right w:val="single" w:sz="4" w:space="0" w:color="auto"/>
            </w:tcBorders>
            <w:vAlign w:val="center"/>
          </w:tcPr>
          <w:p w14:paraId="49049B24" w14:textId="622F4361"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47.0</w:t>
            </w:r>
          </w:p>
        </w:tc>
        <w:tc>
          <w:tcPr>
            <w:tcW w:w="599" w:type="dxa"/>
            <w:tcBorders>
              <w:top w:val="single" w:sz="4" w:space="0" w:color="auto"/>
              <w:left w:val="single" w:sz="4" w:space="0" w:color="auto"/>
              <w:bottom w:val="single" w:sz="4" w:space="0" w:color="auto"/>
              <w:right w:val="single" w:sz="4" w:space="0" w:color="auto"/>
            </w:tcBorders>
            <w:vAlign w:val="center"/>
          </w:tcPr>
          <w:p w14:paraId="50C0A12D" w14:textId="08A431AD"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56.6</w:t>
            </w:r>
          </w:p>
        </w:tc>
        <w:tc>
          <w:tcPr>
            <w:tcW w:w="599" w:type="dxa"/>
            <w:tcBorders>
              <w:top w:val="single" w:sz="4" w:space="0" w:color="auto"/>
              <w:left w:val="single" w:sz="4" w:space="0" w:color="auto"/>
              <w:bottom w:val="single" w:sz="4" w:space="0" w:color="auto"/>
              <w:right w:val="single" w:sz="4" w:space="0" w:color="auto"/>
            </w:tcBorders>
            <w:vAlign w:val="center"/>
          </w:tcPr>
          <w:p w14:paraId="08F40C46" w14:textId="34B9C242"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65.0</w:t>
            </w:r>
          </w:p>
        </w:tc>
        <w:tc>
          <w:tcPr>
            <w:tcW w:w="600" w:type="dxa"/>
            <w:tcBorders>
              <w:top w:val="single" w:sz="4" w:space="0" w:color="auto"/>
              <w:left w:val="single" w:sz="4" w:space="0" w:color="auto"/>
              <w:bottom w:val="single" w:sz="4" w:space="0" w:color="auto"/>
              <w:right w:val="single" w:sz="4" w:space="0" w:color="auto"/>
            </w:tcBorders>
            <w:vAlign w:val="center"/>
          </w:tcPr>
          <w:p w14:paraId="15879381" w14:textId="6A673E6D"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18.8</w:t>
            </w:r>
          </w:p>
        </w:tc>
        <w:tc>
          <w:tcPr>
            <w:tcW w:w="923" w:type="dxa"/>
            <w:tcBorders>
              <w:top w:val="single" w:sz="4" w:space="0" w:color="auto"/>
              <w:left w:val="single" w:sz="4" w:space="0" w:color="auto"/>
              <w:bottom w:val="single" w:sz="4" w:space="0" w:color="auto"/>
              <w:right w:val="single" w:sz="4" w:space="0" w:color="auto"/>
            </w:tcBorders>
          </w:tcPr>
          <w:p w14:paraId="0D326693" w14:textId="745DFEB1" w:rsidR="00D243C8" w:rsidRDefault="00D243C8" w:rsidP="00D243C8">
            <w:pPr>
              <w:keepNext/>
              <w:autoSpaceDE w:val="0"/>
              <w:autoSpaceDN w:val="0"/>
              <w:adjustRightInd w:val="0"/>
              <w:spacing w:after="0" w:line="240" w:lineRule="auto"/>
              <w:ind w:left="61"/>
              <w:contextualSpacing/>
              <w:jc w:val="right"/>
              <w:rPr>
                <w:rStyle w:val="Style1"/>
                <w:color w:val="C00000"/>
              </w:rPr>
            </w:pPr>
            <w:r w:rsidRPr="004A7C4B">
              <w:rPr>
                <w:rStyle w:val="Style1"/>
                <w:color w:val="C00000"/>
              </w:rPr>
              <w:t>&lt;0.05</w:t>
            </w:r>
          </w:p>
        </w:tc>
      </w:tr>
      <w:tr w:rsidR="00D243C8" w14:paraId="321E8771" w14:textId="77777777" w:rsidTr="00AC06F1">
        <w:tc>
          <w:tcPr>
            <w:tcW w:w="1268" w:type="dxa"/>
            <w:tcBorders>
              <w:top w:val="nil"/>
              <w:left w:val="single" w:sz="4" w:space="0" w:color="auto"/>
              <w:bottom w:val="single" w:sz="4" w:space="0" w:color="auto"/>
              <w:right w:val="single" w:sz="4" w:space="0" w:color="auto"/>
            </w:tcBorders>
            <w:vAlign w:val="center"/>
          </w:tcPr>
          <w:p w14:paraId="4D5BCDF9" w14:textId="77777777" w:rsidR="00D243C8" w:rsidRDefault="00D243C8" w:rsidP="00D243C8">
            <w:pPr>
              <w:keepNext/>
              <w:autoSpaceDE w:val="0"/>
              <w:autoSpaceDN w:val="0"/>
              <w:adjustRightInd w:val="0"/>
              <w:spacing w:after="0" w:line="240" w:lineRule="auto"/>
              <w:ind w:left="75"/>
              <w:contextualSpacing/>
              <w:rPr>
                <w:rStyle w:val="Style1"/>
                <w:color w:val="C00000"/>
              </w:rPr>
            </w:pPr>
          </w:p>
        </w:tc>
        <w:tc>
          <w:tcPr>
            <w:tcW w:w="1701" w:type="dxa"/>
            <w:tcBorders>
              <w:top w:val="single" w:sz="4" w:space="0" w:color="auto"/>
              <w:left w:val="single" w:sz="4" w:space="0" w:color="auto"/>
              <w:bottom w:val="single" w:sz="4" w:space="0" w:color="auto"/>
              <w:right w:val="single" w:sz="4" w:space="0" w:color="auto"/>
            </w:tcBorders>
            <w:hideMark/>
          </w:tcPr>
          <w:p w14:paraId="55F9B893" w14:textId="281289CD" w:rsidR="00D243C8" w:rsidRDefault="00D243C8" w:rsidP="00D243C8">
            <w:pPr>
              <w:keepNext/>
              <w:autoSpaceDE w:val="0"/>
              <w:autoSpaceDN w:val="0"/>
              <w:adjustRightInd w:val="0"/>
              <w:spacing w:after="0" w:line="240" w:lineRule="auto"/>
              <w:ind w:left="61"/>
              <w:contextualSpacing/>
              <w:rPr>
                <w:rStyle w:val="Style1"/>
                <w:color w:val="C00000"/>
              </w:rPr>
            </w:pPr>
            <w:r>
              <w:rPr>
                <w:rStyle w:val="Style1"/>
                <w:color w:val="C00000"/>
              </w:rPr>
              <w:t>7-</w:t>
            </w:r>
            <w:r w:rsidRPr="0015522D">
              <w:rPr>
                <w:rStyle w:val="Style1"/>
                <w:color w:val="C00000"/>
              </w:rPr>
              <w:t>day follow-up</w:t>
            </w:r>
          </w:p>
        </w:tc>
        <w:tc>
          <w:tcPr>
            <w:tcW w:w="599" w:type="dxa"/>
            <w:tcBorders>
              <w:top w:val="single" w:sz="4" w:space="0" w:color="auto"/>
              <w:left w:val="single" w:sz="4" w:space="0" w:color="auto"/>
              <w:bottom w:val="single" w:sz="4" w:space="0" w:color="auto"/>
              <w:right w:val="single" w:sz="4" w:space="0" w:color="auto"/>
            </w:tcBorders>
            <w:vAlign w:val="center"/>
          </w:tcPr>
          <w:p w14:paraId="682AC78D" w14:textId="2F73CF02" w:rsidR="00D243C8" w:rsidRDefault="00D243C8" w:rsidP="00D243C8">
            <w:pPr>
              <w:keepNext/>
              <w:autoSpaceDE w:val="0"/>
              <w:autoSpaceDN w:val="0"/>
              <w:adjustRightInd w:val="0"/>
              <w:spacing w:after="0" w:line="240" w:lineRule="auto"/>
              <w:contextualSpacing/>
              <w:jc w:val="right"/>
              <w:rPr>
                <w:rStyle w:val="Style1"/>
                <w:color w:val="C00000"/>
              </w:rPr>
            </w:pPr>
            <w:r w:rsidRPr="005E1790">
              <w:rPr>
                <w:rStyle w:val="Style1"/>
                <w:color w:val="C00000"/>
              </w:rPr>
              <w:t xml:space="preserve">166 </w:t>
            </w:r>
          </w:p>
        </w:tc>
        <w:tc>
          <w:tcPr>
            <w:tcW w:w="599" w:type="dxa"/>
            <w:tcBorders>
              <w:top w:val="single" w:sz="4" w:space="0" w:color="auto"/>
              <w:left w:val="single" w:sz="4" w:space="0" w:color="auto"/>
              <w:bottom w:val="single" w:sz="4" w:space="0" w:color="auto"/>
              <w:right w:val="single" w:sz="4" w:space="0" w:color="auto"/>
            </w:tcBorders>
            <w:vAlign w:val="center"/>
          </w:tcPr>
          <w:p w14:paraId="4C36587E" w14:textId="0484DA98"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31.5</w:t>
            </w:r>
          </w:p>
        </w:tc>
        <w:tc>
          <w:tcPr>
            <w:tcW w:w="599" w:type="dxa"/>
            <w:tcBorders>
              <w:top w:val="single" w:sz="4" w:space="0" w:color="auto"/>
              <w:left w:val="single" w:sz="4" w:space="0" w:color="auto"/>
              <w:bottom w:val="single" w:sz="4" w:space="0" w:color="auto"/>
              <w:right w:val="single" w:sz="4" w:space="0" w:color="auto"/>
            </w:tcBorders>
            <w:vAlign w:val="center"/>
          </w:tcPr>
          <w:p w14:paraId="5BEDC5AB" w14:textId="2F42B14B"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13.6</w:t>
            </w:r>
          </w:p>
        </w:tc>
        <w:tc>
          <w:tcPr>
            <w:tcW w:w="599" w:type="dxa"/>
            <w:tcBorders>
              <w:top w:val="single" w:sz="4" w:space="0" w:color="auto"/>
              <w:left w:val="single" w:sz="4" w:space="0" w:color="auto"/>
              <w:bottom w:val="single" w:sz="4" w:space="0" w:color="auto"/>
              <w:right w:val="single" w:sz="4" w:space="0" w:color="auto"/>
            </w:tcBorders>
            <w:vAlign w:val="center"/>
          </w:tcPr>
          <w:p w14:paraId="4BC5208A" w14:textId="44CC8C80"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16.3</w:t>
            </w:r>
          </w:p>
        </w:tc>
        <w:tc>
          <w:tcPr>
            <w:tcW w:w="600" w:type="dxa"/>
            <w:tcBorders>
              <w:top w:val="single" w:sz="4" w:space="0" w:color="auto"/>
              <w:left w:val="single" w:sz="4" w:space="0" w:color="auto"/>
              <w:bottom w:val="single" w:sz="4" w:space="0" w:color="auto"/>
              <w:right w:val="single" w:sz="4" w:space="0" w:color="auto"/>
            </w:tcBorders>
            <w:vAlign w:val="center"/>
          </w:tcPr>
          <w:p w14:paraId="647E2BCB" w14:textId="612AF8C3"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21.7</w:t>
            </w:r>
          </w:p>
        </w:tc>
        <w:tc>
          <w:tcPr>
            <w:tcW w:w="599" w:type="dxa"/>
            <w:tcBorders>
              <w:top w:val="single" w:sz="4" w:space="0" w:color="auto"/>
              <w:left w:val="single" w:sz="4" w:space="0" w:color="auto"/>
              <w:bottom w:val="single" w:sz="4" w:space="0" w:color="auto"/>
              <w:right w:val="single" w:sz="4" w:space="0" w:color="auto"/>
            </w:tcBorders>
            <w:vAlign w:val="center"/>
          </w:tcPr>
          <w:p w14:paraId="5762E688" w14:textId="7DC01D81"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29.0</w:t>
            </w:r>
          </w:p>
        </w:tc>
        <w:tc>
          <w:tcPr>
            <w:tcW w:w="599" w:type="dxa"/>
            <w:tcBorders>
              <w:top w:val="single" w:sz="4" w:space="0" w:color="auto"/>
              <w:left w:val="single" w:sz="4" w:space="0" w:color="auto"/>
              <w:bottom w:val="single" w:sz="4" w:space="0" w:color="auto"/>
              <w:right w:val="single" w:sz="4" w:space="0" w:color="auto"/>
            </w:tcBorders>
            <w:vAlign w:val="center"/>
          </w:tcPr>
          <w:p w14:paraId="0832DCCE" w14:textId="46182262"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39.1</w:t>
            </w:r>
          </w:p>
        </w:tc>
        <w:tc>
          <w:tcPr>
            <w:tcW w:w="599" w:type="dxa"/>
            <w:tcBorders>
              <w:top w:val="single" w:sz="4" w:space="0" w:color="auto"/>
              <w:left w:val="single" w:sz="4" w:space="0" w:color="auto"/>
              <w:bottom w:val="single" w:sz="4" w:space="0" w:color="auto"/>
              <w:right w:val="single" w:sz="4" w:space="0" w:color="auto"/>
            </w:tcBorders>
            <w:vAlign w:val="center"/>
          </w:tcPr>
          <w:p w14:paraId="224D85CF" w14:textId="18095BB3"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49.6</w:t>
            </w:r>
          </w:p>
        </w:tc>
        <w:tc>
          <w:tcPr>
            <w:tcW w:w="600" w:type="dxa"/>
            <w:tcBorders>
              <w:top w:val="single" w:sz="4" w:space="0" w:color="auto"/>
              <w:left w:val="single" w:sz="4" w:space="0" w:color="auto"/>
              <w:bottom w:val="single" w:sz="4" w:space="0" w:color="auto"/>
              <w:right w:val="single" w:sz="4" w:space="0" w:color="auto"/>
            </w:tcBorders>
            <w:vAlign w:val="center"/>
          </w:tcPr>
          <w:p w14:paraId="131307CE" w14:textId="15D2D6A2" w:rsidR="00D243C8" w:rsidRDefault="00D243C8" w:rsidP="00D243C8">
            <w:pPr>
              <w:keepNext/>
              <w:autoSpaceDE w:val="0"/>
              <w:autoSpaceDN w:val="0"/>
              <w:adjustRightInd w:val="0"/>
              <w:spacing w:after="0" w:line="240" w:lineRule="auto"/>
              <w:contextualSpacing/>
              <w:jc w:val="right"/>
              <w:rPr>
                <w:rStyle w:val="Style1"/>
                <w:color w:val="C00000"/>
              </w:rPr>
            </w:pPr>
            <w:r w:rsidRPr="0015522D">
              <w:rPr>
                <w:rStyle w:val="Style1"/>
                <w:color w:val="C00000"/>
              </w:rPr>
              <w:t>17.4</w:t>
            </w:r>
          </w:p>
        </w:tc>
        <w:tc>
          <w:tcPr>
            <w:tcW w:w="923" w:type="dxa"/>
            <w:tcBorders>
              <w:top w:val="single" w:sz="4" w:space="0" w:color="auto"/>
              <w:left w:val="single" w:sz="4" w:space="0" w:color="auto"/>
              <w:bottom w:val="single" w:sz="4" w:space="0" w:color="auto"/>
              <w:right w:val="single" w:sz="4" w:space="0" w:color="auto"/>
            </w:tcBorders>
          </w:tcPr>
          <w:p w14:paraId="5C1F26C0" w14:textId="1BC63633" w:rsidR="00D243C8" w:rsidRDefault="00D243C8" w:rsidP="00D243C8">
            <w:pPr>
              <w:keepNext/>
              <w:autoSpaceDE w:val="0"/>
              <w:autoSpaceDN w:val="0"/>
              <w:adjustRightInd w:val="0"/>
              <w:spacing w:after="0" w:line="240" w:lineRule="auto"/>
              <w:ind w:left="61"/>
              <w:contextualSpacing/>
              <w:jc w:val="right"/>
              <w:rPr>
                <w:rStyle w:val="Style1"/>
                <w:color w:val="C00000"/>
              </w:rPr>
            </w:pPr>
            <w:r w:rsidRPr="004A7C4B">
              <w:rPr>
                <w:rStyle w:val="Style1"/>
                <w:color w:val="C00000"/>
              </w:rPr>
              <w:t>&lt;0.05</w:t>
            </w:r>
          </w:p>
        </w:tc>
      </w:tr>
    </w:tbl>
    <w:p w14:paraId="412087AC" w14:textId="77777777" w:rsidR="00703429" w:rsidRDefault="00703429" w:rsidP="00E03BE6">
      <w:pPr>
        <w:keepNext/>
        <w:autoSpaceDE w:val="0"/>
        <w:autoSpaceDN w:val="0"/>
        <w:adjustRightInd w:val="0"/>
        <w:spacing w:after="0" w:line="240" w:lineRule="auto"/>
        <w:contextualSpacing/>
        <w:rPr>
          <w:rStyle w:val="Style1"/>
          <w:color w:val="C00000"/>
          <w:sz w:val="20"/>
        </w:rPr>
      </w:pPr>
      <w:r>
        <w:rPr>
          <w:rStyle w:val="Style1"/>
          <w:color w:val="C00000"/>
          <w:sz w:val="20"/>
        </w:rPr>
        <w:t>EP: Eligible Population, the average denominator size across plans submitting to HEDIS </w:t>
      </w:r>
    </w:p>
    <w:p w14:paraId="1801B54B" w14:textId="77777777" w:rsidR="00703429" w:rsidRDefault="00703429" w:rsidP="00E03BE6">
      <w:pPr>
        <w:keepNext/>
        <w:autoSpaceDE w:val="0"/>
        <w:autoSpaceDN w:val="0"/>
        <w:adjustRightInd w:val="0"/>
        <w:spacing w:after="0" w:line="240" w:lineRule="auto"/>
        <w:contextualSpacing/>
        <w:rPr>
          <w:rStyle w:val="Style1"/>
          <w:color w:val="C00000"/>
          <w:sz w:val="20"/>
        </w:rPr>
      </w:pPr>
      <w:r>
        <w:rPr>
          <w:rStyle w:val="Style1"/>
          <w:color w:val="C00000"/>
          <w:sz w:val="20"/>
        </w:rPr>
        <w:t>IQR: Interquartile range </w:t>
      </w:r>
    </w:p>
    <w:p w14:paraId="1494C6A1" w14:textId="77777777" w:rsidR="00703429" w:rsidRDefault="00703429" w:rsidP="00D23AD7">
      <w:pPr>
        <w:autoSpaceDE w:val="0"/>
        <w:autoSpaceDN w:val="0"/>
        <w:adjustRightInd w:val="0"/>
        <w:spacing w:after="0" w:line="240" w:lineRule="auto"/>
        <w:contextualSpacing/>
        <w:rPr>
          <w:rStyle w:val="Style1"/>
          <w:color w:val="C00000"/>
          <w:sz w:val="20"/>
        </w:rPr>
      </w:pPr>
      <w:r>
        <w:rPr>
          <w:rStyle w:val="Style1"/>
          <w:color w:val="C00000"/>
          <w:sz w:val="20"/>
        </w:rPr>
        <w:t>p-value: P-value of independent samples t-test comparing plans at the 25th percentile to plans at the 75th percentile.</w:t>
      </w:r>
    </w:p>
    <w:p w14:paraId="2A94D3CC" w14:textId="77777777" w:rsidR="00703429" w:rsidRDefault="00703429" w:rsidP="00D23AD7">
      <w:pPr>
        <w:autoSpaceDE w:val="0"/>
        <w:autoSpaceDN w:val="0"/>
        <w:adjustRightInd w:val="0"/>
        <w:spacing w:after="0" w:line="240" w:lineRule="auto"/>
        <w:contextualSpacing/>
        <w:rPr>
          <w:rFonts w:cstheme="minorHAnsi"/>
          <w:bCs/>
        </w:rPr>
      </w:pPr>
    </w:p>
    <w:p w14:paraId="2A8E13A0" w14:textId="77777777" w:rsidR="00703429" w:rsidRDefault="00703429" w:rsidP="00D23AD7">
      <w:pPr>
        <w:autoSpaceDE w:val="0"/>
        <w:autoSpaceDN w:val="0"/>
        <w:adjustRightInd w:val="0"/>
        <w:spacing w:after="0" w:line="240" w:lineRule="auto"/>
        <w:contextualSpacing/>
        <w:rPr>
          <w:rFonts w:cstheme="minorHAnsi"/>
          <w:bCs/>
        </w:rPr>
      </w:pPr>
      <w:r>
        <w:rPr>
          <w:rStyle w:val="Style1"/>
          <w:b/>
          <w:bCs/>
          <w:color w:val="4F81BD" w:themeColor="accent1"/>
          <w:u w:val="single"/>
        </w:rPr>
        <w:t>2014 Submission</w:t>
      </w:r>
    </w:p>
    <w:p w14:paraId="2793A4C9"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Table 8: Variation in performance across states</w:t>
      </w:r>
    </w:p>
    <w:tbl>
      <w:tblPr>
        <w:tblStyle w:val="TableGrid"/>
        <w:tblW w:w="0" w:type="auto"/>
        <w:tblLook w:val="04A0" w:firstRow="1" w:lastRow="0" w:firstColumn="1" w:lastColumn="0" w:noHBand="0" w:noVBand="1"/>
      </w:tblPr>
      <w:tblGrid>
        <w:gridCol w:w="1552"/>
        <w:gridCol w:w="1126"/>
        <w:gridCol w:w="1115"/>
        <w:gridCol w:w="1137"/>
        <w:gridCol w:w="1115"/>
        <w:gridCol w:w="1030"/>
        <w:gridCol w:w="1114"/>
        <w:gridCol w:w="1161"/>
      </w:tblGrid>
      <w:tr w:rsidR="00703429" w14:paraId="02FBDAA4" w14:textId="77777777" w:rsidTr="00703429">
        <w:tc>
          <w:tcPr>
            <w:tcW w:w="1585" w:type="dxa"/>
            <w:tcBorders>
              <w:top w:val="single" w:sz="4" w:space="0" w:color="auto"/>
              <w:left w:val="single" w:sz="4" w:space="0" w:color="auto"/>
              <w:bottom w:val="single" w:sz="4" w:space="0" w:color="auto"/>
              <w:right w:val="single" w:sz="4" w:space="0" w:color="auto"/>
            </w:tcBorders>
            <w:hideMark/>
          </w:tcPr>
          <w:p w14:paraId="66258DAE"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Measure</w:t>
            </w:r>
          </w:p>
        </w:tc>
        <w:tc>
          <w:tcPr>
            <w:tcW w:w="1157" w:type="dxa"/>
            <w:tcBorders>
              <w:top w:val="single" w:sz="4" w:space="0" w:color="auto"/>
              <w:left w:val="single" w:sz="4" w:space="0" w:color="auto"/>
              <w:bottom w:val="single" w:sz="4" w:space="0" w:color="auto"/>
              <w:right w:val="single" w:sz="4" w:space="0" w:color="auto"/>
            </w:tcBorders>
            <w:hideMark/>
          </w:tcPr>
          <w:p w14:paraId="49B9442C"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10th</w:t>
            </w:r>
          </w:p>
        </w:tc>
        <w:tc>
          <w:tcPr>
            <w:tcW w:w="1146" w:type="dxa"/>
            <w:tcBorders>
              <w:top w:val="single" w:sz="4" w:space="0" w:color="auto"/>
              <w:left w:val="single" w:sz="4" w:space="0" w:color="auto"/>
              <w:bottom w:val="single" w:sz="4" w:space="0" w:color="auto"/>
              <w:right w:val="single" w:sz="4" w:space="0" w:color="auto"/>
            </w:tcBorders>
            <w:hideMark/>
          </w:tcPr>
          <w:p w14:paraId="63791E67"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25th</w:t>
            </w:r>
          </w:p>
        </w:tc>
        <w:tc>
          <w:tcPr>
            <w:tcW w:w="1152" w:type="dxa"/>
            <w:tcBorders>
              <w:top w:val="single" w:sz="4" w:space="0" w:color="auto"/>
              <w:left w:val="single" w:sz="4" w:space="0" w:color="auto"/>
              <w:bottom w:val="single" w:sz="4" w:space="0" w:color="auto"/>
              <w:right w:val="single" w:sz="4" w:space="0" w:color="auto"/>
            </w:tcBorders>
            <w:hideMark/>
          </w:tcPr>
          <w:p w14:paraId="38904E21"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Median</w:t>
            </w:r>
          </w:p>
        </w:tc>
        <w:tc>
          <w:tcPr>
            <w:tcW w:w="1146" w:type="dxa"/>
            <w:tcBorders>
              <w:top w:val="single" w:sz="4" w:space="0" w:color="auto"/>
              <w:left w:val="single" w:sz="4" w:space="0" w:color="auto"/>
              <w:bottom w:val="single" w:sz="4" w:space="0" w:color="auto"/>
              <w:right w:val="single" w:sz="4" w:space="0" w:color="auto"/>
            </w:tcBorders>
            <w:hideMark/>
          </w:tcPr>
          <w:p w14:paraId="1312135F"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75th</w:t>
            </w:r>
          </w:p>
        </w:tc>
        <w:tc>
          <w:tcPr>
            <w:tcW w:w="1055" w:type="dxa"/>
            <w:tcBorders>
              <w:top w:val="single" w:sz="4" w:space="0" w:color="auto"/>
              <w:left w:val="single" w:sz="4" w:space="0" w:color="auto"/>
              <w:bottom w:val="single" w:sz="4" w:space="0" w:color="auto"/>
              <w:right w:val="single" w:sz="4" w:space="0" w:color="auto"/>
            </w:tcBorders>
            <w:hideMark/>
          </w:tcPr>
          <w:p w14:paraId="377DCCA6"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90th</w:t>
            </w:r>
          </w:p>
        </w:tc>
        <w:tc>
          <w:tcPr>
            <w:tcW w:w="1146" w:type="dxa"/>
            <w:tcBorders>
              <w:top w:val="single" w:sz="4" w:space="0" w:color="auto"/>
              <w:left w:val="single" w:sz="4" w:space="0" w:color="auto"/>
              <w:bottom w:val="single" w:sz="4" w:space="0" w:color="auto"/>
              <w:right w:val="single" w:sz="4" w:space="0" w:color="auto"/>
            </w:tcBorders>
            <w:hideMark/>
          </w:tcPr>
          <w:p w14:paraId="7020CB6D"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IQR</w:t>
            </w:r>
          </w:p>
        </w:tc>
        <w:tc>
          <w:tcPr>
            <w:tcW w:w="1189" w:type="dxa"/>
            <w:tcBorders>
              <w:top w:val="single" w:sz="4" w:space="0" w:color="auto"/>
              <w:left w:val="single" w:sz="4" w:space="0" w:color="auto"/>
              <w:bottom w:val="single" w:sz="4" w:space="0" w:color="auto"/>
              <w:right w:val="single" w:sz="4" w:space="0" w:color="auto"/>
            </w:tcBorders>
            <w:hideMark/>
          </w:tcPr>
          <w:p w14:paraId="35290D9C"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p-value</w:t>
            </w:r>
          </w:p>
        </w:tc>
      </w:tr>
      <w:tr w:rsidR="00703429" w14:paraId="60D68821" w14:textId="77777777" w:rsidTr="00703429">
        <w:tc>
          <w:tcPr>
            <w:tcW w:w="1585" w:type="dxa"/>
            <w:tcBorders>
              <w:top w:val="single" w:sz="4" w:space="0" w:color="auto"/>
              <w:left w:val="single" w:sz="4" w:space="0" w:color="auto"/>
              <w:bottom w:val="single" w:sz="4" w:space="0" w:color="auto"/>
              <w:right w:val="single" w:sz="4" w:space="0" w:color="auto"/>
            </w:tcBorders>
            <w:hideMark/>
          </w:tcPr>
          <w:p w14:paraId="12FF6533"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Mental Health: 7-day follow-up</w:t>
            </w:r>
          </w:p>
        </w:tc>
        <w:tc>
          <w:tcPr>
            <w:tcW w:w="1157" w:type="dxa"/>
            <w:tcBorders>
              <w:top w:val="single" w:sz="4" w:space="0" w:color="auto"/>
              <w:left w:val="single" w:sz="4" w:space="0" w:color="auto"/>
              <w:bottom w:val="single" w:sz="4" w:space="0" w:color="auto"/>
              <w:right w:val="single" w:sz="4" w:space="0" w:color="auto"/>
            </w:tcBorders>
            <w:hideMark/>
          </w:tcPr>
          <w:p w14:paraId="6ADA2207"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46.0</w:t>
            </w:r>
          </w:p>
        </w:tc>
        <w:tc>
          <w:tcPr>
            <w:tcW w:w="1146" w:type="dxa"/>
            <w:tcBorders>
              <w:top w:val="single" w:sz="4" w:space="0" w:color="auto"/>
              <w:left w:val="single" w:sz="4" w:space="0" w:color="auto"/>
              <w:bottom w:val="single" w:sz="4" w:space="0" w:color="auto"/>
              <w:right w:val="single" w:sz="4" w:space="0" w:color="auto"/>
            </w:tcBorders>
            <w:hideMark/>
          </w:tcPr>
          <w:p w14:paraId="4D5868D8"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67.0</w:t>
            </w:r>
          </w:p>
        </w:tc>
        <w:tc>
          <w:tcPr>
            <w:tcW w:w="1152" w:type="dxa"/>
            <w:tcBorders>
              <w:top w:val="single" w:sz="4" w:space="0" w:color="auto"/>
              <w:left w:val="single" w:sz="4" w:space="0" w:color="auto"/>
              <w:bottom w:val="single" w:sz="4" w:space="0" w:color="auto"/>
              <w:right w:val="single" w:sz="4" w:space="0" w:color="auto"/>
            </w:tcBorders>
            <w:hideMark/>
          </w:tcPr>
          <w:p w14:paraId="53BAFB83"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74.8</w:t>
            </w:r>
          </w:p>
        </w:tc>
        <w:tc>
          <w:tcPr>
            <w:tcW w:w="1146" w:type="dxa"/>
            <w:tcBorders>
              <w:top w:val="single" w:sz="4" w:space="0" w:color="auto"/>
              <w:left w:val="single" w:sz="4" w:space="0" w:color="auto"/>
              <w:bottom w:val="single" w:sz="4" w:space="0" w:color="auto"/>
              <w:right w:val="single" w:sz="4" w:space="0" w:color="auto"/>
            </w:tcBorders>
            <w:hideMark/>
          </w:tcPr>
          <w:p w14:paraId="474FB0A6"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80.7</w:t>
            </w:r>
          </w:p>
        </w:tc>
        <w:tc>
          <w:tcPr>
            <w:tcW w:w="1055" w:type="dxa"/>
            <w:tcBorders>
              <w:top w:val="single" w:sz="4" w:space="0" w:color="auto"/>
              <w:left w:val="single" w:sz="4" w:space="0" w:color="auto"/>
              <w:bottom w:val="single" w:sz="4" w:space="0" w:color="auto"/>
              <w:right w:val="single" w:sz="4" w:space="0" w:color="auto"/>
            </w:tcBorders>
            <w:hideMark/>
          </w:tcPr>
          <w:p w14:paraId="5738A4E6"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89.4</w:t>
            </w:r>
          </w:p>
        </w:tc>
        <w:tc>
          <w:tcPr>
            <w:tcW w:w="1146" w:type="dxa"/>
            <w:tcBorders>
              <w:top w:val="single" w:sz="4" w:space="0" w:color="auto"/>
              <w:left w:val="single" w:sz="4" w:space="0" w:color="auto"/>
              <w:bottom w:val="single" w:sz="4" w:space="0" w:color="auto"/>
              <w:right w:val="single" w:sz="4" w:space="0" w:color="auto"/>
            </w:tcBorders>
            <w:hideMark/>
          </w:tcPr>
          <w:p w14:paraId="331AE82B"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13.7</w:t>
            </w:r>
          </w:p>
        </w:tc>
        <w:tc>
          <w:tcPr>
            <w:tcW w:w="1189" w:type="dxa"/>
            <w:tcBorders>
              <w:top w:val="single" w:sz="4" w:space="0" w:color="auto"/>
              <w:left w:val="single" w:sz="4" w:space="0" w:color="auto"/>
              <w:bottom w:val="single" w:sz="4" w:space="0" w:color="auto"/>
              <w:right w:val="single" w:sz="4" w:space="0" w:color="auto"/>
            </w:tcBorders>
            <w:hideMark/>
          </w:tcPr>
          <w:p w14:paraId="2A498094"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&lt;.001</w:t>
            </w:r>
          </w:p>
        </w:tc>
      </w:tr>
      <w:tr w:rsidR="00703429" w14:paraId="2FA1952B" w14:textId="77777777" w:rsidTr="00703429">
        <w:tc>
          <w:tcPr>
            <w:tcW w:w="1585" w:type="dxa"/>
            <w:tcBorders>
              <w:top w:val="single" w:sz="4" w:space="0" w:color="auto"/>
              <w:left w:val="single" w:sz="4" w:space="0" w:color="auto"/>
              <w:bottom w:val="single" w:sz="4" w:space="0" w:color="auto"/>
              <w:right w:val="single" w:sz="4" w:space="0" w:color="auto"/>
            </w:tcBorders>
            <w:hideMark/>
          </w:tcPr>
          <w:p w14:paraId="21313614"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Mental Health: 30-day follow-up</w:t>
            </w:r>
          </w:p>
        </w:tc>
        <w:tc>
          <w:tcPr>
            <w:tcW w:w="1157" w:type="dxa"/>
            <w:tcBorders>
              <w:top w:val="single" w:sz="4" w:space="0" w:color="auto"/>
              <w:left w:val="single" w:sz="4" w:space="0" w:color="auto"/>
              <w:bottom w:val="single" w:sz="4" w:space="0" w:color="auto"/>
              <w:right w:val="single" w:sz="4" w:space="0" w:color="auto"/>
            </w:tcBorders>
            <w:hideMark/>
          </w:tcPr>
          <w:p w14:paraId="77F459CE"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62.5</w:t>
            </w:r>
          </w:p>
        </w:tc>
        <w:tc>
          <w:tcPr>
            <w:tcW w:w="1146" w:type="dxa"/>
            <w:tcBorders>
              <w:top w:val="single" w:sz="4" w:space="0" w:color="auto"/>
              <w:left w:val="single" w:sz="4" w:space="0" w:color="auto"/>
              <w:bottom w:val="single" w:sz="4" w:space="0" w:color="auto"/>
              <w:right w:val="single" w:sz="4" w:space="0" w:color="auto"/>
            </w:tcBorders>
            <w:hideMark/>
          </w:tcPr>
          <w:p w14:paraId="74262B0B"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77.3</w:t>
            </w:r>
          </w:p>
        </w:tc>
        <w:tc>
          <w:tcPr>
            <w:tcW w:w="1152" w:type="dxa"/>
            <w:tcBorders>
              <w:top w:val="single" w:sz="4" w:space="0" w:color="auto"/>
              <w:left w:val="single" w:sz="4" w:space="0" w:color="auto"/>
              <w:bottom w:val="single" w:sz="4" w:space="0" w:color="auto"/>
              <w:right w:val="single" w:sz="4" w:space="0" w:color="auto"/>
            </w:tcBorders>
            <w:hideMark/>
          </w:tcPr>
          <w:p w14:paraId="774E44E5"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83.3</w:t>
            </w:r>
          </w:p>
        </w:tc>
        <w:tc>
          <w:tcPr>
            <w:tcW w:w="1146" w:type="dxa"/>
            <w:tcBorders>
              <w:top w:val="single" w:sz="4" w:space="0" w:color="auto"/>
              <w:left w:val="single" w:sz="4" w:space="0" w:color="auto"/>
              <w:bottom w:val="single" w:sz="4" w:space="0" w:color="auto"/>
              <w:right w:val="single" w:sz="4" w:space="0" w:color="auto"/>
            </w:tcBorders>
            <w:hideMark/>
          </w:tcPr>
          <w:p w14:paraId="10B607CB"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85.9</w:t>
            </w:r>
          </w:p>
        </w:tc>
        <w:tc>
          <w:tcPr>
            <w:tcW w:w="1055" w:type="dxa"/>
            <w:tcBorders>
              <w:top w:val="single" w:sz="4" w:space="0" w:color="auto"/>
              <w:left w:val="single" w:sz="4" w:space="0" w:color="auto"/>
              <w:bottom w:val="single" w:sz="4" w:space="0" w:color="auto"/>
              <w:right w:val="single" w:sz="4" w:space="0" w:color="auto"/>
            </w:tcBorders>
            <w:hideMark/>
          </w:tcPr>
          <w:p w14:paraId="3255C14D"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92.4</w:t>
            </w:r>
          </w:p>
        </w:tc>
        <w:tc>
          <w:tcPr>
            <w:tcW w:w="1146" w:type="dxa"/>
            <w:tcBorders>
              <w:top w:val="single" w:sz="4" w:space="0" w:color="auto"/>
              <w:left w:val="single" w:sz="4" w:space="0" w:color="auto"/>
              <w:bottom w:val="single" w:sz="4" w:space="0" w:color="auto"/>
              <w:right w:val="single" w:sz="4" w:space="0" w:color="auto"/>
            </w:tcBorders>
            <w:hideMark/>
          </w:tcPr>
          <w:p w14:paraId="1EE5768D"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8.6</w:t>
            </w:r>
          </w:p>
        </w:tc>
        <w:tc>
          <w:tcPr>
            <w:tcW w:w="1189" w:type="dxa"/>
            <w:tcBorders>
              <w:top w:val="single" w:sz="4" w:space="0" w:color="auto"/>
              <w:left w:val="single" w:sz="4" w:space="0" w:color="auto"/>
              <w:bottom w:val="single" w:sz="4" w:space="0" w:color="auto"/>
              <w:right w:val="single" w:sz="4" w:space="0" w:color="auto"/>
            </w:tcBorders>
            <w:hideMark/>
          </w:tcPr>
          <w:p w14:paraId="6401AEF3"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&lt;.001</w:t>
            </w:r>
          </w:p>
        </w:tc>
      </w:tr>
      <w:tr w:rsidR="00703429" w14:paraId="68882CE4" w14:textId="77777777" w:rsidTr="00703429">
        <w:tc>
          <w:tcPr>
            <w:tcW w:w="1585" w:type="dxa"/>
            <w:tcBorders>
              <w:top w:val="single" w:sz="4" w:space="0" w:color="auto"/>
              <w:left w:val="single" w:sz="4" w:space="0" w:color="auto"/>
              <w:bottom w:val="single" w:sz="4" w:space="0" w:color="auto"/>
              <w:right w:val="single" w:sz="4" w:space="0" w:color="auto"/>
            </w:tcBorders>
            <w:hideMark/>
          </w:tcPr>
          <w:p w14:paraId="64E453E2"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AOD: 7-day follow-up</w:t>
            </w:r>
          </w:p>
        </w:tc>
        <w:tc>
          <w:tcPr>
            <w:tcW w:w="1157" w:type="dxa"/>
            <w:tcBorders>
              <w:top w:val="single" w:sz="4" w:space="0" w:color="auto"/>
              <w:left w:val="single" w:sz="4" w:space="0" w:color="auto"/>
              <w:bottom w:val="single" w:sz="4" w:space="0" w:color="auto"/>
              <w:right w:val="single" w:sz="4" w:space="0" w:color="auto"/>
            </w:tcBorders>
            <w:hideMark/>
          </w:tcPr>
          <w:p w14:paraId="2672E6F6"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32.8</w:t>
            </w:r>
          </w:p>
        </w:tc>
        <w:tc>
          <w:tcPr>
            <w:tcW w:w="1146" w:type="dxa"/>
            <w:tcBorders>
              <w:top w:val="single" w:sz="4" w:space="0" w:color="auto"/>
              <w:left w:val="single" w:sz="4" w:space="0" w:color="auto"/>
              <w:bottom w:val="single" w:sz="4" w:space="0" w:color="auto"/>
              <w:right w:val="single" w:sz="4" w:space="0" w:color="auto"/>
            </w:tcBorders>
            <w:hideMark/>
          </w:tcPr>
          <w:p w14:paraId="21132763"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61.1</w:t>
            </w:r>
          </w:p>
        </w:tc>
        <w:tc>
          <w:tcPr>
            <w:tcW w:w="1152" w:type="dxa"/>
            <w:tcBorders>
              <w:top w:val="single" w:sz="4" w:space="0" w:color="auto"/>
              <w:left w:val="single" w:sz="4" w:space="0" w:color="auto"/>
              <w:bottom w:val="single" w:sz="4" w:space="0" w:color="auto"/>
              <w:right w:val="single" w:sz="4" w:space="0" w:color="auto"/>
            </w:tcBorders>
            <w:hideMark/>
          </w:tcPr>
          <w:p w14:paraId="76DAC765"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72.1</w:t>
            </w:r>
          </w:p>
        </w:tc>
        <w:tc>
          <w:tcPr>
            <w:tcW w:w="1146" w:type="dxa"/>
            <w:tcBorders>
              <w:top w:val="single" w:sz="4" w:space="0" w:color="auto"/>
              <w:left w:val="single" w:sz="4" w:space="0" w:color="auto"/>
              <w:bottom w:val="single" w:sz="4" w:space="0" w:color="auto"/>
              <w:right w:val="single" w:sz="4" w:space="0" w:color="auto"/>
            </w:tcBorders>
            <w:hideMark/>
          </w:tcPr>
          <w:p w14:paraId="42206401"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82.4</w:t>
            </w:r>
          </w:p>
        </w:tc>
        <w:tc>
          <w:tcPr>
            <w:tcW w:w="1055" w:type="dxa"/>
            <w:tcBorders>
              <w:top w:val="single" w:sz="4" w:space="0" w:color="auto"/>
              <w:left w:val="single" w:sz="4" w:space="0" w:color="auto"/>
              <w:bottom w:val="single" w:sz="4" w:space="0" w:color="auto"/>
              <w:right w:val="single" w:sz="4" w:space="0" w:color="auto"/>
            </w:tcBorders>
            <w:hideMark/>
          </w:tcPr>
          <w:p w14:paraId="6FA94D02"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90.3</w:t>
            </w:r>
          </w:p>
        </w:tc>
        <w:tc>
          <w:tcPr>
            <w:tcW w:w="1146" w:type="dxa"/>
            <w:tcBorders>
              <w:top w:val="single" w:sz="4" w:space="0" w:color="auto"/>
              <w:left w:val="single" w:sz="4" w:space="0" w:color="auto"/>
              <w:bottom w:val="single" w:sz="4" w:space="0" w:color="auto"/>
              <w:right w:val="single" w:sz="4" w:space="0" w:color="auto"/>
            </w:tcBorders>
            <w:hideMark/>
          </w:tcPr>
          <w:p w14:paraId="4CFC2CFA"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21.4</w:t>
            </w:r>
          </w:p>
        </w:tc>
        <w:tc>
          <w:tcPr>
            <w:tcW w:w="1189" w:type="dxa"/>
            <w:tcBorders>
              <w:top w:val="single" w:sz="4" w:space="0" w:color="auto"/>
              <w:left w:val="single" w:sz="4" w:space="0" w:color="auto"/>
              <w:bottom w:val="single" w:sz="4" w:space="0" w:color="auto"/>
              <w:right w:val="single" w:sz="4" w:space="0" w:color="auto"/>
            </w:tcBorders>
            <w:hideMark/>
          </w:tcPr>
          <w:p w14:paraId="0156585A"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&lt;.001</w:t>
            </w:r>
          </w:p>
        </w:tc>
      </w:tr>
      <w:tr w:rsidR="00703429" w14:paraId="66CDBD58" w14:textId="77777777" w:rsidTr="00703429">
        <w:tc>
          <w:tcPr>
            <w:tcW w:w="1585" w:type="dxa"/>
            <w:tcBorders>
              <w:top w:val="single" w:sz="4" w:space="0" w:color="auto"/>
              <w:left w:val="single" w:sz="4" w:space="0" w:color="auto"/>
              <w:bottom w:val="single" w:sz="4" w:space="0" w:color="auto"/>
              <w:right w:val="single" w:sz="4" w:space="0" w:color="auto"/>
            </w:tcBorders>
            <w:hideMark/>
          </w:tcPr>
          <w:p w14:paraId="4B2F0982"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AOD: 30-day follow up</w:t>
            </w:r>
          </w:p>
        </w:tc>
        <w:tc>
          <w:tcPr>
            <w:tcW w:w="1157" w:type="dxa"/>
            <w:tcBorders>
              <w:top w:val="single" w:sz="4" w:space="0" w:color="auto"/>
              <w:left w:val="single" w:sz="4" w:space="0" w:color="auto"/>
              <w:bottom w:val="single" w:sz="4" w:space="0" w:color="auto"/>
              <w:right w:val="single" w:sz="4" w:space="0" w:color="auto"/>
            </w:tcBorders>
            <w:hideMark/>
          </w:tcPr>
          <w:p w14:paraId="668CADFF"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34.1</w:t>
            </w:r>
          </w:p>
        </w:tc>
        <w:tc>
          <w:tcPr>
            <w:tcW w:w="1146" w:type="dxa"/>
            <w:tcBorders>
              <w:top w:val="single" w:sz="4" w:space="0" w:color="auto"/>
              <w:left w:val="single" w:sz="4" w:space="0" w:color="auto"/>
              <w:bottom w:val="single" w:sz="4" w:space="0" w:color="auto"/>
              <w:right w:val="single" w:sz="4" w:space="0" w:color="auto"/>
            </w:tcBorders>
            <w:hideMark/>
          </w:tcPr>
          <w:p w14:paraId="3DFBED73"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62.6</w:t>
            </w:r>
          </w:p>
        </w:tc>
        <w:tc>
          <w:tcPr>
            <w:tcW w:w="1152" w:type="dxa"/>
            <w:tcBorders>
              <w:top w:val="single" w:sz="4" w:space="0" w:color="auto"/>
              <w:left w:val="single" w:sz="4" w:space="0" w:color="auto"/>
              <w:bottom w:val="single" w:sz="4" w:space="0" w:color="auto"/>
              <w:right w:val="single" w:sz="4" w:space="0" w:color="auto"/>
            </w:tcBorders>
            <w:hideMark/>
          </w:tcPr>
          <w:p w14:paraId="04D11824"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74.8</w:t>
            </w:r>
          </w:p>
        </w:tc>
        <w:tc>
          <w:tcPr>
            <w:tcW w:w="1146" w:type="dxa"/>
            <w:tcBorders>
              <w:top w:val="single" w:sz="4" w:space="0" w:color="auto"/>
              <w:left w:val="single" w:sz="4" w:space="0" w:color="auto"/>
              <w:bottom w:val="single" w:sz="4" w:space="0" w:color="auto"/>
              <w:right w:val="single" w:sz="4" w:space="0" w:color="auto"/>
            </w:tcBorders>
            <w:hideMark/>
          </w:tcPr>
          <w:p w14:paraId="6497DBDE"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82.5</w:t>
            </w:r>
          </w:p>
        </w:tc>
        <w:tc>
          <w:tcPr>
            <w:tcW w:w="1055" w:type="dxa"/>
            <w:tcBorders>
              <w:top w:val="single" w:sz="4" w:space="0" w:color="auto"/>
              <w:left w:val="single" w:sz="4" w:space="0" w:color="auto"/>
              <w:bottom w:val="single" w:sz="4" w:space="0" w:color="auto"/>
              <w:right w:val="single" w:sz="4" w:space="0" w:color="auto"/>
            </w:tcBorders>
            <w:hideMark/>
          </w:tcPr>
          <w:p w14:paraId="30DAB5BB"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90.3</w:t>
            </w:r>
          </w:p>
        </w:tc>
        <w:tc>
          <w:tcPr>
            <w:tcW w:w="1146" w:type="dxa"/>
            <w:tcBorders>
              <w:top w:val="single" w:sz="4" w:space="0" w:color="auto"/>
              <w:left w:val="single" w:sz="4" w:space="0" w:color="auto"/>
              <w:bottom w:val="single" w:sz="4" w:space="0" w:color="auto"/>
              <w:right w:val="single" w:sz="4" w:space="0" w:color="auto"/>
            </w:tcBorders>
            <w:hideMark/>
          </w:tcPr>
          <w:p w14:paraId="517A97DB"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19.9</w:t>
            </w:r>
          </w:p>
        </w:tc>
        <w:tc>
          <w:tcPr>
            <w:tcW w:w="1189" w:type="dxa"/>
            <w:tcBorders>
              <w:top w:val="single" w:sz="4" w:space="0" w:color="auto"/>
              <w:left w:val="single" w:sz="4" w:space="0" w:color="auto"/>
              <w:bottom w:val="single" w:sz="4" w:space="0" w:color="auto"/>
              <w:right w:val="single" w:sz="4" w:space="0" w:color="auto"/>
            </w:tcBorders>
            <w:hideMark/>
          </w:tcPr>
          <w:p w14:paraId="67208CFD" w14:textId="77777777" w:rsidR="00703429" w:rsidRDefault="00703429" w:rsidP="00D23AD7">
            <w:pPr>
              <w:autoSpaceDE w:val="0"/>
              <w:autoSpaceDN w:val="0"/>
              <w:adjustRightInd w:val="0"/>
              <w:contextualSpacing/>
              <w:rPr>
                <w:rFonts w:cstheme="minorHAnsi"/>
                <w:bCs/>
                <w:color w:val="4F81BD" w:themeColor="accent1"/>
              </w:rPr>
            </w:pPr>
            <w:r>
              <w:rPr>
                <w:rFonts w:cstheme="minorHAnsi"/>
                <w:bCs/>
                <w:color w:val="4F81BD" w:themeColor="accent1"/>
              </w:rPr>
              <w:t>&lt;.001</w:t>
            </w:r>
          </w:p>
        </w:tc>
      </w:tr>
    </w:tbl>
    <w:p w14:paraId="0CABD00B" w14:textId="77777777" w:rsidR="00D61410" w:rsidRPr="00927027" w:rsidRDefault="00D61410" w:rsidP="00D23AD7">
      <w:pPr>
        <w:autoSpaceDE w:val="0"/>
        <w:autoSpaceDN w:val="0"/>
        <w:adjustRightInd w:val="0"/>
        <w:spacing w:after="0" w:line="240" w:lineRule="auto"/>
        <w:contextualSpacing/>
        <w:rPr>
          <w:rFonts w:cstheme="minorHAnsi"/>
          <w:bCs/>
        </w:rPr>
      </w:pPr>
    </w:p>
    <w:p w14:paraId="05363E0E" w14:textId="662ED7B6" w:rsidR="00703429" w:rsidRDefault="009C7513" w:rsidP="00D23AD7">
      <w:pPr>
        <w:keepNext/>
        <w:autoSpaceDE w:val="0"/>
        <w:autoSpaceDN w:val="0"/>
        <w:adjustRightInd w:val="0"/>
        <w:spacing w:after="0" w:line="240" w:lineRule="auto"/>
        <w:contextualSpacing/>
        <w:rPr>
          <w:b/>
          <w:color w:val="C00000"/>
          <w:u w:val="single"/>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703429">
        <w:rPr>
          <w:b/>
          <w:color w:val="C00000"/>
          <w:u w:val="single"/>
        </w:rPr>
        <w:t>201</w:t>
      </w:r>
      <w:r w:rsidR="005B4052">
        <w:rPr>
          <w:b/>
          <w:color w:val="C00000"/>
          <w:u w:val="single"/>
        </w:rPr>
        <w:t>9</w:t>
      </w:r>
      <w:r w:rsidR="00703429">
        <w:rPr>
          <w:b/>
          <w:color w:val="C00000"/>
          <w:u w:val="single"/>
        </w:rPr>
        <w:t xml:space="preserve"> Submission</w:t>
      </w:r>
    </w:p>
    <w:p w14:paraId="046E27CD" w14:textId="13D590EE" w:rsidR="00B241A4" w:rsidRPr="000B7734" w:rsidRDefault="00B241A4" w:rsidP="00B241A4">
      <w:pPr>
        <w:autoSpaceDE w:val="0"/>
        <w:autoSpaceDN w:val="0"/>
        <w:adjustRightInd w:val="0"/>
        <w:spacing w:line="240" w:lineRule="auto"/>
        <w:contextualSpacing/>
        <w:rPr>
          <w:rStyle w:val="Style1"/>
          <w:color w:val="C00000"/>
        </w:rPr>
      </w:pPr>
      <w:r w:rsidRPr="000B7734">
        <w:rPr>
          <w:rStyle w:val="Style1"/>
          <w:color w:val="C00000"/>
        </w:rPr>
        <w:t xml:space="preserve">The results above indicate there is a </w:t>
      </w:r>
      <w:r>
        <w:rPr>
          <w:rStyle w:val="Style1"/>
          <w:color w:val="C00000"/>
        </w:rPr>
        <w:t>14-24</w:t>
      </w:r>
      <w:r w:rsidRPr="000B7734">
        <w:rPr>
          <w:rStyle w:val="Style1"/>
          <w:color w:val="C00000"/>
        </w:rPr>
        <w:t xml:space="preserve">% gap in performance between the 25th and 75th performing plans. </w:t>
      </w:r>
      <w:r>
        <w:rPr>
          <w:rStyle w:val="Style1"/>
          <w:color w:val="C00000"/>
        </w:rPr>
        <w:t xml:space="preserve">For </w:t>
      </w:r>
      <w:r w:rsidR="0026694E">
        <w:rPr>
          <w:rStyle w:val="Style1"/>
          <w:color w:val="C00000"/>
        </w:rPr>
        <w:t>all</w:t>
      </w:r>
      <w:r w:rsidRPr="000B7734">
        <w:rPr>
          <w:rStyle w:val="Style1"/>
          <w:color w:val="C00000"/>
        </w:rPr>
        <w:t xml:space="preserve"> product lines and rates</w:t>
      </w:r>
      <w:r>
        <w:rPr>
          <w:rStyle w:val="Style1"/>
          <w:color w:val="C00000"/>
        </w:rPr>
        <w:t>,</w:t>
      </w:r>
      <w:r w:rsidRPr="000B7734">
        <w:rPr>
          <w:rStyle w:val="Style1"/>
          <w:color w:val="C00000"/>
        </w:rPr>
        <w:t xml:space="preserve"> the difference between the 25th and 75th percentile is statistically significant. The large</w:t>
      </w:r>
      <w:r>
        <w:rPr>
          <w:rStyle w:val="Style1"/>
          <w:color w:val="C00000"/>
        </w:rPr>
        <w:t>st</w:t>
      </w:r>
      <w:r w:rsidRPr="000B7734">
        <w:rPr>
          <w:rStyle w:val="Style1"/>
          <w:color w:val="C00000"/>
        </w:rPr>
        <w:t xml:space="preserve"> gap in performance is for </w:t>
      </w:r>
      <w:r>
        <w:rPr>
          <w:rStyle w:val="Style1"/>
          <w:color w:val="C00000"/>
        </w:rPr>
        <w:t>Medicaid plans 7-day follow-up rate,</w:t>
      </w:r>
      <w:r w:rsidRPr="000B7734">
        <w:rPr>
          <w:rStyle w:val="Style1"/>
          <w:color w:val="C00000"/>
        </w:rPr>
        <w:t xml:space="preserve"> </w:t>
      </w:r>
      <w:r>
        <w:rPr>
          <w:rStyle w:val="Style1"/>
          <w:color w:val="C00000"/>
        </w:rPr>
        <w:t xml:space="preserve">which show a </w:t>
      </w:r>
      <w:r w:rsidR="0026694E">
        <w:rPr>
          <w:rStyle w:val="Style1"/>
          <w:color w:val="C00000"/>
        </w:rPr>
        <w:t>24.1</w:t>
      </w:r>
      <w:r w:rsidRPr="000B7734">
        <w:rPr>
          <w:rStyle w:val="Style1"/>
          <w:color w:val="C00000"/>
        </w:rPr>
        <w:t xml:space="preserve"> </w:t>
      </w:r>
      <w:r w:rsidRPr="000B7734">
        <w:rPr>
          <w:rStyle w:val="Style1"/>
          <w:color w:val="C00000"/>
        </w:rPr>
        <w:lastRenderedPageBreak/>
        <w:t xml:space="preserve">percentage point gap between 25th and 75th percentile plans. This gap represents an average </w:t>
      </w:r>
      <w:r w:rsidR="0096139B">
        <w:rPr>
          <w:rStyle w:val="Style1"/>
          <w:color w:val="C00000"/>
        </w:rPr>
        <w:t xml:space="preserve">of </w:t>
      </w:r>
      <w:r w:rsidR="0026694E">
        <w:rPr>
          <w:rStyle w:val="Style1"/>
          <w:color w:val="C00000"/>
        </w:rPr>
        <w:t>268</w:t>
      </w:r>
      <w:r>
        <w:rPr>
          <w:rStyle w:val="Style1"/>
          <w:color w:val="C00000"/>
        </w:rPr>
        <w:t xml:space="preserve"> more ED visits</w:t>
      </w:r>
      <w:r w:rsidR="0096139B">
        <w:rPr>
          <w:rStyle w:val="Style1"/>
          <w:color w:val="C00000"/>
        </w:rPr>
        <w:t xml:space="preserve"> at each plan</w:t>
      </w:r>
      <w:r>
        <w:rPr>
          <w:rStyle w:val="Style1"/>
          <w:color w:val="C00000"/>
        </w:rPr>
        <w:t xml:space="preserve"> with follow-up in high performing</w:t>
      </w:r>
      <w:r w:rsidRPr="000B7734">
        <w:rPr>
          <w:rStyle w:val="Style1"/>
          <w:color w:val="C00000"/>
        </w:rPr>
        <w:t xml:space="preserve"> plans compared to low performing plans (estimated from average health plan </w:t>
      </w:r>
      <w:r w:rsidR="00A91658">
        <w:rPr>
          <w:rStyle w:val="Style1"/>
          <w:color w:val="C00000"/>
        </w:rPr>
        <w:t>eligible encounters</w:t>
      </w:r>
      <w:r w:rsidRPr="000B7734">
        <w:rPr>
          <w:rStyle w:val="Style1"/>
          <w:color w:val="C00000"/>
        </w:rPr>
        <w:t>).</w:t>
      </w:r>
    </w:p>
    <w:p w14:paraId="07DC47D7" w14:textId="77777777" w:rsidR="00703429" w:rsidRDefault="00703429" w:rsidP="00D23AD7">
      <w:pPr>
        <w:autoSpaceDE w:val="0"/>
        <w:autoSpaceDN w:val="0"/>
        <w:adjustRightInd w:val="0"/>
        <w:spacing w:after="0" w:line="240" w:lineRule="auto"/>
        <w:contextualSpacing/>
        <w:rPr>
          <w:rStyle w:val="Style1"/>
          <w:b/>
          <w:bCs/>
          <w:color w:val="4F81BD" w:themeColor="accent1"/>
          <w:u w:val="single"/>
        </w:rPr>
      </w:pPr>
    </w:p>
    <w:p w14:paraId="28BCBF0D" w14:textId="77777777" w:rsidR="00703429" w:rsidRDefault="00703429" w:rsidP="00D23AD7">
      <w:pPr>
        <w:autoSpaceDE w:val="0"/>
        <w:autoSpaceDN w:val="0"/>
        <w:adjustRightInd w:val="0"/>
        <w:spacing w:after="0" w:line="240" w:lineRule="auto"/>
        <w:contextualSpacing/>
        <w:rPr>
          <w:rFonts w:cstheme="minorHAnsi"/>
        </w:rPr>
      </w:pPr>
      <w:r>
        <w:rPr>
          <w:rStyle w:val="Style1"/>
          <w:b/>
          <w:bCs/>
          <w:color w:val="4F81BD" w:themeColor="accent1"/>
          <w:u w:val="single"/>
        </w:rPr>
        <w:t>2014 Submission</w:t>
      </w:r>
    </w:p>
    <w:p w14:paraId="6BFA152F"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 xml:space="preserve">The results above indicate there is a gap in performance between the 25th and 75th performing states, ranging from 8.6 percentage points on the 7-day mental health measure to 21.4 on the 7-day AOD measure. For all states and all rates, the difference between the 25th and 75th percentile is statistically significant.  </w:t>
      </w:r>
    </w:p>
    <w:p w14:paraId="0CABD00D" w14:textId="77777777" w:rsidR="0086464B" w:rsidRDefault="0086464B" w:rsidP="00D23AD7">
      <w:pPr>
        <w:spacing w:after="0" w:line="240" w:lineRule="auto"/>
        <w:contextualSpacing/>
        <w:rPr>
          <w:rFonts w:cstheme="minorHAnsi"/>
          <w:b/>
          <w:bCs/>
        </w:rPr>
      </w:pPr>
      <w:r>
        <w:rPr>
          <w:rFonts w:cstheme="minorHAnsi"/>
          <w:b/>
          <w:bCs/>
        </w:rPr>
        <w:t>_______________________________________</w:t>
      </w:r>
    </w:p>
    <w:p w14:paraId="0CABD00E" w14:textId="1C19894E" w:rsidR="004B1BA0" w:rsidRPr="00703429" w:rsidRDefault="00021170" w:rsidP="00D23AD7">
      <w:pPr>
        <w:autoSpaceDE w:val="0"/>
        <w:autoSpaceDN w:val="0"/>
        <w:adjustRightInd w:val="0"/>
        <w:spacing w:after="0" w:line="240" w:lineRule="auto"/>
        <w:contextualSpacing/>
        <w:rPr>
          <w:rFonts w:cstheme="minorHAnsi"/>
          <w:b/>
          <w:bCs/>
          <w:color w:val="808080" w:themeColor="background1" w:themeShade="80"/>
        </w:rPr>
      </w:pPr>
      <w:r w:rsidRPr="00703429">
        <w:rPr>
          <w:rFonts w:cstheme="minorHAnsi"/>
          <w:b/>
          <w:bCs/>
          <w:color w:val="808080" w:themeColor="background1" w:themeShade="80"/>
        </w:rPr>
        <w:t>2</w:t>
      </w:r>
      <w:r w:rsidR="00EA5F47" w:rsidRPr="00703429">
        <w:rPr>
          <w:rFonts w:cstheme="minorHAnsi"/>
          <w:b/>
          <w:bCs/>
          <w:color w:val="808080" w:themeColor="background1" w:themeShade="80"/>
        </w:rPr>
        <w:t>b</w:t>
      </w:r>
      <w:r w:rsidR="009C7513" w:rsidRPr="00703429">
        <w:rPr>
          <w:rFonts w:cstheme="minorHAnsi"/>
          <w:b/>
          <w:bCs/>
          <w:color w:val="808080" w:themeColor="background1" w:themeShade="80"/>
        </w:rPr>
        <w:t>5</w:t>
      </w:r>
      <w:r w:rsidRPr="00703429">
        <w:rPr>
          <w:rFonts w:cstheme="minorHAnsi"/>
          <w:b/>
          <w:bCs/>
          <w:color w:val="808080" w:themeColor="background1" w:themeShade="80"/>
        </w:rPr>
        <w:t xml:space="preserve">. COMPARABILITY OF PERFORMANCE SCORES </w:t>
      </w:r>
      <w:r w:rsidR="004C498F" w:rsidRPr="00703429">
        <w:rPr>
          <w:rFonts w:cstheme="minorHAnsi"/>
          <w:b/>
          <w:bCs/>
          <w:color w:val="808080" w:themeColor="background1" w:themeShade="80"/>
        </w:rPr>
        <w:t>WHEN</w:t>
      </w:r>
      <w:r w:rsidR="002B2116" w:rsidRPr="00703429">
        <w:rPr>
          <w:rFonts w:cstheme="minorHAnsi"/>
          <w:b/>
          <w:bCs/>
          <w:color w:val="808080" w:themeColor="background1" w:themeShade="80"/>
        </w:rPr>
        <w:t xml:space="preserve"> MORE THAN ONE SET OF SPECIFICATIONS </w:t>
      </w:r>
    </w:p>
    <w:p w14:paraId="0CABD00F" w14:textId="77777777" w:rsidR="00567D12" w:rsidRPr="00703429" w:rsidRDefault="00567D12" w:rsidP="00D23AD7">
      <w:pPr>
        <w:spacing w:after="0" w:line="240" w:lineRule="auto"/>
        <w:contextualSpacing/>
        <w:rPr>
          <w:rFonts w:cstheme="minorHAnsi"/>
          <w:b/>
          <w:bCs/>
          <w:color w:val="808080" w:themeColor="background1" w:themeShade="80"/>
        </w:rPr>
      </w:pPr>
      <w:r w:rsidRPr="00703429">
        <w:rPr>
          <w:rFonts w:cstheme="minorHAnsi"/>
          <w:b/>
          <w:bCs/>
          <w:i/>
          <w:color w:val="808080" w:themeColor="background1" w:themeShade="80"/>
        </w:rPr>
        <w:t xml:space="preserve">If only one set of specifications, this section can be </w:t>
      </w:r>
      <w:r w:rsidR="00BE592D" w:rsidRPr="00703429">
        <w:rPr>
          <w:rFonts w:cstheme="minorHAnsi"/>
          <w:b/>
          <w:bCs/>
          <w:i/>
          <w:color w:val="808080" w:themeColor="background1" w:themeShade="80"/>
        </w:rPr>
        <w:t>skipped.</w:t>
      </w:r>
    </w:p>
    <w:p w14:paraId="2D08CFBD" w14:textId="27D7A40C" w:rsidR="00703429" w:rsidRDefault="00703429" w:rsidP="00D23AD7">
      <w:pPr>
        <w:autoSpaceDE w:val="0"/>
        <w:autoSpaceDN w:val="0"/>
        <w:adjustRightInd w:val="0"/>
        <w:spacing w:after="0" w:line="240" w:lineRule="auto"/>
        <w:contextualSpacing/>
        <w:rPr>
          <w:rStyle w:val="Style1"/>
        </w:rPr>
      </w:pPr>
      <w:r>
        <w:rPr>
          <w:rStyle w:val="Style1"/>
          <w:b/>
          <w:bCs/>
          <w:color w:val="C00000"/>
          <w:u w:val="single"/>
        </w:rPr>
        <w:t>201</w:t>
      </w:r>
      <w:r w:rsidR="005B4052">
        <w:rPr>
          <w:rStyle w:val="Style1"/>
          <w:b/>
          <w:bCs/>
          <w:color w:val="C00000"/>
          <w:u w:val="single"/>
        </w:rPr>
        <w:t>9</w:t>
      </w:r>
      <w:r>
        <w:rPr>
          <w:rStyle w:val="Style1"/>
          <w:b/>
          <w:bCs/>
          <w:color w:val="C00000"/>
          <w:u w:val="single"/>
        </w:rPr>
        <w:t xml:space="preserve"> Submission</w:t>
      </w:r>
      <w:r>
        <w:rPr>
          <w:rStyle w:val="Style1"/>
        </w:rPr>
        <w:t xml:space="preserve"> </w:t>
      </w:r>
    </w:p>
    <w:p w14:paraId="4616438D" w14:textId="77777777" w:rsidR="00703429" w:rsidRDefault="00703429" w:rsidP="00D23AD7">
      <w:pPr>
        <w:autoSpaceDE w:val="0"/>
        <w:autoSpaceDN w:val="0"/>
        <w:adjustRightInd w:val="0"/>
        <w:spacing w:after="0" w:line="240" w:lineRule="auto"/>
        <w:contextualSpacing/>
        <w:rPr>
          <w:rStyle w:val="Style1"/>
          <w:color w:val="C00000"/>
        </w:rPr>
      </w:pPr>
      <w:r>
        <w:rPr>
          <w:rStyle w:val="Style1"/>
          <w:color w:val="C00000"/>
        </w:rPr>
        <w:t>This measure has only one set of specifications.</w:t>
      </w:r>
    </w:p>
    <w:p w14:paraId="0CABD010" w14:textId="77777777" w:rsidR="00567D12" w:rsidRPr="00A25024" w:rsidRDefault="00567D12" w:rsidP="00D23AD7">
      <w:pPr>
        <w:autoSpaceDE w:val="0"/>
        <w:autoSpaceDN w:val="0"/>
        <w:adjustRightInd w:val="0"/>
        <w:spacing w:after="0" w:line="240" w:lineRule="auto"/>
        <w:contextualSpacing/>
        <w:rPr>
          <w:rFonts w:cstheme="minorHAnsi"/>
          <w:b/>
          <w:bCs/>
        </w:rPr>
      </w:pPr>
    </w:p>
    <w:p w14:paraId="0CABD011" w14:textId="52777D4F" w:rsidR="00052A6F" w:rsidRPr="00703429" w:rsidRDefault="002B2116" w:rsidP="00D23AD7">
      <w:pPr>
        <w:autoSpaceDE w:val="0"/>
        <w:autoSpaceDN w:val="0"/>
        <w:adjustRightInd w:val="0"/>
        <w:spacing w:after="0" w:line="240" w:lineRule="auto"/>
        <w:contextualSpacing/>
        <w:rPr>
          <w:rFonts w:cstheme="minorHAnsi"/>
          <w:bCs/>
          <w:i/>
          <w:color w:val="808080" w:themeColor="background1" w:themeShade="80"/>
        </w:rPr>
      </w:pPr>
      <w:r w:rsidRPr="00703429">
        <w:rPr>
          <w:rFonts w:cstheme="minorHAnsi"/>
          <w:b/>
          <w:bCs/>
          <w:color w:val="808080" w:themeColor="background1" w:themeShade="80"/>
          <w:u w:val="single"/>
        </w:rPr>
        <w:t>Note</w:t>
      </w:r>
      <w:r w:rsidRPr="00703429">
        <w:rPr>
          <w:rFonts w:cstheme="minorHAnsi"/>
          <w:bCs/>
          <w:i/>
          <w:color w:val="808080" w:themeColor="background1" w:themeShade="80"/>
        </w:rPr>
        <w:t xml:space="preserve">: </w:t>
      </w:r>
      <w:r w:rsidR="00F1412B" w:rsidRPr="00703429">
        <w:rPr>
          <w:rFonts w:ascii="Calibri-Italic" w:eastAsiaTheme="minorHAnsi" w:hAnsi="Calibri-Italic" w:cs="Calibri-Italic"/>
          <w:i/>
          <w:iCs/>
          <w:color w:val="808080" w:themeColor="background1" w:themeShade="80"/>
        </w:rPr>
        <w:t xml:space="preserve">This item is directed to measures that are risk-adjusted (with or without </w:t>
      </w:r>
      <w:r w:rsidR="00AF2D68" w:rsidRPr="00703429">
        <w:rPr>
          <w:rFonts w:ascii="Calibri-Italic" w:eastAsiaTheme="minorHAnsi" w:hAnsi="Calibri-Italic" w:cs="Calibri-Italic"/>
          <w:i/>
          <w:iCs/>
          <w:color w:val="808080" w:themeColor="background1" w:themeShade="80"/>
        </w:rPr>
        <w:t>social risk</w:t>
      </w:r>
      <w:r w:rsidR="00F1412B" w:rsidRPr="00703429">
        <w:rPr>
          <w:rFonts w:ascii="Calibri-Italic" w:eastAsiaTheme="minorHAnsi" w:hAnsi="Calibri-Italic" w:cs="Calibri-Italic"/>
          <w:i/>
          <w:iCs/>
          <w:color w:val="808080" w:themeColor="background1" w:themeShade="80"/>
        </w:rPr>
        <w:t xml:space="preserve"> factors) </w:t>
      </w:r>
      <w:r w:rsidR="00F1412B" w:rsidRPr="00703429">
        <w:rPr>
          <w:rFonts w:ascii="Calibri-Italic" w:eastAsiaTheme="minorHAnsi" w:hAnsi="Calibri-Italic" w:cs="Calibri-Italic"/>
          <w:b/>
          <w:i/>
          <w:iCs/>
          <w:color w:val="808080" w:themeColor="background1" w:themeShade="80"/>
        </w:rPr>
        <w:t>OR</w:t>
      </w:r>
      <w:r w:rsidR="00F1412B" w:rsidRPr="00703429">
        <w:rPr>
          <w:rFonts w:ascii="Calibri-Italic" w:eastAsiaTheme="minorHAnsi" w:hAnsi="Calibri-Italic" w:cs="Calibri-Italic"/>
          <w:i/>
          <w:iCs/>
          <w:color w:val="808080" w:themeColor="background1" w:themeShade="80"/>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703429">
        <w:rPr>
          <w:rFonts w:ascii="Calibri-BoldItalic" w:eastAsiaTheme="minorHAnsi" w:hAnsi="Calibri-BoldItalic" w:cs="Calibri-BoldItalic"/>
          <w:b/>
          <w:bCs/>
          <w:i/>
          <w:iCs/>
          <w:color w:val="808080" w:themeColor="background1" w:themeShade="80"/>
        </w:rPr>
        <w:t xml:space="preserve">Comparability is not required when comparing performance scores with and without </w:t>
      </w:r>
      <w:r w:rsidR="00AF2D68" w:rsidRPr="00703429">
        <w:rPr>
          <w:rFonts w:ascii="Calibri-BoldItalic" w:eastAsiaTheme="minorHAnsi" w:hAnsi="Calibri-BoldItalic" w:cs="Calibri-BoldItalic"/>
          <w:b/>
          <w:bCs/>
          <w:i/>
          <w:iCs/>
          <w:color w:val="808080" w:themeColor="background1" w:themeShade="80"/>
        </w:rPr>
        <w:t>social risk</w:t>
      </w:r>
      <w:r w:rsidR="00F1412B" w:rsidRPr="00703429">
        <w:rPr>
          <w:rFonts w:ascii="Calibri-BoldItalic" w:eastAsiaTheme="minorHAnsi" w:hAnsi="Calibri-BoldItalic" w:cs="Calibri-BoldItalic"/>
          <w:b/>
          <w:bCs/>
          <w:i/>
          <w:iCs/>
          <w:color w:val="808080" w:themeColor="background1" w:themeShade="80"/>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703429" w:rsidRDefault="000F06B5" w:rsidP="00D23AD7">
      <w:pPr>
        <w:autoSpaceDE w:val="0"/>
        <w:autoSpaceDN w:val="0"/>
        <w:adjustRightInd w:val="0"/>
        <w:spacing w:after="0" w:line="240" w:lineRule="auto"/>
        <w:contextualSpacing/>
        <w:rPr>
          <w:rFonts w:cstheme="minorHAnsi"/>
          <w:bCs/>
          <w:color w:val="808080" w:themeColor="background1" w:themeShade="80"/>
        </w:rPr>
      </w:pPr>
    </w:p>
    <w:p w14:paraId="6AA63080" w14:textId="182BDFFC" w:rsidR="00703429" w:rsidRPr="00703429" w:rsidRDefault="009C7513" w:rsidP="00D23AD7">
      <w:pPr>
        <w:autoSpaceDE w:val="0"/>
        <w:autoSpaceDN w:val="0"/>
        <w:adjustRightInd w:val="0"/>
        <w:spacing w:after="0" w:line="240" w:lineRule="auto"/>
        <w:contextualSpacing/>
        <w:rPr>
          <w:rFonts w:cstheme="minorHAnsi"/>
          <w:bCs/>
          <w:color w:val="808080" w:themeColor="background1" w:themeShade="80"/>
          <w:sz w:val="14"/>
        </w:rPr>
      </w:pPr>
      <w:r w:rsidRPr="00703429">
        <w:rPr>
          <w:rFonts w:cstheme="minorHAnsi"/>
          <w:b/>
          <w:bCs/>
          <w:color w:val="808080" w:themeColor="background1" w:themeShade="80"/>
        </w:rPr>
        <w:t>2b5</w:t>
      </w:r>
      <w:r w:rsidR="00E1508F" w:rsidRPr="00703429">
        <w:rPr>
          <w:rFonts w:cstheme="minorHAnsi"/>
          <w:b/>
          <w:bCs/>
          <w:color w:val="808080" w:themeColor="background1" w:themeShade="80"/>
        </w:rPr>
        <w:t xml:space="preserve">.1. </w:t>
      </w:r>
      <w:r w:rsidR="008871A9" w:rsidRPr="00703429">
        <w:rPr>
          <w:rFonts w:cstheme="minorHAnsi"/>
          <w:b/>
          <w:bCs/>
          <w:color w:val="808080" w:themeColor="background1" w:themeShade="80"/>
        </w:rPr>
        <w:t xml:space="preserve">Describe the method of </w:t>
      </w:r>
      <w:r w:rsidR="000F06B5" w:rsidRPr="00703429">
        <w:rPr>
          <w:rFonts w:cstheme="minorHAnsi"/>
          <w:b/>
          <w:bCs/>
          <w:color w:val="808080" w:themeColor="background1" w:themeShade="80"/>
        </w:rPr>
        <w:t>testing conducted</w:t>
      </w:r>
      <w:r w:rsidR="008871A9" w:rsidRPr="00703429">
        <w:rPr>
          <w:rFonts w:cstheme="minorHAnsi"/>
          <w:b/>
          <w:bCs/>
          <w:color w:val="808080" w:themeColor="background1" w:themeShade="80"/>
        </w:rPr>
        <w:t xml:space="preserve"> to </w:t>
      </w:r>
      <w:r w:rsidR="00F1412B" w:rsidRPr="00703429">
        <w:rPr>
          <w:rFonts w:cstheme="minorHAnsi"/>
          <w:b/>
          <w:bCs/>
          <w:color w:val="808080" w:themeColor="background1" w:themeShade="80"/>
        </w:rPr>
        <w:t>compare</w:t>
      </w:r>
      <w:r w:rsidR="004B6CEE" w:rsidRPr="00703429">
        <w:rPr>
          <w:rFonts w:cstheme="minorHAnsi"/>
          <w:b/>
          <w:bCs/>
          <w:color w:val="808080" w:themeColor="background1" w:themeShade="80"/>
        </w:rPr>
        <w:t xml:space="preserve"> performance scores </w:t>
      </w:r>
      <w:r w:rsidR="00A35F8F" w:rsidRPr="00703429">
        <w:rPr>
          <w:rFonts w:cstheme="minorHAnsi"/>
          <w:b/>
          <w:bCs/>
          <w:color w:val="808080" w:themeColor="background1" w:themeShade="80"/>
        </w:rPr>
        <w:t xml:space="preserve">for the same entities </w:t>
      </w:r>
      <w:r w:rsidR="00287649" w:rsidRPr="00703429">
        <w:rPr>
          <w:rFonts w:cstheme="minorHAnsi"/>
          <w:b/>
          <w:bCs/>
          <w:color w:val="808080" w:themeColor="background1" w:themeShade="80"/>
        </w:rPr>
        <w:t xml:space="preserve">across the different </w:t>
      </w:r>
      <w:r w:rsidR="00864CA8" w:rsidRPr="00703429">
        <w:rPr>
          <w:rFonts w:cstheme="minorHAnsi"/>
          <w:b/>
          <w:bCs/>
          <w:color w:val="808080" w:themeColor="background1" w:themeShade="80"/>
        </w:rPr>
        <w:t>data</w:t>
      </w:r>
      <w:r w:rsidR="0028114D" w:rsidRPr="00703429">
        <w:rPr>
          <w:rFonts w:cstheme="minorHAnsi"/>
          <w:b/>
          <w:bCs/>
          <w:color w:val="808080" w:themeColor="background1" w:themeShade="80"/>
        </w:rPr>
        <w:t xml:space="preserve"> </w:t>
      </w:r>
      <w:r w:rsidR="00864CA8" w:rsidRPr="00703429">
        <w:rPr>
          <w:rFonts w:cstheme="minorHAnsi"/>
          <w:b/>
          <w:bCs/>
          <w:color w:val="808080" w:themeColor="background1" w:themeShade="80"/>
        </w:rPr>
        <w:t>sources/</w:t>
      </w:r>
      <w:r w:rsidR="00287649" w:rsidRPr="00703429">
        <w:rPr>
          <w:rFonts w:cstheme="minorHAnsi"/>
          <w:b/>
          <w:bCs/>
          <w:color w:val="808080" w:themeColor="background1" w:themeShade="80"/>
        </w:rPr>
        <w:t>specifications</w:t>
      </w:r>
      <w:r w:rsidR="000F06B5" w:rsidRPr="00703429">
        <w:rPr>
          <w:rFonts w:cstheme="minorHAnsi"/>
          <w:bCs/>
          <w:color w:val="808080" w:themeColor="background1" w:themeShade="80"/>
        </w:rPr>
        <w:t xml:space="preserve"> (</w:t>
      </w:r>
      <w:r w:rsidR="008871A9" w:rsidRPr="00703429">
        <w:rPr>
          <w:rFonts w:cstheme="minorHAnsi"/>
          <w:bCs/>
          <w:i/>
          <w:color w:val="808080" w:themeColor="background1" w:themeShade="80"/>
        </w:rPr>
        <w:t>describe the steps―do not just name a method</w:t>
      </w:r>
      <w:r w:rsidR="006C3A4F" w:rsidRPr="00703429">
        <w:rPr>
          <w:rFonts w:cstheme="minorHAnsi"/>
          <w:bCs/>
          <w:i/>
          <w:color w:val="808080" w:themeColor="background1" w:themeShade="80"/>
        </w:rPr>
        <w:t>; what statistical analysis was used</w:t>
      </w:r>
      <w:r w:rsidR="00703429">
        <w:rPr>
          <w:rFonts w:cstheme="minorHAnsi"/>
          <w:bCs/>
          <w:color w:val="808080" w:themeColor="background1" w:themeShade="80"/>
        </w:rPr>
        <w:t>)</w:t>
      </w:r>
      <w:r w:rsidR="00703429">
        <w:rPr>
          <w:rFonts w:cstheme="minorHAnsi"/>
          <w:bCs/>
          <w:color w:val="808080" w:themeColor="background1" w:themeShade="80"/>
        </w:rPr>
        <w:br/>
      </w:r>
    </w:p>
    <w:p w14:paraId="0CABD016" w14:textId="6F190159" w:rsidR="00E1508F" w:rsidRPr="00703429" w:rsidRDefault="009C7513" w:rsidP="00D23AD7">
      <w:pPr>
        <w:autoSpaceDE w:val="0"/>
        <w:autoSpaceDN w:val="0"/>
        <w:adjustRightInd w:val="0"/>
        <w:spacing w:after="0" w:line="240" w:lineRule="auto"/>
        <w:contextualSpacing/>
        <w:rPr>
          <w:rFonts w:cstheme="minorHAnsi"/>
          <w:bCs/>
          <w:color w:val="808080" w:themeColor="background1" w:themeShade="80"/>
        </w:rPr>
      </w:pPr>
      <w:r w:rsidRPr="00703429">
        <w:rPr>
          <w:rFonts w:cstheme="minorHAnsi"/>
          <w:b/>
          <w:bCs/>
          <w:color w:val="808080" w:themeColor="background1" w:themeShade="80"/>
        </w:rPr>
        <w:t>2b5</w:t>
      </w:r>
      <w:r w:rsidR="00E1508F" w:rsidRPr="00703429">
        <w:rPr>
          <w:rFonts w:cstheme="minorHAnsi"/>
          <w:b/>
          <w:bCs/>
          <w:color w:val="808080" w:themeColor="background1" w:themeShade="80"/>
        </w:rPr>
        <w:t xml:space="preserve">.2. </w:t>
      </w:r>
      <w:r w:rsidR="000F06B5" w:rsidRPr="00703429">
        <w:rPr>
          <w:rFonts w:cstheme="minorHAnsi"/>
          <w:b/>
          <w:bCs/>
          <w:color w:val="808080" w:themeColor="background1" w:themeShade="80"/>
        </w:rPr>
        <w:t xml:space="preserve">What were the statistical results </w:t>
      </w:r>
      <w:r w:rsidR="00A35F8F" w:rsidRPr="00703429">
        <w:rPr>
          <w:rFonts w:cstheme="minorHAnsi"/>
          <w:b/>
          <w:bCs/>
          <w:color w:val="808080" w:themeColor="background1" w:themeShade="80"/>
        </w:rPr>
        <w:t>from testing</w:t>
      </w:r>
      <w:r w:rsidR="000F06B5" w:rsidRPr="00703429">
        <w:rPr>
          <w:rFonts w:cstheme="minorHAnsi"/>
          <w:b/>
          <w:bCs/>
          <w:color w:val="808080" w:themeColor="background1" w:themeShade="80"/>
        </w:rPr>
        <w:t xml:space="preserve"> comparability of performance scores for the same entities when using different </w:t>
      </w:r>
      <w:r w:rsidR="00864CA8" w:rsidRPr="00703429">
        <w:rPr>
          <w:rFonts w:cstheme="minorHAnsi"/>
          <w:b/>
          <w:bCs/>
          <w:color w:val="808080" w:themeColor="background1" w:themeShade="80"/>
        </w:rPr>
        <w:t>data sources/</w:t>
      </w:r>
      <w:r w:rsidR="000F06B5" w:rsidRPr="00703429">
        <w:rPr>
          <w:rFonts w:cstheme="minorHAnsi"/>
          <w:b/>
          <w:bCs/>
          <w:color w:val="808080" w:themeColor="background1" w:themeShade="80"/>
        </w:rPr>
        <w:t>specifications?</w:t>
      </w:r>
      <w:r w:rsidR="000F06B5" w:rsidRPr="00703429">
        <w:rPr>
          <w:rFonts w:cstheme="minorHAnsi"/>
          <w:bCs/>
          <w:color w:val="808080" w:themeColor="background1" w:themeShade="80"/>
        </w:rPr>
        <w:t xml:space="preserve"> </w:t>
      </w:r>
      <w:r w:rsidR="00287649" w:rsidRPr="00703429">
        <w:rPr>
          <w:rFonts w:cstheme="minorHAnsi"/>
          <w:bCs/>
          <w:color w:val="808080" w:themeColor="background1" w:themeShade="80"/>
        </w:rPr>
        <w:t>(</w:t>
      </w:r>
      <w:r w:rsidR="00287649" w:rsidRPr="00703429">
        <w:rPr>
          <w:rFonts w:cstheme="minorHAnsi"/>
          <w:bCs/>
          <w:i/>
          <w:color w:val="808080" w:themeColor="background1" w:themeShade="80"/>
        </w:rPr>
        <w:t>e.g., correlation</w:t>
      </w:r>
      <w:r w:rsidR="006C3A4F" w:rsidRPr="00703429">
        <w:rPr>
          <w:rFonts w:cstheme="minorHAnsi"/>
          <w:bCs/>
          <w:i/>
          <w:color w:val="808080" w:themeColor="background1" w:themeShade="80"/>
        </w:rPr>
        <w:t>, rank order</w:t>
      </w:r>
      <w:r w:rsidR="00287649" w:rsidRPr="00703429">
        <w:rPr>
          <w:rFonts w:cstheme="minorHAnsi"/>
          <w:bCs/>
          <w:color w:val="808080" w:themeColor="background1" w:themeShade="80"/>
        </w:rPr>
        <w:t>)</w:t>
      </w:r>
      <w:r w:rsidR="000F06B5" w:rsidRPr="00703429">
        <w:rPr>
          <w:rFonts w:cstheme="minorHAnsi"/>
          <w:bCs/>
          <w:color w:val="808080" w:themeColor="background1" w:themeShade="80"/>
        </w:rPr>
        <w:br/>
      </w:r>
    </w:p>
    <w:p w14:paraId="0CABD018" w14:textId="76098220" w:rsidR="008F7E67" w:rsidRDefault="009C7513" w:rsidP="00D23AD7">
      <w:pPr>
        <w:autoSpaceDE w:val="0"/>
        <w:autoSpaceDN w:val="0"/>
        <w:adjustRightInd w:val="0"/>
        <w:spacing w:after="0" w:line="240" w:lineRule="auto"/>
        <w:contextualSpacing/>
        <w:rPr>
          <w:rFonts w:cstheme="minorHAnsi"/>
          <w:b/>
          <w:bCs/>
        </w:rPr>
      </w:pPr>
      <w:r w:rsidRPr="00703429">
        <w:rPr>
          <w:rFonts w:cstheme="minorHAnsi"/>
          <w:b/>
          <w:bCs/>
          <w:color w:val="808080" w:themeColor="background1" w:themeShade="80"/>
        </w:rPr>
        <w:t>2b5</w:t>
      </w:r>
      <w:r w:rsidR="00E1508F" w:rsidRPr="00703429">
        <w:rPr>
          <w:rFonts w:cstheme="minorHAnsi"/>
          <w:b/>
          <w:bCs/>
          <w:color w:val="808080" w:themeColor="background1" w:themeShade="80"/>
        </w:rPr>
        <w:t xml:space="preserve">.3. </w:t>
      </w:r>
      <w:r w:rsidR="002B0C3A" w:rsidRPr="00703429">
        <w:rPr>
          <w:rFonts w:cstheme="minorHAnsi"/>
          <w:b/>
          <w:bCs/>
          <w:color w:val="808080" w:themeColor="background1" w:themeShade="80"/>
        </w:rPr>
        <w:t xml:space="preserve">What is your interpretation of the results </w:t>
      </w:r>
      <w:r w:rsidR="00A35F8F" w:rsidRPr="00703429">
        <w:rPr>
          <w:rFonts w:cstheme="minorHAnsi"/>
          <w:b/>
          <w:bCs/>
          <w:color w:val="808080" w:themeColor="background1" w:themeShade="80"/>
        </w:rPr>
        <w:t xml:space="preserve">in terms of </w:t>
      </w:r>
      <w:r w:rsidR="00F1412B" w:rsidRPr="00703429">
        <w:rPr>
          <w:rFonts w:cstheme="minorHAnsi"/>
          <w:b/>
          <w:bCs/>
          <w:color w:val="808080" w:themeColor="background1" w:themeShade="80"/>
        </w:rPr>
        <w:t>the differences in</w:t>
      </w:r>
      <w:r w:rsidR="002B0C3A" w:rsidRPr="00703429">
        <w:rPr>
          <w:rFonts w:cstheme="minorHAnsi"/>
          <w:b/>
          <w:bCs/>
          <w:color w:val="808080" w:themeColor="background1" w:themeShade="80"/>
        </w:rPr>
        <w:t xml:space="preserve"> performance measure scores </w:t>
      </w:r>
      <w:r w:rsidR="00287649" w:rsidRPr="00703429">
        <w:rPr>
          <w:rFonts w:cstheme="minorHAnsi"/>
          <w:b/>
          <w:bCs/>
          <w:color w:val="808080" w:themeColor="background1" w:themeShade="80"/>
        </w:rPr>
        <w:t xml:space="preserve">for the same entities across the different </w:t>
      </w:r>
      <w:r w:rsidR="00864CA8" w:rsidRPr="00703429">
        <w:rPr>
          <w:rFonts w:cstheme="minorHAnsi"/>
          <w:b/>
          <w:bCs/>
          <w:color w:val="808080" w:themeColor="background1" w:themeShade="80"/>
        </w:rPr>
        <w:t>data sources/</w:t>
      </w:r>
      <w:r w:rsidR="00287649" w:rsidRPr="00703429">
        <w:rPr>
          <w:rFonts w:cstheme="minorHAnsi"/>
          <w:b/>
          <w:bCs/>
          <w:color w:val="808080" w:themeColor="background1" w:themeShade="80"/>
        </w:rPr>
        <w:t>specifications</w:t>
      </w:r>
      <w:r w:rsidR="002B0C3A" w:rsidRPr="00703429">
        <w:rPr>
          <w:rFonts w:cstheme="minorHAnsi"/>
          <w:b/>
          <w:bCs/>
          <w:color w:val="808080" w:themeColor="background1" w:themeShade="80"/>
        </w:rPr>
        <w:t>?</w:t>
      </w:r>
      <w:r w:rsidR="00A35F8F" w:rsidRPr="00703429">
        <w:rPr>
          <w:rFonts w:cstheme="minorHAnsi"/>
          <w:bCs/>
          <w:color w:val="808080" w:themeColor="background1" w:themeShade="80"/>
        </w:rPr>
        <w:t xml:space="preserve"> </w:t>
      </w:r>
      <w:r w:rsidR="002B0C3A" w:rsidRPr="00703429">
        <w:rPr>
          <w:rFonts w:cstheme="minorHAnsi"/>
          <w:bCs/>
          <w:color w:val="808080" w:themeColor="background1" w:themeShade="80"/>
        </w:rPr>
        <w:t>(i</w:t>
      </w:r>
      <w:r w:rsidR="002B0C3A" w:rsidRPr="00703429">
        <w:rPr>
          <w:rFonts w:cstheme="minorHAnsi"/>
          <w:bCs/>
          <w:i/>
          <w:color w:val="808080" w:themeColor="background1" w:themeShade="80"/>
        </w:rPr>
        <w:t>.e., what do the results mean and what are the norms for the test conducted</w:t>
      </w:r>
      <w:r w:rsidR="002B0C3A" w:rsidRPr="00703429">
        <w:rPr>
          <w:rFonts w:cstheme="minorHAnsi"/>
          <w:bCs/>
          <w:color w:val="808080" w:themeColor="background1" w:themeShade="80"/>
        </w:rPr>
        <w:t>)</w:t>
      </w:r>
      <w:r w:rsidR="00A35F8F" w:rsidRPr="00703429">
        <w:rPr>
          <w:rFonts w:cstheme="minorHAnsi"/>
          <w:bCs/>
          <w:color w:val="808080" w:themeColor="background1" w:themeShade="80"/>
        </w:rPr>
        <w:br/>
      </w:r>
      <w:r w:rsidR="008F7E67">
        <w:rPr>
          <w:rFonts w:cstheme="minorHAnsi"/>
          <w:b/>
          <w:bCs/>
        </w:rPr>
        <w:t>_______________________________________</w:t>
      </w:r>
    </w:p>
    <w:p w14:paraId="0CABD019" w14:textId="3F0BDE3B" w:rsidR="008F7E67" w:rsidRDefault="008F7E67" w:rsidP="00D23AD7">
      <w:pPr>
        <w:autoSpaceDE w:val="0"/>
        <w:autoSpaceDN w:val="0"/>
        <w:adjustRightInd w:val="0"/>
        <w:spacing w:after="0" w:line="240" w:lineRule="auto"/>
        <w:contextualSpacing/>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D23AD7">
      <w:pPr>
        <w:autoSpaceDE w:val="0"/>
        <w:autoSpaceDN w:val="0"/>
        <w:adjustRightInd w:val="0"/>
        <w:spacing w:after="0" w:line="240" w:lineRule="auto"/>
        <w:contextualSpacing/>
        <w:rPr>
          <w:rFonts w:cstheme="minorHAnsi"/>
          <w:bCs/>
        </w:rPr>
      </w:pPr>
    </w:p>
    <w:p w14:paraId="11BCC538" w14:textId="0B463D4C" w:rsidR="00703429" w:rsidRDefault="009C7513" w:rsidP="00D23AD7">
      <w:pPr>
        <w:autoSpaceDE w:val="0"/>
        <w:autoSpaceDN w:val="0"/>
        <w:adjustRightInd w:val="0"/>
        <w:spacing w:after="0" w:line="240" w:lineRule="auto"/>
        <w:contextualSpacing/>
        <w:rPr>
          <w:rStyle w:val="Style1"/>
          <w:color w:val="C00000"/>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r w:rsidR="00703429">
        <w:rPr>
          <w:rStyle w:val="Style1"/>
          <w:b/>
          <w:bCs/>
          <w:color w:val="C00000"/>
          <w:u w:val="single"/>
        </w:rPr>
        <w:t>201</w:t>
      </w:r>
      <w:r w:rsidR="005B4052">
        <w:rPr>
          <w:rStyle w:val="Style1"/>
          <w:b/>
          <w:bCs/>
          <w:color w:val="C00000"/>
          <w:u w:val="single"/>
        </w:rPr>
        <w:t>9</w:t>
      </w:r>
      <w:r w:rsidR="00703429">
        <w:rPr>
          <w:rStyle w:val="Style1"/>
          <w:b/>
          <w:bCs/>
          <w:color w:val="C00000"/>
          <w:u w:val="single"/>
        </w:rPr>
        <w:t xml:space="preserve"> Submission</w:t>
      </w:r>
      <w:r w:rsidR="00703429">
        <w:rPr>
          <w:rStyle w:val="Style1"/>
          <w:color w:val="C00000"/>
        </w:rPr>
        <w:t xml:space="preserve"> </w:t>
      </w:r>
    </w:p>
    <w:p w14:paraId="11E6A680" w14:textId="77777777" w:rsidR="00703429" w:rsidRDefault="00703429" w:rsidP="00D23AD7">
      <w:pPr>
        <w:autoSpaceDE w:val="0"/>
        <w:autoSpaceDN w:val="0"/>
        <w:adjustRightInd w:val="0"/>
        <w:spacing w:after="0" w:line="240" w:lineRule="auto"/>
        <w:contextualSpacing/>
        <w:rPr>
          <w:rStyle w:val="Style1"/>
          <w:color w:val="C00000"/>
        </w:rPr>
      </w:pPr>
      <w:r>
        <w:rPr>
          <w:rStyle w:val="Style1"/>
          <w:color w:val="C00000"/>
        </w:rPr>
        <w:t>HEDIS measures apply to enrolled members in a health plan, and NCQA has a rigorous audit process to ensure the eligible population and numerator events for each measure are correctly identified and reported. The audit process is designed to verify primary data sources used to populate measures and ensure specifications are correctly implemented.  </w:t>
      </w:r>
    </w:p>
    <w:p w14:paraId="588E35F8" w14:textId="77777777" w:rsidR="00703429" w:rsidRDefault="00703429" w:rsidP="00D23AD7">
      <w:pPr>
        <w:autoSpaceDE w:val="0"/>
        <w:autoSpaceDN w:val="0"/>
        <w:adjustRightInd w:val="0"/>
        <w:spacing w:after="0" w:line="240" w:lineRule="auto"/>
        <w:contextualSpacing/>
        <w:rPr>
          <w:rStyle w:val="Style1"/>
          <w:color w:val="C00000"/>
        </w:rPr>
      </w:pPr>
      <w:r>
        <w:rPr>
          <w:rStyle w:val="Style1"/>
          <w:color w:val="C00000"/>
        </w:rPr>
        <w:lastRenderedPageBreak/>
        <w:t>The HEDIS Compliance Audit addresses the following functions:   </w:t>
      </w:r>
    </w:p>
    <w:p w14:paraId="62B95125" w14:textId="77777777" w:rsidR="00703429" w:rsidRDefault="00703429" w:rsidP="00D23AD7">
      <w:pPr>
        <w:autoSpaceDE w:val="0"/>
        <w:autoSpaceDN w:val="0"/>
        <w:adjustRightInd w:val="0"/>
        <w:spacing w:after="0" w:line="240" w:lineRule="auto"/>
        <w:contextualSpacing/>
        <w:rPr>
          <w:rStyle w:val="Style1"/>
          <w:color w:val="C00000"/>
        </w:rPr>
      </w:pPr>
      <w:r>
        <w:rPr>
          <w:rStyle w:val="Style1"/>
          <w:color w:val="C00000"/>
        </w:rPr>
        <w:t>- Information practices and control procedures  </w:t>
      </w:r>
    </w:p>
    <w:p w14:paraId="7A6AE16A" w14:textId="77777777" w:rsidR="00703429" w:rsidRDefault="00703429" w:rsidP="00D23AD7">
      <w:pPr>
        <w:autoSpaceDE w:val="0"/>
        <w:autoSpaceDN w:val="0"/>
        <w:adjustRightInd w:val="0"/>
        <w:spacing w:after="0" w:line="240" w:lineRule="auto"/>
        <w:contextualSpacing/>
        <w:rPr>
          <w:rStyle w:val="Style1"/>
          <w:color w:val="C00000"/>
        </w:rPr>
      </w:pPr>
      <w:r>
        <w:rPr>
          <w:rStyle w:val="Style1"/>
          <w:color w:val="C00000"/>
        </w:rPr>
        <w:t>- Sampling methods and procedures  </w:t>
      </w:r>
    </w:p>
    <w:p w14:paraId="71568BB4" w14:textId="77777777" w:rsidR="00703429" w:rsidRDefault="00703429" w:rsidP="00D23AD7">
      <w:pPr>
        <w:autoSpaceDE w:val="0"/>
        <w:autoSpaceDN w:val="0"/>
        <w:adjustRightInd w:val="0"/>
        <w:spacing w:after="0" w:line="240" w:lineRule="auto"/>
        <w:contextualSpacing/>
        <w:rPr>
          <w:rStyle w:val="Style1"/>
          <w:color w:val="C00000"/>
        </w:rPr>
      </w:pPr>
      <w:r>
        <w:rPr>
          <w:rStyle w:val="Style1"/>
          <w:color w:val="C00000"/>
        </w:rPr>
        <w:t>- Data integrity  </w:t>
      </w:r>
    </w:p>
    <w:p w14:paraId="203A5D52" w14:textId="77777777" w:rsidR="00703429" w:rsidRDefault="00703429" w:rsidP="00D23AD7">
      <w:pPr>
        <w:autoSpaceDE w:val="0"/>
        <w:autoSpaceDN w:val="0"/>
        <w:adjustRightInd w:val="0"/>
        <w:spacing w:after="0" w:line="240" w:lineRule="auto"/>
        <w:contextualSpacing/>
        <w:rPr>
          <w:rStyle w:val="Style1"/>
          <w:color w:val="C00000"/>
        </w:rPr>
      </w:pPr>
      <w:r>
        <w:rPr>
          <w:rStyle w:val="Style1"/>
          <w:color w:val="C00000"/>
        </w:rPr>
        <w:t>- Compliance with HEDIS specifications  </w:t>
      </w:r>
    </w:p>
    <w:p w14:paraId="7A1AE009" w14:textId="77777777" w:rsidR="00703429" w:rsidRDefault="00703429" w:rsidP="00D23AD7">
      <w:pPr>
        <w:autoSpaceDE w:val="0"/>
        <w:autoSpaceDN w:val="0"/>
        <w:adjustRightInd w:val="0"/>
        <w:spacing w:after="0" w:line="240" w:lineRule="auto"/>
        <w:contextualSpacing/>
        <w:rPr>
          <w:rStyle w:val="Style1"/>
          <w:color w:val="C00000"/>
        </w:rPr>
      </w:pPr>
      <w:r>
        <w:rPr>
          <w:rStyle w:val="Style1"/>
          <w:color w:val="C00000"/>
        </w:rPr>
        <w:t>- Analytic file production   </w:t>
      </w:r>
    </w:p>
    <w:p w14:paraId="7411C3E2" w14:textId="77777777" w:rsidR="00703429" w:rsidRDefault="00703429" w:rsidP="00D23AD7">
      <w:pPr>
        <w:autoSpaceDE w:val="0"/>
        <w:autoSpaceDN w:val="0"/>
        <w:adjustRightInd w:val="0"/>
        <w:spacing w:after="0" w:line="240" w:lineRule="auto"/>
        <w:contextualSpacing/>
        <w:rPr>
          <w:rStyle w:val="Style1"/>
          <w:color w:val="C00000"/>
        </w:rPr>
      </w:pPr>
      <w:r>
        <w:rPr>
          <w:rStyle w:val="Style1"/>
          <w:color w:val="C00000"/>
        </w:rPr>
        <w:t>- Reporting and documentation   </w:t>
      </w:r>
    </w:p>
    <w:p w14:paraId="6894B6CD" w14:textId="77777777" w:rsidR="00703429" w:rsidRDefault="00703429" w:rsidP="00D23AD7">
      <w:pPr>
        <w:autoSpaceDE w:val="0"/>
        <w:autoSpaceDN w:val="0"/>
        <w:adjustRightInd w:val="0"/>
        <w:spacing w:after="0" w:line="240" w:lineRule="auto"/>
        <w:contextualSpacing/>
        <w:rPr>
          <w:rStyle w:val="Style1"/>
          <w:b/>
          <w:bCs/>
          <w:color w:val="4F81BD" w:themeColor="accent1"/>
          <w:u w:val="single"/>
        </w:rPr>
      </w:pPr>
    </w:p>
    <w:p w14:paraId="2C35C07F" w14:textId="77777777" w:rsidR="00703429" w:rsidRDefault="00703429" w:rsidP="00D23AD7">
      <w:pPr>
        <w:autoSpaceDE w:val="0"/>
        <w:autoSpaceDN w:val="0"/>
        <w:adjustRightInd w:val="0"/>
        <w:spacing w:after="0" w:line="240" w:lineRule="auto"/>
        <w:contextualSpacing/>
        <w:rPr>
          <w:rStyle w:val="Style1"/>
          <w:rFonts w:cstheme="minorHAnsi"/>
          <w:bCs/>
          <w:color w:val="auto"/>
        </w:rPr>
      </w:pPr>
      <w:r>
        <w:rPr>
          <w:rStyle w:val="Style1"/>
          <w:b/>
          <w:bCs/>
          <w:color w:val="4F81BD" w:themeColor="accent1"/>
          <w:u w:val="single"/>
        </w:rPr>
        <w:t>2014 Submission</w:t>
      </w:r>
    </w:p>
    <w:p w14:paraId="0CABD01C" w14:textId="601E6763" w:rsidR="008F7E67"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This measure is collected using all available administrative claims; there are no missing data on this measure.</w:t>
      </w:r>
    </w:p>
    <w:p w14:paraId="09713901" w14:textId="77777777" w:rsidR="00703429" w:rsidRPr="00703429" w:rsidRDefault="00703429" w:rsidP="00D23AD7">
      <w:pPr>
        <w:autoSpaceDE w:val="0"/>
        <w:autoSpaceDN w:val="0"/>
        <w:adjustRightInd w:val="0"/>
        <w:spacing w:after="0" w:line="240" w:lineRule="auto"/>
        <w:contextualSpacing/>
        <w:rPr>
          <w:rFonts w:cstheme="minorHAnsi"/>
          <w:bCs/>
          <w:color w:val="4F81BD" w:themeColor="accent1"/>
        </w:rPr>
      </w:pPr>
    </w:p>
    <w:p w14:paraId="0CABD01D" w14:textId="27F68AF6" w:rsidR="008F7E67" w:rsidRDefault="009C7513" w:rsidP="00D23AD7">
      <w:pPr>
        <w:autoSpaceDE w:val="0"/>
        <w:autoSpaceDN w:val="0"/>
        <w:adjustRightInd w:val="0"/>
        <w:spacing w:after="0" w:line="240" w:lineRule="auto"/>
        <w:contextualSpacing/>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672B9BB5" w14:textId="3C63F4F1" w:rsidR="00703429" w:rsidRDefault="00703429" w:rsidP="00D23AD7">
      <w:pPr>
        <w:autoSpaceDE w:val="0"/>
        <w:autoSpaceDN w:val="0"/>
        <w:adjustRightInd w:val="0"/>
        <w:spacing w:after="0" w:line="240" w:lineRule="auto"/>
        <w:contextualSpacing/>
        <w:rPr>
          <w:rStyle w:val="Style1"/>
        </w:rPr>
      </w:pPr>
      <w:r>
        <w:rPr>
          <w:rStyle w:val="Style1"/>
          <w:b/>
          <w:bCs/>
          <w:color w:val="C00000"/>
          <w:u w:val="single"/>
        </w:rPr>
        <w:t>201</w:t>
      </w:r>
      <w:r w:rsidR="005B4052">
        <w:rPr>
          <w:rStyle w:val="Style1"/>
          <w:b/>
          <w:bCs/>
          <w:color w:val="C00000"/>
          <w:u w:val="single"/>
        </w:rPr>
        <w:t>9</w:t>
      </w:r>
      <w:r>
        <w:rPr>
          <w:rStyle w:val="Style1"/>
          <w:b/>
          <w:bCs/>
          <w:color w:val="C00000"/>
          <w:u w:val="single"/>
        </w:rPr>
        <w:t xml:space="preserve"> Submission</w:t>
      </w:r>
      <w:r>
        <w:rPr>
          <w:rStyle w:val="Style1"/>
        </w:rPr>
        <w:t xml:space="preserve"> </w:t>
      </w:r>
    </w:p>
    <w:p w14:paraId="42D15848" w14:textId="5768FBEC" w:rsidR="00703429" w:rsidRPr="00783695" w:rsidRDefault="00783695" w:rsidP="00783695">
      <w:pPr>
        <w:autoSpaceDE w:val="0"/>
        <w:autoSpaceDN w:val="0"/>
        <w:adjustRightInd w:val="0"/>
        <w:spacing w:line="240" w:lineRule="auto"/>
        <w:rPr>
          <w:color w:val="C00000"/>
        </w:rPr>
      </w:pPr>
      <w:r>
        <w:rPr>
          <w:rStyle w:val="Style1"/>
          <w:color w:val="C00000"/>
        </w:rPr>
        <w:t>HEDIS addresses missing data in a structured way through its audit process. HEDIS measures apply to enrolled members in a health plan, and NCQA-certified auditors use standard audit methodologies to assess whether data sources are missing data. If a data source is found to be missing data, and the issues cannot be rectified, the auditor will assign a “materially biased” designation to the measure for that reporting plan, and the rate will not be used. Once measures are added to HEDIS, NCQA conducts a first-year analysis to assess the measure’s feasibility once widely implemented in the field. This analysis includes an assessment of how many plans report valid rates vs. rates that are materially biased. These considerations are weighed in the deliberation process before measures are approved for public reporting.</w:t>
      </w:r>
    </w:p>
    <w:p w14:paraId="7434A5E2" w14:textId="77777777" w:rsidR="00703429" w:rsidRDefault="00703429" w:rsidP="00D23AD7">
      <w:pPr>
        <w:autoSpaceDE w:val="0"/>
        <w:autoSpaceDN w:val="0"/>
        <w:adjustRightInd w:val="0"/>
        <w:spacing w:after="0" w:line="240" w:lineRule="auto"/>
        <w:contextualSpacing/>
        <w:rPr>
          <w:rFonts w:cstheme="minorHAnsi"/>
          <w:bCs/>
        </w:rPr>
      </w:pPr>
      <w:r>
        <w:rPr>
          <w:rStyle w:val="Style1"/>
          <w:b/>
          <w:bCs/>
          <w:color w:val="4F81BD" w:themeColor="accent1"/>
          <w:u w:val="single"/>
        </w:rPr>
        <w:t>2014 Submission</w:t>
      </w:r>
    </w:p>
    <w:p w14:paraId="24DDE4CF" w14:textId="0AEC5055" w:rsidR="00703429" w:rsidRP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Not applicable.</w:t>
      </w:r>
    </w:p>
    <w:p w14:paraId="0CABD01E" w14:textId="77777777" w:rsidR="008F7E67" w:rsidRPr="00E1508F" w:rsidRDefault="008F7E67" w:rsidP="00D23AD7">
      <w:pPr>
        <w:autoSpaceDE w:val="0"/>
        <w:autoSpaceDN w:val="0"/>
        <w:adjustRightInd w:val="0"/>
        <w:spacing w:after="0" w:line="240" w:lineRule="auto"/>
        <w:contextualSpacing/>
        <w:rPr>
          <w:rFonts w:cstheme="minorHAnsi"/>
          <w:bCs/>
        </w:rPr>
      </w:pPr>
    </w:p>
    <w:p w14:paraId="0CABD01F" w14:textId="1851BD9F" w:rsidR="008B604D" w:rsidRDefault="009C7513" w:rsidP="00D23AD7">
      <w:pPr>
        <w:autoSpaceDE w:val="0"/>
        <w:autoSpaceDN w:val="0"/>
        <w:adjustRightInd w:val="0"/>
        <w:spacing w:after="0" w:line="240" w:lineRule="auto"/>
        <w:contextualSpacing/>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4A9856B1" w14:textId="040B4789" w:rsidR="00703429" w:rsidRDefault="00703429" w:rsidP="00D23AD7">
      <w:pPr>
        <w:autoSpaceDE w:val="0"/>
        <w:autoSpaceDN w:val="0"/>
        <w:adjustRightInd w:val="0"/>
        <w:spacing w:after="0" w:line="240" w:lineRule="auto"/>
        <w:contextualSpacing/>
        <w:rPr>
          <w:rStyle w:val="Style1"/>
        </w:rPr>
      </w:pPr>
      <w:r>
        <w:rPr>
          <w:rStyle w:val="Style1"/>
          <w:b/>
          <w:bCs/>
          <w:color w:val="C00000"/>
          <w:u w:val="single"/>
        </w:rPr>
        <w:t>201</w:t>
      </w:r>
      <w:r w:rsidR="005B4052">
        <w:rPr>
          <w:rStyle w:val="Style1"/>
          <w:b/>
          <w:bCs/>
          <w:color w:val="C00000"/>
          <w:u w:val="single"/>
        </w:rPr>
        <w:t>9</w:t>
      </w:r>
      <w:r>
        <w:rPr>
          <w:rStyle w:val="Style1"/>
          <w:b/>
          <w:bCs/>
          <w:color w:val="C00000"/>
          <w:u w:val="single"/>
        </w:rPr>
        <w:t xml:space="preserve"> Submission</w:t>
      </w:r>
      <w:r>
        <w:rPr>
          <w:rStyle w:val="Style1"/>
        </w:rPr>
        <w:t xml:space="preserve"> </w:t>
      </w:r>
    </w:p>
    <w:p w14:paraId="5142979F" w14:textId="77777777" w:rsidR="00703429" w:rsidRDefault="00703429" w:rsidP="00D23AD7">
      <w:pPr>
        <w:autoSpaceDE w:val="0"/>
        <w:autoSpaceDN w:val="0"/>
        <w:adjustRightInd w:val="0"/>
        <w:spacing w:after="0" w:line="240" w:lineRule="auto"/>
        <w:contextualSpacing/>
        <w:rPr>
          <w:rStyle w:val="Style1"/>
          <w:color w:val="C00000"/>
        </w:rPr>
      </w:pPr>
      <w:r>
        <w:rPr>
          <w:rStyle w:val="Style1"/>
          <w:color w:val="C00000"/>
        </w:rPr>
        <w:t xml:space="preserve">This measure goes through the NCQA audit process each year to identify potential errors or bias in results. Only performances rates that have been reviewed and determined not to be “materially biased” are reported and used.  </w:t>
      </w:r>
    </w:p>
    <w:p w14:paraId="02BF8801" w14:textId="77777777" w:rsidR="00703429" w:rsidRDefault="00703429" w:rsidP="00D23AD7">
      <w:pPr>
        <w:autoSpaceDE w:val="0"/>
        <w:autoSpaceDN w:val="0"/>
        <w:adjustRightInd w:val="0"/>
        <w:spacing w:after="0" w:line="240" w:lineRule="auto"/>
        <w:contextualSpacing/>
        <w:rPr>
          <w:rStyle w:val="Style1"/>
          <w:color w:val="C00000"/>
        </w:rPr>
      </w:pPr>
    </w:p>
    <w:p w14:paraId="08D14EA8" w14:textId="77777777" w:rsidR="00703429" w:rsidRDefault="00703429" w:rsidP="00D23AD7">
      <w:pPr>
        <w:autoSpaceDE w:val="0"/>
        <w:autoSpaceDN w:val="0"/>
        <w:adjustRightInd w:val="0"/>
        <w:spacing w:after="0" w:line="240" w:lineRule="auto"/>
        <w:contextualSpacing/>
        <w:rPr>
          <w:rFonts w:cstheme="minorHAnsi"/>
          <w:bCs/>
        </w:rPr>
      </w:pPr>
      <w:r>
        <w:rPr>
          <w:rStyle w:val="Style1"/>
          <w:b/>
          <w:bCs/>
          <w:color w:val="4F81BD" w:themeColor="accent1"/>
          <w:u w:val="single"/>
        </w:rPr>
        <w:t>2014 Submission</w:t>
      </w:r>
    </w:p>
    <w:p w14:paraId="60C330AA" w14:textId="77777777" w:rsidR="00703429" w:rsidRDefault="00703429" w:rsidP="00D23AD7">
      <w:pPr>
        <w:autoSpaceDE w:val="0"/>
        <w:autoSpaceDN w:val="0"/>
        <w:adjustRightInd w:val="0"/>
        <w:spacing w:after="0" w:line="240" w:lineRule="auto"/>
        <w:contextualSpacing/>
        <w:rPr>
          <w:rFonts w:cstheme="minorHAnsi"/>
          <w:bCs/>
          <w:color w:val="4F81BD" w:themeColor="accent1"/>
        </w:rPr>
      </w:pPr>
      <w:r>
        <w:rPr>
          <w:rFonts w:cstheme="minorHAnsi"/>
          <w:bCs/>
          <w:color w:val="4F81BD" w:themeColor="accent1"/>
        </w:rPr>
        <w:t>Not applicable.</w:t>
      </w:r>
    </w:p>
    <w:p w14:paraId="3B2ECBFB" w14:textId="77777777" w:rsidR="00703429" w:rsidRDefault="00703429" w:rsidP="00D23AD7">
      <w:pPr>
        <w:autoSpaceDE w:val="0"/>
        <w:autoSpaceDN w:val="0"/>
        <w:adjustRightInd w:val="0"/>
        <w:spacing w:after="0" w:line="240" w:lineRule="auto"/>
        <w:contextualSpacing/>
        <w:rPr>
          <w:rFonts w:cstheme="minorHAnsi"/>
          <w:bCs/>
        </w:rPr>
      </w:pPr>
    </w:p>
    <w:p w14:paraId="0CABD020" w14:textId="77777777" w:rsidR="00BA053B" w:rsidRPr="005560E7" w:rsidRDefault="00BA053B" w:rsidP="00D23AD7">
      <w:pPr>
        <w:autoSpaceDE w:val="0"/>
        <w:autoSpaceDN w:val="0"/>
        <w:adjustRightInd w:val="0"/>
        <w:spacing w:after="0" w:line="240" w:lineRule="auto"/>
        <w:contextualSpacing/>
        <w:rPr>
          <w:rFonts w:cstheme="minorHAnsi"/>
          <w:bCs/>
        </w:rPr>
      </w:pPr>
    </w:p>
    <w:sectPr w:rsidR="00BA053B" w:rsidRPr="005560E7" w:rsidSect="008505D1">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935F1" w14:textId="77777777" w:rsidR="00950391" w:rsidRDefault="00950391" w:rsidP="005C73CA">
      <w:pPr>
        <w:spacing w:after="0" w:line="240" w:lineRule="auto"/>
      </w:pPr>
      <w:r>
        <w:separator/>
      </w:r>
    </w:p>
  </w:endnote>
  <w:endnote w:type="continuationSeparator" w:id="0">
    <w:p w14:paraId="6993898C" w14:textId="77777777" w:rsidR="00950391" w:rsidRDefault="0095039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68229FAD" w:rsidR="00AC06F1" w:rsidRDefault="00AC06F1">
    <w:pPr>
      <w:pStyle w:val="Footer"/>
    </w:pPr>
    <w:r>
      <w:t>Version 7.1 9/6/2017</w:t>
    </w:r>
    <w:r>
      <w:ptab w:relativeTo="margin" w:alignment="right" w:leader="none"/>
    </w: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17EEF" w14:textId="77777777" w:rsidR="00950391" w:rsidRDefault="00950391" w:rsidP="005C73CA">
      <w:pPr>
        <w:spacing w:after="0" w:line="240" w:lineRule="auto"/>
      </w:pPr>
      <w:r>
        <w:separator/>
      </w:r>
    </w:p>
  </w:footnote>
  <w:footnote w:type="continuationSeparator" w:id="0">
    <w:p w14:paraId="041A3FC6" w14:textId="77777777" w:rsidR="00950391" w:rsidRDefault="00950391"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AC06F1" w:rsidRPr="00105D8B" w:rsidRDefault="00AC06F1"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9070FC"/>
    <w:multiLevelType w:val="hybridMultilevel"/>
    <w:tmpl w:val="A8AE9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27"/>
  </w:num>
  <w:num w:numId="11">
    <w:abstractNumId w:val="13"/>
  </w:num>
  <w:num w:numId="12">
    <w:abstractNumId w:val="25"/>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8"/>
  </w:num>
  <w:num w:numId="17">
    <w:abstractNumId w:val="26"/>
  </w:num>
  <w:num w:numId="18">
    <w:abstractNumId w:val="24"/>
  </w:num>
  <w:num w:numId="19">
    <w:abstractNumId w:val="23"/>
  </w:num>
  <w:num w:numId="20">
    <w:abstractNumId w:val="17"/>
  </w:num>
  <w:num w:numId="21">
    <w:abstractNumId w:val="21"/>
  </w:num>
  <w:num w:numId="22">
    <w:abstractNumId w:val="16"/>
  </w:num>
  <w:num w:numId="23">
    <w:abstractNumId w:val="7"/>
  </w:num>
  <w:num w:numId="24">
    <w:abstractNumId w:val="15"/>
  </w:num>
  <w:num w:numId="25">
    <w:abstractNumId w:val="14"/>
  </w:num>
  <w:num w:numId="26">
    <w:abstractNumId w:val="28"/>
  </w:num>
  <w:num w:numId="27">
    <w:abstractNumId w:val="0"/>
  </w:num>
  <w:num w:numId="28">
    <w:abstractNumId w:val="9"/>
  </w:num>
  <w:num w:numId="29">
    <w:abstractNumId w:val="18"/>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07FD"/>
    <w:rsid w:val="00001D73"/>
    <w:rsid w:val="00003469"/>
    <w:rsid w:val="0000711A"/>
    <w:rsid w:val="0001094F"/>
    <w:rsid w:val="00015A9C"/>
    <w:rsid w:val="00021170"/>
    <w:rsid w:val="0002128B"/>
    <w:rsid w:val="00024DFD"/>
    <w:rsid w:val="00027AB8"/>
    <w:rsid w:val="000309DD"/>
    <w:rsid w:val="00031414"/>
    <w:rsid w:val="00033038"/>
    <w:rsid w:val="00033D63"/>
    <w:rsid w:val="0003436F"/>
    <w:rsid w:val="000414E8"/>
    <w:rsid w:val="0004593A"/>
    <w:rsid w:val="00050880"/>
    <w:rsid w:val="00050A3E"/>
    <w:rsid w:val="00052A6F"/>
    <w:rsid w:val="00053F02"/>
    <w:rsid w:val="0005612B"/>
    <w:rsid w:val="000574AB"/>
    <w:rsid w:val="0006147A"/>
    <w:rsid w:val="0006234F"/>
    <w:rsid w:val="00073702"/>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54CE"/>
    <w:rsid w:val="000E78F6"/>
    <w:rsid w:val="000F034A"/>
    <w:rsid w:val="000F06B5"/>
    <w:rsid w:val="000F1B7A"/>
    <w:rsid w:val="000F39E9"/>
    <w:rsid w:val="00104B45"/>
    <w:rsid w:val="00105D8B"/>
    <w:rsid w:val="0011342F"/>
    <w:rsid w:val="00113DB0"/>
    <w:rsid w:val="001202E9"/>
    <w:rsid w:val="0012454F"/>
    <w:rsid w:val="00125273"/>
    <w:rsid w:val="0012575E"/>
    <w:rsid w:val="00127C06"/>
    <w:rsid w:val="00145149"/>
    <w:rsid w:val="00145D4F"/>
    <w:rsid w:val="0014773C"/>
    <w:rsid w:val="00147C6A"/>
    <w:rsid w:val="0015522D"/>
    <w:rsid w:val="00172DE4"/>
    <w:rsid w:val="0017696D"/>
    <w:rsid w:val="001848FC"/>
    <w:rsid w:val="00193F21"/>
    <w:rsid w:val="001969C5"/>
    <w:rsid w:val="001A6CDD"/>
    <w:rsid w:val="001B4F7B"/>
    <w:rsid w:val="001C12EE"/>
    <w:rsid w:val="001C7B02"/>
    <w:rsid w:val="001D6DBF"/>
    <w:rsid w:val="001E4DD4"/>
    <w:rsid w:val="001E69DC"/>
    <w:rsid w:val="001F169D"/>
    <w:rsid w:val="001F1DA1"/>
    <w:rsid w:val="001F6F93"/>
    <w:rsid w:val="001F7A20"/>
    <w:rsid w:val="0021054A"/>
    <w:rsid w:val="0021195A"/>
    <w:rsid w:val="00213383"/>
    <w:rsid w:val="00213D75"/>
    <w:rsid w:val="00220250"/>
    <w:rsid w:val="00222444"/>
    <w:rsid w:val="00226505"/>
    <w:rsid w:val="0022691B"/>
    <w:rsid w:val="00232163"/>
    <w:rsid w:val="0023366C"/>
    <w:rsid w:val="002376F8"/>
    <w:rsid w:val="002408E4"/>
    <w:rsid w:val="00241591"/>
    <w:rsid w:val="00250B4F"/>
    <w:rsid w:val="00255469"/>
    <w:rsid w:val="0025762F"/>
    <w:rsid w:val="00257BA8"/>
    <w:rsid w:val="0026694E"/>
    <w:rsid w:val="00275563"/>
    <w:rsid w:val="0028114D"/>
    <w:rsid w:val="00281EBA"/>
    <w:rsid w:val="00287649"/>
    <w:rsid w:val="00287E84"/>
    <w:rsid w:val="0029286C"/>
    <w:rsid w:val="0029300E"/>
    <w:rsid w:val="002A069E"/>
    <w:rsid w:val="002A2910"/>
    <w:rsid w:val="002B0C3A"/>
    <w:rsid w:val="002B2116"/>
    <w:rsid w:val="002B2D9B"/>
    <w:rsid w:val="002B5016"/>
    <w:rsid w:val="002B742C"/>
    <w:rsid w:val="002B7F4D"/>
    <w:rsid w:val="002C285C"/>
    <w:rsid w:val="002C7BE4"/>
    <w:rsid w:val="002D417D"/>
    <w:rsid w:val="002D5E5D"/>
    <w:rsid w:val="002E78A0"/>
    <w:rsid w:val="002F2687"/>
    <w:rsid w:val="002F36E2"/>
    <w:rsid w:val="002F48E1"/>
    <w:rsid w:val="002F4E39"/>
    <w:rsid w:val="002F4F3B"/>
    <w:rsid w:val="00304C86"/>
    <w:rsid w:val="003059EB"/>
    <w:rsid w:val="003077A4"/>
    <w:rsid w:val="003116AC"/>
    <w:rsid w:val="00315567"/>
    <w:rsid w:val="00330144"/>
    <w:rsid w:val="00334329"/>
    <w:rsid w:val="00345CBA"/>
    <w:rsid w:val="00346245"/>
    <w:rsid w:val="00354F4E"/>
    <w:rsid w:val="00356267"/>
    <w:rsid w:val="00356BAD"/>
    <w:rsid w:val="003605B4"/>
    <w:rsid w:val="0036078B"/>
    <w:rsid w:val="003627AC"/>
    <w:rsid w:val="00366914"/>
    <w:rsid w:val="00372FE3"/>
    <w:rsid w:val="003755CB"/>
    <w:rsid w:val="00383F85"/>
    <w:rsid w:val="00387BA1"/>
    <w:rsid w:val="003A306C"/>
    <w:rsid w:val="003A7DE7"/>
    <w:rsid w:val="003B1006"/>
    <w:rsid w:val="003B7069"/>
    <w:rsid w:val="003C5F11"/>
    <w:rsid w:val="003D24DE"/>
    <w:rsid w:val="003D294B"/>
    <w:rsid w:val="003D6401"/>
    <w:rsid w:val="003E1863"/>
    <w:rsid w:val="003F5CDF"/>
    <w:rsid w:val="004064B4"/>
    <w:rsid w:val="0041445D"/>
    <w:rsid w:val="0041606D"/>
    <w:rsid w:val="00416962"/>
    <w:rsid w:val="004206A8"/>
    <w:rsid w:val="004348CC"/>
    <w:rsid w:val="00437C8E"/>
    <w:rsid w:val="0044531B"/>
    <w:rsid w:val="00450C58"/>
    <w:rsid w:val="00455DBD"/>
    <w:rsid w:val="004658FF"/>
    <w:rsid w:val="00474ED7"/>
    <w:rsid w:val="004756E1"/>
    <w:rsid w:val="0048008A"/>
    <w:rsid w:val="00483E94"/>
    <w:rsid w:val="00484120"/>
    <w:rsid w:val="004853A0"/>
    <w:rsid w:val="004910D9"/>
    <w:rsid w:val="00496B5F"/>
    <w:rsid w:val="004A2E10"/>
    <w:rsid w:val="004B17FF"/>
    <w:rsid w:val="004B1BA0"/>
    <w:rsid w:val="004B6CEE"/>
    <w:rsid w:val="004C2443"/>
    <w:rsid w:val="004C3EEC"/>
    <w:rsid w:val="004C498F"/>
    <w:rsid w:val="004C4D25"/>
    <w:rsid w:val="004C5D29"/>
    <w:rsid w:val="004C680B"/>
    <w:rsid w:val="004C681A"/>
    <w:rsid w:val="004D4D8A"/>
    <w:rsid w:val="004E0B41"/>
    <w:rsid w:val="004F68EE"/>
    <w:rsid w:val="005038D5"/>
    <w:rsid w:val="005107A9"/>
    <w:rsid w:val="00511BA4"/>
    <w:rsid w:val="005149E7"/>
    <w:rsid w:val="005232D6"/>
    <w:rsid w:val="005333CC"/>
    <w:rsid w:val="005363F1"/>
    <w:rsid w:val="00537C1B"/>
    <w:rsid w:val="0055007C"/>
    <w:rsid w:val="00554922"/>
    <w:rsid w:val="00555282"/>
    <w:rsid w:val="005560E7"/>
    <w:rsid w:val="005612CC"/>
    <w:rsid w:val="00563029"/>
    <w:rsid w:val="00565946"/>
    <w:rsid w:val="00567D12"/>
    <w:rsid w:val="00576062"/>
    <w:rsid w:val="0059559F"/>
    <w:rsid w:val="005A49FF"/>
    <w:rsid w:val="005A7634"/>
    <w:rsid w:val="005B4052"/>
    <w:rsid w:val="005B643F"/>
    <w:rsid w:val="005B6F04"/>
    <w:rsid w:val="005C0447"/>
    <w:rsid w:val="005C3A36"/>
    <w:rsid w:val="005C739F"/>
    <w:rsid w:val="005C73CA"/>
    <w:rsid w:val="005D2579"/>
    <w:rsid w:val="005D4768"/>
    <w:rsid w:val="005E1790"/>
    <w:rsid w:val="005E2CAB"/>
    <w:rsid w:val="005E429E"/>
    <w:rsid w:val="005F28DF"/>
    <w:rsid w:val="00601ED4"/>
    <w:rsid w:val="006030BC"/>
    <w:rsid w:val="00612866"/>
    <w:rsid w:val="00616EB5"/>
    <w:rsid w:val="0062315C"/>
    <w:rsid w:val="006269D4"/>
    <w:rsid w:val="006327D8"/>
    <w:rsid w:val="0064070A"/>
    <w:rsid w:val="00643A01"/>
    <w:rsid w:val="00651D44"/>
    <w:rsid w:val="006574D2"/>
    <w:rsid w:val="00663563"/>
    <w:rsid w:val="00664B50"/>
    <w:rsid w:val="006676D4"/>
    <w:rsid w:val="00675535"/>
    <w:rsid w:val="00681359"/>
    <w:rsid w:val="0069157C"/>
    <w:rsid w:val="00696262"/>
    <w:rsid w:val="006A2126"/>
    <w:rsid w:val="006B1BDA"/>
    <w:rsid w:val="006C3A4F"/>
    <w:rsid w:val="006C4845"/>
    <w:rsid w:val="006D6BC1"/>
    <w:rsid w:val="006E2BFC"/>
    <w:rsid w:val="006E5C57"/>
    <w:rsid w:val="006F22A5"/>
    <w:rsid w:val="00702C73"/>
    <w:rsid w:val="00703429"/>
    <w:rsid w:val="0070692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83695"/>
    <w:rsid w:val="0079180E"/>
    <w:rsid w:val="007950CC"/>
    <w:rsid w:val="0079538B"/>
    <w:rsid w:val="007961B8"/>
    <w:rsid w:val="00797624"/>
    <w:rsid w:val="007A4828"/>
    <w:rsid w:val="007B093D"/>
    <w:rsid w:val="007B2069"/>
    <w:rsid w:val="007B4FDA"/>
    <w:rsid w:val="007C04A1"/>
    <w:rsid w:val="007C21FA"/>
    <w:rsid w:val="007C24AF"/>
    <w:rsid w:val="007C666D"/>
    <w:rsid w:val="007D13B1"/>
    <w:rsid w:val="007D4351"/>
    <w:rsid w:val="007D7019"/>
    <w:rsid w:val="007E18DB"/>
    <w:rsid w:val="007E6F1C"/>
    <w:rsid w:val="007E7116"/>
    <w:rsid w:val="007F3CA0"/>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0C24"/>
    <w:rsid w:val="00884486"/>
    <w:rsid w:val="008871A9"/>
    <w:rsid w:val="008916BA"/>
    <w:rsid w:val="00892176"/>
    <w:rsid w:val="008969AD"/>
    <w:rsid w:val="008A1DB7"/>
    <w:rsid w:val="008A403A"/>
    <w:rsid w:val="008A4C13"/>
    <w:rsid w:val="008A4F6C"/>
    <w:rsid w:val="008B604D"/>
    <w:rsid w:val="008C54A9"/>
    <w:rsid w:val="008E67C3"/>
    <w:rsid w:val="008E7C68"/>
    <w:rsid w:val="008F589F"/>
    <w:rsid w:val="008F76A9"/>
    <w:rsid w:val="008F7E67"/>
    <w:rsid w:val="00900DBF"/>
    <w:rsid w:val="009048B9"/>
    <w:rsid w:val="00904E91"/>
    <w:rsid w:val="00915886"/>
    <w:rsid w:val="009214DC"/>
    <w:rsid w:val="00927027"/>
    <w:rsid w:val="009344BA"/>
    <w:rsid w:val="00943BB7"/>
    <w:rsid w:val="00944184"/>
    <w:rsid w:val="00946E61"/>
    <w:rsid w:val="00947F78"/>
    <w:rsid w:val="00950391"/>
    <w:rsid w:val="00952939"/>
    <w:rsid w:val="00953234"/>
    <w:rsid w:val="0096139B"/>
    <w:rsid w:val="00961EAF"/>
    <w:rsid w:val="0096278F"/>
    <w:rsid w:val="0096732D"/>
    <w:rsid w:val="00967D01"/>
    <w:rsid w:val="009726E1"/>
    <w:rsid w:val="00972A04"/>
    <w:rsid w:val="00977591"/>
    <w:rsid w:val="00980E75"/>
    <w:rsid w:val="00985881"/>
    <w:rsid w:val="00994BE0"/>
    <w:rsid w:val="009A25B1"/>
    <w:rsid w:val="009A4608"/>
    <w:rsid w:val="009A6A57"/>
    <w:rsid w:val="009A70BF"/>
    <w:rsid w:val="009B1A15"/>
    <w:rsid w:val="009C0852"/>
    <w:rsid w:val="009C13CA"/>
    <w:rsid w:val="009C32C6"/>
    <w:rsid w:val="009C665F"/>
    <w:rsid w:val="009C7513"/>
    <w:rsid w:val="009D2E8B"/>
    <w:rsid w:val="009D3882"/>
    <w:rsid w:val="009D3CB1"/>
    <w:rsid w:val="009D7E38"/>
    <w:rsid w:val="009E095B"/>
    <w:rsid w:val="009E1666"/>
    <w:rsid w:val="009E1846"/>
    <w:rsid w:val="009E78FF"/>
    <w:rsid w:val="00A01494"/>
    <w:rsid w:val="00A22FA9"/>
    <w:rsid w:val="00A25024"/>
    <w:rsid w:val="00A35F8F"/>
    <w:rsid w:val="00A41377"/>
    <w:rsid w:val="00A4263D"/>
    <w:rsid w:val="00A509B8"/>
    <w:rsid w:val="00A52AB9"/>
    <w:rsid w:val="00A6210B"/>
    <w:rsid w:val="00A64EBF"/>
    <w:rsid w:val="00A67385"/>
    <w:rsid w:val="00A71200"/>
    <w:rsid w:val="00A7323A"/>
    <w:rsid w:val="00A76EB2"/>
    <w:rsid w:val="00A831AA"/>
    <w:rsid w:val="00A831B4"/>
    <w:rsid w:val="00A846ED"/>
    <w:rsid w:val="00A91658"/>
    <w:rsid w:val="00A97798"/>
    <w:rsid w:val="00AA4179"/>
    <w:rsid w:val="00AA5213"/>
    <w:rsid w:val="00AA65A6"/>
    <w:rsid w:val="00AC06F1"/>
    <w:rsid w:val="00AC1D8E"/>
    <w:rsid w:val="00AC48FA"/>
    <w:rsid w:val="00AC6B17"/>
    <w:rsid w:val="00AD0240"/>
    <w:rsid w:val="00AD4137"/>
    <w:rsid w:val="00AF2D68"/>
    <w:rsid w:val="00B037BA"/>
    <w:rsid w:val="00B13FCB"/>
    <w:rsid w:val="00B20139"/>
    <w:rsid w:val="00B218DA"/>
    <w:rsid w:val="00B241A4"/>
    <w:rsid w:val="00B342FA"/>
    <w:rsid w:val="00B53E8B"/>
    <w:rsid w:val="00B65885"/>
    <w:rsid w:val="00B774D2"/>
    <w:rsid w:val="00B8015A"/>
    <w:rsid w:val="00B82A57"/>
    <w:rsid w:val="00BA053B"/>
    <w:rsid w:val="00BB35AE"/>
    <w:rsid w:val="00BC03A1"/>
    <w:rsid w:val="00BC0D25"/>
    <w:rsid w:val="00BD2505"/>
    <w:rsid w:val="00BE296D"/>
    <w:rsid w:val="00BE2BE9"/>
    <w:rsid w:val="00BE592D"/>
    <w:rsid w:val="00BE7987"/>
    <w:rsid w:val="00BF52B0"/>
    <w:rsid w:val="00BF5697"/>
    <w:rsid w:val="00C119BD"/>
    <w:rsid w:val="00C11C51"/>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3378"/>
    <w:rsid w:val="00C867F0"/>
    <w:rsid w:val="00CA06D8"/>
    <w:rsid w:val="00CA345A"/>
    <w:rsid w:val="00CB49FF"/>
    <w:rsid w:val="00CC02CF"/>
    <w:rsid w:val="00CC086A"/>
    <w:rsid w:val="00CD0E24"/>
    <w:rsid w:val="00CD0F66"/>
    <w:rsid w:val="00CD364B"/>
    <w:rsid w:val="00CE23B8"/>
    <w:rsid w:val="00CE284E"/>
    <w:rsid w:val="00CE50D7"/>
    <w:rsid w:val="00CE6239"/>
    <w:rsid w:val="00CF4CBE"/>
    <w:rsid w:val="00D00344"/>
    <w:rsid w:val="00D056B3"/>
    <w:rsid w:val="00D1754D"/>
    <w:rsid w:val="00D2223F"/>
    <w:rsid w:val="00D23AD7"/>
    <w:rsid w:val="00D243C8"/>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5043"/>
    <w:rsid w:val="00DB6944"/>
    <w:rsid w:val="00DC4746"/>
    <w:rsid w:val="00DE1A84"/>
    <w:rsid w:val="00DE4C96"/>
    <w:rsid w:val="00DE7149"/>
    <w:rsid w:val="00E0314C"/>
    <w:rsid w:val="00E03BE6"/>
    <w:rsid w:val="00E1508F"/>
    <w:rsid w:val="00E261DF"/>
    <w:rsid w:val="00E27240"/>
    <w:rsid w:val="00E27EDD"/>
    <w:rsid w:val="00E30584"/>
    <w:rsid w:val="00E310B9"/>
    <w:rsid w:val="00E37221"/>
    <w:rsid w:val="00E37E1B"/>
    <w:rsid w:val="00E562C0"/>
    <w:rsid w:val="00E57FAF"/>
    <w:rsid w:val="00E627CA"/>
    <w:rsid w:val="00E672D6"/>
    <w:rsid w:val="00E76024"/>
    <w:rsid w:val="00E856A2"/>
    <w:rsid w:val="00E94537"/>
    <w:rsid w:val="00E967AD"/>
    <w:rsid w:val="00E96884"/>
    <w:rsid w:val="00EA5435"/>
    <w:rsid w:val="00EA5F47"/>
    <w:rsid w:val="00EB455E"/>
    <w:rsid w:val="00EC4330"/>
    <w:rsid w:val="00EC79DE"/>
    <w:rsid w:val="00ED4ACE"/>
    <w:rsid w:val="00ED5B2A"/>
    <w:rsid w:val="00EE4D35"/>
    <w:rsid w:val="00EF2DA7"/>
    <w:rsid w:val="00F1412B"/>
    <w:rsid w:val="00F15BFA"/>
    <w:rsid w:val="00F34FAB"/>
    <w:rsid w:val="00F435AA"/>
    <w:rsid w:val="00F5738A"/>
    <w:rsid w:val="00F608BE"/>
    <w:rsid w:val="00F612D4"/>
    <w:rsid w:val="00F7389E"/>
    <w:rsid w:val="00F77F1D"/>
    <w:rsid w:val="00F87CCB"/>
    <w:rsid w:val="00FA48C7"/>
    <w:rsid w:val="00FB51FB"/>
    <w:rsid w:val="00FB73C1"/>
    <w:rsid w:val="00FD71F5"/>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normaltextrun">
    <w:name w:val="normaltextrun"/>
    <w:basedOn w:val="DefaultParagraphFont"/>
    <w:rsid w:val="000508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891467">
      <w:bodyDiv w:val="1"/>
      <w:marLeft w:val="0"/>
      <w:marRight w:val="0"/>
      <w:marTop w:val="0"/>
      <w:marBottom w:val="0"/>
      <w:divBdr>
        <w:top w:val="none" w:sz="0" w:space="0" w:color="auto"/>
        <w:left w:val="none" w:sz="0" w:space="0" w:color="auto"/>
        <w:bottom w:val="none" w:sz="0" w:space="0" w:color="auto"/>
        <w:right w:val="none" w:sz="0" w:space="0" w:color="auto"/>
      </w:divBdr>
    </w:div>
    <w:div w:id="357899711">
      <w:bodyDiv w:val="1"/>
      <w:marLeft w:val="0"/>
      <w:marRight w:val="0"/>
      <w:marTop w:val="0"/>
      <w:marBottom w:val="0"/>
      <w:divBdr>
        <w:top w:val="none" w:sz="0" w:space="0" w:color="auto"/>
        <w:left w:val="none" w:sz="0" w:space="0" w:color="auto"/>
        <w:bottom w:val="none" w:sz="0" w:space="0" w:color="auto"/>
        <w:right w:val="none" w:sz="0" w:space="0" w:color="auto"/>
      </w:divBdr>
    </w:div>
    <w:div w:id="367727646">
      <w:bodyDiv w:val="1"/>
      <w:marLeft w:val="0"/>
      <w:marRight w:val="0"/>
      <w:marTop w:val="0"/>
      <w:marBottom w:val="0"/>
      <w:divBdr>
        <w:top w:val="none" w:sz="0" w:space="0" w:color="auto"/>
        <w:left w:val="none" w:sz="0" w:space="0" w:color="auto"/>
        <w:bottom w:val="none" w:sz="0" w:space="0" w:color="auto"/>
        <w:right w:val="none" w:sz="0" w:space="0" w:color="auto"/>
      </w:divBdr>
    </w:div>
    <w:div w:id="394813611">
      <w:bodyDiv w:val="1"/>
      <w:marLeft w:val="0"/>
      <w:marRight w:val="0"/>
      <w:marTop w:val="0"/>
      <w:marBottom w:val="0"/>
      <w:divBdr>
        <w:top w:val="none" w:sz="0" w:space="0" w:color="auto"/>
        <w:left w:val="none" w:sz="0" w:space="0" w:color="auto"/>
        <w:bottom w:val="none" w:sz="0" w:space="0" w:color="auto"/>
        <w:right w:val="none" w:sz="0" w:space="0" w:color="auto"/>
      </w:divBdr>
    </w:div>
    <w:div w:id="466515251">
      <w:bodyDiv w:val="1"/>
      <w:marLeft w:val="0"/>
      <w:marRight w:val="0"/>
      <w:marTop w:val="0"/>
      <w:marBottom w:val="0"/>
      <w:divBdr>
        <w:top w:val="none" w:sz="0" w:space="0" w:color="auto"/>
        <w:left w:val="none" w:sz="0" w:space="0" w:color="auto"/>
        <w:bottom w:val="none" w:sz="0" w:space="0" w:color="auto"/>
        <w:right w:val="none" w:sz="0" w:space="0" w:color="auto"/>
      </w:divBdr>
    </w:div>
    <w:div w:id="48085618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29612445">
      <w:bodyDiv w:val="1"/>
      <w:marLeft w:val="0"/>
      <w:marRight w:val="0"/>
      <w:marTop w:val="0"/>
      <w:marBottom w:val="0"/>
      <w:divBdr>
        <w:top w:val="none" w:sz="0" w:space="0" w:color="auto"/>
        <w:left w:val="none" w:sz="0" w:space="0" w:color="auto"/>
        <w:bottom w:val="none" w:sz="0" w:space="0" w:color="auto"/>
        <w:right w:val="none" w:sz="0" w:space="0" w:color="auto"/>
      </w:divBdr>
    </w:div>
    <w:div w:id="622928513">
      <w:bodyDiv w:val="1"/>
      <w:marLeft w:val="0"/>
      <w:marRight w:val="0"/>
      <w:marTop w:val="0"/>
      <w:marBottom w:val="0"/>
      <w:divBdr>
        <w:top w:val="none" w:sz="0" w:space="0" w:color="auto"/>
        <w:left w:val="none" w:sz="0" w:space="0" w:color="auto"/>
        <w:bottom w:val="none" w:sz="0" w:space="0" w:color="auto"/>
        <w:right w:val="none" w:sz="0" w:space="0" w:color="auto"/>
      </w:divBdr>
    </w:div>
    <w:div w:id="669715346">
      <w:bodyDiv w:val="1"/>
      <w:marLeft w:val="0"/>
      <w:marRight w:val="0"/>
      <w:marTop w:val="0"/>
      <w:marBottom w:val="0"/>
      <w:divBdr>
        <w:top w:val="none" w:sz="0" w:space="0" w:color="auto"/>
        <w:left w:val="none" w:sz="0" w:space="0" w:color="auto"/>
        <w:bottom w:val="none" w:sz="0" w:space="0" w:color="auto"/>
        <w:right w:val="none" w:sz="0" w:space="0" w:color="auto"/>
      </w:divBdr>
    </w:div>
    <w:div w:id="735319012">
      <w:bodyDiv w:val="1"/>
      <w:marLeft w:val="0"/>
      <w:marRight w:val="0"/>
      <w:marTop w:val="0"/>
      <w:marBottom w:val="0"/>
      <w:divBdr>
        <w:top w:val="none" w:sz="0" w:space="0" w:color="auto"/>
        <w:left w:val="none" w:sz="0" w:space="0" w:color="auto"/>
        <w:bottom w:val="none" w:sz="0" w:space="0" w:color="auto"/>
        <w:right w:val="none" w:sz="0" w:space="0" w:color="auto"/>
      </w:divBdr>
    </w:div>
    <w:div w:id="751511210">
      <w:bodyDiv w:val="1"/>
      <w:marLeft w:val="0"/>
      <w:marRight w:val="0"/>
      <w:marTop w:val="0"/>
      <w:marBottom w:val="0"/>
      <w:divBdr>
        <w:top w:val="none" w:sz="0" w:space="0" w:color="auto"/>
        <w:left w:val="none" w:sz="0" w:space="0" w:color="auto"/>
        <w:bottom w:val="none" w:sz="0" w:space="0" w:color="auto"/>
        <w:right w:val="none" w:sz="0" w:space="0" w:color="auto"/>
      </w:divBdr>
    </w:div>
    <w:div w:id="907377191">
      <w:bodyDiv w:val="1"/>
      <w:marLeft w:val="0"/>
      <w:marRight w:val="0"/>
      <w:marTop w:val="0"/>
      <w:marBottom w:val="0"/>
      <w:divBdr>
        <w:top w:val="none" w:sz="0" w:space="0" w:color="auto"/>
        <w:left w:val="none" w:sz="0" w:space="0" w:color="auto"/>
        <w:bottom w:val="none" w:sz="0" w:space="0" w:color="auto"/>
        <w:right w:val="none" w:sz="0" w:space="0" w:color="auto"/>
      </w:divBdr>
    </w:div>
    <w:div w:id="910427945">
      <w:bodyDiv w:val="1"/>
      <w:marLeft w:val="0"/>
      <w:marRight w:val="0"/>
      <w:marTop w:val="0"/>
      <w:marBottom w:val="0"/>
      <w:divBdr>
        <w:top w:val="none" w:sz="0" w:space="0" w:color="auto"/>
        <w:left w:val="none" w:sz="0" w:space="0" w:color="auto"/>
        <w:bottom w:val="none" w:sz="0" w:space="0" w:color="auto"/>
        <w:right w:val="none" w:sz="0" w:space="0" w:color="auto"/>
      </w:divBdr>
    </w:div>
    <w:div w:id="1072964884">
      <w:bodyDiv w:val="1"/>
      <w:marLeft w:val="0"/>
      <w:marRight w:val="0"/>
      <w:marTop w:val="0"/>
      <w:marBottom w:val="0"/>
      <w:divBdr>
        <w:top w:val="none" w:sz="0" w:space="0" w:color="auto"/>
        <w:left w:val="none" w:sz="0" w:space="0" w:color="auto"/>
        <w:bottom w:val="none" w:sz="0" w:space="0" w:color="auto"/>
        <w:right w:val="none" w:sz="0" w:space="0" w:color="auto"/>
      </w:divBdr>
    </w:div>
    <w:div w:id="1140421539">
      <w:bodyDiv w:val="1"/>
      <w:marLeft w:val="0"/>
      <w:marRight w:val="0"/>
      <w:marTop w:val="0"/>
      <w:marBottom w:val="0"/>
      <w:divBdr>
        <w:top w:val="none" w:sz="0" w:space="0" w:color="auto"/>
        <w:left w:val="none" w:sz="0" w:space="0" w:color="auto"/>
        <w:bottom w:val="none" w:sz="0" w:space="0" w:color="auto"/>
        <w:right w:val="none" w:sz="0" w:space="0" w:color="auto"/>
      </w:divBdr>
    </w:div>
    <w:div w:id="1157191143">
      <w:bodyDiv w:val="1"/>
      <w:marLeft w:val="0"/>
      <w:marRight w:val="0"/>
      <w:marTop w:val="0"/>
      <w:marBottom w:val="0"/>
      <w:divBdr>
        <w:top w:val="none" w:sz="0" w:space="0" w:color="auto"/>
        <w:left w:val="none" w:sz="0" w:space="0" w:color="auto"/>
        <w:bottom w:val="none" w:sz="0" w:space="0" w:color="auto"/>
        <w:right w:val="none" w:sz="0" w:space="0" w:color="auto"/>
      </w:divBdr>
    </w:div>
    <w:div w:id="1286891563">
      <w:bodyDiv w:val="1"/>
      <w:marLeft w:val="0"/>
      <w:marRight w:val="0"/>
      <w:marTop w:val="0"/>
      <w:marBottom w:val="0"/>
      <w:divBdr>
        <w:top w:val="none" w:sz="0" w:space="0" w:color="auto"/>
        <w:left w:val="none" w:sz="0" w:space="0" w:color="auto"/>
        <w:bottom w:val="none" w:sz="0" w:space="0" w:color="auto"/>
        <w:right w:val="none" w:sz="0" w:space="0" w:color="auto"/>
      </w:divBdr>
    </w:div>
    <w:div w:id="1434739351">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71050093">
      <w:bodyDiv w:val="1"/>
      <w:marLeft w:val="0"/>
      <w:marRight w:val="0"/>
      <w:marTop w:val="0"/>
      <w:marBottom w:val="0"/>
      <w:divBdr>
        <w:top w:val="none" w:sz="0" w:space="0" w:color="auto"/>
        <w:left w:val="none" w:sz="0" w:space="0" w:color="auto"/>
        <w:bottom w:val="none" w:sz="0" w:space="0" w:color="auto"/>
        <w:right w:val="none" w:sz="0" w:space="0" w:color="auto"/>
      </w:divBdr>
    </w:div>
    <w:div w:id="1644389700">
      <w:bodyDiv w:val="1"/>
      <w:marLeft w:val="0"/>
      <w:marRight w:val="0"/>
      <w:marTop w:val="0"/>
      <w:marBottom w:val="0"/>
      <w:divBdr>
        <w:top w:val="none" w:sz="0" w:space="0" w:color="auto"/>
        <w:left w:val="none" w:sz="0" w:space="0" w:color="auto"/>
        <w:bottom w:val="none" w:sz="0" w:space="0" w:color="auto"/>
        <w:right w:val="none" w:sz="0" w:space="0" w:color="auto"/>
      </w:divBdr>
    </w:div>
    <w:div w:id="1748650920">
      <w:bodyDiv w:val="1"/>
      <w:marLeft w:val="0"/>
      <w:marRight w:val="0"/>
      <w:marTop w:val="0"/>
      <w:marBottom w:val="0"/>
      <w:divBdr>
        <w:top w:val="none" w:sz="0" w:space="0" w:color="auto"/>
        <w:left w:val="none" w:sz="0" w:space="0" w:color="auto"/>
        <w:bottom w:val="none" w:sz="0" w:space="0" w:color="auto"/>
        <w:right w:val="none" w:sz="0" w:space="0" w:color="auto"/>
      </w:divBdr>
    </w:div>
    <w:div w:id="1780374285">
      <w:bodyDiv w:val="1"/>
      <w:marLeft w:val="0"/>
      <w:marRight w:val="0"/>
      <w:marTop w:val="0"/>
      <w:marBottom w:val="0"/>
      <w:divBdr>
        <w:top w:val="none" w:sz="0" w:space="0" w:color="auto"/>
        <w:left w:val="none" w:sz="0" w:space="0" w:color="auto"/>
        <w:bottom w:val="none" w:sz="0" w:space="0" w:color="auto"/>
        <w:right w:val="none" w:sz="0" w:space="0" w:color="auto"/>
      </w:divBdr>
    </w:div>
    <w:div w:id="1806463055">
      <w:bodyDiv w:val="1"/>
      <w:marLeft w:val="0"/>
      <w:marRight w:val="0"/>
      <w:marTop w:val="0"/>
      <w:marBottom w:val="0"/>
      <w:divBdr>
        <w:top w:val="none" w:sz="0" w:space="0" w:color="auto"/>
        <w:left w:val="none" w:sz="0" w:space="0" w:color="auto"/>
        <w:bottom w:val="none" w:sz="0" w:space="0" w:color="auto"/>
        <w:right w:val="none" w:sz="0" w:space="0" w:color="auto"/>
      </w:divBdr>
    </w:div>
    <w:div w:id="1808011101">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38106572">
      <w:bodyDiv w:val="1"/>
      <w:marLeft w:val="0"/>
      <w:marRight w:val="0"/>
      <w:marTop w:val="0"/>
      <w:marBottom w:val="0"/>
      <w:divBdr>
        <w:top w:val="none" w:sz="0" w:space="0" w:color="auto"/>
        <w:left w:val="none" w:sz="0" w:space="0" w:color="auto"/>
        <w:bottom w:val="none" w:sz="0" w:space="0" w:color="auto"/>
        <w:right w:val="none" w:sz="0" w:space="0" w:color="auto"/>
      </w:divBdr>
    </w:div>
    <w:div w:id="1851947737">
      <w:bodyDiv w:val="1"/>
      <w:marLeft w:val="0"/>
      <w:marRight w:val="0"/>
      <w:marTop w:val="0"/>
      <w:marBottom w:val="0"/>
      <w:divBdr>
        <w:top w:val="none" w:sz="0" w:space="0" w:color="auto"/>
        <w:left w:val="none" w:sz="0" w:space="0" w:color="auto"/>
        <w:bottom w:val="none" w:sz="0" w:space="0" w:color="auto"/>
        <w:right w:val="none" w:sz="0" w:space="0" w:color="auto"/>
      </w:divBdr>
    </w:div>
    <w:div w:id="1866089753">
      <w:bodyDiv w:val="1"/>
      <w:marLeft w:val="0"/>
      <w:marRight w:val="0"/>
      <w:marTop w:val="0"/>
      <w:marBottom w:val="0"/>
      <w:divBdr>
        <w:top w:val="none" w:sz="0" w:space="0" w:color="auto"/>
        <w:left w:val="none" w:sz="0" w:space="0" w:color="auto"/>
        <w:bottom w:val="none" w:sz="0" w:space="0" w:color="auto"/>
        <w:right w:val="none" w:sz="0" w:space="0" w:color="auto"/>
      </w:divBdr>
    </w:div>
    <w:div w:id="2003965509">
      <w:bodyDiv w:val="1"/>
      <w:marLeft w:val="0"/>
      <w:marRight w:val="0"/>
      <w:marTop w:val="0"/>
      <w:marBottom w:val="0"/>
      <w:divBdr>
        <w:top w:val="none" w:sz="0" w:space="0" w:color="auto"/>
        <w:left w:val="none" w:sz="0" w:space="0" w:color="auto"/>
        <w:bottom w:val="none" w:sz="0" w:space="0" w:color="auto"/>
        <w:right w:val="none" w:sz="0" w:space="0" w:color="auto"/>
      </w:divBdr>
    </w:div>
    <w:div w:id="2010257496">
      <w:bodyDiv w:val="1"/>
      <w:marLeft w:val="0"/>
      <w:marRight w:val="0"/>
      <w:marTop w:val="0"/>
      <w:marBottom w:val="0"/>
      <w:divBdr>
        <w:top w:val="none" w:sz="0" w:space="0" w:color="auto"/>
        <w:left w:val="none" w:sz="0" w:space="0" w:color="auto"/>
        <w:bottom w:val="none" w:sz="0" w:space="0" w:color="auto"/>
        <w:right w:val="none" w:sz="0" w:space="0" w:color="auto"/>
      </w:divBdr>
    </w:div>
    <w:div w:id="204448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98D6063A900240D59D55465F93883A05"/>
        <w:category>
          <w:name w:val="General"/>
          <w:gallery w:val="placeholder"/>
        </w:category>
        <w:types>
          <w:type w:val="bbPlcHdr"/>
        </w:types>
        <w:behaviors>
          <w:behavior w:val="content"/>
        </w:behaviors>
        <w:guid w:val="{DF979364-19F2-4E15-9579-0CF87F2F465D}"/>
      </w:docPartPr>
      <w:docPartBody>
        <w:p w:rsidR="00CE3F9F" w:rsidRDefault="00CE3F9F" w:rsidP="00CE3F9F">
          <w:pPr>
            <w:pStyle w:val="98D6063A900240D59D55465F93883A05"/>
          </w:pPr>
          <w:r>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B5320"/>
    <w:rsid w:val="000B612D"/>
    <w:rsid w:val="000F05F0"/>
    <w:rsid w:val="00127222"/>
    <w:rsid w:val="001736D7"/>
    <w:rsid w:val="00190AF4"/>
    <w:rsid w:val="00223FA3"/>
    <w:rsid w:val="002A288F"/>
    <w:rsid w:val="002C65A7"/>
    <w:rsid w:val="002F052A"/>
    <w:rsid w:val="00350176"/>
    <w:rsid w:val="00380BB9"/>
    <w:rsid w:val="003840F0"/>
    <w:rsid w:val="00392947"/>
    <w:rsid w:val="003A64F9"/>
    <w:rsid w:val="00437537"/>
    <w:rsid w:val="004638E8"/>
    <w:rsid w:val="004D785E"/>
    <w:rsid w:val="00513FC9"/>
    <w:rsid w:val="0053654E"/>
    <w:rsid w:val="00610196"/>
    <w:rsid w:val="00632A7E"/>
    <w:rsid w:val="00632AB6"/>
    <w:rsid w:val="00682200"/>
    <w:rsid w:val="00730B33"/>
    <w:rsid w:val="00772B2A"/>
    <w:rsid w:val="007C672A"/>
    <w:rsid w:val="007D0C52"/>
    <w:rsid w:val="007D4368"/>
    <w:rsid w:val="00822666"/>
    <w:rsid w:val="00823ECC"/>
    <w:rsid w:val="00826796"/>
    <w:rsid w:val="00866C97"/>
    <w:rsid w:val="009017AE"/>
    <w:rsid w:val="009B373C"/>
    <w:rsid w:val="009C542D"/>
    <w:rsid w:val="00A01A18"/>
    <w:rsid w:val="00A95183"/>
    <w:rsid w:val="00AB4AF7"/>
    <w:rsid w:val="00AD7C4F"/>
    <w:rsid w:val="00B445F5"/>
    <w:rsid w:val="00BC3FAD"/>
    <w:rsid w:val="00BC7EB9"/>
    <w:rsid w:val="00BD40CB"/>
    <w:rsid w:val="00C362A2"/>
    <w:rsid w:val="00C90121"/>
    <w:rsid w:val="00C96E73"/>
    <w:rsid w:val="00CA1FE8"/>
    <w:rsid w:val="00CA344F"/>
    <w:rsid w:val="00CA660C"/>
    <w:rsid w:val="00CE3F9F"/>
    <w:rsid w:val="00D1676E"/>
    <w:rsid w:val="00D808E8"/>
    <w:rsid w:val="00DC0246"/>
    <w:rsid w:val="00E6518A"/>
    <w:rsid w:val="00E8154F"/>
    <w:rsid w:val="00EC0B24"/>
    <w:rsid w:val="00F540AB"/>
    <w:rsid w:val="00F915BA"/>
    <w:rsid w:val="00FE6A19"/>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E3F9F"/>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98D6063A900240D59D55465F93883A05">
    <w:name w:val="98D6063A900240D59D55465F93883A05"/>
    <w:rsid w:val="00CE3F9F"/>
    <w:pPr>
      <w:spacing w:after="160" w:line="259" w:lineRule="auto"/>
    </w:pPr>
  </w:style>
  <w:style w:type="paragraph" w:customStyle="1" w:styleId="95821A8D89D0406CBE4FDD98FCB63534">
    <w:name w:val="95821A8D89D0406CBE4FDD98FCB63534"/>
    <w:rsid w:val="00CE3F9F"/>
    <w:pPr>
      <w:spacing w:after="160" w:line="259" w:lineRule="auto"/>
    </w:pPr>
  </w:style>
  <w:style w:type="paragraph" w:customStyle="1" w:styleId="842B34A5B5794881B58E8D8C0C2A8AC5">
    <w:name w:val="842B34A5B5794881B58E8D8C0C2A8AC5"/>
    <w:rsid w:val="00CE3F9F"/>
    <w:pPr>
      <w:spacing w:after="160" w:line="259" w:lineRule="auto"/>
    </w:pPr>
  </w:style>
  <w:style w:type="paragraph" w:customStyle="1" w:styleId="3DB58D4E65A0409C9A9D4A2AD73A92B7">
    <w:name w:val="3DB58D4E65A0409C9A9D4A2AD73A92B7"/>
    <w:rsid w:val="00CE3F9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6" ma:contentTypeDescription="Create a new document." ma:contentTypeScope="" ma:versionID="47b72d5c9ee7fbdb8be289c11029645a">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7e83073cee0048cf15ed238b6dd6de8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dcmitype/"/>
    <ds:schemaRef ds:uri="http://schemas.microsoft.com/office/2006/metadata/properties"/>
    <ds:schemaRef ds:uri="http://schemas.microsoft.com/office/2006/documentManagement/types"/>
    <ds:schemaRef ds:uri="http://schemas.openxmlformats.org/package/2006/metadata/core-properties"/>
    <ds:schemaRef ds:uri="64615f93-1352-4a7e-b7a8-3b07e39b2009"/>
    <ds:schemaRef ds:uri="http://www.w3.org/XML/1998/namespace"/>
    <ds:schemaRef ds:uri="http://purl.org/dc/elements/1.1/"/>
    <ds:schemaRef ds:uri="76bce2c7-2e52-4525-a6e0-24f8a73e605d"/>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99635AE7-718E-4680-A537-737DA37DE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75B7C4-A60A-4552-8CE4-11BD6BC5B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8392</Words>
  <Characters>47835</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Kristen Swift</cp:lastModifiedBy>
  <cp:revision>2</cp:revision>
  <dcterms:created xsi:type="dcterms:W3CDTF">2019-04-02T16:47:00Z</dcterms:created>
  <dcterms:modified xsi:type="dcterms:W3CDTF">2019-04-02T16:47:00Z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